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B3C455F" w14:textId="77777777" w:rsidR="00E80455" w:rsidRDefault="000B3179" w:rsidP="000B3179">
      <w:pPr>
        <w:spacing w:before="72" w:after="240" w:line="259" w:lineRule="auto"/>
        <w:ind w:left="102" w:right="204"/>
        <w:jc w:val="both"/>
        <w:rPr>
          <w:sz w:val="23"/>
        </w:rPr>
      </w:pPr>
      <w:r>
        <w:rPr>
          <w:spacing w:val="34"/>
          <w:w w:val="99"/>
          <w:position w:val="3"/>
          <w:sz w:val="56"/>
        </w:rPr>
        <w:t>▼</w:t>
      </w:r>
      <w:r>
        <w:rPr>
          <w:sz w:val="23"/>
        </w:rPr>
        <w:t>This</w:t>
      </w:r>
      <w:r>
        <w:rPr>
          <w:spacing w:val="-11"/>
          <w:sz w:val="23"/>
        </w:rPr>
        <w:t xml:space="preserve"> </w:t>
      </w:r>
      <w:r>
        <w:rPr>
          <w:sz w:val="23"/>
        </w:rPr>
        <w:t>me</w:t>
      </w:r>
      <w:r>
        <w:rPr>
          <w:spacing w:val="-3"/>
          <w:sz w:val="23"/>
        </w:rPr>
        <w:t>d</w:t>
      </w:r>
      <w:r>
        <w:rPr>
          <w:sz w:val="23"/>
        </w:rPr>
        <w:t>i</w:t>
      </w:r>
      <w:r>
        <w:rPr>
          <w:spacing w:val="-2"/>
          <w:sz w:val="23"/>
        </w:rPr>
        <w:t>c</w:t>
      </w:r>
      <w:r>
        <w:rPr>
          <w:sz w:val="23"/>
        </w:rPr>
        <w:t>in</w:t>
      </w:r>
      <w:r>
        <w:rPr>
          <w:spacing w:val="-2"/>
          <w:sz w:val="23"/>
        </w:rPr>
        <w:t>a</w:t>
      </w:r>
      <w:r>
        <w:rPr>
          <w:sz w:val="23"/>
        </w:rPr>
        <w:t>l</w:t>
      </w:r>
      <w:r>
        <w:rPr>
          <w:spacing w:val="-10"/>
          <w:sz w:val="23"/>
        </w:rPr>
        <w:t xml:space="preserve"> </w:t>
      </w:r>
      <w:r>
        <w:rPr>
          <w:sz w:val="23"/>
        </w:rPr>
        <w:t>produ</w:t>
      </w:r>
      <w:r>
        <w:rPr>
          <w:spacing w:val="-2"/>
          <w:sz w:val="23"/>
        </w:rPr>
        <w:t>c</w:t>
      </w:r>
      <w:r>
        <w:rPr>
          <w:sz w:val="23"/>
        </w:rPr>
        <w:t>t</w:t>
      </w:r>
      <w:r>
        <w:rPr>
          <w:spacing w:val="-10"/>
          <w:sz w:val="23"/>
        </w:rPr>
        <w:t xml:space="preserve"> </w:t>
      </w:r>
      <w:r>
        <w:rPr>
          <w:sz w:val="23"/>
        </w:rPr>
        <w:t>is</w:t>
      </w:r>
      <w:r>
        <w:rPr>
          <w:spacing w:val="-13"/>
          <w:sz w:val="23"/>
        </w:rPr>
        <w:t xml:space="preserve"> </w:t>
      </w:r>
      <w:r>
        <w:rPr>
          <w:spacing w:val="-1"/>
          <w:sz w:val="23"/>
        </w:rPr>
        <w:t>s</w:t>
      </w:r>
      <w:r>
        <w:rPr>
          <w:sz w:val="23"/>
        </w:rPr>
        <w:t>ubje</w:t>
      </w:r>
      <w:r>
        <w:rPr>
          <w:spacing w:val="-2"/>
          <w:sz w:val="23"/>
        </w:rPr>
        <w:t>c</w:t>
      </w:r>
      <w:r>
        <w:rPr>
          <w:sz w:val="23"/>
        </w:rPr>
        <w:t>t</w:t>
      </w:r>
      <w:r>
        <w:rPr>
          <w:spacing w:val="-10"/>
          <w:sz w:val="23"/>
        </w:rPr>
        <w:t xml:space="preserve"> </w:t>
      </w:r>
      <w:r>
        <w:rPr>
          <w:sz w:val="23"/>
        </w:rPr>
        <w:t>to</w:t>
      </w:r>
      <w:r>
        <w:rPr>
          <w:spacing w:val="-10"/>
          <w:sz w:val="23"/>
        </w:rPr>
        <w:t xml:space="preserve"> </w:t>
      </w:r>
      <w:r>
        <w:rPr>
          <w:sz w:val="23"/>
        </w:rPr>
        <w:t>ad</w:t>
      </w:r>
      <w:r>
        <w:rPr>
          <w:spacing w:val="-3"/>
          <w:sz w:val="23"/>
        </w:rPr>
        <w:t>d</w:t>
      </w:r>
      <w:r>
        <w:rPr>
          <w:sz w:val="23"/>
        </w:rPr>
        <w:t>i</w:t>
      </w:r>
      <w:r>
        <w:rPr>
          <w:spacing w:val="-2"/>
          <w:sz w:val="23"/>
        </w:rPr>
        <w:t>t</w:t>
      </w:r>
      <w:r>
        <w:rPr>
          <w:sz w:val="23"/>
        </w:rPr>
        <w:t>ion</w:t>
      </w:r>
      <w:r>
        <w:rPr>
          <w:spacing w:val="-2"/>
          <w:sz w:val="23"/>
        </w:rPr>
        <w:t>a</w:t>
      </w:r>
      <w:r>
        <w:rPr>
          <w:sz w:val="23"/>
        </w:rPr>
        <w:t>l</w:t>
      </w:r>
      <w:r>
        <w:rPr>
          <w:spacing w:val="-10"/>
          <w:sz w:val="23"/>
        </w:rPr>
        <w:t xml:space="preserve"> </w:t>
      </w:r>
      <w:r>
        <w:rPr>
          <w:sz w:val="23"/>
        </w:rPr>
        <w:t>mo</w:t>
      </w:r>
      <w:r>
        <w:rPr>
          <w:spacing w:val="-3"/>
          <w:sz w:val="23"/>
        </w:rPr>
        <w:t>n</w:t>
      </w:r>
      <w:r>
        <w:rPr>
          <w:sz w:val="23"/>
        </w:rPr>
        <w:t>i</w:t>
      </w:r>
      <w:r>
        <w:rPr>
          <w:spacing w:val="-2"/>
          <w:sz w:val="23"/>
        </w:rPr>
        <w:t>t</w:t>
      </w:r>
      <w:r>
        <w:rPr>
          <w:sz w:val="23"/>
        </w:rPr>
        <w:t>oring</w:t>
      </w:r>
      <w:r>
        <w:rPr>
          <w:spacing w:val="-10"/>
          <w:sz w:val="23"/>
        </w:rPr>
        <w:t xml:space="preserve"> </w:t>
      </w:r>
      <w:r>
        <w:rPr>
          <w:sz w:val="23"/>
        </w:rPr>
        <w:t>in</w:t>
      </w:r>
      <w:r>
        <w:rPr>
          <w:spacing w:val="-10"/>
          <w:sz w:val="23"/>
        </w:rPr>
        <w:t xml:space="preserve"> </w:t>
      </w:r>
      <w:r>
        <w:rPr>
          <w:spacing w:val="-1"/>
          <w:sz w:val="23"/>
        </w:rPr>
        <w:t>A</w:t>
      </w:r>
      <w:r>
        <w:rPr>
          <w:sz w:val="23"/>
        </w:rPr>
        <w:t>u</w:t>
      </w:r>
      <w:r>
        <w:rPr>
          <w:spacing w:val="-1"/>
          <w:sz w:val="23"/>
        </w:rPr>
        <w:t>s</w:t>
      </w:r>
      <w:r>
        <w:rPr>
          <w:sz w:val="23"/>
        </w:rPr>
        <w:t>t</w:t>
      </w:r>
      <w:r>
        <w:rPr>
          <w:spacing w:val="-3"/>
          <w:sz w:val="23"/>
        </w:rPr>
        <w:t>r</w:t>
      </w:r>
      <w:r>
        <w:rPr>
          <w:sz w:val="23"/>
        </w:rPr>
        <w:t>al</w:t>
      </w:r>
      <w:r>
        <w:rPr>
          <w:spacing w:val="-2"/>
          <w:sz w:val="23"/>
        </w:rPr>
        <w:t>i</w:t>
      </w:r>
      <w:r>
        <w:rPr>
          <w:sz w:val="23"/>
        </w:rPr>
        <w:t>a.</w:t>
      </w:r>
      <w:r>
        <w:rPr>
          <w:spacing w:val="-10"/>
          <w:sz w:val="23"/>
        </w:rPr>
        <w:t xml:space="preserve"> </w:t>
      </w:r>
      <w:r>
        <w:rPr>
          <w:sz w:val="23"/>
        </w:rPr>
        <w:t>T</w:t>
      </w:r>
      <w:r>
        <w:rPr>
          <w:spacing w:val="-3"/>
          <w:sz w:val="23"/>
        </w:rPr>
        <w:t>h</w:t>
      </w:r>
      <w:r>
        <w:rPr>
          <w:sz w:val="23"/>
        </w:rPr>
        <w:t>is</w:t>
      </w:r>
      <w:r>
        <w:rPr>
          <w:spacing w:val="-11"/>
          <w:sz w:val="23"/>
        </w:rPr>
        <w:t xml:space="preserve"> </w:t>
      </w:r>
      <w:r>
        <w:rPr>
          <w:spacing w:val="-1"/>
          <w:sz w:val="23"/>
        </w:rPr>
        <w:t>w</w:t>
      </w:r>
      <w:r>
        <w:rPr>
          <w:sz w:val="23"/>
        </w:rPr>
        <w:t>ill</w:t>
      </w:r>
      <w:r>
        <w:rPr>
          <w:spacing w:val="-10"/>
          <w:sz w:val="23"/>
        </w:rPr>
        <w:t xml:space="preserve"> </w:t>
      </w:r>
      <w:r>
        <w:rPr>
          <w:spacing w:val="-2"/>
          <w:sz w:val="23"/>
        </w:rPr>
        <w:t>a</w:t>
      </w:r>
      <w:r>
        <w:rPr>
          <w:sz w:val="23"/>
        </w:rPr>
        <w:t>llow</w:t>
      </w:r>
      <w:r>
        <w:rPr>
          <w:spacing w:val="-11"/>
          <w:sz w:val="23"/>
        </w:rPr>
        <w:t xml:space="preserve"> </w:t>
      </w:r>
      <w:r>
        <w:rPr>
          <w:sz w:val="23"/>
        </w:rPr>
        <w:t>qu</w:t>
      </w:r>
      <w:r>
        <w:rPr>
          <w:spacing w:val="-2"/>
          <w:sz w:val="23"/>
        </w:rPr>
        <w:t>i</w:t>
      </w:r>
      <w:r>
        <w:rPr>
          <w:sz w:val="23"/>
        </w:rPr>
        <w:t xml:space="preserve">ck </w:t>
      </w:r>
      <w:r>
        <w:rPr>
          <w:spacing w:val="-1"/>
          <w:sz w:val="23"/>
        </w:rPr>
        <w:t>identification</w:t>
      </w:r>
      <w:r>
        <w:rPr>
          <w:spacing w:val="-12"/>
          <w:sz w:val="23"/>
        </w:rPr>
        <w:t xml:space="preserve"> </w:t>
      </w:r>
      <w:r>
        <w:rPr>
          <w:spacing w:val="-1"/>
          <w:sz w:val="23"/>
        </w:rPr>
        <w:t>of</w:t>
      </w:r>
      <w:r>
        <w:rPr>
          <w:spacing w:val="-10"/>
          <w:sz w:val="23"/>
        </w:rPr>
        <w:t xml:space="preserve"> </w:t>
      </w:r>
      <w:r>
        <w:rPr>
          <w:spacing w:val="-1"/>
          <w:sz w:val="23"/>
        </w:rPr>
        <w:t>new</w:t>
      </w:r>
      <w:r>
        <w:rPr>
          <w:spacing w:val="-11"/>
          <w:sz w:val="23"/>
        </w:rPr>
        <w:t xml:space="preserve"> </w:t>
      </w:r>
      <w:r>
        <w:rPr>
          <w:spacing w:val="-1"/>
          <w:sz w:val="23"/>
        </w:rPr>
        <w:t>safety</w:t>
      </w:r>
      <w:r>
        <w:rPr>
          <w:spacing w:val="-10"/>
          <w:sz w:val="23"/>
        </w:rPr>
        <w:t xml:space="preserve"> </w:t>
      </w:r>
      <w:r>
        <w:rPr>
          <w:sz w:val="23"/>
        </w:rPr>
        <w:t>information.</w:t>
      </w:r>
      <w:r>
        <w:rPr>
          <w:spacing w:val="-10"/>
          <w:sz w:val="23"/>
        </w:rPr>
        <w:t xml:space="preserve"> </w:t>
      </w:r>
      <w:r>
        <w:rPr>
          <w:sz w:val="23"/>
        </w:rPr>
        <w:t>Healthcare</w:t>
      </w:r>
      <w:r>
        <w:rPr>
          <w:spacing w:val="-14"/>
          <w:sz w:val="23"/>
        </w:rPr>
        <w:t xml:space="preserve"> </w:t>
      </w:r>
      <w:r>
        <w:rPr>
          <w:sz w:val="23"/>
        </w:rPr>
        <w:t>professionals</w:t>
      </w:r>
      <w:r>
        <w:rPr>
          <w:spacing w:val="-11"/>
          <w:sz w:val="23"/>
        </w:rPr>
        <w:t xml:space="preserve"> </w:t>
      </w:r>
      <w:r>
        <w:rPr>
          <w:sz w:val="23"/>
        </w:rPr>
        <w:t>are</w:t>
      </w:r>
      <w:r>
        <w:rPr>
          <w:spacing w:val="-12"/>
          <w:sz w:val="23"/>
        </w:rPr>
        <w:t xml:space="preserve"> </w:t>
      </w:r>
      <w:r>
        <w:rPr>
          <w:sz w:val="23"/>
        </w:rPr>
        <w:t>asked</w:t>
      </w:r>
      <w:r>
        <w:rPr>
          <w:spacing w:val="-12"/>
          <w:sz w:val="23"/>
        </w:rPr>
        <w:t xml:space="preserve"> </w:t>
      </w:r>
      <w:r>
        <w:rPr>
          <w:sz w:val="23"/>
        </w:rPr>
        <w:t>to</w:t>
      </w:r>
      <w:r>
        <w:rPr>
          <w:spacing w:val="-12"/>
          <w:sz w:val="23"/>
        </w:rPr>
        <w:t xml:space="preserve"> </w:t>
      </w:r>
      <w:r>
        <w:rPr>
          <w:sz w:val="23"/>
        </w:rPr>
        <w:t>report</w:t>
      </w:r>
      <w:r>
        <w:rPr>
          <w:spacing w:val="-12"/>
          <w:sz w:val="23"/>
        </w:rPr>
        <w:t xml:space="preserve"> </w:t>
      </w:r>
      <w:r>
        <w:rPr>
          <w:sz w:val="23"/>
        </w:rPr>
        <w:t>any</w:t>
      </w:r>
      <w:r>
        <w:rPr>
          <w:spacing w:val="-12"/>
          <w:sz w:val="23"/>
        </w:rPr>
        <w:t xml:space="preserve"> </w:t>
      </w:r>
      <w:r>
        <w:rPr>
          <w:sz w:val="23"/>
        </w:rPr>
        <w:t>suspected</w:t>
      </w:r>
      <w:r>
        <w:rPr>
          <w:spacing w:val="-55"/>
          <w:sz w:val="23"/>
        </w:rPr>
        <w:t xml:space="preserve"> </w:t>
      </w:r>
      <w:r>
        <w:rPr>
          <w:sz w:val="23"/>
        </w:rPr>
        <w:t>adverse</w:t>
      </w:r>
      <w:r>
        <w:rPr>
          <w:spacing w:val="-3"/>
          <w:sz w:val="23"/>
        </w:rPr>
        <w:t xml:space="preserve"> </w:t>
      </w:r>
      <w:r>
        <w:rPr>
          <w:sz w:val="23"/>
        </w:rPr>
        <w:t>events</w:t>
      </w:r>
      <w:r>
        <w:rPr>
          <w:spacing w:val="-1"/>
          <w:sz w:val="23"/>
        </w:rPr>
        <w:t xml:space="preserve"> </w:t>
      </w:r>
      <w:r>
        <w:rPr>
          <w:sz w:val="23"/>
        </w:rPr>
        <w:t>at</w:t>
      </w:r>
      <w:r>
        <w:rPr>
          <w:spacing w:val="2"/>
          <w:sz w:val="23"/>
        </w:rPr>
        <w:t xml:space="preserve"> </w:t>
      </w:r>
      <w:hyperlink r:id="rId7">
        <w:r>
          <w:rPr>
            <w:color w:val="0000FF"/>
            <w:sz w:val="23"/>
            <w:u w:val="single" w:color="0000FF"/>
          </w:rPr>
          <w:t>www.tga.gov.au/reporting-problems</w:t>
        </w:r>
        <w:r>
          <w:rPr>
            <w:sz w:val="23"/>
          </w:rPr>
          <w:t>.</w:t>
        </w:r>
      </w:hyperlink>
    </w:p>
    <w:p w14:paraId="52C3B889" w14:textId="77777777" w:rsidR="00E80455" w:rsidRDefault="000B3179" w:rsidP="000B3179">
      <w:pPr>
        <w:pStyle w:val="Heading1"/>
        <w:spacing w:before="236" w:after="480"/>
        <w:ind w:left="2098" w:right="748" w:hanging="1440"/>
      </w:pPr>
      <w:bookmarkStart w:id="0" w:name="Australian_Product_Information_–_MIDODRI"/>
      <w:bookmarkEnd w:id="0"/>
      <w:r>
        <w:t>AUSTRALIAN PRODUCT INFORMATION – MIDODRINE SCP</w:t>
      </w:r>
      <w:r>
        <w:rPr>
          <w:spacing w:val="-75"/>
        </w:rPr>
        <w:t xml:space="preserve"> </w:t>
      </w:r>
      <w:r>
        <w:t>(MIDODRINE</w:t>
      </w:r>
      <w:r>
        <w:rPr>
          <w:spacing w:val="-4"/>
        </w:rPr>
        <w:t xml:space="preserve"> </w:t>
      </w:r>
      <w:r>
        <w:t>HYDROCHLORIDE)</w:t>
      </w:r>
      <w:r>
        <w:rPr>
          <w:spacing w:val="-2"/>
        </w:rPr>
        <w:t xml:space="preserve"> </w:t>
      </w:r>
      <w:r>
        <w:t>TABLETS</w:t>
      </w:r>
    </w:p>
    <w:p w14:paraId="2C7BAF5D" w14:textId="77777777" w:rsidR="00E80455" w:rsidRDefault="000B3179">
      <w:pPr>
        <w:pStyle w:val="ListParagraph"/>
        <w:numPr>
          <w:ilvl w:val="0"/>
          <w:numId w:val="4"/>
        </w:numPr>
        <w:tabs>
          <w:tab w:val="left" w:pos="779"/>
          <w:tab w:val="left" w:pos="780"/>
        </w:tabs>
        <w:spacing w:before="0"/>
        <w:rPr>
          <w:b/>
          <w:sz w:val="28"/>
        </w:rPr>
      </w:pPr>
      <w:bookmarkStart w:id="1" w:name="1_NAME_OF_THE_MEDICINE"/>
      <w:bookmarkEnd w:id="1"/>
      <w:r>
        <w:rPr>
          <w:b/>
          <w:sz w:val="28"/>
        </w:rPr>
        <w:t>NAME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OF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THE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MEDICINE</w:t>
      </w:r>
    </w:p>
    <w:p w14:paraId="20034F24" w14:textId="77777777" w:rsidR="00E80455" w:rsidRDefault="000B3179" w:rsidP="000B3179">
      <w:pPr>
        <w:pStyle w:val="BodyText"/>
        <w:spacing w:before="240" w:after="240"/>
        <w:ind w:left="102"/>
      </w:pPr>
      <w:r>
        <w:t>Midodrine</w:t>
      </w:r>
      <w:r>
        <w:rPr>
          <w:spacing w:val="-5"/>
        </w:rPr>
        <w:t xml:space="preserve"> </w:t>
      </w:r>
      <w:r>
        <w:t>hydrochloride</w:t>
      </w:r>
    </w:p>
    <w:p w14:paraId="25B7F22E" w14:textId="77777777" w:rsidR="00E80455" w:rsidRDefault="000B3179">
      <w:pPr>
        <w:pStyle w:val="Heading1"/>
        <w:numPr>
          <w:ilvl w:val="0"/>
          <w:numId w:val="4"/>
        </w:numPr>
        <w:tabs>
          <w:tab w:val="left" w:pos="779"/>
          <w:tab w:val="left" w:pos="780"/>
        </w:tabs>
        <w:spacing w:before="180"/>
      </w:pPr>
      <w:bookmarkStart w:id="2" w:name="2_QUALITATIVE_AND_QUANTITATIVE_COMPOSITI"/>
      <w:bookmarkEnd w:id="2"/>
      <w:r>
        <w:t>QUALITATIVE</w:t>
      </w:r>
      <w:r>
        <w:rPr>
          <w:spacing w:val="-8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QUANTITATIVE</w:t>
      </w:r>
      <w:r>
        <w:rPr>
          <w:spacing w:val="-10"/>
        </w:rPr>
        <w:t xml:space="preserve"> </w:t>
      </w:r>
      <w:r>
        <w:t>COMPOSITION</w:t>
      </w:r>
    </w:p>
    <w:p w14:paraId="1CD2A63B" w14:textId="77777777" w:rsidR="00E80455" w:rsidRDefault="000B3179" w:rsidP="000B3179">
      <w:pPr>
        <w:pStyle w:val="BodyText"/>
        <w:spacing w:before="240" w:after="240"/>
        <w:ind w:left="102" w:right="374"/>
      </w:pPr>
      <w:r>
        <w:t xml:space="preserve">MIDODRINE SCP tablets contain 2.5 and 5 mg of midodrine </w:t>
      </w:r>
      <w:proofErr w:type="spellStart"/>
      <w:proofErr w:type="gramStart"/>
      <w:r>
        <w:t>hydrochloride.For</w:t>
      </w:r>
      <w:proofErr w:type="spellEnd"/>
      <w:proofErr w:type="gramEnd"/>
      <w:r>
        <w:t xml:space="preserve"> the full list</w:t>
      </w:r>
      <w:r>
        <w:rPr>
          <w:spacing w:val="-57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excipients, see</w:t>
      </w:r>
      <w:r>
        <w:rPr>
          <w:spacing w:val="-1"/>
        </w:rPr>
        <w:t xml:space="preserve"> </w:t>
      </w:r>
      <w:r>
        <w:t>section</w:t>
      </w:r>
      <w:r>
        <w:rPr>
          <w:spacing w:val="2"/>
        </w:rPr>
        <w:t xml:space="preserve"> </w:t>
      </w:r>
      <w:r>
        <w:t>6.1 LIST OF</w:t>
      </w:r>
      <w:r>
        <w:rPr>
          <w:spacing w:val="-2"/>
        </w:rPr>
        <w:t xml:space="preserve"> </w:t>
      </w:r>
      <w:r>
        <w:t>EXCIPIENTS.</w:t>
      </w:r>
    </w:p>
    <w:p w14:paraId="255729F9" w14:textId="77777777" w:rsidR="00E80455" w:rsidRDefault="000B3179">
      <w:pPr>
        <w:pStyle w:val="Heading1"/>
        <w:numPr>
          <w:ilvl w:val="0"/>
          <w:numId w:val="4"/>
        </w:numPr>
        <w:tabs>
          <w:tab w:val="left" w:pos="779"/>
          <w:tab w:val="left" w:pos="780"/>
        </w:tabs>
      </w:pPr>
      <w:bookmarkStart w:id="3" w:name="3_PHARMACEUTICAL_FORM"/>
      <w:bookmarkEnd w:id="3"/>
      <w:r>
        <w:t>PHARMACEUTICAL</w:t>
      </w:r>
      <w:r>
        <w:rPr>
          <w:spacing w:val="-14"/>
        </w:rPr>
        <w:t xml:space="preserve"> </w:t>
      </w:r>
      <w:r>
        <w:t>FORM</w:t>
      </w:r>
    </w:p>
    <w:p w14:paraId="2CC69060" w14:textId="6B51859C" w:rsidR="00E80455" w:rsidRDefault="000B3179" w:rsidP="000B3179">
      <w:pPr>
        <w:pStyle w:val="BodyText"/>
        <w:spacing w:before="240" w:after="240"/>
        <w:ind w:left="102"/>
      </w:pPr>
      <w:r>
        <w:t>MIDODRINE</w:t>
      </w:r>
      <w:r>
        <w:rPr>
          <w:spacing w:val="-3"/>
        </w:rPr>
        <w:t xml:space="preserve"> </w:t>
      </w:r>
      <w:r>
        <w:t>SCP</w:t>
      </w:r>
      <w:r>
        <w:rPr>
          <w:spacing w:val="-1"/>
        </w:rPr>
        <w:t xml:space="preserve"> </w:t>
      </w:r>
      <w:r>
        <w:t>2.5</w:t>
      </w:r>
      <w:r>
        <w:rPr>
          <w:spacing w:val="-2"/>
        </w:rPr>
        <w:t xml:space="preserve"> </w:t>
      </w:r>
      <w:r>
        <w:t>mg</w:t>
      </w:r>
      <w:r>
        <w:rPr>
          <w:spacing w:val="-1"/>
        </w:rPr>
        <w:t xml:space="preserve"> </w:t>
      </w:r>
      <w:r>
        <w:t>tablets</w:t>
      </w:r>
      <w:r>
        <w:rPr>
          <w:spacing w:val="-1"/>
        </w:rPr>
        <w:t xml:space="preserve"> </w:t>
      </w:r>
      <w:r>
        <w:t>are</w:t>
      </w:r>
      <w:r>
        <w:rPr>
          <w:spacing w:val="-4"/>
        </w:rPr>
        <w:t xml:space="preserve"> </w:t>
      </w:r>
      <w:r>
        <w:t>white,</w:t>
      </w:r>
      <w:r>
        <w:rPr>
          <w:spacing w:val="-2"/>
        </w:rPr>
        <w:t xml:space="preserve"> </w:t>
      </w:r>
      <w:r>
        <w:t>flat,</w:t>
      </w:r>
      <w:r>
        <w:rPr>
          <w:spacing w:val="-1"/>
        </w:rPr>
        <w:t xml:space="preserve"> </w:t>
      </w:r>
      <w:r>
        <w:t>round</w:t>
      </w:r>
      <w:r>
        <w:rPr>
          <w:spacing w:val="-2"/>
        </w:rPr>
        <w:t xml:space="preserve"> </w:t>
      </w:r>
      <w:r>
        <w:t>tablets</w:t>
      </w:r>
      <w:r>
        <w:rPr>
          <w:spacing w:val="-1"/>
        </w:rPr>
        <w:t xml:space="preserve"> </w:t>
      </w:r>
      <w:r>
        <w:t>with</w:t>
      </w:r>
      <w:r>
        <w:rPr>
          <w:spacing w:val="-2"/>
        </w:rPr>
        <w:t xml:space="preserve"> </w:t>
      </w:r>
      <w:r>
        <w:t>7</w:t>
      </w:r>
      <w:r>
        <w:rPr>
          <w:spacing w:val="-1"/>
        </w:rPr>
        <w:t xml:space="preserve"> </w:t>
      </w:r>
      <w:r>
        <w:t>mm</w:t>
      </w:r>
      <w:r>
        <w:rPr>
          <w:spacing w:val="-1"/>
        </w:rPr>
        <w:t xml:space="preserve"> </w:t>
      </w:r>
      <w:r>
        <w:t>diameter</w:t>
      </w:r>
      <w:r>
        <w:rPr>
          <w:spacing w:val="-4"/>
        </w:rPr>
        <w:t xml:space="preserve"> </w:t>
      </w:r>
      <w:r>
        <w:t>and embossed</w:t>
      </w:r>
      <w:r>
        <w:rPr>
          <w:spacing w:val="-3"/>
        </w:rPr>
        <w:t xml:space="preserve"> </w:t>
      </w:r>
      <w:r>
        <w:t>with</w:t>
      </w:r>
      <w:r>
        <w:rPr>
          <w:spacing w:val="-3"/>
        </w:rPr>
        <w:t xml:space="preserve"> </w:t>
      </w:r>
      <w:r>
        <w:t>“2.5”.</w:t>
      </w:r>
    </w:p>
    <w:p w14:paraId="7DD5935A" w14:textId="1B5BDC09" w:rsidR="00E80455" w:rsidRDefault="000B3179" w:rsidP="000B3179">
      <w:pPr>
        <w:pStyle w:val="BodyText"/>
        <w:spacing w:after="240"/>
        <w:ind w:left="100"/>
      </w:pPr>
      <w:r>
        <w:t>MIDODRINE</w:t>
      </w:r>
      <w:r>
        <w:rPr>
          <w:spacing w:val="-3"/>
        </w:rPr>
        <w:t xml:space="preserve"> </w:t>
      </w:r>
      <w:r>
        <w:t>SCP</w:t>
      </w:r>
      <w:r>
        <w:rPr>
          <w:spacing w:val="-2"/>
        </w:rPr>
        <w:t xml:space="preserve"> </w:t>
      </w:r>
      <w:r>
        <w:t>5</w:t>
      </w:r>
      <w:r>
        <w:rPr>
          <w:spacing w:val="-1"/>
        </w:rPr>
        <w:t xml:space="preserve"> </w:t>
      </w:r>
      <w:r>
        <w:t>mg</w:t>
      </w:r>
      <w:r>
        <w:rPr>
          <w:spacing w:val="-2"/>
        </w:rPr>
        <w:t xml:space="preserve"> </w:t>
      </w:r>
      <w:r>
        <w:t>tablets</w:t>
      </w:r>
      <w:r>
        <w:rPr>
          <w:spacing w:val="1"/>
        </w:rPr>
        <w:t xml:space="preserve"> </w:t>
      </w:r>
      <w:r>
        <w:t>are</w:t>
      </w:r>
      <w:r>
        <w:rPr>
          <w:spacing w:val="-4"/>
        </w:rPr>
        <w:t xml:space="preserve"> </w:t>
      </w:r>
      <w:r>
        <w:t>white, flat,</w:t>
      </w:r>
      <w:r>
        <w:rPr>
          <w:spacing w:val="-2"/>
        </w:rPr>
        <w:t xml:space="preserve"> </w:t>
      </w:r>
      <w:r>
        <w:t>round</w:t>
      </w:r>
      <w:r>
        <w:rPr>
          <w:spacing w:val="-2"/>
        </w:rPr>
        <w:t xml:space="preserve"> </w:t>
      </w:r>
      <w:r>
        <w:t>tablets</w:t>
      </w:r>
      <w:r>
        <w:rPr>
          <w:spacing w:val="-1"/>
        </w:rPr>
        <w:t xml:space="preserve"> </w:t>
      </w:r>
      <w:r>
        <w:t>with</w:t>
      </w:r>
      <w:r>
        <w:rPr>
          <w:spacing w:val="-2"/>
        </w:rPr>
        <w:t xml:space="preserve"> </w:t>
      </w:r>
      <w:r>
        <w:t>10</w:t>
      </w:r>
      <w:r>
        <w:rPr>
          <w:spacing w:val="-1"/>
        </w:rPr>
        <w:t xml:space="preserve"> </w:t>
      </w:r>
      <w:r>
        <w:t>mm</w:t>
      </w:r>
      <w:r>
        <w:rPr>
          <w:spacing w:val="-2"/>
        </w:rPr>
        <w:t xml:space="preserve"> </w:t>
      </w:r>
      <w:r>
        <w:t>diameter</w:t>
      </w:r>
      <w:r>
        <w:rPr>
          <w:spacing w:val="-3"/>
        </w:rPr>
        <w:t xml:space="preserve"> </w:t>
      </w:r>
      <w:r>
        <w:t>and embossed</w:t>
      </w:r>
      <w:r>
        <w:rPr>
          <w:spacing w:val="-3"/>
        </w:rPr>
        <w:t xml:space="preserve"> </w:t>
      </w:r>
      <w:r>
        <w:t>with</w:t>
      </w:r>
      <w:r>
        <w:rPr>
          <w:spacing w:val="-3"/>
        </w:rPr>
        <w:t xml:space="preserve"> </w:t>
      </w:r>
      <w:r>
        <w:t>“5”.</w:t>
      </w:r>
    </w:p>
    <w:p w14:paraId="0A3F96CA" w14:textId="77777777" w:rsidR="00E80455" w:rsidRDefault="000B3179" w:rsidP="000B3179">
      <w:pPr>
        <w:pStyle w:val="Heading1"/>
        <w:numPr>
          <w:ilvl w:val="0"/>
          <w:numId w:val="4"/>
        </w:numPr>
        <w:tabs>
          <w:tab w:val="left" w:pos="779"/>
          <w:tab w:val="left" w:pos="780"/>
        </w:tabs>
        <w:spacing w:after="240"/>
        <w:ind w:left="776"/>
      </w:pPr>
      <w:bookmarkStart w:id="4" w:name="4_CLINICAL_PARTICULARS"/>
      <w:bookmarkEnd w:id="4"/>
      <w:r>
        <w:t>CLINICAL</w:t>
      </w:r>
      <w:r>
        <w:rPr>
          <w:spacing w:val="-13"/>
        </w:rPr>
        <w:t xml:space="preserve"> </w:t>
      </w:r>
      <w:r>
        <w:t>PARTICULARS</w:t>
      </w:r>
    </w:p>
    <w:p w14:paraId="431C3DE5" w14:textId="77777777" w:rsidR="00E80455" w:rsidRDefault="000B3179" w:rsidP="000B3179">
      <w:pPr>
        <w:pStyle w:val="ListParagraph"/>
        <w:numPr>
          <w:ilvl w:val="1"/>
          <w:numId w:val="4"/>
        </w:numPr>
        <w:tabs>
          <w:tab w:val="left" w:pos="779"/>
          <w:tab w:val="left" w:pos="780"/>
        </w:tabs>
        <w:spacing w:before="1" w:after="240"/>
        <w:ind w:left="776"/>
        <w:rPr>
          <w:b/>
        </w:rPr>
      </w:pPr>
      <w:bookmarkStart w:id="5" w:name="4.1_THERAPEUTIC_INDICATIONS"/>
      <w:bookmarkEnd w:id="5"/>
      <w:r>
        <w:rPr>
          <w:b/>
        </w:rPr>
        <w:t>THERAPEUTIC</w:t>
      </w:r>
      <w:r>
        <w:rPr>
          <w:b/>
          <w:spacing w:val="-12"/>
        </w:rPr>
        <w:t xml:space="preserve"> </w:t>
      </w:r>
      <w:r>
        <w:rPr>
          <w:b/>
        </w:rPr>
        <w:t>INDICATIONS</w:t>
      </w:r>
    </w:p>
    <w:p w14:paraId="0862ED1C" w14:textId="77777777" w:rsidR="00E80455" w:rsidRDefault="000B3179">
      <w:pPr>
        <w:pStyle w:val="BodyText"/>
        <w:spacing w:before="1"/>
        <w:ind w:left="100" w:right="345"/>
      </w:pPr>
      <w:r>
        <w:t>MIDODRINE SCP is indicated in adults for the treatment of severe symptomatic orthostatic</w:t>
      </w:r>
      <w:r>
        <w:rPr>
          <w:spacing w:val="-57"/>
        </w:rPr>
        <w:t xml:space="preserve"> </w:t>
      </w:r>
      <w:r>
        <w:t>hypotension due to autonomic dysfunction when exacerbating factors have been addressed</w:t>
      </w:r>
      <w:r>
        <w:rPr>
          <w:spacing w:val="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other</w:t>
      </w:r>
      <w:r>
        <w:rPr>
          <w:spacing w:val="-2"/>
        </w:rPr>
        <w:t xml:space="preserve"> </w:t>
      </w:r>
      <w:r>
        <w:t>forms of treatment remain inadequate.</w:t>
      </w:r>
    </w:p>
    <w:p w14:paraId="562EF4FB" w14:textId="77777777" w:rsidR="00E80455" w:rsidRDefault="000B3179">
      <w:pPr>
        <w:pStyle w:val="ListParagraph"/>
        <w:numPr>
          <w:ilvl w:val="1"/>
          <w:numId w:val="4"/>
        </w:numPr>
        <w:tabs>
          <w:tab w:val="left" w:pos="841"/>
          <w:tab w:val="left" w:pos="842"/>
        </w:tabs>
        <w:spacing w:before="124" w:line="610" w:lineRule="atLeast"/>
        <w:ind w:left="100" w:right="3971" w:firstLine="0"/>
        <w:rPr>
          <w:b/>
        </w:rPr>
      </w:pPr>
      <w:bookmarkStart w:id="6" w:name="4.2__DOSE_AND_METHOD_OF_ADMINISTRATION"/>
      <w:bookmarkEnd w:id="6"/>
      <w:r>
        <w:rPr>
          <w:b/>
        </w:rPr>
        <w:t>DOSE AND METHOD OF ADMINISTRATION</w:t>
      </w:r>
      <w:r>
        <w:rPr>
          <w:b/>
          <w:spacing w:val="-59"/>
        </w:rPr>
        <w:t xml:space="preserve"> </w:t>
      </w:r>
      <w:r>
        <w:rPr>
          <w:b/>
        </w:rPr>
        <w:t>Dosage</w:t>
      </w:r>
    </w:p>
    <w:p w14:paraId="627928A8" w14:textId="77777777" w:rsidR="00E80455" w:rsidRDefault="000B3179">
      <w:pPr>
        <w:pStyle w:val="BodyText"/>
        <w:spacing w:before="153" w:line="276" w:lineRule="auto"/>
        <w:ind w:left="100" w:right="366"/>
      </w:pPr>
      <w:r>
        <w:t>The initiation of midodrine should be undertaken under close medical supervision in a</w:t>
      </w:r>
      <w:r>
        <w:rPr>
          <w:spacing w:val="1"/>
        </w:rPr>
        <w:t xml:space="preserve"> </w:t>
      </w:r>
      <w:r>
        <w:t>controlled clinical setting by a specialist with expertise in the treatment of severe orthostatic</w:t>
      </w:r>
      <w:r>
        <w:rPr>
          <w:spacing w:val="-57"/>
        </w:rPr>
        <w:t xml:space="preserve"> </w:t>
      </w:r>
      <w:r>
        <w:t>hypotension.</w:t>
      </w:r>
    </w:p>
    <w:p w14:paraId="5D19AF50" w14:textId="77777777" w:rsidR="00E80455" w:rsidRDefault="00E80455">
      <w:pPr>
        <w:spacing w:line="276" w:lineRule="auto"/>
        <w:sectPr w:rsidR="00E80455" w:rsidSect="00F14B37">
          <w:headerReference w:type="default" r:id="rId8"/>
          <w:footerReference w:type="default" r:id="rId9"/>
          <w:type w:val="continuous"/>
          <w:pgSz w:w="11910" w:h="16840"/>
          <w:pgMar w:top="1340" w:right="1240" w:bottom="920" w:left="1340" w:header="170" w:footer="729" w:gutter="0"/>
          <w:pgNumType w:start="1"/>
          <w:cols w:space="720"/>
          <w:docGrid w:linePitch="299"/>
        </w:sectPr>
      </w:pPr>
    </w:p>
    <w:p w14:paraId="3D677AB0" w14:textId="77777777" w:rsidR="00E80455" w:rsidRDefault="000B3179" w:rsidP="000B3179">
      <w:pPr>
        <w:pStyle w:val="BodyText"/>
        <w:spacing w:before="82" w:after="240"/>
        <w:ind w:left="100" w:right="305"/>
      </w:pPr>
      <w:r>
        <w:lastRenderedPageBreak/>
        <w:t>Initial dose: 2.5 mg three times a day. Depending on the results of supine and standing blood</w:t>
      </w:r>
      <w:r>
        <w:rPr>
          <w:spacing w:val="-57"/>
        </w:rPr>
        <w:t xml:space="preserve"> </w:t>
      </w:r>
      <w:r>
        <w:t>pressure recordings, this dose may be increased weekly up to a dose of 10 mg three times a</w:t>
      </w:r>
      <w:r>
        <w:rPr>
          <w:spacing w:val="1"/>
        </w:rPr>
        <w:t xml:space="preserve"> </w:t>
      </w:r>
      <w:r>
        <w:t xml:space="preserve">day. This is the usual maintenance </w:t>
      </w:r>
      <w:proofErr w:type="gramStart"/>
      <w:r>
        <w:t>dosage,</w:t>
      </w:r>
      <w:proofErr w:type="gramEnd"/>
      <w:r>
        <w:t xml:space="preserve"> however twice daily dosing may be appropriate</w:t>
      </w:r>
      <w:r>
        <w:rPr>
          <w:spacing w:val="1"/>
        </w:rPr>
        <w:t xml:space="preserve"> </w:t>
      </w:r>
      <w:r>
        <w:t>for</w:t>
      </w:r>
      <w:r>
        <w:rPr>
          <w:spacing w:val="-3"/>
        </w:rPr>
        <w:t xml:space="preserve"> </w:t>
      </w:r>
      <w:r>
        <w:t>some</w:t>
      </w:r>
      <w:r>
        <w:rPr>
          <w:spacing w:val="-1"/>
        </w:rPr>
        <w:t xml:space="preserve"> </w:t>
      </w:r>
      <w:r>
        <w:t>patients.</w:t>
      </w:r>
    </w:p>
    <w:p w14:paraId="692BE5C0" w14:textId="77777777" w:rsidR="00E80455" w:rsidRDefault="000B3179" w:rsidP="000B3179">
      <w:pPr>
        <w:pStyle w:val="BodyText"/>
        <w:spacing w:after="240"/>
        <w:ind w:left="100"/>
      </w:pPr>
      <w:r>
        <w:t>The</w:t>
      </w:r>
      <w:r>
        <w:rPr>
          <w:spacing w:val="-3"/>
        </w:rPr>
        <w:t xml:space="preserve"> </w:t>
      </w:r>
      <w:r>
        <w:t>maximum</w:t>
      </w:r>
      <w:r>
        <w:rPr>
          <w:spacing w:val="-1"/>
        </w:rPr>
        <w:t xml:space="preserve"> </w:t>
      </w:r>
      <w:r>
        <w:t>recommended</w:t>
      </w:r>
      <w:r>
        <w:rPr>
          <w:spacing w:val="-1"/>
        </w:rPr>
        <w:t xml:space="preserve"> </w:t>
      </w:r>
      <w:r>
        <w:t>dose</w:t>
      </w:r>
      <w:r>
        <w:rPr>
          <w:spacing w:val="-2"/>
        </w:rPr>
        <w:t xml:space="preserve"> </w:t>
      </w:r>
      <w:r>
        <w:t>should</w:t>
      </w:r>
      <w:r>
        <w:rPr>
          <w:spacing w:val="-1"/>
        </w:rPr>
        <w:t xml:space="preserve"> </w:t>
      </w:r>
      <w:r>
        <w:t>not</w:t>
      </w:r>
      <w:r>
        <w:rPr>
          <w:spacing w:val="-1"/>
        </w:rPr>
        <w:t xml:space="preserve"> </w:t>
      </w:r>
      <w:r>
        <w:t>exceed</w:t>
      </w:r>
      <w:r>
        <w:rPr>
          <w:spacing w:val="-1"/>
        </w:rPr>
        <w:t xml:space="preserve"> </w:t>
      </w:r>
      <w:r>
        <w:t>30 mg</w:t>
      </w:r>
      <w:r>
        <w:rPr>
          <w:spacing w:val="-1"/>
        </w:rPr>
        <w:t xml:space="preserve"> </w:t>
      </w:r>
      <w:r>
        <w:t>daily.</w:t>
      </w:r>
    </w:p>
    <w:p w14:paraId="027A27F2" w14:textId="77777777" w:rsidR="00E80455" w:rsidRDefault="000B3179" w:rsidP="000B3179">
      <w:pPr>
        <w:pStyle w:val="BodyText"/>
        <w:spacing w:after="240"/>
        <w:ind w:left="100" w:right="460"/>
      </w:pPr>
      <w:r>
        <w:t>A careful evaluation of the response to treatment and of the overall balance of the expected</w:t>
      </w:r>
      <w:r>
        <w:rPr>
          <w:spacing w:val="-57"/>
        </w:rPr>
        <w:t xml:space="preserve"> </w:t>
      </w:r>
      <w:r>
        <w:t>benefits and risks needs to be undertaken before any dose increase or advice to continue</w:t>
      </w:r>
      <w:r>
        <w:rPr>
          <w:spacing w:val="1"/>
        </w:rPr>
        <w:t xml:space="preserve"> </w:t>
      </w:r>
      <w:r>
        <w:t xml:space="preserve">therapy for long periods. Monitoring ambulatory blood pressure over a </w:t>
      </w:r>
      <w:proofErr w:type="gramStart"/>
      <w:r>
        <w:t>24 hour</w:t>
      </w:r>
      <w:proofErr w:type="gramEnd"/>
      <w:r>
        <w:t xml:space="preserve"> period is</w:t>
      </w:r>
      <w:r>
        <w:rPr>
          <w:spacing w:val="1"/>
        </w:rPr>
        <w:t xml:space="preserve"> </w:t>
      </w:r>
      <w:r>
        <w:t>recommended.</w:t>
      </w:r>
    </w:p>
    <w:p w14:paraId="7C233267" w14:textId="77777777" w:rsidR="00E80455" w:rsidRDefault="000B3179" w:rsidP="000B3179">
      <w:pPr>
        <w:pStyle w:val="BodyText"/>
        <w:spacing w:after="240"/>
        <w:ind w:left="100" w:right="299"/>
      </w:pPr>
      <w:r>
        <w:t xml:space="preserve">The last daily dose should be taken at least 4 hours before bedtime </w:t>
      </w:r>
      <w:proofErr w:type="gramStart"/>
      <w:r>
        <w:t>in order to</w:t>
      </w:r>
      <w:proofErr w:type="gramEnd"/>
      <w:r>
        <w:t xml:space="preserve"> prevent supine</w:t>
      </w:r>
      <w:r>
        <w:rPr>
          <w:spacing w:val="-57"/>
        </w:rPr>
        <w:t xml:space="preserve"> </w:t>
      </w:r>
      <w:r>
        <w:t>hypertension.</w:t>
      </w:r>
    </w:p>
    <w:p w14:paraId="6C79D1C9" w14:textId="77777777" w:rsidR="00E80455" w:rsidRDefault="000B3179" w:rsidP="000B3179">
      <w:pPr>
        <w:pStyle w:val="BodyText"/>
        <w:spacing w:after="240"/>
        <w:ind w:left="100" w:right="1624"/>
      </w:pPr>
      <w:r>
        <w:t>MIDODRINE SCP 2.5 or 5 mg tablets may be taken with food (see section 5.2</w:t>
      </w:r>
      <w:r>
        <w:rPr>
          <w:spacing w:val="-57"/>
        </w:rPr>
        <w:t xml:space="preserve"> </w:t>
      </w:r>
      <w:r>
        <w:t>PHARMACOKINETIC</w:t>
      </w:r>
      <w:r>
        <w:rPr>
          <w:spacing w:val="1"/>
        </w:rPr>
        <w:t xml:space="preserve"> </w:t>
      </w:r>
      <w:r>
        <w:t>PROPERTIES).</w:t>
      </w:r>
    </w:p>
    <w:p w14:paraId="6777590B" w14:textId="77777777" w:rsidR="00E80455" w:rsidRDefault="000B3179" w:rsidP="000B3179">
      <w:pPr>
        <w:spacing w:after="240"/>
        <w:ind w:left="100"/>
        <w:rPr>
          <w:rFonts w:ascii="Arial"/>
          <w:b/>
          <w:i/>
        </w:rPr>
      </w:pPr>
      <w:r>
        <w:rPr>
          <w:rFonts w:ascii="Arial"/>
          <w:b/>
          <w:i/>
        </w:rPr>
        <w:t>Information</w:t>
      </w:r>
      <w:r>
        <w:rPr>
          <w:rFonts w:ascii="Arial"/>
          <w:b/>
          <w:i/>
          <w:spacing w:val="-4"/>
        </w:rPr>
        <w:t xml:space="preserve"> </w:t>
      </w:r>
      <w:r>
        <w:rPr>
          <w:rFonts w:ascii="Arial"/>
          <w:b/>
          <w:i/>
        </w:rPr>
        <w:t>for</w:t>
      </w:r>
      <w:r>
        <w:rPr>
          <w:rFonts w:ascii="Arial"/>
          <w:b/>
          <w:i/>
          <w:spacing w:val="-3"/>
        </w:rPr>
        <w:t xml:space="preserve"> </w:t>
      </w:r>
      <w:r>
        <w:rPr>
          <w:rFonts w:ascii="Arial"/>
          <w:b/>
          <w:i/>
        </w:rPr>
        <w:t>the</w:t>
      </w:r>
      <w:r>
        <w:rPr>
          <w:rFonts w:ascii="Arial"/>
          <w:b/>
          <w:i/>
          <w:spacing w:val="-3"/>
        </w:rPr>
        <w:t xml:space="preserve"> </w:t>
      </w:r>
      <w:r>
        <w:rPr>
          <w:rFonts w:ascii="Arial"/>
          <w:b/>
          <w:i/>
        </w:rPr>
        <w:t>patient</w:t>
      </w:r>
    </w:p>
    <w:p w14:paraId="58167781" w14:textId="77777777" w:rsidR="00E80455" w:rsidRDefault="000B3179" w:rsidP="000B3179">
      <w:pPr>
        <w:pStyle w:val="BodyText"/>
        <w:spacing w:after="240"/>
        <w:ind w:left="100" w:right="211"/>
      </w:pPr>
      <w:r>
        <w:t xml:space="preserve">Patients should be advised that they may be started on a low dose and </w:t>
      </w:r>
      <w:proofErr w:type="gramStart"/>
      <w:r>
        <w:t>up-titrated</w:t>
      </w:r>
      <w:proofErr w:type="gramEnd"/>
      <w:r>
        <w:t xml:space="preserve"> on a weekly</w:t>
      </w:r>
      <w:r>
        <w:rPr>
          <w:spacing w:val="-57"/>
        </w:rPr>
        <w:t xml:space="preserve"> </w:t>
      </w:r>
      <w:r>
        <w:t>basis in 2.5mg increments to a maximum of 10mg three time daily (TDS).</w:t>
      </w:r>
      <w:r>
        <w:rPr>
          <w:spacing w:val="1"/>
        </w:rPr>
        <w:t xml:space="preserve"> </w:t>
      </w:r>
      <w:r>
        <w:t>The timing of</w:t>
      </w:r>
      <w:r>
        <w:rPr>
          <w:spacing w:val="1"/>
        </w:rPr>
        <w:t xml:space="preserve"> </w:t>
      </w:r>
      <w:r>
        <w:t>doses is important and will be individualised to the patient, doses should not be spread evenly</w:t>
      </w:r>
      <w:r>
        <w:rPr>
          <w:spacing w:val="-57"/>
        </w:rPr>
        <w:t xml:space="preserve"> </w:t>
      </w:r>
      <w:r>
        <w:t>over</w:t>
      </w:r>
      <w:r>
        <w:rPr>
          <w:spacing w:val="-1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day</w:t>
      </w:r>
      <w:r>
        <w:rPr>
          <w:spacing w:val="2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midodrine</w:t>
      </w:r>
      <w:r>
        <w:rPr>
          <w:spacing w:val="-2"/>
        </w:rPr>
        <w:t xml:space="preserve"> </w:t>
      </w:r>
      <w:r>
        <w:t>should</w:t>
      </w:r>
      <w:r>
        <w:rPr>
          <w:spacing w:val="-1"/>
        </w:rPr>
        <w:t xml:space="preserve"> </w:t>
      </w:r>
      <w:r>
        <w:t>not</w:t>
      </w:r>
      <w:r>
        <w:rPr>
          <w:spacing w:val="-1"/>
        </w:rPr>
        <w:t xml:space="preserve"> </w:t>
      </w:r>
      <w:r>
        <w:t>be taken</w:t>
      </w:r>
      <w:r>
        <w:rPr>
          <w:spacing w:val="-1"/>
        </w:rPr>
        <w:t xml:space="preserve"> </w:t>
      </w:r>
      <w:r>
        <w:t>within the</w:t>
      </w:r>
      <w:r>
        <w:rPr>
          <w:spacing w:val="-2"/>
        </w:rPr>
        <w:t xml:space="preserve"> </w:t>
      </w:r>
      <w:proofErr w:type="gramStart"/>
      <w:r>
        <w:t>4 hour</w:t>
      </w:r>
      <w:proofErr w:type="gramEnd"/>
      <w:r>
        <w:rPr>
          <w:spacing w:val="-2"/>
        </w:rPr>
        <w:t xml:space="preserve"> </w:t>
      </w:r>
      <w:r>
        <w:t>interval</w:t>
      </w:r>
      <w:r>
        <w:rPr>
          <w:spacing w:val="-1"/>
        </w:rPr>
        <w:t xml:space="preserve"> </w:t>
      </w:r>
      <w:r>
        <w:t>prior to</w:t>
      </w:r>
      <w:r>
        <w:rPr>
          <w:spacing w:val="-1"/>
        </w:rPr>
        <w:t xml:space="preserve"> </w:t>
      </w:r>
      <w:r>
        <w:t>bedtime.</w:t>
      </w:r>
    </w:p>
    <w:p w14:paraId="49A01CB8" w14:textId="77777777" w:rsidR="00E80455" w:rsidRDefault="000B3179" w:rsidP="000B3179">
      <w:pPr>
        <w:pStyle w:val="BodyText"/>
        <w:spacing w:after="240"/>
        <w:ind w:left="100" w:right="479"/>
      </w:pPr>
      <w:r>
        <w:t>Midodrine can increase the urge to urinate and can lead to volume depletion and additional</w:t>
      </w:r>
      <w:r>
        <w:rPr>
          <w:spacing w:val="-57"/>
        </w:rPr>
        <w:t xml:space="preserve"> </w:t>
      </w:r>
      <w:r>
        <w:t>fluid</w:t>
      </w:r>
      <w:r>
        <w:rPr>
          <w:spacing w:val="-1"/>
        </w:rPr>
        <w:t xml:space="preserve"> </w:t>
      </w:r>
      <w:r>
        <w:t>intake</w:t>
      </w:r>
      <w:r>
        <w:rPr>
          <w:spacing w:val="-2"/>
        </w:rPr>
        <w:t xml:space="preserve"> </w:t>
      </w:r>
      <w:r>
        <w:t>may be</w:t>
      </w:r>
      <w:r>
        <w:rPr>
          <w:spacing w:val="-2"/>
        </w:rPr>
        <w:t xml:space="preserve"> </w:t>
      </w:r>
      <w:r>
        <w:t>required.</w:t>
      </w:r>
    </w:p>
    <w:p w14:paraId="623A2C7C" w14:textId="77777777" w:rsidR="00E80455" w:rsidRDefault="000B3179" w:rsidP="000B3179">
      <w:pPr>
        <w:pStyle w:val="BodyText"/>
        <w:spacing w:after="240"/>
        <w:ind w:left="100" w:right="211"/>
      </w:pPr>
      <w:r>
        <w:t>If a dose of medication is missed, the next dose should be taken as usual and then the patient</w:t>
      </w:r>
      <w:r>
        <w:rPr>
          <w:spacing w:val="1"/>
        </w:rPr>
        <w:t xml:space="preserve"> </w:t>
      </w:r>
      <w:r>
        <w:t>should continue taking midodrine as prescribed. A double dose should not be taken due to the</w:t>
      </w:r>
      <w:r>
        <w:rPr>
          <w:spacing w:val="-58"/>
        </w:rPr>
        <w:t xml:space="preserve"> </w:t>
      </w:r>
      <w:r>
        <w:t>increased</w:t>
      </w:r>
      <w:r>
        <w:rPr>
          <w:spacing w:val="-1"/>
        </w:rPr>
        <w:t xml:space="preserve"> </w:t>
      </w:r>
      <w:r>
        <w:t>risk of</w:t>
      </w:r>
      <w:r>
        <w:rPr>
          <w:spacing w:val="-1"/>
        </w:rPr>
        <w:t xml:space="preserve"> </w:t>
      </w:r>
      <w:r>
        <w:t>supine</w:t>
      </w:r>
      <w:r>
        <w:rPr>
          <w:spacing w:val="-1"/>
        </w:rPr>
        <w:t xml:space="preserve"> </w:t>
      </w:r>
      <w:r>
        <w:t>hypertension.</w:t>
      </w:r>
    </w:p>
    <w:p w14:paraId="068F12B5" w14:textId="77777777" w:rsidR="00E80455" w:rsidRDefault="000B3179" w:rsidP="000B3179">
      <w:pPr>
        <w:spacing w:before="156" w:after="240"/>
        <w:ind w:left="100"/>
        <w:rPr>
          <w:rFonts w:ascii="Arial"/>
          <w:b/>
          <w:i/>
        </w:rPr>
      </w:pPr>
      <w:bookmarkStart w:id="7" w:name="Paediatric_population"/>
      <w:bookmarkEnd w:id="7"/>
      <w:r>
        <w:rPr>
          <w:rFonts w:ascii="Arial"/>
          <w:b/>
          <w:i/>
        </w:rPr>
        <w:t>Paediatric</w:t>
      </w:r>
      <w:r>
        <w:rPr>
          <w:rFonts w:ascii="Arial"/>
          <w:b/>
          <w:i/>
          <w:spacing w:val="-7"/>
        </w:rPr>
        <w:t xml:space="preserve"> </w:t>
      </w:r>
      <w:r>
        <w:rPr>
          <w:rFonts w:ascii="Arial"/>
          <w:b/>
          <w:i/>
        </w:rPr>
        <w:t>population</w:t>
      </w:r>
    </w:p>
    <w:p w14:paraId="193BD28D" w14:textId="77777777" w:rsidR="00E80455" w:rsidRDefault="000B3179" w:rsidP="000B3179">
      <w:pPr>
        <w:pStyle w:val="BodyText"/>
        <w:spacing w:after="240"/>
        <w:ind w:left="100" w:right="820"/>
      </w:pPr>
      <w:r>
        <w:t>The safety and efficacy of midodrine in children have not been established. No data are</w:t>
      </w:r>
      <w:r>
        <w:rPr>
          <w:spacing w:val="-57"/>
        </w:rPr>
        <w:t xml:space="preserve"> </w:t>
      </w:r>
      <w:r>
        <w:t>available.</w:t>
      </w:r>
    </w:p>
    <w:p w14:paraId="2863973B" w14:textId="77777777" w:rsidR="00E80455" w:rsidRDefault="000B3179" w:rsidP="000B3179">
      <w:pPr>
        <w:spacing w:after="240"/>
        <w:ind w:left="100"/>
        <w:rPr>
          <w:rFonts w:ascii="Arial"/>
          <w:b/>
          <w:i/>
        </w:rPr>
      </w:pPr>
      <w:bookmarkStart w:id="8" w:name="Elderly_population"/>
      <w:bookmarkEnd w:id="8"/>
      <w:r>
        <w:rPr>
          <w:rFonts w:ascii="Arial"/>
          <w:b/>
          <w:i/>
        </w:rPr>
        <w:t>Elderly</w:t>
      </w:r>
      <w:r>
        <w:rPr>
          <w:rFonts w:ascii="Arial"/>
          <w:b/>
          <w:i/>
          <w:spacing w:val="-5"/>
        </w:rPr>
        <w:t xml:space="preserve"> </w:t>
      </w:r>
      <w:r>
        <w:rPr>
          <w:rFonts w:ascii="Arial"/>
          <w:b/>
          <w:i/>
        </w:rPr>
        <w:t>population</w:t>
      </w:r>
    </w:p>
    <w:p w14:paraId="0B845DCD" w14:textId="77777777" w:rsidR="00E80455" w:rsidRDefault="000B3179" w:rsidP="000B3179">
      <w:pPr>
        <w:pStyle w:val="BodyText"/>
        <w:spacing w:after="240"/>
        <w:ind w:left="100" w:right="612"/>
      </w:pPr>
      <w:r>
        <w:t>There is limited data on dosing in the elderly and there are no specific studies which have</w:t>
      </w:r>
      <w:r>
        <w:rPr>
          <w:spacing w:val="-57"/>
        </w:rPr>
        <w:t xml:space="preserve"> </w:t>
      </w:r>
      <w:r>
        <w:t>focused on a possible dose reduction in the elderly population. Cautious dose titration is</w:t>
      </w:r>
      <w:r>
        <w:rPr>
          <w:spacing w:val="1"/>
        </w:rPr>
        <w:t xml:space="preserve"> </w:t>
      </w:r>
      <w:r>
        <w:t>recommended.</w:t>
      </w:r>
      <w:r>
        <w:rPr>
          <w:spacing w:val="1"/>
        </w:rPr>
        <w:t xml:space="preserve"> </w:t>
      </w:r>
      <w:r>
        <w:t>A starting dose of 2.5 mg three times daily and increasing only at 2–3</w:t>
      </w:r>
      <w:r>
        <w:rPr>
          <w:spacing w:val="1"/>
        </w:rPr>
        <w:t xml:space="preserve"> </w:t>
      </w:r>
      <w:r>
        <w:t>monthly</w:t>
      </w:r>
      <w:r>
        <w:rPr>
          <w:spacing w:val="-1"/>
        </w:rPr>
        <w:t xml:space="preserve"> </w:t>
      </w:r>
      <w:r>
        <w:t>intervals, may</w:t>
      </w:r>
      <w:r>
        <w:rPr>
          <w:spacing w:val="-1"/>
        </w:rPr>
        <w:t xml:space="preserve"> </w:t>
      </w:r>
      <w:r>
        <w:t>be</w:t>
      </w:r>
      <w:r>
        <w:rPr>
          <w:spacing w:val="-1"/>
        </w:rPr>
        <w:t xml:space="preserve"> </w:t>
      </w:r>
      <w:r>
        <w:t>helpful</w:t>
      </w:r>
      <w:r>
        <w:rPr>
          <w:spacing w:val="-1"/>
        </w:rPr>
        <w:t xml:space="preserve"> </w:t>
      </w:r>
      <w:r>
        <w:t>in reducing</w:t>
      </w:r>
      <w:r>
        <w:rPr>
          <w:spacing w:val="-1"/>
        </w:rPr>
        <w:t xml:space="preserve"> </w:t>
      </w:r>
      <w:r>
        <w:t>adverse</w:t>
      </w:r>
      <w:r>
        <w:rPr>
          <w:spacing w:val="-2"/>
        </w:rPr>
        <w:t xml:space="preserve"> </w:t>
      </w:r>
      <w:r>
        <w:t>reactions</w:t>
      </w:r>
      <w:r>
        <w:rPr>
          <w:spacing w:val="-1"/>
        </w:rPr>
        <w:t xml:space="preserve"> </w:t>
      </w:r>
      <w:r>
        <w:t>in elderly patients.</w:t>
      </w:r>
    </w:p>
    <w:p w14:paraId="12FED97C" w14:textId="77777777" w:rsidR="00E80455" w:rsidRDefault="000B3179" w:rsidP="000B3179">
      <w:pPr>
        <w:spacing w:before="1" w:after="240"/>
        <w:ind w:left="100"/>
        <w:rPr>
          <w:rFonts w:ascii="Arial"/>
          <w:b/>
          <w:i/>
        </w:rPr>
      </w:pPr>
      <w:bookmarkStart w:id="9" w:name="Patients_with_renal_impairment"/>
      <w:bookmarkEnd w:id="9"/>
      <w:r>
        <w:rPr>
          <w:rFonts w:ascii="Arial"/>
          <w:b/>
          <w:i/>
        </w:rPr>
        <w:t>Patients</w:t>
      </w:r>
      <w:r>
        <w:rPr>
          <w:rFonts w:ascii="Arial"/>
          <w:b/>
          <w:i/>
          <w:spacing w:val="-9"/>
        </w:rPr>
        <w:t xml:space="preserve"> </w:t>
      </w:r>
      <w:r>
        <w:rPr>
          <w:rFonts w:ascii="Arial"/>
          <w:b/>
          <w:i/>
        </w:rPr>
        <w:t>with</w:t>
      </w:r>
      <w:r>
        <w:rPr>
          <w:rFonts w:ascii="Arial"/>
          <w:b/>
          <w:i/>
          <w:spacing w:val="-4"/>
        </w:rPr>
        <w:t xml:space="preserve"> </w:t>
      </w:r>
      <w:r>
        <w:rPr>
          <w:rFonts w:ascii="Arial"/>
          <w:b/>
          <w:i/>
        </w:rPr>
        <w:t>renal</w:t>
      </w:r>
      <w:r>
        <w:rPr>
          <w:rFonts w:ascii="Arial"/>
          <w:b/>
          <w:i/>
          <w:spacing w:val="-6"/>
        </w:rPr>
        <w:t xml:space="preserve"> </w:t>
      </w:r>
      <w:r>
        <w:rPr>
          <w:rFonts w:ascii="Arial"/>
          <w:b/>
          <w:i/>
        </w:rPr>
        <w:t>impairment</w:t>
      </w:r>
    </w:p>
    <w:p w14:paraId="1507C67D" w14:textId="77777777" w:rsidR="00E80455" w:rsidRDefault="000B3179" w:rsidP="000B3179">
      <w:pPr>
        <w:pStyle w:val="BodyText"/>
        <w:spacing w:after="240"/>
        <w:ind w:left="100" w:right="420"/>
        <w:jc w:val="both"/>
      </w:pPr>
      <w:r>
        <w:t>There are no specific studies that have focused on a possible dose reduction in patients with</w:t>
      </w:r>
      <w:r>
        <w:rPr>
          <w:spacing w:val="-57"/>
        </w:rPr>
        <w:t xml:space="preserve"> </w:t>
      </w:r>
      <w:r>
        <w:t>renal impairment. Midodrine is contraindicated in patients with acute renal impairment and</w:t>
      </w:r>
      <w:r>
        <w:rPr>
          <w:spacing w:val="-57"/>
        </w:rPr>
        <w:t xml:space="preserve"> </w:t>
      </w:r>
      <w:r>
        <w:t>severe</w:t>
      </w:r>
      <w:r>
        <w:rPr>
          <w:spacing w:val="-1"/>
        </w:rPr>
        <w:t xml:space="preserve"> </w:t>
      </w:r>
      <w:r>
        <w:t>renal impairment</w:t>
      </w:r>
      <w:r>
        <w:rPr>
          <w:spacing w:val="-1"/>
        </w:rPr>
        <w:t xml:space="preserve"> </w:t>
      </w:r>
      <w:r>
        <w:t>(see</w:t>
      </w:r>
      <w:r>
        <w:rPr>
          <w:spacing w:val="-1"/>
        </w:rPr>
        <w:t xml:space="preserve"> </w:t>
      </w:r>
      <w:r>
        <w:t>section 4.3 CONTRAINDICATIONS).</w:t>
      </w:r>
    </w:p>
    <w:p w14:paraId="66565E88" w14:textId="77777777" w:rsidR="00E80455" w:rsidRDefault="00E80455">
      <w:pPr>
        <w:jc w:val="both"/>
        <w:sectPr w:rsidR="00E80455" w:rsidSect="004E577B">
          <w:pgSz w:w="11910" w:h="16840"/>
          <w:pgMar w:top="1340" w:right="1240" w:bottom="920" w:left="1340" w:header="170" w:footer="729" w:gutter="0"/>
          <w:cols w:space="720"/>
          <w:docGrid w:linePitch="299"/>
        </w:sectPr>
      </w:pPr>
    </w:p>
    <w:p w14:paraId="1A757F4B" w14:textId="77777777" w:rsidR="00E80455" w:rsidRDefault="000B3179" w:rsidP="000B3179">
      <w:pPr>
        <w:spacing w:before="83" w:after="240"/>
        <w:ind w:left="100"/>
        <w:rPr>
          <w:rFonts w:ascii="Arial"/>
          <w:b/>
          <w:i/>
        </w:rPr>
      </w:pPr>
      <w:bookmarkStart w:id="10" w:name="Patients_with_hepatic_impairment"/>
      <w:bookmarkEnd w:id="10"/>
      <w:r>
        <w:rPr>
          <w:rFonts w:ascii="Arial"/>
          <w:b/>
          <w:i/>
        </w:rPr>
        <w:lastRenderedPageBreak/>
        <w:t>Patients</w:t>
      </w:r>
      <w:r>
        <w:rPr>
          <w:rFonts w:ascii="Arial"/>
          <w:b/>
          <w:i/>
          <w:spacing w:val="-7"/>
        </w:rPr>
        <w:t xml:space="preserve"> </w:t>
      </w:r>
      <w:r>
        <w:rPr>
          <w:rFonts w:ascii="Arial"/>
          <w:b/>
          <w:i/>
        </w:rPr>
        <w:t>with</w:t>
      </w:r>
      <w:r>
        <w:rPr>
          <w:rFonts w:ascii="Arial"/>
          <w:b/>
          <w:i/>
          <w:spacing w:val="-3"/>
        </w:rPr>
        <w:t xml:space="preserve"> </w:t>
      </w:r>
      <w:r>
        <w:rPr>
          <w:rFonts w:ascii="Arial"/>
          <w:b/>
          <w:i/>
        </w:rPr>
        <w:t>hepatic</w:t>
      </w:r>
      <w:r>
        <w:rPr>
          <w:rFonts w:ascii="Arial"/>
          <w:b/>
          <w:i/>
          <w:spacing w:val="-5"/>
        </w:rPr>
        <w:t xml:space="preserve"> </w:t>
      </w:r>
      <w:r>
        <w:rPr>
          <w:rFonts w:ascii="Arial"/>
          <w:b/>
          <w:i/>
        </w:rPr>
        <w:t>impairment</w:t>
      </w:r>
    </w:p>
    <w:p w14:paraId="4A16487F" w14:textId="77777777" w:rsidR="00E80455" w:rsidRDefault="000B3179" w:rsidP="000B3179">
      <w:pPr>
        <w:pStyle w:val="BodyText"/>
        <w:spacing w:after="240"/>
        <w:ind w:left="100" w:right="985"/>
      </w:pPr>
      <w:r>
        <w:t>There are no specific studies in this patient population (see also section 4.4 SPECIAL</w:t>
      </w:r>
      <w:r>
        <w:rPr>
          <w:spacing w:val="-57"/>
        </w:rPr>
        <w:t xml:space="preserve"> </w:t>
      </w:r>
      <w:r>
        <w:t>WARNINGS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PRECAUTIONS FOR</w:t>
      </w:r>
      <w:r>
        <w:rPr>
          <w:spacing w:val="-2"/>
        </w:rPr>
        <w:t xml:space="preserve"> </w:t>
      </w:r>
      <w:r>
        <w:t>USE).</w:t>
      </w:r>
    </w:p>
    <w:p w14:paraId="059A671A" w14:textId="77777777" w:rsidR="00E80455" w:rsidRDefault="000B3179" w:rsidP="000B3179">
      <w:pPr>
        <w:spacing w:after="240"/>
        <w:ind w:left="100"/>
        <w:rPr>
          <w:rFonts w:ascii="Arial"/>
          <w:b/>
        </w:rPr>
      </w:pPr>
      <w:bookmarkStart w:id="11" w:name="Method_of_administration"/>
      <w:bookmarkEnd w:id="11"/>
      <w:r>
        <w:rPr>
          <w:rFonts w:ascii="Arial"/>
          <w:b/>
        </w:rPr>
        <w:t>Method</w:t>
      </w:r>
      <w:r>
        <w:rPr>
          <w:rFonts w:ascii="Arial"/>
          <w:b/>
          <w:spacing w:val="-8"/>
        </w:rPr>
        <w:t xml:space="preserve"> </w:t>
      </w:r>
      <w:r>
        <w:rPr>
          <w:rFonts w:ascii="Arial"/>
          <w:b/>
        </w:rPr>
        <w:t>of</w:t>
      </w:r>
      <w:r>
        <w:rPr>
          <w:rFonts w:ascii="Arial"/>
          <w:b/>
          <w:spacing w:val="-5"/>
        </w:rPr>
        <w:t xml:space="preserve"> </w:t>
      </w:r>
      <w:r>
        <w:rPr>
          <w:rFonts w:ascii="Arial"/>
          <w:b/>
        </w:rPr>
        <w:t>administration</w:t>
      </w:r>
    </w:p>
    <w:p w14:paraId="2588B556" w14:textId="77777777" w:rsidR="00E80455" w:rsidRDefault="000B3179" w:rsidP="000B3179">
      <w:pPr>
        <w:pStyle w:val="BodyText"/>
        <w:spacing w:after="240"/>
        <w:ind w:left="100"/>
      </w:pPr>
      <w:r>
        <w:t>For</w:t>
      </w:r>
      <w:r>
        <w:rPr>
          <w:spacing w:val="-1"/>
        </w:rPr>
        <w:t xml:space="preserve"> </w:t>
      </w:r>
      <w:r>
        <w:t>oral</w:t>
      </w:r>
      <w:r>
        <w:rPr>
          <w:spacing w:val="-1"/>
        </w:rPr>
        <w:t xml:space="preserve"> </w:t>
      </w:r>
      <w:r>
        <w:t>use.</w:t>
      </w:r>
    </w:p>
    <w:p w14:paraId="355509FA" w14:textId="77777777" w:rsidR="00E80455" w:rsidRDefault="000B3179">
      <w:pPr>
        <w:pStyle w:val="ListParagraph"/>
        <w:numPr>
          <w:ilvl w:val="1"/>
          <w:numId w:val="4"/>
        </w:numPr>
        <w:tabs>
          <w:tab w:val="left" w:pos="779"/>
          <w:tab w:val="left" w:pos="780"/>
        </w:tabs>
        <w:spacing w:before="182"/>
        <w:rPr>
          <w:b/>
        </w:rPr>
      </w:pPr>
      <w:bookmarkStart w:id="12" w:name="4.3_CONTRAINDICATIONS"/>
      <w:bookmarkEnd w:id="12"/>
      <w:r>
        <w:rPr>
          <w:b/>
        </w:rPr>
        <w:t>CONTRAINDICATIONS</w:t>
      </w:r>
    </w:p>
    <w:p w14:paraId="1A6C8314" w14:textId="77777777" w:rsidR="00E80455" w:rsidRDefault="000B3179">
      <w:pPr>
        <w:pStyle w:val="ListParagraph"/>
        <w:numPr>
          <w:ilvl w:val="2"/>
          <w:numId w:val="4"/>
        </w:numPr>
        <w:tabs>
          <w:tab w:val="left" w:pos="820"/>
          <w:tab w:val="left" w:pos="821"/>
        </w:tabs>
        <w:spacing w:before="118"/>
        <w:ind w:right="205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Hypersensitivity to the active substance or to any of the excipients listed in section 6.1</w:t>
      </w:r>
      <w:r>
        <w:rPr>
          <w:rFonts w:ascii="Times New Roman" w:hAnsi="Times New Roman"/>
          <w:spacing w:val="-57"/>
          <w:sz w:val="24"/>
        </w:rPr>
        <w:t xml:space="preserve"> </w:t>
      </w:r>
      <w:r>
        <w:rPr>
          <w:rFonts w:ascii="Times New Roman" w:hAnsi="Times New Roman"/>
          <w:sz w:val="24"/>
        </w:rPr>
        <w:t>LIST</w:t>
      </w:r>
      <w:r>
        <w:rPr>
          <w:rFonts w:ascii="Times New Roman" w:hAnsi="Times New Roman"/>
          <w:spacing w:val="-1"/>
          <w:sz w:val="24"/>
        </w:rPr>
        <w:t xml:space="preserve"> </w:t>
      </w:r>
      <w:r>
        <w:rPr>
          <w:rFonts w:ascii="Times New Roman" w:hAnsi="Times New Roman"/>
          <w:sz w:val="24"/>
        </w:rPr>
        <w:t>OF</w:t>
      </w:r>
      <w:r>
        <w:rPr>
          <w:rFonts w:ascii="Times New Roman" w:hAnsi="Times New Roman"/>
          <w:spacing w:val="-2"/>
          <w:sz w:val="24"/>
        </w:rPr>
        <w:t xml:space="preserve"> </w:t>
      </w:r>
      <w:r>
        <w:rPr>
          <w:rFonts w:ascii="Times New Roman" w:hAnsi="Times New Roman"/>
          <w:sz w:val="24"/>
        </w:rPr>
        <w:t>EXCIPIENTS.</w:t>
      </w:r>
    </w:p>
    <w:p w14:paraId="4FED6623" w14:textId="77777777" w:rsidR="00E80455" w:rsidRDefault="000B3179">
      <w:pPr>
        <w:pStyle w:val="ListParagraph"/>
        <w:numPr>
          <w:ilvl w:val="2"/>
          <w:numId w:val="4"/>
        </w:numPr>
        <w:tabs>
          <w:tab w:val="left" w:pos="820"/>
          <w:tab w:val="left" w:pos="821"/>
        </w:tabs>
        <w:ind w:right="437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Severe organic heart disease (e.g. bradycardia, heart attack, congestive heart failure,</w:t>
      </w:r>
      <w:r>
        <w:rPr>
          <w:rFonts w:ascii="Times New Roman" w:hAnsi="Times New Roman"/>
          <w:spacing w:val="-57"/>
          <w:sz w:val="24"/>
        </w:rPr>
        <w:t xml:space="preserve"> </w:t>
      </w:r>
      <w:r>
        <w:rPr>
          <w:rFonts w:ascii="Times New Roman" w:hAnsi="Times New Roman"/>
          <w:sz w:val="24"/>
        </w:rPr>
        <w:t>cardiac</w:t>
      </w:r>
      <w:r>
        <w:rPr>
          <w:rFonts w:ascii="Times New Roman" w:hAnsi="Times New Roman"/>
          <w:spacing w:val="-2"/>
          <w:sz w:val="24"/>
        </w:rPr>
        <w:t xml:space="preserve"> </w:t>
      </w:r>
      <w:r>
        <w:rPr>
          <w:rFonts w:ascii="Times New Roman" w:hAnsi="Times New Roman"/>
          <w:sz w:val="24"/>
        </w:rPr>
        <w:t>conduction disturbances</w:t>
      </w:r>
      <w:r>
        <w:rPr>
          <w:rFonts w:ascii="Times New Roman" w:hAnsi="Times New Roman"/>
          <w:spacing w:val="-1"/>
          <w:sz w:val="24"/>
        </w:rPr>
        <w:t xml:space="preserve"> </w:t>
      </w:r>
      <w:r>
        <w:rPr>
          <w:rFonts w:ascii="Times New Roman" w:hAnsi="Times New Roman"/>
          <w:sz w:val="24"/>
        </w:rPr>
        <w:t>or</w:t>
      </w:r>
      <w:r>
        <w:rPr>
          <w:rFonts w:ascii="Times New Roman" w:hAnsi="Times New Roman"/>
          <w:spacing w:val="1"/>
          <w:sz w:val="24"/>
        </w:rPr>
        <w:t xml:space="preserve"> </w:t>
      </w:r>
      <w:r>
        <w:rPr>
          <w:rFonts w:ascii="Times New Roman" w:hAnsi="Times New Roman"/>
          <w:sz w:val="24"/>
        </w:rPr>
        <w:t>aortic</w:t>
      </w:r>
      <w:r>
        <w:rPr>
          <w:rFonts w:ascii="Times New Roman" w:hAnsi="Times New Roman"/>
          <w:spacing w:val="-1"/>
          <w:sz w:val="24"/>
        </w:rPr>
        <w:t xml:space="preserve"> </w:t>
      </w:r>
      <w:r>
        <w:rPr>
          <w:rFonts w:ascii="Times New Roman" w:hAnsi="Times New Roman"/>
          <w:sz w:val="24"/>
        </w:rPr>
        <w:t>aneurysm).</w:t>
      </w:r>
    </w:p>
    <w:p w14:paraId="61743EAE" w14:textId="77777777" w:rsidR="00E80455" w:rsidRDefault="000B3179">
      <w:pPr>
        <w:pStyle w:val="ListParagraph"/>
        <w:numPr>
          <w:ilvl w:val="2"/>
          <w:numId w:val="4"/>
        </w:numPr>
        <w:tabs>
          <w:tab w:val="left" w:pos="820"/>
          <w:tab w:val="left" w:pos="821"/>
        </w:tabs>
        <w:spacing w:before="122"/>
        <w:ind w:hanging="359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Hypertension.</w:t>
      </w:r>
    </w:p>
    <w:p w14:paraId="43957D9D" w14:textId="77777777" w:rsidR="00E80455" w:rsidRDefault="000B3179">
      <w:pPr>
        <w:pStyle w:val="ListParagraph"/>
        <w:numPr>
          <w:ilvl w:val="2"/>
          <w:numId w:val="4"/>
        </w:numPr>
        <w:tabs>
          <w:tab w:val="left" w:pos="820"/>
          <w:tab w:val="left" w:pos="821"/>
        </w:tabs>
        <w:spacing w:before="118"/>
        <w:ind w:right="859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Serious obliterative blood vessel disease, cerebrovascular </w:t>
      </w:r>
      <w:proofErr w:type="gramStart"/>
      <w:r>
        <w:rPr>
          <w:rFonts w:ascii="Times New Roman" w:hAnsi="Times New Roman"/>
          <w:sz w:val="24"/>
        </w:rPr>
        <w:t>occlusions</w:t>
      </w:r>
      <w:proofErr w:type="gramEnd"/>
      <w:r>
        <w:rPr>
          <w:rFonts w:ascii="Times New Roman" w:hAnsi="Times New Roman"/>
          <w:sz w:val="24"/>
        </w:rPr>
        <w:t xml:space="preserve"> and vessel</w:t>
      </w:r>
      <w:r>
        <w:rPr>
          <w:rFonts w:ascii="Times New Roman" w:hAnsi="Times New Roman"/>
          <w:spacing w:val="-57"/>
          <w:sz w:val="24"/>
        </w:rPr>
        <w:t xml:space="preserve"> </w:t>
      </w:r>
      <w:r>
        <w:rPr>
          <w:rFonts w:ascii="Times New Roman" w:hAnsi="Times New Roman"/>
          <w:sz w:val="24"/>
        </w:rPr>
        <w:t>spasms.</w:t>
      </w:r>
    </w:p>
    <w:p w14:paraId="5900D929" w14:textId="77777777" w:rsidR="00E80455" w:rsidRDefault="000B3179">
      <w:pPr>
        <w:pStyle w:val="ListParagraph"/>
        <w:numPr>
          <w:ilvl w:val="2"/>
          <w:numId w:val="4"/>
        </w:numPr>
        <w:tabs>
          <w:tab w:val="left" w:pos="820"/>
          <w:tab w:val="left" w:pos="821"/>
        </w:tabs>
        <w:ind w:hanging="359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Acute</w:t>
      </w:r>
      <w:r>
        <w:rPr>
          <w:rFonts w:ascii="Times New Roman" w:hAnsi="Times New Roman"/>
          <w:spacing w:val="-2"/>
          <w:sz w:val="24"/>
        </w:rPr>
        <w:t xml:space="preserve"> </w:t>
      </w:r>
      <w:r>
        <w:rPr>
          <w:rFonts w:ascii="Times New Roman" w:hAnsi="Times New Roman"/>
          <w:sz w:val="24"/>
        </w:rPr>
        <w:t>kidney</w:t>
      </w:r>
      <w:r>
        <w:rPr>
          <w:rFonts w:ascii="Times New Roman" w:hAnsi="Times New Roman"/>
          <w:spacing w:val="-1"/>
          <w:sz w:val="24"/>
        </w:rPr>
        <w:t xml:space="preserve"> </w:t>
      </w:r>
      <w:r>
        <w:rPr>
          <w:rFonts w:ascii="Times New Roman" w:hAnsi="Times New Roman"/>
          <w:sz w:val="24"/>
        </w:rPr>
        <w:t>disease.</w:t>
      </w:r>
    </w:p>
    <w:p w14:paraId="1097CDAB" w14:textId="77777777" w:rsidR="00E80455" w:rsidRDefault="000B3179">
      <w:pPr>
        <w:pStyle w:val="ListParagraph"/>
        <w:numPr>
          <w:ilvl w:val="2"/>
          <w:numId w:val="4"/>
        </w:numPr>
        <w:tabs>
          <w:tab w:val="left" w:pos="820"/>
          <w:tab w:val="left" w:pos="821"/>
        </w:tabs>
        <w:ind w:hanging="359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Severe</w:t>
      </w:r>
      <w:r>
        <w:rPr>
          <w:rFonts w:ascii="Times New Roman" w:hAnsi="Times New Roman"/>
          <w:spacing w:val="-4"/>
          <w:sz w:val="24"/>
        </w:rPr>
        <w:t xml:space="preserve"> </w:t>
      </w:r>
      <w:r>
        <w:rPr>
          <w:rFonts w:ascii="Times New Roman" w:hAnsi="Times New Roman"/>
          <w:sz w:val="24"/>
        </w:rPr>
        <w:t>renal</w:t>
      </w:r>
      <w:r>
        <w:rPr>
          <w:rFonts w:ascii="Times New Roman" w:hAnsi="Times New Roman"/>
          <w:spacing w:val="-1"/>
          <w:sz w:val="24"/>
        </w:rPr>
        <w:t xml:space="preserve"> </w:t>
      </w:r>
      <w:r>
        <w:rPr>
          <w:rFonts w:ascii="Times New Roman" w:hAnsi="Times New Roman"/>
          <w:sz w:val="24"/>
        </w:rPr>
        <w:t>impairment</w:t>
      </w:r>
      <w:r>
        <w:rPr>
          <w:rFonts w:ascii="Times New Roman" w:hAnsi="Times New Roman"/>
          <w:spacing w:val="1"/>
          <w:sz w:val="24"/>
        </w:rPr>
        <w:t xml:space="preserve"> </w:t>
      </w:r>
      <w:r>
        <w:rPr>
          <w:rFonts w:ascii="Times New Roman" w:hAnsi="Times New Roman"/>
          <w:sz w:val="24"/>
        </w:rPr>
        <w:t>(creatinine</w:t>
      </w:r>
      <w:r>
        <w:rPr>
          <w:rFonts w:ascii="Times New Roman" w:hAnsi="Times New Roman"/>
          <w:spacing w:val="-1"/>
          <w:sz w:val="24"/>
        </w:rPr>
        <w:t xml:space="preserve"> </w:t>
      </w:r>
      <w:r>
        <w:rPr>
          <w:rFonts w:ascii="Times New Roman" w:hAnsi="Times New Roman"/>
          <w:sz w:val="24"/>
        </w:rPr>
        <w:t>clearance</w:t>
      </w:r>
      <w:r>
        <w:rPr>
          <w:rFonts w:ascii="Times New Roman" w:hAnsi="Times New Roman"/>
          <w:spacing w:val="-2"/>
          <w:sz w:val="24"/>
        </w:rPr>
        <w:t xml:space="preserve"> </w:t>
      </w:r>
      <w:r>
        <w:rPr>
          <w:rFonts w:ascii="Times New Roman" w:hAnsi="Times New Roman"/>
          <w:sz w:val="24"/>
        </w:rPr>
        <w:t>of</w:t>
      </w:r>
      <w:r>
        <w:rPr>
          <w:rFonts w:ascii="Times New Roman" w:hAnsi="Times New Roman"/>
          <w:spacing w:val="-1"/>
          <w:sz w:val="24"/>
        </w:rPr>
        <w:t xml:space="preserve"> </w:t>
      </w:r>
      <w:r>
        <w:rPr>
          <w:rFonts w:ascii="Times New Roman" w:hAnsi="Times New Roman"/>
          <w:sz w:val="24"/>
        </w:rPr>
        <w:t>less</w:t>
      </w:r>
      <w:r>
        <w:rPr>
          <w:rFonts w:ascii="Times New Roman" w:hAnsi="Times New Roman"/>
          <w:spacing w:val="-3"/>
          <w:sz w:val="24"/>
        </w:rPr>
        <w:t xml:space="preserve"> </w:t>
      </w:r>
      <w:r>
        <w:rPr>
          <w:rFonts w:ascii="Times New Roman" w:hAnsi="Times New Roman"/>
          <w:sz w:val="24"/>
        </w:rPr>
        <w:t>than</w:t>
      </w:r>
      <w:r>
        <w:rPr>
          <w:rFonts w:ascii="Times New Roman" w:hAnsi="Times New Roman"/>
          <w:spacing w:val="-1"/>
          <w:sz w:val="24"/>
        </w:rPr>
        <w:t xml:space="preserve"> </w:t>
      </w:r>
      <w:r>
        <w:rPr>
          <w:rFonts w:ascii="Times New Roman" w:hAnsi="Times New Roman"/>
          <w:sz w:val="24"/>
        </w:rPr>
        <w:t>30</w:t>
      </w:r>
      <w:r>
        <w:rPr>
          <w:rFonts w:ascii="Times New Roman" w:hAnsi="Times New Roman"/>
          <w:spacing w:val="-1"/>
          <w:sz w:val="24"/>
        </w:rPr>
        <w:t xml:space="preserve"> </w:t>
      </w:r>
      <w:r>
        <w:rPr>
          <w:rFonts w:ascii="Times New Roman" w:hAnsi="Times New Roman"/>
          <w:sz w:val="24"/>
        </w:rPr>
        <w:t>ml/min).</w:t>
      </w:r>
    </w:p>
    <w:p w14:paraId="2AB9CF72" w14:textId="77777777" w:rsidR="00E80455" w:rsidRDefault="000B3179">
      <w:pPr>
        <w:pStyle w:val="ListParagraph"/>
        <w:numPr>
          <w:ilvl w:val="2"/>
          <w:numId w:val="4"/>
        </w:numPr>
        <w:tabs>
          <w:tab w:val="left" w:pos="820"/>
          <w:tab w:val="left" w:pos="821"/>
        </w:tabs>
        <w:ind w:hanging="359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Serious</w:t>
      </w:r>
      <w:r>
        <w:rPr>
          <w:rFonts w:ascii="Times New Roman" w:hAnsi="Times New Roman"/>
          <w:spacing w:val="-1"/>
          <w:sz w:val="24"/>
        </w:rPr>
        <w:t xml:space="preserve"> </w:t>
      </w:r>
      <w:r>
        <w:rPr>
          <w:rFonts w:ascii="Times New Roman" w:hAnsi="Times New Roman"/>
          <w:sz w:val="24"/>
        </w:rPr>
        <w:t>prostate</w:t>
      </w:r>
      <w:r>
        <w:rPr>
          <w:rFonts w:ascii="Times New Roman" w:hAnsi="Times New Roman"/>
          <w:spacing w:val="-2"/>
          <w:sz w:val="24"/>
        </w:rPr>
        <w:t xml:space="preserve"> </w:t>
      </w:r>
      <w:r>
        <w:rPr>
          <w:rFonts w:ascii="Times New Roman" w:hAnsi="Times New Roman"/>
          <w:sz w:val="24"/>
        </w:rPr>
        <w:t>disorder.</w:t>
      </w:r>
    </w:p>
    <w:p w14:paraId="35581657" w14:textId="77777777" w:rsidR="00E80455" w:rsidRDefault="000B3179">
      <w:pPr>
        <w:pStyle w:val="ListParagraph"/>
        <w:numPr>
          <w:ilvl w:val="2"/>
          <w:numId w:val="4"/>
        </w:numPr>
        <w:tabs>
          <w:tab w:val="left" w:pos="820"/>
          <w:tab w:val="left" w:pos="821"/>
        </w:tabs>
        <w:ind w:hanging="359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Urinary</w:t>
      </w:r>
      <w:r>
        <w:rPr>
          <w:rFonts w:ascii="Times New Roman" w:hAnsi="Times New Roman"/>
          <w:spacing w:val="-3"/>
          <w:sz w:val="24"/>
        </w:rPr>
        <w:t xml:space="preserve"> </w:t>
      </w:r>
      <w:r>
        <w:rPr>
          <w:rFonts w:ascii="Times New Roman" w:hAnsi="Times New Roman"/>
          <w:sz w:val="24"/>
        </w:rPr>
        <w:t>retention.</w:t>
      </w:r>
    </w:p>
    <w:p w14:paraId="0F5DDDDA" w14:textId="77777777" w:rsidR="00E80455" w:rsidRDefault="000B3179">
      <w:pPr>
        <w:pStyle w:val="ListParagraph"/>
        <w:numPr>
          <w:ilvl w:val="2"/>
          <w:numId w:val="4"/>
        </w:numPr>
        <w:tabs>
          <w:tab w:val="left" w:pos="820"/>
          <w:tab w:val="left" w:pos="821"/>
        </w:tabs>
        <w:spacing w:before="121"/>
        <w:ind w:hanging="359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Proliferative</w:t>
      </w:r>
      <w:r>
        <w:rPr>
          <w:rFonts w:ascii="Times New Roman" w:hAnsi="Times New Roman"/>
          <w:spacing w:val="-3"/>
          <w:sz w:val="24"/>
        </w:rPr>
        <w:t xml:space="preserve"> </w:t>
      </w:r>
      <w:r>
        <w:rPr>
          <w:rFonts w:ascii="Times New Roman" w:hAnsi="Times New Roman"/>
          <w:sz w:val="24"/>
        </w:rPr>
        <w:t>diabetic</w:t>
      </w:r>
      <w:r>
        <w:rPr>
          <w:rFonts w:ascii="Times New Roman" w:hAnsi="Times New Roman"/>
          <w:spacing w:val="-1"/>
          <w:sz w:val="24"/>
        </w:rPr>
        <w:t xml:space="preserve"> </w:t>
      </w:r>
      <w:r>
        <w:rPr>
          <w:rFonts w:ascii="Times New Roman" w:hAnsi="Times New Roman"/>
          <w:sz w:val="24"/>
        </w:rPr>
        <w:t>retinopathy.</w:t>
      </w:r>
    </w:p>
    <w:p w14:paraId="1F14AA4C" w14:textId="77777777" w:rsidR="00E80455" w:rsidRDefault="000B3179">
      <w:pPr>
        <w:pStyle w:val="ListParagraph"/>
        <w:numPr>
          <w:ilvl w:val="2"/>
          <w:numId w:val="4"/>
        </w:numPr>
        <w:tabs>
          <w:tab w:val="left" w:pos="820"/>
          <w:tab w:val="left" w:pos="821"/>
        </w:tabs>
        <w:ind w:hanging="359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Phaeochromocytoma.</w:t>
      </w:r>
    </w:p>
    <w:p w14:paraId="76D5DEA0" w14:textId="77777777" w:rsidR="00E80455" w:rsidRDefault="000B3179">
      <w:pPr>
        <w:pStyle w:val="ListParagraph"/>
        <w:numPr>
          <w:ilvl w:val="2"/>
          <w:numId w:val="4"/>
        </w:numPr>
        <w:tabs>
          <w:tab w:val="left" w:pos="820"/>
          <w:tab w:val="left" w:pos="821"/>
        </w:tabs>
        <w:ind w:hanging="359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Hyperthyroidism</w:t>
      </w:r>
      <w:r>
        <w:rPr>
          <w:rFonts w:ascii="Times New Roman" w:hAnsi="Times New Roman"/>
          <w:spacing w:val="-2"/>
          <w:sz w:val="24"/>
        </w:rPr>
        <w:t xml:space="preserve"> </w:t>
      </w:r>
      <w:r>
        <w:rPr>
          <w:rFonts w:ascii="Times New Roman" w:hAnsi="Times New Roman"/>
          <w:sz w:val="24"/>
        </w:rPr>
        <w:t>or</w:t>
      </w:r>
      <w:r>
        <w:rPr>
          <w:rFonts w:ascii="Times New Roman" w:hAnsi="Times New Roman"/>
          <w:spacing w:val="-2"/>
          <w:sz w:val="24"/>
        </w:rPr>
        <w:t xml:space="preserve"> </w:t>
      </w:r>
      <w:r>
        <w:rPr>
          <w:rFonts w:ascii="Times New Roman" w:hAnsi="Times New Roman"/>
          <w:sz w:val="24"/>
        </w:rPr>
        <w:t>thyrotoxicosis.</w:t>
      </w:r>
    </w:p>
    <w:p w14:paraId="05CAA919" w14:textId="77777777" w:rsidR="00E80455" w:rsidRDefault="000B3179">
      <w:pPr>
        <w:pStyle w:val="ListParagraph"/>
        <w:numPr>
          <w:ilvl w:val="2"/>
          <w:numId w:val="4"/>
        </w:numPr>
        <w:tabs>
          <w:tab w:val="left" w:pos="820"/>
          <w:tab w:val="left" w:pos="821"/>
        </w:tabs>
        <w:spacing w:before="118"/>
        <w:ind w:hanging="359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Narrow</w:t>
      </w:r>
      <w:r>
        <w:rPr>
          <w:rFonts w:ascii="Times New Roman" w:hAnsi="Times New Roman"/>
          <w:spacing w:val="-1"/>
          <w:sz w:val="24"/>
        </w:rPr>
        <w:t xml:space="preserve"> </w:t>
      </w:r>
      <w:r>
        <w:rPr>
          <w:rFonts w:ascii="Times New Roman" w:hAnsi="Times New Roman"/>
          <w:sz w:val="24"/>
        </w:rPr>
        <w:t>angle</w:t>
      </w:r>
      <w:r>
        <w:rPr>
          <w:rFonts w:ascii="Times New Roman" w:hAnsi="Times New Roman"/>
          <w:spacing w:val="-2"/>
          <w:sz w:val="24"/>
        </w:rPr>
        <w:t xml:space="preserve"> </w:t>
      </w:r>
      <w:r>
        <w:rPr>
          <w:rFonts w:ascii="Times New Roman" w:hAnsi="Times New Roman"/>
          <w:sz w:val="24"/>
        </w:rPr>
        <w:t>glaucoma.</w:t>
      </w:r>
    </w:p>
    <w:p w14:paraId="4AC5D90E" w14:textId="77777777" w:rsidR="00E80455" w:rsidRDefault="000B3179" w:rsidP="004E577B">
      <w:pPr>
        <w:pStyle w:val="ListParagraph"/>
        <w:numPr>
          <w:ilvl w:val="1"/>
          <w:numId w:val="4"/>
        </w:numPr>
        <w:tabs>
          <w:tab w:val="left" w:pos="779"/>
          <w:tab w:val="left" w:pos="780"/>
        </w:tabs>
        <w:spacing w:before="124" w:after="240" w:line="610" w:lineRule="atLeast"/>
        <w:ind w:left="102" w:right="3067" w:firstLine="0"/>
        <w:rPr>
          <w:b/>
        </w:rPr>
      </w:pPr>
      <w:bookmarkStart w:id="13" w:name="4.4_SPECIAL_WARNINGS_AND_PRECAUTIONS_FOR"/>
      <w:bookmarkEnd w:id="13"/>
      <w:r>
        <w:rPr>
          <w:b/>
        </w:rPr>
        <w:t>SPECIAL WARNINGS AND PRECAUTIONS FOR USE</w:t>
      </w:r>
      <w:r>
        <w:rPr>
          <w:b/>
          <w:spacing w:val="-59"/>
        </w:rPr>
        <w:t xml:space="preserve"> </w:t>
      </w:r>
      <w:bookmarkStart w:id="14" w:name="Severe_orthostatic_hypotension_with_supi"/>
      <w:bookmarkEnd w:id="14"/>
      <w:r>
        <w:rPr>
          <w:b/>
        </w:rPr>
        <w:t>Severe</w:t>
      </w:r>
      <w:r>
        <w:rPr>
          <w:b/>
          <w:spacing w:val="-3"/>
        </w:rPr>
        <w:t xml:space="preserve"> </w:t>
      </w:r>
      <w:r>
        <w:rPr>
          <w:b/>
        </w:rPr>
        <w:t>orthostatic</w:t>
      </w:r>
      <w:r>
        <w:rPr>
          <w:b/>
          <w:spacing w:val="-4"/>
        </w:rPr>
        <w:t xml:space="preserve"> </w:t>
      </w:r>
      <w:r>
        <w:rPr>
          <w:b/>
        </w:rPr>
        <w:t>hypotension</w:t>
      </w:r>
      <w:r>
        <w:rPr>
          <w:b/>
          <w:spacing w:val="-4"/>
        </w:rPr>
        <w:t xml:space="preserve"> </w:t>
      </w:r>
      <w:r>
        <w:rPr>
          <w:b/>
        </w:rPr>
        <w:t>with</w:t>
      </w:r>
      <w:r>
        <w:rPr>
          <w:b/>
          <w:spacing w:val="-4"/>
        </w:rPr>
        <w:t xml:space="preserve"> </w:t>
      </w:r>
      <w:r>
        <w:rPr>
          <w:b/>
        </w:rPr>
        <w:t>supine</w:t>
      </w:r>
      <w:r>
        <w:rPr>
          <w:b/>
          <w:spacing w:val="-3"/>
        </w:rPr>
        <w:t xml:space="preserve"> </w:t>
      </w:r>
      <w:r>
        <w:rPr>
          <w:b/>
        </w:rPr>
        <w:t>hypertension</w:t>
      </w:r>
    </w:p>
    <w:p w14:paraId="5780A4F7" w14:textId="77777777" w:rsidR="00E80455" w:rsidRDefault="000B3179">
      <w:pPr>
        <w:pStyle w:val="BodyText"/>
        <w:ind w:left="100" w:right="333"/>
      </w:pPr>
      <w:r>
        <w:t>Because midodrine hydrochloride can cause marked elevation of supine blood pressure, it</w:t>
      </w:r>
      <w:r>
        <w:rPr>
          <w:spacing w:val="1"/>
        </w:rPr>
        <w:t xml:space="preserve"> </w:t>
      </w:r>
      <w:r>
        <w:t>should only be used in patients whose lives are considerably impaired despite standard</w:t>
      </w:r>
      <w:r>
        <w:rPr>
          <w:spacing w:val="1"/>
        </w:rPr>
        <w:t xml:space="preserve"> </w:t>
      </w:r>
      <w:r>
        <w:t>clinical care including non-pharmacologic treatment, plasma volume expansion and lifestyle</w:t>
      </w:r>
      <w:r>
        <w:rPr>
          <w:spacing w:val="-57"/>
        </w:rPr>
        <w:t xml:space="preserve"> </w:t>
      </w:r>
      <w:r>
        <w:t>alterations. The use of midodrine hydrochloride in the management of symptomatic</w:t>
      </w:r>
      <w:r>
        <w:rPr>
          <w:spacing w:val="1"/>
        </w:rPr>
        <w:t xml:space="preserve"> </w:t>
      </w:r>
      <w:r>
        <w:t>orthostatic hypotension is based primarily on a change in a surrogate endpoint of</w:t>
      </w:r>
      <w:r>
        <w:rPr>
          <w:spacing w:val="1"/>
        </w:rPr>
        <w:t xml:space="preserve"> </w:t>
      </w:r>
      <w:r>
        <w:t>effectiveness, an increase in systolic blood pressure measured one minute after standing, a</w:t>
      </w:r>
      <w:r>
        <w:rPr>
          <w:spacing w:val="1"/>
        </w:rPr>
        <w:t xml:space="preserve"> </w:t>
      </w:r>
      <w:r>
        <w:t>surrogate endpoint considered likely to correspond to clinical benefits. At present, however,</w:t>
      </w:r>
      <w:r>
        <w:rPr>
          <w:spacing w:val="1"/>
        </w:rPr>
        <w:t xml:space="preserve"> </w:t>
      </w:r>
      <w:r>
        <w:t>clinical benefits of midodrine hydrochloride, principally improved ability to carry out</w:t>
      </w:r>
      <w:r>
        <w:rPr>
          <w:spacing w:val="1"/>
        </w:rPr>
        <w:t xml:space="preserve"> </w:t>
      </w:r>
      <w:r>
        <w:t>activities</w:t>
      </w:r>
      <w:r>
        <w:rPr>
          <w:spacing w:val="-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daily life, have</w:t>
      </w:r>
      <w:r>
        <w:rPr>
          <w:spacing w:val="-1"/>
        </w:rPr>
        <w:t xml:space="preserve"> </w:t>
      </w:r>
      <w:r>
        <w:t>not been verified.</w:t>
      </w:r>
    </w:p>
    <w:p w14:paraId="7D456D72" w14:textId="77777777" w:rsidR="00E80455" w:rsidRDefault="00E80455">
      <w:pPr>
        <w:sectPr w:rsidR="00E80455" w:rsidSect="004E577B">
          <w:pgSz w:w="11910" w:h="16840"/>
          <w:pgMar w:top="1340" w:right="1240" w:bottom="920" w:left="1340" w:header="170" w:footer="729" w:gutter="0"/>
          <w:cols w:space="720"/>
          <w:docGrid w:linePitch="299"/>
        </w:sectPr>
      </w:pPr>
    </w:p>
    <w:p w14:paraId="6B84A6D2" w14:textId="77777777" w:rsidR="00E80455" w:rsidRDefault="000B3179" w:rsidP="004E577B">
      <w:pPr>
        <w:pStyle w:val="BodyText"/>
        <w:spacing w:before="82" w:after="240"/>
        <w:ind w:left="100"/>
      </w:pPr>
      <w:r>
        <w:lastRenderedPageBreak/>
        <w:t>The</w:t>
      </w:r>
      <w:r>
        <w:rPr>
          <w:spacing w:val="-3"/>
        </w:rPr>
        <w:t xml:space="preserve"> </w:t>
      </w:r>
      <w:r>
        <w:t>number</w:t>
      </w:r>
      <w:r>
        <w:rPr>
          <w:spacing w:val="-3"/>
        </w:rPr>
        <w:t xml:space="preserve"> </w:t>
      </w:r>
      <w:r>
        <w:t>“needed to</w:t>
      </w:r>
      <w:r>
        <w:rPr>
          <w:spacing w:val="-1"/>
        </w:rPr>
        <w:t xml:space="preserve"> </w:t>
      </w:r>
      <w:r>
        <w:t>harm”</w:t>
      </w:r>
      <w:r>
        <w:rPr>
          <w:spacing w:val="-3"/>
        </w:rPr>
        <w:t xml:space="preserve"> </w:t>
      </w:r>
      <w:r>
        <w:t>for</w:t>
      </w:r>
      <w:r>
        <w:rPr>
          <w:spacing w:val="-2"/>
        </w:rPr>
        <w:t xml:space="preserve"> </w:t>
      </w:r>
      <w:r>
        <w:t>supine</w:t>
      </w:r>
      <w:r>
        <w:rPr>
          <w:spacing w:val="-2"/>
        </w:rPr>
        <w:t xml:space="preserve"> </w:t>
      </w:r>
      <w:r>
        <w:t>hypertension</w:t>
      </w:r>
      <w:r>
        <w:rPr>
          <w:spacing w:val="-1"/>
        </w:rPr>
        <w:t xml:space="preserve"> </w:t>
      </w:r>
      <w:r>
        <w:t>was</w:t>
      </w:r>
      <w:r>
        <w:rPr>
          <w:spacing w:val="-2"/>
        </w:rPr>
        <w:t xml:space="preserve"> </w:t>
      </w:r>
      <w:r>
        <w:t>8</w:t>
      </w:r>
      <w:r>
        <w:rPr>
          <w:spacing w:val="1"/>
        </w:rPr>
        <w:t xml:space="preserve"> </w:t>
      </w:r>
      <w:r>
        <w:t>(95%</w:t>
      </w:r>
      <w:r>
        <w:rPr>
          <w:spacing w:val="-2"/>
        </w:rPr>
        <w:t xml:space="preserve"> </w:t>
      </w:r>
      <w:r>
        <w:t>CI</w:t>
      </w:r>
      <w:r>
        <w:rPr>
          <w:spacing w:val="-5"/>
        </w:rPr>
        <w:t xml:space="preserve"> </w:t>
      </w:r>
      <w:r>
        <w:t>3–27), I2–14%.</w:t>
      </w:r>
    </w:p>
    <w:p w14:paraId="4736283F" w14:textId="77777777" w:rsidR="00E80455" w:rsidRDefault="000B3179" w:rsidP="004E577B">
      <w:pPr>
        <w:pStyle w:val="BodyText"/>
        <w:spacing w:after="240"/>
        <w:ind w:left="100" w:right="370"/>
      </w:pPr>
      <w:r>
        <w:t>Regular monitoring of supine and standing blood pressure is necessary due to the risk of</w:t>
      </w:r>
      <w:r>
        <w:rPr>
          <w:spacing w:val="1"/>
        </w:rPr>
        <w:t xml:space="preserve"> </w:t>
      </w:r>
      <w:r>
        <w:t>hypertension in the supine position, e.g. at night. Patients should be told to report symptoms</w:t>
      </w:r>
      <w:r>
        <w:rPr>
          <w:spacing w:val="-58"/>
        </w:rPr>
        <w:t xml:space="preserve"> </w:t>
      </w:r>
      <w:r>
        <w:t>of supine hypertension immediately such as chest pain, palpitations, shortness of breath,</w:t>
      </w:r>
      <w:r>
        <w:rPr>
          <w:spacing w:val="1"/>
        </w:rPr>
        <w:t xml:space="preserve"> </w:t>
      </w:r>
      <w:proofErr w:type="gramStart"/>
      <w:r>
        <w:t>headache</w:t>
      </w:r>
      <w:proofErr w:type="gramEnd"/>
      <w:r>
        <w:t xml:space="preserve"> and blurred vision, and should be monitored for these side effects by the treating</w:t>
      </w:r>
      <w:r>
        <w:rPr>
          <w:spacing w:val="1"/>
        </w:rPr>
        <w:t xml:space="preserve"> </w:t>
      </w:r>
      <w:r>
        <w:t>physician. Supine hypertension may often be controlled by an adjustment to the dose. If</w:t>
      </w:r>
      <w:r>
        <w:rPr>
          <w:spacing w:val="1"/>
        </w:rPr>
        <w:t xml:space="preserve"> </w:t>
      </w:r>
      <w:r>
        <w:t>supine hypertension occurs, which is not overcome by reducing the dose, treatment with</w:t>
      </w:r>
      <w:r>
        <w:rPr>
          <w:spacing w:val="1"/>
        </w:rPr>
        <w:t xml:space="preserve"> </w:t>
      </w:r>
      <w:r>
        <w:t>midodrine</w:t>
      </w:r>
      <w:r>
        <w:rPr>
          <w:spacing w:val="-3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be</w:t>
      </w:r>
      <w:r>
        <w:rPr>
          <w:spacing w:val="-1"/>
        </w:rPr>
        <w:t xml:space="preserve"> </w:t>
      </w:r>
      <w:r>
        <w:t>stopped.</w:t>
      </w:r>
    </w:p>
    <w:p w14:paraId="7CE3AB68" w14:textId="77777777" w:rsidR="00E80455" w:rsidRDefault="000B3179" w:rsidP="004E577B">
      <w:pPr>
        <w:pStyle w:val="BodyText"/>
        <w:spacing w:before="1" w:after="240"/>
        <w:ind w:left="100" w:right="372"/>
      </w:pPr>
      <w:r>
        <w:t>The time of administration of the drug is important in this context. Avoid administration in</w:t>
      </w:r>
      <w:r>
        <w:rPr>
          <w:spacing w:val="1"/>
        </w:rPr>
        <w:t xml:space="preserve"> </w:t>
      </w:r>
      <w:r>
        <w:t xml:space="preserve">the late evening. The last daily dose should be taken at least 4 hours before bedtime </w:t>
      </w:r>
      <w:proofErr w:type="gramStart"/>
      <w:r>
        <w:t>in order</w:t>
      </w:r>
      <w:r>
        <w:rPr>
          <w:spacing w:val="-58"/>
        </w:rPr>
        <w:t xml:space="preserve"> </w:t>
      </w:r>
      <w:r>
        <w:t>to</w:t>
      </w:r>
      <w:proofErr w:type="gramEnd"/>
      <w:r>
        <w:t xml:space="preserve"> prevent supine hypertension. The risk of supine hypertension occurring during the night</w:t>
      </w:r>
      <w:r>
        <w:rPr>
          <w:spacing w:val="1"/>
        </w:rPr>
        <w:t xml:space="preserve"> </w:t>
      </w:r>
      <w:r>
        <w:t>can</w:t>
      </w:r>
      <w:r>
        <w:rPr>
          <w:spacing w:val="-1"/>
        </w:rPr>
        <w:t xml:space="preserve"> </w:t>
      </w:r>
      <w:r>
        <w:t>be</w:t>
      </w:r>
      <w:r>
        <w:rPr>
          <w:spacing w:val="-1"/>
        </w:rPr>
        <w:t xml:space="preserve"> </w:t>
      </w:r>
      <w:r>
        <w:t>reduced by elevating the head.</w:t>
      </w:r>
    </w:p>
    <w:p w14:paraId="68577FE3" w14:textId="77777777" w:rsidR="00E80455" w:rsidRDefault="000B3179" w:rsidP="004E577B">
      <w:pPr>
        <w:spacing w:before="1" w:after="240"/>
        <w:ind w:left="100"/>
        <w:rPr>
          <w:rFonts w:ascii="Arial"/>
          <w:b/>
        </w:rPr>
      </w:pPr>
      <w:bookmarkStart w:id="15" w:name="Severe_disturbances_of_the_autonomic_ner"/>
      <w:bookmarkEnd w:id="15"/>
      <w:r>
        <w:rPr>
          <w:rFonts w:ascii="Arial"/>
          <w:b/>
        </w:rPr>
        <w:t>Severe</w:t>
      </w:r>
      <w:r>
        <w:rPr>
          <w:rFonts w:ascii="Arial"/>
          <w:b/>
          <w:spacing w:val="-3"/>
        </w:rPr>
        <w:t xml:space="preserve"> </w:t>
      </w:r>
      <w:r>
        <w:rPr>
          <w:rFonts w:ascii="Arial"/>
          <w:b/>
        </w:rPr>
        <w:t>disturbances</w:t>
      </w:r>
      <w:r>
        <w:rPr>
          <w:rFonts w:ascii="Arial"/>
          <w:b/>
          <w:spacing w:val="-4"/>
        </w:rPr>
        <w:t xml:space="preserve"> </w:t>
      </w:r>
      <w:r>
        <w:rPr>
          <w:rFonts w:ascii="Arial"/>
          <w:b/>
        </w:rPr>
        <w:t>of</w:t>
      </w:r>
      <w:r>
        <w:rPr>
          <w:rFonts w:ascii="Arial"/>
          <w:b/>
          <w:spacing w:val="-3"/>
        </w:rPr>
        <w:t xml:space="preserve"> </w:t>
      </w:r>
      <w:r>
        <w:rPr>
          <w:rFonts w:ascii="Arial"/>
          <w:b/>
        </w:rPr>
        <w:t>the</w:t>
      </w:r>
      <w:r>
        <w:rPr>
          <w:rFonts w:ascii="Arial"/>
          <w:b/>
          <w:spacing w:val="-5"/>
        </w:rPr>
        <w:t xml:space="preserve"> </w:t>
      </w:r>
      <w:r>
        <w:rPr>
          <w:rFonts w:ascii="Arial"/>
          <w:b/>
        </w:rPr>
        <w:t>autonomic</w:t>
      </w:r>
      <w:r>
        <w:rPr>
          <w:rFonts w:ascii="Arial"/>
          <w:b/>
          <w:spacing w:val="-5"/>
        </w:rPr>
        <w:t xml:space="preserve"> </w:t>
      </w:r>
      <w:r>
        <w:rPr>
          <w:rFonts w:ascii="Arial"/>
          <w:b/>
        </w:rPr>
        <w:t>nervous</w:t>
      </w:r>
      <w:r>
        <w:rPr>
          <w:rFonts w:ascii="Arial"/>
          <w:b/>
          <w:spacing w:val="-2"/>
        </w:rPr>
        <w:t xml:space="preserve"> </w:t>
      </w:r>
      <w:r>
        <w:rPr>
          <w:rFonts w:ascii="Arial"/>
          <w:b/>
        </w:rPr>
        <w:t>system</w:t>
      </w:r>
    </w:p>
    <w:p w14:paraId="3726F7E5" w14:textId="77777777" w:rsidR="00E80455" w:rsidRDefault="000B3179" w:rsidP="004E577B">
      <w:pPr>
        <w:pStyle w:val="BodyText"/>
        <w:spacing w:after="240"/>
        <w:ind w:left="100" w:right="252"/>
      </w:pPr>
      <w:r>
        <w:t>In patients suffering from a severe disturbance of the autonomic nervous system,</w:t>
      </w:r>
      <w:r>
        <w:rPr>
          <w:spacing w:val="1"/>
        </w:rPr>
        <w:t xml:space="preserve"> </w:t>
      </w:r>
      <w:r>
        <w:t>administration of midodrine may lead to a further reduction of blood pressure when standing.</w:t>
      </w:r>
      <w:r>
        <w:rPr>
          <w:spacing w:val="-57"/>
        </w:rPr>
        <w:t xml:space="preserve"> </w:t>
      </w:r>
      <w:r>
        <w:t>If</w:t>
      </w:r>
      <w:r>
        <w:rPr>
          <w:spacing w:val="-3"/>
        </w:rPr>
        <w:t xml:space="preserve"> </w:t>
      </w:r>
      <w:r>
        <w:t>this</w:t>
      </w:r>
      <w:r>
        <w:rPr>
          <w:spacing w:val="-1"/>
        </w:rPr>
        <w:t xml:space="preserve"> </w:t>
      </w:r>
      <w:r>
        <w:t>occurs, further</w:t>
      </w:r>
      <w:r>
        <w:rPr>
          <w:spacing w:val="-1"/>
        </w:rPr>
        <w:t xml:space="preserve"> </w:t>
      </w:r>
      <w:r>
        <w:t>treatment with</w:t>
      </w:r>
      <w:r>
        <w:rPr>
          <w:spacing w:val="2"/>
        </w:rPr>
        <w:t xml:space="preserve"> </w:t>
      </w:r>
      <w:r>
        <w:t>midodrine</w:t>
      </w:r>
      <w:r>
        <w:rPr>
          <w:spacing w:val="-2"/>
        </w:rPr>
        <w:t xml:space="preserve"> </w:t>
      </w:r>
      <w:r>
        <w:t>should be</w:t>
      </w:r>
      <w:r>
        <w:rPr>
          <w:spacing w:val="-1"/>
        </w:rPr>
        <w:t xml:space="preserve"> </w:t>
      </w:r>
      <w:r>
        <w:t>stopped.</w:t>
      </w:r>
    </w:p>
    <w:p w14:paraId="56FE4D25" w14:textId="77777777" w:rsidR="00E80455" w:rsidRDefault="000B3179" w:rsidP="004E577B">
      <w:pPr>
        <w:spacing w:after="240"/>
        <w:ind w:left="100"/>
        <w:rPr>
          <w:rFonts w:ascii="Arial"/>
          <w:b/>
        </w:rPr>
      </w:pPr>
      <w:bookmarkStart w:id="16" w:name="Atherosclerotic_disease"/>
      <w:bookmarkEnd w:id="16"/>
      <w:r>
        <w:rPr>
          <w:rFonts w:ascii="Arial"/>
          <w:b/>
        </w:rPr>
        <w:t>Atherosclerotic</w:t>
      </w:r>
      <w:r>
        <w:rPr>
          <w:rFonts w:ascii="Arial"/>
          <w:b/>
          <w:spacing w:val="-16"/>
        </w:rPr>
        <w:t xml:space="preserve"> </w:t>
      </w:r>
      <w:r>
        <w:rPr>
          <w:rFonts w:ascii="Arial"/>
          <w:b/>
        </w:rPr>
        <w:t>disease</w:t>
      </w:r>
    </w:p>
    <w:p w14:paraId="2E052246" w14:textId="77777777" w:rsidR="00E80455" w:rsidRDefault="000B3179" w:rsidP="004E577B">
      <w:pPr>
        <w:pStyle w:val="BodyText"/>
        <w:spacing w:after="240"/>
        <w:ind w:left="100" w:right="391"/>
      </w:pPr>
      <w:r>
        <w:t>Caution must be observed in patients with atherosclerotic disease especially with symptoms</w:t>
      </w:r>
      <w:r>
        <w:rPr>
          <w:spacing w:val="-57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intestinal angina or</w:t>
      </w:r>
      <w:r>
        <w:rPr>
          <w:spacing w:val="-2"/>
        </w:rPr>
        <w:t xml:space="preserve"> </w:t>
      </w:r>
      <w:r>
        <w:t>claudication of</w:t>
      </w:r>
      <w:r>
        <w:rPr>
          <w:spacing w:val="-1"/>
        </w:rPr>
        <w:t xml:space="preserve"> </w:t>
      </w:r>
      <w:r>
        <w:t>the legs.</w:t>
      </w:r>
    </w:p>
    <w:p w14:paraId="325B8439" w14:textId="77777777" w:rsidR="00E80455" w:rsidRDefault="000B3179" w:rsidP="004E577B">
      <w:pPr>
        <w:spacing w:after="240"/>
        <w:ind w:left="100"/>
        <w:rPr>
          <w:rFonts w:ascii="Arial"/>
          <w:b/>
        </w:rPr>
      </w:pPr>
      <w:bookmarkStart w:id="17" w:name="Prostate_disorders"/>
      <w:bookmarkEnd w:id="17"/>
      <w:r>
        <w:rPr>
          <w:rFonts w:ascii="Arial"/>
          <w:b/>
        </w:rPr>
        <w:t>Prostate</w:t>
      </w:r>
      <w:r>
        <w:rPr>
          <w:rFonts w:ascii="Arial"/>
          <w:b/>
          <w:spacing w:val="-10"/>
        </w:rPr>
        <w:t xml:space="preserve"> </w:t>
      </w:r>
      <w:r>
        <w:rPr>
          <w:rFonts w:ascii="Arial"/>
          <w:b/>
        </w:rPr>
        <w:t>disorders</w:t>
      </w:r>
    </w:p>
    <w:p w14:paraId="352A833D" w14:textId="77777777" w:rsidR="00E80455" w:rsidRDefault="000B3179" w:rsidP="004E577B">
      <w:pPr>
        <w:pStyle w:val="BodyText"/>
        <w:spacing w:after="240"/>
        <w:ind w:left="100" w:right="711"/>
      </w:pPr>
      <w:r>
        <w:t>Caution is advised in patients with prostate disorders. Use of the drug may cause urinary</w:t>
      </w:r>
      <w:r>
        <w:rPr>
          <w:spacing w:val="-57"/>
        </w:rPr>
        <w:t xml:space="preserve"> </w:t>
      </w:r>
      <w:r>
        <w:t>retention.</w:t>
      </w:r>
    </w:p>
    <w:p w14:paraId="1357785D" w14:textId="77777777" w:rsidR="00E80455" w:rsidRDefault="000B3179" w:rsidP="004E577B">
      <w:pPr>
        <w:spacing w:after="240"/>
        <w:ind w:left="100"/>
        <w:rPr>
          <w:rFonts w:ascii="Arial"/>
          <w:b/>
        </w:rPr>
      </w:pPr>
      <w:bookmarkStart w:id="18" w:name="Heart_rate"/>
      <w:bookmarkEnd w:id="18"/>
      <w:r>
        <w:rPr>
          <w:rFonts w:ascii="Arial"/>
          <w:b/>
        </w:rPr>
        <w:t>Heart</w:t>
      </w:r>
      <w:r>
        <w:rPr>
          <w:rFonts w:ascii="Arial"/>
          <w:b/>
          <w:spacing w:val="-4"/>
        </w:rPr>
        <w:t xml:space="preserve"> </w:t>
      </w:r>
      <w:r>
        <w:rPr>
          <w:rFonts w:ascii="Arial"/>
          <w:b/>
        </w:rPr>
        <w:t>rate</w:t>
      </w:r>
    </w:p>
    <w:p w14:paraId="37575BAE" w14:textId="77777777" w:rsidR="00E80455" w:rsidRDefault="000B3179" w:rsidP="004E577B">
      <w:pPr>
        <w:pStyle w:val="BodyText"/>
        <w:spacing w:after="240"/>
        <w:ind w:left="100" w:right="486"/>
      </w:pPr>
      <w:r>
        <w:t>Slowing of the heart rate may occur after midodrine administration, due to vagal reflex.</w:t>
      </w:r>
      <w:r>
        <w:rPr>
          <w:spacing w:val="1"/>
        </w:rPr>
        <w:t xml:space="preserve"> </w:t>
      </w:r>
      <w:r>
        <w:t>Caution is advised when midodrine is used concomitantly with cardiac glycosides (such as</w:t>
      </w:r>
      <w:r>
        <w:rPr>
          <w:spacing w:val="-57"/>
        </w:rPr>
        <w:t xml:space="preserve"> </w:t>
      </w:r>
      <w:r>
        <w:t>digitalis preparations) and other agents that directly or indirectly reduce heart rate. Patients</w:t>
      </w:r>
      <w:r>
        <w:rPr>
          <w:spacing w:val="-57"/>
        </w:rPr>
        <w:t xml:space="preserve"> </w:t>
      </w:r>
      <w:r>
        <w:t>should</w:t>
      </w:r>
      <w:r>
        <w:rPr>
          <w:spacing w:val="-1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monitored</w:t>
      </w:r>
      <w:r>
        <w:rPr>
          <w:spacing w:val="-1"/>
        </w:rPr>
        <w:t xml:space="preserve"> </w:t>
      </w:r>
      <w:r>
        <w:t>for signs</w:t>
      </w:r>
      <w:r>
        <w:rPr>
          <w:spacing w:val="-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symptoms</w:t>
      </w:r>
      <w:r>
        <w:rPr>
          <w:spacing w:val="-1"/>
        </w:rPr>
        <w:t xml:space="preserve"> </w:t>
      </w:r>
      <w:r>
        <w:t>suggesting</w:t>
      </w:r>
      <w:r>
        <w:rPr>
          <w:spacing w:val="-1"/>
        </w:rPr>
        <w:t xml:space="preserve"> </w:t>
      </w:r>
      <w:r>
        <w:t>bradycardia.</w:t>
      </w:r>
    </w:p>
    <w:p w14:paraId="14436620" w14:textId="77777777" w:rsidR="00E80455" w:rsidRDefault="000B3179" w:rsidP="004E577B">
      <w:pPr>
        <w:spacing w:after="240"/>
        <w:ind w:left="100"/>
        <w:rPr>
          <w:rFonts w:ascii="Arial"/>
          <w:b/>
        </w:rPr>
      </w:pPr>
      <w:bookmarkStart w:id="19" w:name="QT_interval_prolongation"/>
      <w:bookmarkEnd w:id="19"/>
      <w:r>
        <w:rPr>
          <w:rFonts w:ascii="Arial"/>
          <w:b/>
        </w:rPr>
        <w:t>QT</w:t>
      </w:r>
      <w:r>
        <w:rPr>
          <w:rFonts w:ascii="Arial"/>
          <w:b/>
          <w:spacing w:val="-6"/>
        </w:rPr>
        <w:t xml:space="preserve"> </w:t>
      </w:r>
      <w:r>
        <w:rPr>
          <w:rFonts w:ascii="Arial"/>
          <w:b/>
        </w:rPr>
        <w:t>interval</w:t>
      </w:r>
      <w:r>
        <w:rPr>
          <w:rFonts w:ascii="Arial"/>
          <w:b/>
          <w:spacing w:val="-6"/>
        </w:rPr>
        <w:t xml:space="preserve"> </w:t>
      </w:r>
      <w:r>
        <w:rPr>
          <w:rFonts w:ascii="Arial"/>
          <w:b/>
        </w:rPr>
        <w:t>prolongation</w:t>
      </w:r>
    </w:p>
    <w:p w14:paraId="4EB2ADCA" w14:textId="77777777" w:rsidR="00E80455" w:rsidRDefault="000B3179" w:rsidP="004E577B">
      <w:pPr>
        <w:pStyle w:val="BodyText"/>
        <w:spacing w:before="1" w:after="240"/>
        <w:ind w:left="100" w:right="227"/>
      </w:pPr>
      <w:r>
        <w:t>A retrospective analysis of a large US managed care population database reported a mean QT</w:t>
      </w:r>
      <w:r>
        <w:rPr>
          <w:spacing w:val="-57"/>
        </w:rPr>
        <w:t xml:space="preserve"> </w:t>
      </w:r>
      <w:r>
        <w:t xml:space="preserve">prolongation of 15.2 </w:t>
      </w:r>
      <w:proofErr w:type="spellStart"/>
      <w:r>
        <w:t>ms</w:t>
      </w:r>
      <w:proofErr w:type="spellEnd"/>
      <w:r>
        <w:t xml:space="preserve"> (95% CI:1.0, 29.4 </w:t>
      </w:r>
      <w:proofErr w:type="spellStart"/>
      <w:r>
        <w:t>ms</w:t>
      </w:r>
      <w:proofErr w:type="spellEnd"/>
      <w:r>
        <w:t>, n=21) for midodrine with other unspecified</w:t>
      </w:r>
      <w:r>
        <w:rPr>
          <w:spacing w:val="1"/>
        </w:rPr>
        <w:t xml:space="preserve"> </w:t>
      </w:r>
      <w:r>
        <w:t>concomitant</w:t>
      </w:r>
      <w:r>
        <w:rPr>
          <w:spacing w:val="-1"/>
        </w:rPr>
        <w:t xml:space="preserve"> </w:t>
      </w:r>
      <w:r>
        <w:t>drugs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non-significant</w:t>
      </w:r>
      <w:r>
        <w:rPr>
          <w:spacing w:val="-1"/>
        </w:rPr>
        <w:t xml:space="preserve"> </w:t>
      </w:r>
      <w:r>
        <w:t>increase</w:t>
      </w:r>
      <w:r>
        <w:rPr>
          <w:spacing w:val="-2"/>
        </w:rPr>
        <w:t xml:space="preserve"> </w:t>
      </w:r>
      <w:r>
        <w:t>in</w:t>
      </w:r>
      <w:r>
        <w:rPr>
          <w:spacing w:val="1"/>
        </w:rPr>
        <w:t xml:space="preserve"> </w:t>
      </w:r>
      <w:proofErr w:type="gramStart"/>
      <w:r>
        <w:t>the</w:t>
      </w:r>
      <w:r>
        <w:rPr>
          <w:spacing w:val="-1"/>
        </w:rPr>
        <w:t xml:space="preserve"> </w:t>
      </w:r>
      <w:r>
        <w:t>a</w:t>
      </w:r>
      <w:proofErr w:type="gramEnd"/>
      <w:r>
        <w:rPr>
          <w:spacing w:val="-1"/>
        </w:rPr>
        <w:t xml:space="preserve"> </w:t>
      </w:r>
      <w:r>
        <w:t>mean</w:t>
      </w:r>
      <w:r>
        <w:rPr>
          <w:spacing w:val="-1"/>
        </w:rPr>
        <w:t xml:space="preserve"> </w:t>
      </w:r>
      <w:r>
        <w:t>QT</w:t>
      </w:r>
      <w:r>
        <w:rPr>
          <w:spacing w:val="-2"/>
        </w:rPr>
        <w:t xml:space="preserve"> </w:t>
      </w:r>
      <w:r>
        <w:t>interval prolongation</w:t>
      </w:r>
      <w:r>
        <w:rPr>
          <w:spacing w:val="-1"/>
        </w:rPr>
        <w:t xml:space="preserve"> </w:t>
      </w:r>
      <w:r>
        <w:t>of</w:t>
      </w:r>
    </w:p>
    <w:p w14:paraId="37C1FA52" w14:textId="77777777" w:rsidR="00E80455" w:rsidRDefault="000B3179" w:rsidP="004E577B">
      <w:pPr>
        <w:pStyle w:val="BodyText"/>
        <w:spacing w:after="240"/>
        <w:ind w:left="100" w:right="207"/>
      </w:pPr>
      <w:r>
        <w:t>21.3</w:t>
      </w:r>
      <w:r>
        <w:rPr>
          <w:spacing w:val="3"/>
        </w:rPr>
        <w:t xml:space="preserve"> </w:t>
      </w:r>
      <w:proofErr w:type="spellStart"/>
      <w:r>
        <w:t>ms</w:t>
      </w:r>
      <w:proofErr w:type="spellEnd"/>
      <w:r>
        <w:rPr>
          <w:spacing w:val="4"/>
        </w:rPr>
        <w:t xml:space="preserve"> </w:t>
      </w:r>
      <w:r>
        <w:t>(95%</w:t>
      </w:r>
      <w:r>
        <w:rPr>
          <w:spacing w:val="1"/>
        </w:rPr>
        <w:t xml:space="preserve"> </w:t>
      </w:r>
      <w:r>
        <w:t>CI:</w:t>
      </w:r>
      <w:r>
        <w:rPr>
          <w:spacing w:val="4"/>
        </w:rPr>
        <w:t xml:space="preserve"> </w:t>
      </w:r>
      <w:r>
        <w:t>-8.2,</w:t>
      </w:r>
      <w:r>
        <w:rPr>
          <w:spacing w:val="3"/>
        </w:rPr>
        <w:t xml:space="preserve"> </w:t>
      </w:r>
      <w:r>
        <w:t>50.7</w:t>
      </w:r>
      <w:r>
        <w:rPr>
          <w:spacing w:val="4"/>
        </w:rPr>
        <w:t xml:space="preserve"> </w:t>
      </w:r>
      <w:proofErr w:type="spellStart"/>
      <w:r>
        <w:t>ms</w:t>
      </w:r>
      <w:proofErr w:type="spellEnd"/>
      <w:r>
        <w:t>,</w:t>
      </w:r>
      <w:r>
        <w:rPr>
          <w:spacing w:val="3"/>
        </w:rPr>
        <w:t xml:space="preserve"> </w:t>
      </w:r>
      <w:r>
        <w:t>n=9)</w:t>
      </w:r>
      <w:r>
        <w:rPr>
          <w:spacing w:val="3"/>
        </w:rPr>
        <w:t xml:space="preserve"> </w:t>
      </w:r>
      <w:r>
        <w:t>for</w:t>
      </w:r>
      <w:r>
        <w:rPr>
          <w:spacing w:val="2"/>
        </w:rPr>
        <w:t xml:space="preserve"> </w:t>
      </w:r>
      <w:r>
        <w:t>subjects</w:t>
      </w:r>
      <w:r>
        <w:rPr>
          <w:spacing w:val="4"/>
        </w:rPr>
        <w:t xml:space="preserve"> </w:t>
      </w:r>
      <w:r>
        <w:t>when</w:t>
      </w:r>
      <w:r>
        <w:rPr>
          <w:spacing w:val="4"/>
        </w:rPr>
        <w:t xml:space="preserve"> </w:t>
      </w:r>
      <w:r>
        <w:t>midodrine</w:t>
      </w:r>
      <w:r>
        <w:rPr>
          <w:spacing w:val="2"/>
        </w:rPr>
        <w:t xml:space="preserve"> </w:t>
      </w:r>
      <w:r>
        <w:t>was</w:t>
      </w:r>
      <w:r>
        <w:rPr>
          <w:spacing w:val="3"/>
        </w:rPr>
        <w:t xml:space="preserve"> </w:t>
      </w:r>
      <w:r>
        <w:t>used</w:t>
      </w:r>
      <w:r>
        <w:rPr>
          <w:spacing w:val="3"/>
        </w:rPr>
        <w:t xml:space="preserve"> </w:t>
      </w:r>
      <w:r>
        <w:t>as</w:t>
      </w:r>
      <w:r>
        <w:rPr>
          <w:spacing w:val="3"/>
        </w:rPr>
        <w:t xml:space="preserve"> </w:t>
      </w:r>
      <w:r>
        <w:t>a</w:t>
      </w:r>
      <w:r>
        <w:rPr>
          <w:spacing w:val="3"/>
        </w:rPr>
        <w:t xml:space="preserve"> </w:t>
      </w:r>
      <w:r>
        <w:t>single</w:t>
      </w:r>
      <w:r>
        <w:rPr>
          <w:spacing w:val="1"/>
        </w:rPr>
        <w:t xml:space="preserve"> </w:t>
      </w:r>
      <w:r>
        <w:t>agent. Nonclinical experiments in dogs demonstrated a small, but significant increase in the</w:t>
      </w:r>
      <w:r>
        <w:rPr>
          <w:spacing w:val="1"/>
        </w:rPr>
        <w:t xml:space="preserve"> </w:t>
      </w:r>
      <w:r>
        <w:t>QT interval. A few cases of Torsades de pointes, arrhythmia and ventricular arrhythmias have</w:t>
      </w:r>
      <w:r>
        <w:rPr>
          <w:spacing w:val="-57"/>
        </w:rPr>
        <w:t xml:space="preserve"> </w:t>
      </w:r>
      <w:r>
        <w:t>been reported in post-marketing surveillance databases. Caution is advised when using</w:t>
      </w:r>
      <w:r>
        <w:rPr>
          <w:spacing w:val="1"/>
        </w:rPr>
        <w:t xml:space="preserve"> </w:t>
      </w:r>
      <w:r>
        <w:t>midodrine in patients who experience bradycardia, patients with congenital QT prolongation,</w:t>
      </w:r>
      <w:r>
        <w:rPr>
          <w:spacing w:val="1"/>
        </w:rPr>
        <w:t xml:space="preserve"> </w:t>
      </w:r>
      <w:r>
        <w:t>patients taking antiarrhythmic medications or patients taking any other medications which</w:t>
      </w:r>
      <w:r>
        <w:rPr>
          <w:spacing w:val="1"/>
        </w:rPr>
        <w:t xml:space="preserve"> </w:t>
      </w:r>
      <w:r>
        <w:t>prolong</w:t>
      </w:r>
      <w:r>
        <w:rPr>
          <w:spacing w:val="-1"/>
        </w:rPr>
        <w:t xml:space="preserve"> </w:t>
      </w:r>
      <w:r>
        <w:t>the QT interval.</w:t>
      </w:r>
    </w:p>
    <w:p w14:paraId="27ACF0C2" w14:textId="77777777" w:rsidR="00E80455" w:rsidRDefault="00E80455">
      <w:pPr>
        <w:sectPr w:rsidR="00E80455" w:rsidSect="004E577B">
          <w:pgSz w:w="11910" w:h="16840"/>
          <w:pgMar w:top="1340" w:right="1240" w:bottom="920" w:left="1340" w:header="170" w:footer="729" w:gutter="0"/>
          <w:cols w:space="720"/>
          <w:docGrid w:linePitch="299"/>
        </w:sectPr>
      </w:pPr>
    </w:p>
    <w:p w14:paraId="309D1B91" w14:textId="77777777" w:rsidR="00E80455" w:rsidRDefault="000B3179">
      <w:pPr>
        <w:spacing w:before="83"/>
        <w:ind w:left="100"/>
        <w:rPr>
          <w:rFonts w:ascii="Arial"/>
          <w:b/>
        </w:rPr>
      </w:pPr>
      <w:r>
        <w:rPr>
          <w:rFonts w:ascii="Arial"/>
          <w:b/>
        </w:rPr>
        <w:lastRenderedPageBreak/>
        <w:t>Effects</w:t>
      </w:r>
      <w:r>
        <w:rPr>
          <w:rFonts w:ascii="Arial"/>
          <w:b/>
          <w:spacing w:val="-3"/>
        </w:rPr>
        <w:t xml:space="preserve"> </w:t>
      </w:r>
      <w:r>
        <w:rPr>
          <w:rFonts w:ascii="Arial"/>
          <w:b/>
        </w:rPr>
        <w:t>of</w:t>
      </w:r>
      <w:r>
        <w:rPr>
          <w:rFonts w:ascii="Arial"/>
          <w:b/>
          <w:spacing w:val="-2"/>
        </w:rPr>
        <w:t xml:space="preserve"> </w:t>
      </w:r>
      <w:proofErr w:type="gramStart"/>
      <w:r>
        <w:rPr>
          <w:rFonts w:ascii="Arial"/>
          <w:b/>
        </w:rPr>
        <w:t>long</w:t>
      </w:r>
      <w:r>
        <w:rPr>
          <w:rFonts w:ascii="Arial"/>
          <w:b/>
          <w:spacing w:val="-3"/>
        </w:rPr>
        <w:t xml:space="preserve"> </w:t>
      </w:r>
      <w:r>
        <w:rPr>
          <w:rFonts w:ascii="Arial"/>
          <w:b/>
        </w:rPr>
        <w:t>term</w:t>
      </w:r>
      <w:proofErr w:type="gramEnd"/>
      <w:r>
        <w:rPr>
          <w:rFonts w:ascii="Arial"/>
          <w:b/>
          <w:spacing w:val="-2"/>
        </w:rPr>
        <w:t xml:space="preserve"> </w:t>
      </w:r>
      <w:r>
        <w:rPr>
          <w:rFonts w:ascii="Arial"/>
          <w:b/>
        </w:rPr>
        <w:t>use</w:t>
      </w:r>
    </w:p>
    <w:p w14:paraId="16376265" w14:textId="77777777" w:rsidR="00E80455" w:rsidRDefault="000B3179" w:rsidP="004E577B">
      <w:pPr>
        <w:pStyle w:val="BodyText"/>
        <w:spacing w:before="114" w:after="240"/>
        <w:ind w:left="100"/>
      </w:pPr>
      <w:r>
        <w:t>There</w:t>
      </w:r>
      <w:r>
        <w:rPr>
          <w:spacing w:val="-4"/>
        </w:rPr>
        <w:t xml:space="preserve"> </w:t>
      </w:r>
      <w:r>
        <w:t>is</w:t>
      </w:r>
      <w:r>
        <w:rPr>
          <w:spacing w:val="-1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lack</w:t>
      </w:r>
      <w:r>
        <w:rPr>
          <w:spacing w:val="-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safety</w:t>
      </w:r>
      <w:r>
        <w:rPr>
          <w:spacing w:val="1"/>
        </w:rPr>
        <w:t xml:space="preserve"> </w:t>
      </w:r>
      <w:r>
        <w:t>data</w:t>
      </w:r>
      <w:r>
        <w:rPr>
          <w:spacing w:val="-1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long-term</w:t>
      </w:r>
      <w:r>
        <w:rPr>
          <w:spacing w:val="-1"/>
        </w:rPr>
        <w:t xml:space="preserve"> </w:t>
      </w:r>
      <w:r>
        <w:t>treatment</w:t>
      </w:r>
      <w:r>
        <w:rPr>
          <w:spacing w:val="-1"/>
        </w:rPr>
        <w:t xml:space="preserve"> </w:t>
      </w:r>
      <w:r>
        <w:t>with</w:t>
      </w:r>
      <w:r>
        <w:rPr>
          <w:spacing w:val="-1"/>
        </w:rPr>
        <w:t xml:space="preserve"> </w:t>
      </w:r>
      <w:r>
        <w:t>midodrine.</w:t>
      </w:r>
    </w:p>
    <w:p w14:paraId="0925EF28" w14:textId="77777777" w:rsidR="00E80455" w:rsidRDefault="000B3179" w:rsidP="004E577B">
      <w:pPr>
        <w:spacing w:after="240"/>
        <w:ind w:left="100"/>
        <w:rPr>
          <w:rFonts w:ascii="Arial"/>
          <w:b/>
        </w:rPr>
      </w:pPr>
      <w:r>
        <w:rPr>
          <w:rFonts w:ascii="Arial"/>
          <w:b/>
        </w:rPr>
        <w:t>Use</w:t>
      </w:r>
      <w:r>
        <w:rPr>
          <w:rFonts w:ascii="Arial"/>
          <w:b/>
          <w:spacing w:val="-3"/>
        </w:rPr>
        <w:t xml:space="preserve"> </w:t>
      </w:r>
      <w:r>
        <w:rPr>
          <w:rFonts w:ascii="Arial"/>
          <w:b/>
        </w:rPr>
        <w:t>with</w:t>
      </w:r>
      <w:r>
        <w:rPr>
          <w:rFonts w:ascii="Arial"/>
          <w:b/>
          <w:spacing w:val="-5"/>
        </w:rPr>
        <w:t xml:space="preserve"> </w:t>
      </w:r>
      <w:r>
        <w:rPr>
          <w:rFonts w:ascii="Arial"/>
          <w:b/>
        </w:rPr>
        <w:t>antihypertensive</w:t>
      </w:r>
      <w:r>
        <w:rPr>
          <w:rFonts w:ascii="Arial"/>
          <w:b/>
          <w:spacing w:val="-3"/>
        </w:rPr>
        <w:t xml:space="preserve"> </w:t>
      </w:r>
      <w:r>
        <w:rPr>
          <w:rFonts w:ascii="Arial"/>
          <w:b/>
        </w:rPr>
        <w:t>agents</w:t>
      </w:r>
    </w:p>
    <w:p w14:paraId="0F549A24" w14:textId="77777777" w:rsidR="00E80455" w:rsidRDefault="000B3179" w:rsidP="004E577B">
      <w:pPr>
        <w:pStyle w:val="BodyText"/>
        <w:spacing w:before="113" w:after="240"/>
        <w:ind w:left="100"/>
      </w:pPr>
      <w:r>
        <w:t>Midodrine</w:t>
      </w:r>
      <w:r>
        <w:rPr>
          <w:spacing w:val="-4"/>
        </w:rPr>
        <w:t xml:space="preserve"> </w:t>
      </w:r>
      <w:r>
        <w:t>should</w:t>
      </w:r>
      <w:r>
        <w:rPr>
          <w:spacing w:val="-2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used</w:t>
      </w:r>
      <w:r>
        <w:rPr>
          <w:spacing w:val="-2"/>
        </w:rPr>
        <w:t xml:space="preserve"> </w:t>
      </w:r>
      <w:r>
        <w:t>with</w:t>
      </w:r>
      <w:r>
        <w:rPr>
          <w:spacing w:val="-2"/>
        </w:rPr>
        <w:t xml:space="preserve"> </w:t>
      </w:r>
      <w:r>
        <w:t>caution</w:t>
      </w:r>
      <w:r>
        <w:rPr>
          <w:spacing w:val="-2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combination</w:t>
      </w:r>
      <w:r>
        <w:rPr>
          <w:spacing w:val="1"/>
        </w:rPr>
        <w:t xml:space="preserve"> </w:t>
      </w:r>
      <w:r>
        <w:t>with</w:t>
      </w:r>
      <w:r>
        <w:rPr>
          <w:spacing w:val="-3"/>
        </w:rPr>
        <w:t xml:space="preserve"> </w:t>
      </w:r>
      <w:r>
        <w:t>antihypertensive</w:t>
      </w:r>
      <w:r>
        <w:rPr>
          <w:spacing w:val="-2"/>
        </w:rPr>
        <w:t xml:space="preserve"> </w:t>
      </w:r>
      <w:r>
        <w:t>medications.</w:t>
      </w:r>
    </w:p>
    <w:p w14:paraId="05721A9D" w14:textId="77777777" w:rsidR="00E80455" w:rsidRDefault="000B3179" w:rsidP="004E577B">
      <w:pPr>
        <w:spacing w:before="178" w:after="240"/>
        <w:ind w:left="100"/>
        <w:rPr>
          <w:rFonts w:ascii="Arial"/>
          <w:b/>
        </w:rPr>
      </w:pPr>
      <w:bookmarkStart w:id="20" w:name="Use_in_hepatic_impairment"/>
      <w:bookmarkEnd w:id="20"/>
      <w:r>
        <w:rPr>
          <w:rFonts w:ascii="Arial"/>
          <w:b/>
        </w:rPr>
        <w:t>Use</w:t>
      </w:r>
      <w:r>
        <w:rPr>
          <w:rFonts w:ascii="Arial"/>
          <w:b/>
          <w:spacing w:val="-3"/>
        </w:rPr>
        <w:t xml:space="preserve"> </w:t>
      </w:r>
      <w:r>
        <w:rPr>
          <w:rFonts w:ascii="Arial"/>
          <w:b/>
        </w:rPr>
        <w:t>in</w:t>
      </w:r>
      <w:r>
        <w:rPr>
          <w:rFonts w:ascii="Arial"/>
          <w:b/>
          <w:spacing w:val="-3"/>
        </w:rPr>
        <w:t xml:space="preserve"> </w:t>
      </w:r>
      <w:r>
        <w:rPr>
          <w:rFonts w:ascii="Arial"/>
          <w:b/>
        </w:rPr>
        <w:t>hepatic</w:t>
      </w:r>
      <w:r>
        <w:rPr>
          <w:rFonts w:ascii="Arial"/>
          <w:b/>
          <w:spacing w:val="-6"/>
        </w:rPr>
        <w:t xml:space="preserve"> </w:t>
      </w:r>
      <w:r>
        <w:rPr>
          <w:rFonts w:ascii="Arial"/>
          <w:b/>
        </w:rPr>
        <w:t>impairment</w:t>
      </w:r>
    </w:p>
    <w:p w14:paraId="4445F163" w14:textId="77777777" w:rsidR="00E80455" w:rsidRDefault="000B3179" w:rsidP="004E577B">
      <w:pPr>
        <w:pStyle w:val="BodyText"/>
        <w:spacing w:after="240"/>
        <w:ind w:left="100" w:right="712"/>
        <w:jc w:val="both"/>
      </w:pPr>
      <w:r>
        <w:t>Treatment with midodrine has not been studied in patients with hepatic impairment. It is</w:t>
      </w:r>
      <w:r>
        <w:rPr>
          <w:spacing w:val="-57"/>
        </w:rPr>
        <w:t xml:space="preserve"> </w:t>
      </w:r>
      <w:r>
        <w:t>therefore recommended to evaluate the hepatic parameters before starting treatment with</w:t>
      </w:r>
      <w:r>
        <w:rPr>
          <w:spacing w:val="-58"/>
        </w:rPr>
        <w:t xml:space="preserve"> </w:t>
      </w:r>
      <w:r>
        <w:t>midodrine</w:t>
      </w:r>
      <w:r>
        <w:rPr>
          <w:spacing w:val="-3"/>
        </w:rPr>
        <w:t xml:space="preserve"> </w:t>
      </w:r>
      <w:r>
        <w:t>and on a</w:t>
      </w:r>
      <w:r>
        <w:rPr>
          <w:spacing w:val="-1"/>
        </w:rPr>
        <w:t xml:space="preserve"> </w:t>
      </w:r>
      <w:r>
        <w:t>regular</w:t>
      </w:r>
      <w:r>
        <w:rPr>
          <w:spacing w:val="-2"/>
        </w:rPr>
        <w:t xml:space="preserve"> </w:t>
      </w:r>
      <w:r>
        <w:t>basis.</w:t>
      </w:r>
    </w:p>
    <w:p w14:paraId="1E0B5100" w14:textId="77777777" w:rsidR="00E80455" w:rsidRDefault="000B3179" w:rsidP="004E577B">
      <w:pPr>
        <w:spacing w:after="240"/>
        <w:ind w:left="100"/>
        <w:rPr>
          <w:rFonts w:ascii="Arial"/>
          <w:b/>
        </w:rPr>
      </w:pPr>
      <w:bookmarkStart w:id="21" w:name="Use_in_renal_impairment"/>
      <w:bookmarkEnd w:id="21"/>
      <w:r>
        <w:rPr>
          <w:rFonts w:ascii="Arial"/>
          <w:b/>
        </w:rPr>
        <w:t>Use</w:t>
      </w:r>
      <w:r>
        <w:rPr>
          <w:rFonts w:ascii="Arial"/>
          <w:b/>
          <w:spacing w:val="-4"/>
        </w:rPr>
        <w:t xml:space="preserve"> </w:t>
      </w:r>
      <w:r>
        <w:rPr>
          <w:rFonts w:ascii="Arial"/>
          <w:b/>
        </w:rPr>
        <w:t>in</w:t>
      </w:r>
      <w:r>
        <w:rPr>
          <w:rFonts w:ascii="Arial"/>
          <w:b/>
          <w:spacing w:val="-6"/>
        </w:rPr>
        <w:t xml:space="preserve"> </w:t>
      </w:r>
      <w:r>
        <w:rPr>
          <w:rFonts w:ascii="Arial"/>
          <w:b/>
        </w:rPr>
        <w:t>renal</w:t>
      </w:r>
      <w:r>
        <w:rPr>
          <w:rFonts w:ascii="Arial"/>
          <w:b/>
          <w:spacing w:val="-5"/>
        </w:rPr>
        <w:t xml:space="preserve"> </w:t>
      </w:r>
      <w:r>
        <w:rPr>
          <w:rFonts w:ascii="Arial"/>
          <w:b/>
        </w:rPr>
        <w:t>impairment</w:t>
      </w:r>
    </w:p>
    <w:p w14:paraId="34733DAC" w14:textId="77777777" w:rsidR="00E80455" w:rsidRDefault="000B3179" w:rsidP="004E577B">
      <w:pPr>
        <w:pStyle w:val="BodyText"/>
        <w:spacing w:after="240"/>
        <w:ind w:left="100" w:right="227"/>
      </w:pPr>
      <w:r>
        <w:t>This medicine is contraindicated in patients with acute renal impairment or severe renal</w:t>
      </w:r>
      <w:r>
        <w:rPr>
          <w:spacing w:val="1"/>
        </w:rPr>
        <w:t xml:space="preserve"> </w:t>
      </w:r>
      <w:r>
        <w:t>impairment (see section 4.3 CONTRAINDICTIONS). It is therefore recommended to</w:t>
      </w:r>
      <w:r>
        <w:rPr>
          <w:spacing w:val="1"/>
        </w:rPr>
        <w:t xml:space="preserve"> </w:t>
      </w:r>
      <w:r>
        <w:t>evaluate</w:t>
      </w:r>
      <w:r>
        <w:rPr>
          <w:spacing w:val="-3"/>
        </w:rPr>
        <w:t xml:space="preserve"> </w:t>
      </w:r>
      <w:r>
        <w:t>the renal</w:t>
      </w:r>
      <w:r>
        <w:rPr>
          <w:spacing w:val="-1"/>
        </w:rPr>
        <w:t xml:space="preserve"> </w:t>
      </w:r>
      <w:r>
        <w:t>parameters</w:t>
      </w:r>
      <w:r>
        <w:rPr>
          <w:spacing w:val="-2"/>
        </w:rPr>
        <w:t xml:space="preserve"> </w:t>
      </w:r>
      <w:r>
        <w:t>before</w:t>
      </w:r>
      <w:r>
        <w:rPr>
          <w:spacing w:val="-2"/>
        </w:rPr>
        <w:t xml:space="preserve"> </w:t>
      </w:r>
      <w:r>
        <w:t>starting</w:t>
      </w:r>
      <w:r>
        <w:rPr>
          <w:spacing w:val="-2"/>
        </w:rPr>
        <w:t xml:space="preserve"> </w:t>
      </w:r>
      <w:r>
        <w:t>treatment</w:t>
      </w:r>
      <w:r>
        <w:rPr>
          <w:spacing w:val="-1"/>
        </w:rPr>
        <w:t xml:space="preserve"> </w:t>
      </w:r>
      <w:r>
        <w:t>with</w:t>
      </w:r>
      <w:r>
        <w:rPr>
          <w:spacing w:val="-2"/>
        </w:rPr>
        <w:t xml:space="preserve"> </w:t>
      </w:r>
      <w:r>
        <w:t>midodrine</w:t>
      </w:r>
      <w:r>
        <w:rPr>
          <w:spacing w:val="-2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on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regular basis.</w:t>
      </w:r>
    </w:p>
    <w:p w14:paraId="764ECA63" w14:textId="77777777" w:rsidR="00E80455" w:rsidRDefault="000B3179" w:rsidP="004E577B">
      <w:pPr>
        <w:spacing w:after="240"/>
        <w:ind w:left="100"/>
        <w:rPr>
          <w:rFonts w:ascii="Arial"/>
          <w:b/>
        </w:rPr>
      </w:pPr>
      <w:bookmarkStart w:id="22" w:name="Use_in_the_elderly"/>
      <w:bookmarkEnd w:id="22"/>
      <w:r>
        <w:rPr>
          <w:rFonts w:ascii="Arial"/>
          <w:b/>
        </w:rPr>
        <w:t>Use</w:t>
      </w:r>
      <w:r>
        <w:rPr>
          <w:rFonts w:ascii="Arial"/>
          <w:b/>
          <w:spacing w:val="-2"/>
        </w:rPr>
        <w:t xml:space="preserve"> </w:t>
      </w:r>
      <w:r>
        <w:rPr>
          <w:rFonts w:ascii="Arial"/>
          <w:b/>
        </w:rPr>
        <w:t>in</w:t>
      </w:r>
      <w:r>
        <w:rPr>
          <w:rFonts w:ascii="Arial"/>
          <w:b/>
          <w:spacing w:val="-3"/>
        </w:rPr>
        <w:t xml:space="preserve"> </w:t>
      </w:r>
      <w:r>
        <w:rPr>
          <w:rFonts w:ascii="Arial"/>
          <w:b/>
        </w:rPr>
        <w:t>the</w:t>
      </w:r>
      <w:r>
        <w:rPr>
          <w:rFonts w:ascii="Arial"/>
          <w:b/>
          <w:spacing w:val="-2"/>
        </w:rPr>
        <w:t xml:space="preserve"> </w:t>
      </w:r>
      <w:r>
        <w:rPr>
          <w:rFonts w:ascii="Arial"/>
          <w:b/>
        </w:rPr>
        <w:t>elderly</w:t>
      </w:r>
    </w:p>
    <w:p w14:paraId="583DDA9C" w14:textId="77777777" w:rsidR="00E80455" w:rsidRDefault="000B3179" w:rsidP="004E577B">
      <w:pPr>
        <w:pStyle w:val="BodyText"/>
        <w:spacing w:after="240"/>
        <w:ind w:left="100" w:right="612"/>
      </w:pPr>
      <w:r>
        <w:t>There is limited data on dosing in the elderly and there are no specific studies which have</w:t>
      </w:r>
      <w:r>
        <w:rPr>
          <w:spacing w:val="-57"/>
        </w:rPr>
        <w:t xml:space="preserve"> </w:t>
      </w:r>
      <w:r>
        <w:t>focused on a possible dose reduction in the elderly population. Cautious dose titration is</w:t>
      </w:r>
      <w:r>
        <w:rPr>
          <w:spacing w:val="1"/>
        </w:rPr>
        <w:t xml:space="preserve"> </w:t>
      </w:r>
      <w:r>
        <w:t>recommended</w:t>
      </w:r>
      <w:r>
        <w:rPr>
          <w:spacing w:val="1"/>
        </w:rPr>
        <w:t xml:space="preserve"> </w:t>
      </w:r>
      <w:r>
        <w:t>(see</w:t>
      </w:r>
      <w:r>
        <w:rPr>
          <w:spacing w:val="-2"/>
        </w:rPr>
        <w:t xml:space="preserve"> </w:t>
      </w:r>
      <w:r>
        <w:t>section 4.2</w:t>
      </w:r>
      <w:r>
        <w:rPr>
          <w:spacing w:val="-1"/>
        </w:rPr>
        <w:t xml:space="preserve"> </w:t>
      </w:r>
      <w:r>
        <w:t>DOSE</w:t>
      </w:r>
      <w:r>
        <w:rPr>
          <w:spacing w:val="-1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METHOD</w:t>
      </w:r>
      <w:r>
        <w:rPr>
          <w:spacing w:val="-2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ADMINISTRATION).</w:t>
      </w:r>
    </w:p>
    <w:p w14:paraId="71C93F5A" w14:textId="77777777" w:rsidR="00E80455" w:rsidRDefault="000B3179" w:rsidP="004E577B">
      <w:pPr>
        <w:spacing w:after="240"/>
        <w:ind w:left="100"/>
        <w:rPr>
          <w:rFonts w:ascii="Arial"/>
          <w:b/>
        </w:rPr>
      </w:pPr>
      <w:bookmarkStart w:id="23" w:name="Paediatric_use"/>
      <w:bookmarkEnd w:id="23"/>
      <w:r>
        <w:rPr>
          <w:rFonts w:ascii="Arial"/>
          <w:b/>
        </w:rPr>
        <w:t>Paediatric</w:t>
      </w:r>
      <w:r>
        <w:rPr>
          <w:rFonts w:ascii="Arial"/>
          <w:b/>
          <w:spacing w:val="-1"/>
        </w:rPr>
        <w:t xml:space="preserve"> </w:t>
      </w:r>
      <w:r>
        <w:rPr>
          <w:rFonts w:ascii="Arial"/>
          <w:b/>
        </w:rPr>
        <w:t>use</w:t>
      </w:r>
    </w:p>
    <w:p w14:paraId="4C713B19" w14:textId="77777777" w:rsidR="00E80455" w:rsidRDefault="000B3179" w:rsidP="004E577B">
      <w:pPr>
        <w:pStyle w:val="BodyText"/>
        <w:spacing w:after="240"/>
        <w:ind w:left="100"/>
        <w:jc w:val="both"/>
      </w:pPr>
      <w:r>
        <w:t>No</w:t>
      </w:r>
      <w:r>
        <w:rPr>
          <w:spacing w:val="-3"/>
        </w:rPr>
        <w:t xml:space="preserve"> </w:t>
      </w:r>
      <w:r>
        <w:t>data</w:t>
      </w:r>
      <w:r>
        <w:rPr>
          <w:spacing w:val="-1"/>
        </w:rPr>
        <w:t xml:space="preserve"> </w:t>
      </w:r>
      <w:r>
        <w:t>available.</w:t>
      </w:r>
    </w:p>
    <w:p w14:paraId="0B34C3C7" w14:textId="77777777" w:rsidR="00E80455" w:rsidRDefault="000B3179" w:rsidP="004E577B">
      <w:pPr>
        <w:spacing w:after="240"/>
        <w:ind w:left="100"/>
        <w:rPr>
          <w:rFonts w:ascii="Arial"/>
          <w:b/>
        </w:rPr>
      </w:pPr>
      <w:bookmarkStart w:id="24" w:name="Effects_on_laboratory_tests"/>
      <w:bookmarkEnd w:id="24"/>
      <w:r>
        <w:rPr>
          <w:rFonts w:ascii="Arial"/>
          <w:b/>
        </w:rPr>
        <w:t>Effects</w:t>
      </w:r>
      <w:r>
        <w:rPr>
          <w:rFonts w:ascii="Arial"/>
          <w:b/>
          <w:spacing w:val="-3"/>
        </w:rPr>
        <w:t xml:space="preserve"> </w:t>
      </w:r>
      <w:r>
        <w:rPr>
          <w:rFonts w:ascii="Arial"/>
          <w:b/>
        </w:rPr>
        <w:t>on</w:t>
      </w:r>
      <w:r>
        <w:rPr>
          <w:rFonts w:ascii="Arial"/>
          <w:b/>
          <w:spacing w:val="-4"/>
        </w:rPr>
        <w:t xml:space="preserve"> </w:t>
      </w:r>
      <w:r>
        <w:rPr>
          <w:rFonts w:ascii="Arial"/>
          <w:b/>
        </w:rPr>
        <w:t>laboratory</w:t>
      </w:r>
      <w:r>
        <w:rPr>
          <w:rFonts w:ascii="Arial"/>
          <w:b/>
          <w:spacing w:val="-3"/>
        </w:rPr>
        <w:t xml:space="preserve"> </w:t>
      </w:r>
      <w:r>
        <w:rPr>
          <w:rFonts w:ascii="Arial"/>
          <w:b/>
        </w:rPr>
        <w:t>tests</w:t>
      </w:r>
    </w:p>
    <w:p w14:paraId="07D596B3" w14:textId="77777777" w:rsidR="00E80455" w:rsidRDefault="000B3179" w:rsidP="004E577B">
      <w:pPr>
        <w:pStyle w:val="BodyText"/>
        <w:spacing w:after="240"/>
        <w:ind w:left="100"/>
        <w:jc w:val="both"/>
      </w:pPr>
      <w:r>
        <w:t>No</w:t>
      </w:r>
      <w:r>
        <w:rPr>
          <w:spacing w:val="-3"/>
        </w:rPr>
        <w:t xml:space="preserve"> </w:t>
      </w:r>
      <w:r>
        <w:t>data</w:t>
      </w:r>
      <w:r>
        <w:rPr>
          <w:spacing w:val="-1"/>
        </w:rPr>
        <w:t xml:space="preserve"> </w:t>
      </w:r>
      <w:r>
        <w:t>available.</w:t>
      </w:r>
    </w:p>
    <w:p w14:paraId="14556E1D" w14:textId="77777777" w:rsidR="00E80455" w:rsidRDefault="000B3179" w:rsidP="004E577B">
      <w:pPr>
        <w:pStyle w:val="ListParagraph"/>
        <w:numPr>
          <w:ilvl w:val="1"/>
          <w:numId w:val="3"/>
        </w:numPr>
        <w:tabs>
          <w:tab w:val="left" w:pos="779"/>
          <w:tab w:val="left" w:pos="780"/>
        </w:tabs>
        <w:spacing w:before="183" w:after="240"/>
        <w:ind w:right="1563"/>
        <w:rPr>
          <w:b/>
        </w:rPr>
      </w:pPr>
      <w:bookmarkStart w:id="25" w:name="4.5_INTERACTIONS_WITH_OTHER_MEDICINES_AN"/>
      <w:bookmarkEnd w:id="25"/>
      <w:r>
        <w:rPr>
          <w:b/>
        </w:rPr>
        <w:t>INTERACTIONS WITH OTHER MEDICINES AND OTHER FORMS OF</w:t>
      </w:r>
      <w:r>
        <w:rPr>
          <w:b/>
          <w:spacing w:val="-59"/>
        </w:rPr>
        <w:t xml:space="preserve"> </w:t>
      </w:r>
      <w:r>
        <w:rPr>
          <w:b/>
        </w:rPr>
        <w:t>INTERACTIONS</w:t>
      </w:r>
    </w:p>
    <w:p w14:paraId="13DB687E" w14:textId="77777777" w:rsidR="00E80455" w:rsidRDefault="000B3179" w:rsidP="004E577B">
      <w:pPr>
        <w:spacing w:before="1" w:after="240"/>
        <w:ind w:left="100"/>
        <w:rPr>
          <w:rFonts w:ascii="Arial"/>
          <w:b/>
        </w:rPr>
      </w:pPr>
      <w:bookmarkStart w:id="26" w:name="Sympathomimetics_and_other_vasopressor_a"/>
      <w:bookmarkEnd w:id="26"/>
      <w:r>
        <w:rPr>
          <w:rFonts w:ascii="Arial"/>
          <w:b/>
        </w:rPr>
        <w:t>Sympathomimetics</w:t>
      </w:r>
      <w:r>
        <w:rPr>
          <w:rFonts w:ascii="Arial"/>
          <w:b/>
          <w:spacing w:val="-7"/>
        </w:rPr>
        <w:t xml:space="preserve"> </w:t>
      </w:r>
      <w:r>
        <w:rPr>
          <w:rFonts w:ascii="Arial"/>
          <w:b/>
        </w:rPr>
        <w:t>and</w:t>
      </w:r>
      <w:r>
        <w:rPr>
          <w:rFonts w:ascii="Arial"/>
          <w:b/>
          <w:spacing w:val="-4"/>
        </w:rPr>
        <w:t xml:space="preserve"> </w:t>
      </w:r>
      <w:r>
        <w:rPr>
          <w:rFonts w:ascii="Arial"/>
          <w:b/>
        </w:rPr>
        <w:t>other</w:t>
      </w:r>
      <w:r>
        <w:rPr>
          <w:rFonts w:ascii="Arial"/>
          <w:b/>
          <w:spacing w:val="-5"/>
        </w:rPr>
        <w:t xml:space="preserve"> </w:t>
      </w:r>
      <w:r>
        <w:rPr>
          <w:rFonts w:ascii="Arial"/>
          <w:b/>
        </w:rPr>
        <w:t>vasopressor</w:t>
      </w:r>
      <w:r>
        <w:rPr>
          <w:rFonts w:ascii="Arial"/>
          <w:b/>
          <w:spacing w:val="-3"/>
        </w:rPr>
        <w:t xml:space="preserve"> </w:t>
      </w:r>
      <w:r>
        <w:rPr>
          <w:rFonts w:ascii="Arial"/>
          <w:b/>
        </w:rPr>
        <w:t>agents</w:t>
      </w:r>
    </w:p>
    <w:p w14:paraId="5253CF7E" w14:textId="77777777" w:rsidR="00E80455" w:rsidRDefault="000B3179" w:rsidP="004E577B">
      <w:pPr>
        <w:pStyle w:val="BodyText"/>
        <w:spacing w:after="240"/>
        <w:ind w:left="100" w:right="234"/>
      </w:pPr>
      <w:r>
        <w:t>Concomitant treatment with sympathomimetics and other vasoconstrictive substances such as</w:t>
      </w:r>
      <w:r>
        <w:rPr>
          <w:spacing w:val="-57"/>
        </w:rPr>
        <w:t xml:space="preserve"> </w:t>
      </w:r>
      <w:r>
        <w:t xml:space="preserve">reserpine, guanethidine, tricyclic antidepressants, antihistamines, thyroid </w:t>
      </w:r>
      <w:proofErr w:type="gramStart"/>
      <w:r>
        <w:t>hormones</w:t>
      </w:r>
      <w:proofErr w:type="gramEnd"/>
      <w:r>
        <w:t xml:space="preserve"> and</w:t>
      </w:r>
      <w:r>
        <w:rPr>
          <w:spacing w:val="1"/>
        </w:rPr>
        <w:t xml:space="preserve"> </w:t>
      </w:r>
      <w:r>
        <w:t>MAO-inhibitors, including treatments that are available without prescription, should be</w:t>
      </w:r>
      <w:r>
        <w:rPr>
          <w:spacing w:val="1"/>
        </w:rPr>
        <w:t xml:space="preserve"> </w:t>
      </w:r>
      <w:r>
        <w:t>avoided</w:t>
      </w:r>
      <w:r>
        <w:rPr>
          <w:spacing w:val="-1"/>
        </w:rPr>
        <w:t xml:space="preserve"> </w:t>
      </w:r>
      <w:r>
        <w:t>as</w:t>
      </w:r>
      <w:r>
        <w:rPr>
          <w:spacing w:val="-1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pronounced</w:t>
      </w:r>
      <w:r>
        <w:rPr>
          <w:spacing w:val="2"/>
        </w:rPr>
        <w:t xml:space="preserve"> </w:t>
      </w:r>
      <w:r>
        <w:t>increase</w:t>
      </w:r>
      <w:r>
        <w:rPr>
          <w:spacing w:val="-1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blood pressure</w:t>
      </w:r>
      <w:r>
        <w:rPr>
          <w:spacing w:val="-1"/>
        </w:rPr>
        <w:t xml:space="preserve"> </w:t>
      </w:r>
      <w:r>
        <w:t>may occur.</w:t>
      </w:r>
    </w:p>
    <w:p w14:paraId="211922AF" w14:textId="77777777" w:rsidR="00E80455" w:rsidRDefault="000B3179" w:rsidP="004E577B">
      <w:pPr>
        <w:spacing w:after="240"/>
        <w:ind w:left="100"/>
        <w:rPr>
          <w:rFonts w:ascii="Arial"/>
          <w:b/>
        </w:rPr>
      </w:pPr>
      <w:bookmarkStart w:id="27" w:name="Ergot_alkaloids"/>
      <w:bookmarkEnd w:id="27"/>
      <w:r>
        <w:rPr>
          <w:rFonts w:ascii="Arial"/>
          <w:b/>
        </w:rPr>
        <w:t>Ergot</w:t>
      </w:r>
      <w:r>
        <w:rPr>
          <w:rFonts w:ascii="Arial"/>
          <w:b/>
          <w:spacing w:val="-6"/>
        </w:rPr>
        <w:t xml:space="preserve"> </w:t>
      </w:r>
      <w:r>
        <w:rPr>
          <w:rFonts w:ascii="Arial"/>
          <w:b/>
        </w:rPr>
        <w:t>alkaloids</w:t>
      </w:r>
    </w:p>
    <w:p w14:paraId="28368F65" w14:textId="77777777" w:rsidR="00E80455" w:rsidRDefault="000B3179" w:rsidP="004E577B">
      <w:pPr>
        <w:pStyle w:val="BodyText"/>
        <w:spacing w:after="240"/>
        <w:ind w:left="100" w:right="251"/>
      </w:pPr>
      <w:r>
        <w:t>Combined administration of midodrine and dihydroergotamine is not recommended based on</w:t>
      </w:r>
      <w:r>
        <w:rPr>
          <w:spacing w:val="-58"/>
        </w:rPr>
        <w:t xml:space="preserve"> </w:t>
      </w:r>
      <w:r>
        <w:t>alpha</w:t>
      </w:r>
      <w:r>
        <w:rPr>
          <w:spacing w:val="-1"/>
        </w:rPr>
        <w:t xml:space="preserve"> </w:t>
      </w:r>
      <w:r>
        <w:t>receptor interactions</w:t>
      </w:r>
      <w:r>
        <w:rPr>
          <w:spacing w:val="-1"/>
        </w:rPr>
        <w:t xml:space="preserve"> </w:t>
      </w:r>
      <w:r>
        <w:t>that</w:t>
      </w:r>
      <w:r>
        <w:rPr>
          <w:spacing w:val="-1"/>
        </w:rPr>
        <w:t xml:space="preserve"> </w:t>
      </w:r>
      <w:r>
        <w:t>may diminish</w:t>
      </w:r>
      <w:r>
        <w:rPr>
          <w:spacing w:val="-1"/>
        </w:rPr>
        <w:t xml:space="preserve"> </w:t>
      </w:r>
      <w:r>
        <w:t>any</w:t>
      </w:r>
      <w:r>
        <w:rPr>
          <w:spacing w:val="-1"/>
        </w:rPr>
        <w:t xml:space="preserve"> </w:t>
      </w:r>
      <w:r>
        <w:t>desired pressor effects.</w:t>
      </w:r>
    </w:p>
    <w:p w14:paraId="5027EF15" w14:textId="77777777" w:rsidR="00E80455" w:rsidRDefault="00E80455">
      <w:pPr>
        <w:sectPr w:rsidR="00E80455" w:rsidSect="004E577B">
          <w:pgSz w:w="11910" w:h="16840"/>
          <w:pgMar w:top="1340" w:right="1240" w:bottom="920" w:left="1340" w:header="170" w:footer="729" w:gutter="0"/>
          <w:cols w:space="720"/>
          <w:docGrid w:linePitch="299"/>
        </w:sectPr>
      </w:pPr>
    </w:p>
    <w:p w14:paraId="270BC6DB" w14:textId="77777777" w:rsidR="00E80455" w:rsidRDefault="000B3179" w:rsidP="004E577B">
      <w:pPr>
        <w:spacing w:before="83" w:after="240"/>
        <w:ind w:left="100"/>
        <w:rPr>
          <w:rFonts w:ascii="Arial"/>
          <w:b/>
        </w:rPr>
      </w:pPr>
      <w:bookmarkStart w:id="28" w:name="Alpha-adrenergic_antagonists"/>
      <w:bookmarkEnd w:id="28"/>
      <w:r>
        <w:rPr>
          <w:rFonts w:ascii="Arial"/>
          <w:b/>
        </w:rPr>
        <w:lastRenderedPageBreak/>
        <w:t>Alpha-adrenergic</w:t>
      </w:r>
      <w:r>
        <w:rPr>
          <w:rFonts w:ascii="Arial"/>
          <w:b/>
          <w:spacing w:val="-13"/>
        </w:rPr>
        <w:t xml:space="preserve"> </w:t>
      </w:r>
      <w:r>
        <w:rPr>
          <w:rFonts w:ascii="Arial"/>
          <w:b/>
        </w:rPr>
        <w:t>antagonists</w:t>
      </w:r>
    </w:p>
    <w:p w14:paraId="5365480A" w14:textId="77777777" w:rsidR="00E80455" w:rsidRDefault="000B3179" w:rsidP="004E577B">
      <w:pPr>
        <w:pStyle w:val="BodyText"/>
        <w:spacing w:after="240"/>
        <w:ind w:left="100" w:right="305"/>
      </w:pPr>
      <w:r>
        <w:t>As with other specific α-adrenergic agonists, the effect of midodrine is blocked by α-</w:t>
      </w:r>
      <w:r>
        <w:rPr>
          <w:spacing w:val="1"/>
        </w:rPr>
        <w:t xml:space="preserve"> </w:t>
      </w:r>
      <w:r>
        <w:t>adrenergic antagonists such as prazosin and phentolamine.</w:t>
      </w:r>
      <w:r>
        <w:rPr>
          <w:spacing w:val="1"/>
        </w:rPr>
        <w:t xml:space="preserve"> </w:t>
      </w:r>
      <w:r>
        <w:t>Similarly, midodrine may reduce</w:t>
      </w:r>
      <w:r>
        <w:rPr>
          <w:spacing w:val="-57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hypotensive</w:t>
      </w:r>
      <w:r>
        <w:rPr>
          <w:spacing w:val="-1"/>
        </w:rPr>
        <w:t xml:space="preserve"> </w:t>
      </w:r>
      <w:r>
        <w:t>effect of</w:t>
      </w:r>
      <w:r>
        <w:rPr>
          <w:spacing w:val="1"/>
        </w:rPr>
        <w:t xml:space="preserve"> </w:t>
      </w:r>
      <w:r>
        <w:t>prazosin.</w:t>
      </w:r>
    </w:p>
    <w:p w14:paraId="0A47047A" w14:textId="77777777" w:rsidR="00E80455" w:rsidRDefault="000B3179" w:rsidP="004E577B">
      <w:pPr>
        <w:spacing w:after="240"/>
        <w:ind w:left="100"/>
        <w:rPr>
          <w:rFonts w:ascii="Arial"/>
          <w:b/>
        </w:rPr>
      </w:pPr>
      <w:bookmarkStart w:id="29" w:name="Heart_rate_reducing_drugs"/>
      <w:bookmarkEnd w:id="29"/>
      <w:r>
        <w:rPr>
          <w:rFonts w:ascii="Arial"/>
          <w:b/>
        </w:rPr>
        <w:t>Heart</w:t>
      </w:r>
      <w:r>
        <w:rPr>
          <w:rFonts w:ascii="Arial"/>
          <w:b/>
          <w:spacing w:val="-2"/>
        </w:rPr>
        <w:t xml:space="preserve"> </w:t>
      </w:r>
      <w:r>
        <w:rPr>
          <w:rFonts w:ascii="Arial"/>
          <w:b/>
        </w:rPr>
        <w:t>rate</w:t>
      </w:r>
      <w:r>
        <w:rPr>
          <w:rFonts w:ascii="Arial"/>
          <w:b/>
          <w:spacing w:val="-5"/>
        </w:rPr>
        <w:t xml:space="preserve"> </w:t>
      </w:r>
      <w:r>
        <w:rPr>
          <w:rFonts w:ascii="Arial"/>
          <w:b/>
        </w:rPr>
        <w:t>reducing</w:t>
      </w:r>
      <w:r>
        <w:rPr>
          <w:rFonts w:ascii="Arial"/>
          <w:b/>
          <w:spacing w:val="-5"/>
        </w:rPr>
        <w:t xml:space="preserve"> </w:t>
      </w:r>
      <w:r>
        <w:rPr>
          <w:rFonts w:ascii="Arial"/>
          <w:b/>
        </w:rPr>
        <w:t>drugs</w:t>
      </w:r>
    </w:p>
    <w:p w14:paraId="09C3BE07" w14:textId="77777777" w:rsidR="00E80455" w:rsidRDefault="000B3179" w:rsidP="004E577B">
      <w:pPr>
        <w:pStyle w:val="BodyText"/>
        <w:spacing w:after="240"/>
        <w:ind w:left="100" w:right="891"/>
      </w:pPr>
      <w:r>
        <w:t>Monitoring is recommended if midodrine is combined with other drugs that directly or</w:t>
      </w:r>
      <w:r>
        <w:rPr>
          <w:spacing w:val="-57"/>
        </w:rPr>
        <w:t xml:space="preserve"> </w:t>
      </w:r>
      <w:r>
        <w:t>indirectly</w:t>
      </w:r>
      <w:r>
        <w:rPr>
          <w:spacing w:val="-1"/>
        </w:rPr>
        <w:t xml:space="preserve"> </w:t>
      </w:r>
      <w:r>
        <w:t>reduce</w:t>
      </w:r>
      <w:r>
        <w:rPr>
          <w:spacing w:val="-1"/>
        </w:rPr>
        <w:t xml:space="preserve"> </w:t>
      </w:r>
      <w:r>
        <w:t>the heart rate.</w:t>
      </w:r>
    </w:p>
    <w:p w14:paraId="69883F3A" w14:textId="77777777" w:rsidR="00E80455" w:rsidRDefault="000B3179" w:rsidP="004E577B">
      <w:pPr>
        <w:spacing w:after="240"/>
        <w:ind w:left="100"/>
        <w:rPr>
          <w:rFonts w:ascii="Arial"/>
          <w:b/>
        </w:rPr>
      </w:pPr>
      <w:bookmarkStart w:id="30" w:name="Drugs_which_prolong_the_QT_interval"/>
      <w:bookmarkEnd w:id="30"/>
      <w:r>
        <w:rPr>
          <w:rFonts w:ascii="Arial"/>
          <w:b/>
        </w:rPr>
        <w:t>Drugs</w:t>
      </w:r>
      <w:r>
        <w:rPr>
          <w:rFonts w:ascii="Arial"/>
          <w:b/>
          <w:spacing w:val="-4"/>
        </w:rPr>
        <w:t xml:space="preserve"> </w:t>
      </w:r>
      <w:r>
        <w:rPr>
          <w:rFonts w:ascii="Arial"/>
          <w:b/>
        </w:rPr>
        <w:t>which</w:t>
      </w:r>
      <w:r>
        <w:rPr>
          <w:rFonts w:ascii="Arial"/>
          <w:b/>
          <w:spacing w:val="-3"/>
        </w:rPr>
        <w:t xml:space="preserve"> </w:t>
      </w:r>
      <w:r>
        <w:rPr>
          <w:rFonts w:ascii="Arial"/>
          <w:b/>
        </w:rPr>
        <w:t>prolong</w:t>
      </w:r>
      <w:r>
        <w:rPr>
          <w:rFonts w:ascii="Arial"/>
          <w:b/>
          <w:spacing w:val="-5"/>
        </w:rPr>
        <w:t xml:space="preserve"> </w:t>
      </w:r>
      <w:r>
        <w:rPr>
          <w:rFonts w:ascii="Arial"/>
          <w:b/>
        </w:rPr>
        <w:t>the</w:t>
      </w:r>
      <w:r>
        <w:rPr>
          <w:rFonts w:ascii="Arial"/>
          <w:b/>
          <w:spacing w:val="-3"/>
        </w:rPr>
        <w:t xml:space="preserve"> </w:t>
      </w:r>
      <w:r>
        <w:rPr>
          <w:rFonts w:ascii="Arial"/>
          <w:b/>
        </w:rPr>
        <w:t>QT</w:t>
      </w:r>
      <w:r>
        <w:rPr>
          <w:rFonts w:ascii="Arial"/>
          <w:b/>
          <w:spacing w:val="-4"/>
        </w:rPr>
        <w:t xml:space="preserve"> </w:t>
      </w:r>
      <w:r>
        <w:rPr>
          <w:rFonts w:ascii="Arial"/>
          <w:b/>
        </w:rPr>
        <w:t>interval</w:t>
      </w:r>
    </w:p>
    <w:p w14:paraId="1C6DA21B" w14:textId="77777777" w:rsidR="00E80455" w:rsidRDefault="000B3179" w:rsidP="004E577B">
      <w:pPr>
        <w:pStyle w:val="BodyText"/>
        <w:spacing w:before="1" w:after="240"/>
        <w:ind w:left="100" w:right="576"/>
      </w:pPr>
      <w:r>
        <w:t>Caution</w:t>
      </w:r>
      <w:r>
        <w:rPr>
          <w:spacing w:val="-1"/>
        </w:rPr>
        <w:t xml:space="preserve"> </w:t>
      </w:r>
      <w:r>
        <w:t>is</w:t>
      </w:r>
      <w:r>
        <w:rPr>
          <w:spacing w:val="-1"/>
        </w:rPr>
        <w:t xml:space="preserve"> </w:t>
      </w:r>
      <w:r>
        <w:t>advised</w:t>
      </w:r>
      <w:r>
        <w:rPr>
          <w:spacing w:val="-1"/>
        </w:rPr>
        <w:t xml:space="preserve"> </w:t>
      </w:r>
      <w:r>
        <w:t>when</w:t>
      </w:r>
      <w:r>
        <w:rPr>
          <w:spacing w:val="-1"/>
        </w:rPr>
        <w:t xml:space="preserve"> </w:t>
      </w:r>
      <w:r>
        <w:t>using</w:t>
      </w:r>
      <w:r>
        <w:rPr>
          <w:spacing w:val="-1"/>
        </w:rPr>
        <w:t xml:space="preserve"> </w:t>
      </w:r>
      <w:r>
        <w:t>midodrine</w:t>
      </w:r>
      <w:r>
        <w:rPr>
          <w:spacing w:val="-2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patients</w:t>
      </w:r>
      <w:r>
        <w:rPr>
          <w:spacing w:val="-1"/>
        </w:rPr>
        <w:t xml:space="preserve"> </w:t>
      </w:r>
      <w:r>
        <w:t>taking</w:t>
      </w:r>
      <w:r>
        <w:rPr>
          <w:spacing w:val="-1"/>
        </w:rPr>
        <w:t xml:space="preserve"> </w:t>
      </w:r>
      <w:r>
        <w:t>antiarrhythmic</w:t>
      </w:r>
      <w:r>
        <w:rPr>
          <w:spacing w:val="-1"/>
        </w:rPr>
        <w:t xml:space="preserve"> </w:t>
      </w:r>
      <w:r>
        <w:t>medications</w:t>
      </w:r>
      <w:r>
        <w:rPr>
          <w:spacing w:val="-1"/>
        </w:rPr>
        <w:t xml:space="preserve"> </w:t>
      </w:r>
      <w:r>
        <w:t>or</w:t>
      </w:r>
      <w:r>
        <w:rPr>
          <w:spacing w:val="-57"/>
        </w:rPr>
        <w:t xml:space="preserve"> </w:t>
      </w:r>
      <w:r>
        <w:t>patients taking any other medications which prolong the QT interval as a few cases of</w:t>
      </w:r>
      <w:r>
        <w:rPr>
          <w:spacing w:val="1"/>
        </w:rPr>
        <w:t xml:space="preserve"> </w:t>
      </w:r>
      <w:r>
        <w:t>Torsades de pointes, arrhythmia and ventricular arrhythmias have been reported in post-</w:t>
      </w:r>
      <w:r>
        <w:rPr>
          <w:spacing w:val="1"/>
        </w:rPr>
        <w:t xml:space="preserve"> </w:t>
      </w:r>
      <w:r>
        <w:t>marketing surveillance databases (see section 4.4 SPECIAL WARNINGS AND</w:t>
      </w:r>
      <w:r>
        <w:rPr>
          <w:spacing w:val="1"/>
        </w:rPr>
        <w:t xml:space="preserve"> </w:t>
      </w:r>
      <w:r>
        <w:t>PRECAUTIONS</w:t>
      </w:r>
      <w:r>
        <w:rPr>
          <w:spacing w:val="1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USE).</w:t>
      </w:r>
    </w:p>
    <w:p w14:paraId="0FCA7973" w14:textId="77777777" w:rsidR="00E80455" w:rsidRDefault="000B3179" w:rsidP="004E577B">
      <w:pPr>
        <w:spacing w:after="240"/>
        <w:ind w:left="100"/>
        <w:rPr>
          <w:rFonts w:ascii="Arial"/>
          <w:b/>
        </w:rPr>
      </w:pPr>
      <w:bookmarkStart w:id="31" w:name="Glycosides"/>
      <w:bookmarkEnd w:id="31"/>
      <w:r>
        <w:rPr>
          <w:rFonts w:ascii="Arial"/>
          <w:b/>
        </w:rPr>
        <w:t>Glycosides</w:t>
      </w:r>
    </w:p>
    <w:p w14:paraId="105C50AA" w14:textId="77777777" w:rsidR="00E80455" w:rsidRDefault="000B3179" w:rsidP="004E577B">
      <w:pPr>
        <w:pStyle w:val="BodyText"/>
        <w:spacing w:after="240"/>
        <w:ind w:left="100" w:right="377"/>
      </w:pPr>
      <w:r>
        <w:t>Simultaneous</w:t>
      </w:r>
      <w:r>
        <w:rPr>
          <w:spacing w:val="-2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digitalis</w:t>
      </w:r>
      <w:r>
        <w:rPr>
          <w:spacing w:val="-3"/>
        </w:rPr>
        <w:t xml:space="preserve"> </w:t>
      </w:r>
      <w:r>
        <w:t>preparations</w:t>
      </w:r>
      <w:r>
        <w:rPr>
          <w:spacing w:val="-1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not</w:t>
      </w:r>
      <w:r>
        <w:rPr>
          <w:spacing w:val="-1"/>
        </w:rPr>
        <w:t xml:space="preserve"> </w:t>
      </w:r>
      <w:r>
        <w:t>recommended,</w:t>
      </w:r>
      <w:r>
        <w:rPr>
          <w:spacing w:val="-2"/>
        </w:rPr>
        <w:t xml:space="preserve"> </w:t>
      </w:r>
      <w:r>
        <w:t>as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heart rate</w:t>
      </w:r>
      <w:r>
        <w:rPr>
          <w:spacing w:val="-2"/>
        </w:rPr>
        <w:t xml:space="preserve"> </w:t>
      </w:r>
      <w:r>
        <w:t>reducing</w:t>
      </w:r>
      <w:r>
        <w:rPr>
          <w:spacing w:val="-57"/>
        </w:rPr>
        <w:t xml:space="preserve"> </w:t>
      </w:r>
      <w:r>
        <w:t>effect</w:t>
      </w:r>
      <w:r>
        <w:rPr>
          <w:spacing w:val="-1"/>
        </w:rPr>
        <w:t xml:space="preserve"> </w:t>
      </w:r>
      <w:r>
        <w:t>may be</w:t>
      </w:r>
      <w:r>
        <w:rPr>
          <w:spacing w:val="-1"/>
        </w:rPr>
        <w:t xml:space="preserve"> </w:t>
      </w:r>
      <w:r>
        <w:t>potentiated</w:t>
      </w:r>
      <w:r>
        <w:rPr>
          <w:spacing w:val="2"/>
        </w:rPr>
        <w:t xml:space="preserve"> </w:t>
      </w:r>
      <w:r>
        <w:t>by midodrine</w:t>
      </w:r>
      <w:r>
        <w:rPr>
          <w:spacing w:val="-2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heart block may occur.</w:t>
      </w:r>
    </w:p>
    <w:p w14:paraId="55299611" w14:textId="77777777" w:rsidR="00E80455" w:rsidRDefault="000B3179" w:rsidP="004E577B">
      <w:pPr>
        <w:spacing w:before="1" w:after="240"/>
        <w:ind w:left="100"/>
        <w:rPr>
          <w:rFonts w:ascii="Arial"/>
          <w:b/>
        </w:rPr>
      </w:pPr>
      <w:bookmarkStart w:id="32" w:name="Corticosteroid_preparations"/>
      <w:bookmarkEnd w:id="32"/>
      <w:r>
        <w:rPr>
          <w:rFonts w:ascii="Arial"/>
          <w:b/>
        </w:rPr>
        <w:t>Corticosteroid</w:t>
      </w:r>
      <w:r>
        <w:rPr>
          <w:rFonts w:ascii="Arial"/>
          <w:b/>
          <w:spacing w:val="-12"/>
        </w:rPr>
        <w:t xml:space="preserve"> </w:t>
      </w:r>
      <w:r>
        <w:rPr>
          <w:rFonts w:ascii="Arial"/>
          <w:b/>
        </w:rPr>
        <w:t>preparations</w:t>
      </w:r>
    </w:p>
    <w:p w14:paraId="368FA3B5" w14:textId="77777777" w:rsidR="00E80455" w:rsidRDefault="000B3179" w:rsidP="004E577B">
      <w:pPr>
        <w:pStyle w:val="BodyText"/>
        <w:spacing w:after="240"/>
        <w:ind w:left="100" w:right="345"/>
      </w:pPr>
      <w:r>
        <w:t>Midodrine</w:t>
      </w:r>
      <w:r>
        <w:rPr>
          <w:spacing w:val="-4"/>
        </w:rPr>
        <w:t xml:space="preserve"> </w:t>
      </w:r>
      <w:r>
        <w:t>may</w:t>
      </w:r>
      <w:r>
        <w:rPr>
          <w:spacing w:val="-1"/>
        </w:rPr>
        <w:t xml:space="preserve"> </w:t>
      </w:r>
      <w:r>
        <w:t>potentiate</w:t>
      </w:r>
      <w:r>
        <w:rPr>
          <w:spacing w:val="-2"/>
        </w:rPr>
        <w:t xml:space="preserve"> </w:t>
      </w:r>
      <w:r>
        <w:t>or</w:t>
      </w:r>
      <w:r>
        <w:rPr>
          <w:spacing w:val="-3"/>
        </w:rPr>
        <w:t xml:space="preserve"> </w:t>
      </w:r>
      <w:r>
        <w:t>enhance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hypertensive</w:t>
      </w:r>
      <w:r>
        <w:rPr>
          <w:spacing w:val="-1"/>
        </w:rPr>
        <w:t xml:space="preserve"> </w:t>
      </w:r>
      <w:r>
        <w:t>effects</w:t>
      </w:r>
      <w:r>
        <w:rPr>
          <w:spacing w:val="-1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corticosteroid</w:t>
      </w:r>
      <w:r>
        <w:rPr>
          <w:spacing w:val="-1"/>
        </w:rPr>
        <w:t xml:space="preserve"> </w:t>
      </w:r>
      <w:r>
        <w:t>preparations.</w:t>
      </w:r>
      <w:r>
        <w:rPr>
          <w:spacing w:val="-57"/>
        </w:rPr>
        <w:t xml:space="preserve"> </w:t>
      </w:r>
      <w:r>
        <w:t>Patients being treated with midodrine in combination with mineralocorticoids or</w:t>
      </w:r>
      <w:r>
        <w:rPr>
          <w:spacing w:val="1"/>
        </w:rPr>
        <w:t xml:space="preserve"> </w:t>
      </w:r>
      <w:r>
        <w:t>glucocorticoids (e.g. fludrocortisone) may be at increased risk of glaucoma/increased</w:t>
      </w:r>
      <w:r>
        <w:rPr>
          <w:spacing w:val="1"/>
        </w:rPr>
        <w:t xml:space="preserve"> </w:t>
      </w:r>
      <w:r>
        <w:t>intraocular</w:t>
      </w:r>
      <w:r>
        <w:rPr>
          <w:spacing w:val="-3"/>
        </w:rPr>
        <w:t xml:space="preserve"> </w:t>
      </w:r>
      <w:r>
        <w:t>pressure and</w:t>
      </w:r>
      <w:r>
        <w:rPr>
          <w:spacing w:val="2"/>
        </w:rPr>
        <w:t xml:space="preserve"> </w:t>
      </w:r>
      <w:r>
        <w:t>should be</w:t>
      </w:r>
      <w:r>
        <w:rPr>
          <w:spacing w:val="-2"/>
        </w:rPr>
        <w:t xml:space="preserve"> </w:t>
      </w:r>
      <w:r>
        <w:t>carefully monitored.</w:t>
      </w:r>
    </w:p>
    <w:p w14:paraId="67F93AAA" w14:textId="77777777" w:rsidR="00E80455" w:rsidRDefault="000B3179" w:rsidP="004E577B">
      <w:pPr>
        <w:spacing w:after="240"/>
        <w:ind w:left="100"/>
        <w:rPr>
          <w:rFonts w:ascii="Arial"/>
          <w:b/>
        </w:rPr>
      </w:pPr>
      <w:r>
        <w:rPr>
          <w:rFonts w:ascii="Arial"/>
          <w:b/>
        </w:rPr>
        <w:t>Antihypertensive</w:t>
      </w:r>
      <w:r>
        <w:rPr>
          <w:rFonts w:ascii="Arial"/>
          <w:b/>
          <w:spacing w:val="-6"/>
        </w:rPr>
        <w:t xml:space="preserve"> </w:t>
      </w:r>
      <w:r>
        <w:rPr>
          <w:rFonts w:ascii="Arial"/>
          <w:b/>
        </w:rPr>
        <w:t>agents</w:t>
      </w:r>
    </w:p>
    <w:p w14:paraId="5F4C6C30" w14:textId="77777777" w:rsidR="00E80455" w:rsidRDefault="000B3179" w:rsidP="004E577B">
      <w:pPr>
        <w:pStyle w:val="BodyText"/>
        <w:spacing w:before="114" w:after="240"/>
        <w:ind w:left="100" w:right="192"/>
      </w:pPr>
      <w:r>
        <w:t>Caution is recommended when prescribing concomitant anti-hypertensive treatments. (see 4.4</w:t>
      </w:r>
      <w:r>
        <w:rPr>
          <w:spacing w:val="-57"/>
        </w:rPr>
        <w:t xml:space="preserve"> </w:t>
      </w:r>
      <w:r>
        <w:t>SPECIAL</w:t>
      </w:r>
      <w:r>
        <w:rPr>
          <w:spacing w:val="-2"/>
        </w:rPr>
        <w:t xml:space="preserve"> </w:t>
      </w:r>
      <w:r>
        <w:t>WARNINGS</w:t>
      </w:r>
      <w:r>
        <w:rPr>
          <w:spacing w:val="2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PRECAUTIONS</w:t>
      </w:r>
      <w:r>
        <w:rPr>
          <w:spacing w:val="-1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USE).</w:t>
      </w:r>
    </w:p>
    <w:p w14:paraId="6D61516E" w14:textId="0F2119C8" w:rsidR="00E80455" w:rsidRPr="004E577B" w:rsidRDefault="000B3179" w:rsidP="004E577B">
      <w:pPr>
        <w:spacing w:after="240"/>
        <w:ind w:left="100"/>
        <w:rPr>
          <w:rFonts w:ascii="Arial"/>
          <w:b/>
        </w:rPr>
      </w:pPr>
      <w:bookmarkStart w:id="33" w:name="Potential_pharmacokinetic_interactions"/>
      <w:bookmarkEnd w:id="33"/>
      <w:r>
        <w:rPr>
          <w:rFonts w:ascii="Arial"/>
          <w:b/>
        </w:rPr>
        <w:t>Potential</w:t>
      </w:r>
      <w:r>
        <w:rPr>
          <w:rFonts w:ascii="Arial"/>
          <w:b/>
          <w:spacing w:val="-7"/>
        </w:rPr>
        <w:t xml:space="preserve"> </w:t>
      </w:r>
      <w:r>
        <w:rPr>
          <w:rFonts w:ascii="Arial"/>
          <w:b/>
        </w:rPr>
        <w:t>pharmacokinetic</w:t>
      </w:r>
      <w:r>
        <w:rPr>
          <w:rFonts w:ascii="Arial"/>
          <w:b/>
          <w:spacing w:val="-10"/>
        </w:rPr>
        <w:t xml:space="preserve"> </w:t>
      </w:r>
      <w:r>
        <w:rPr>
          <w:rFonts w:ascii="Arial"/>
          <w:b/>
        </w:rPr>
        <w:t>interactions</w:t>
      </w:r>
    </w:p>
    <w:p w14:paraId="497DD814" w14:textId="77777777" w:rsidR="00E80455" w:rsidRDefault="000B3179" w:rsidP="004E577B">
      <w:pPr>
        <w:pStyle w:val="BodyText"/>
        <w:spacing w:after="240"/>
        <w:ind w:left="100" w:right="505"/>
      </w:pPr>
      <w:r>
        <w:t>The oral absorption of midodrine is facilitated by the intestinal coupled peptide transporter</w:t>
      </w:r>
      <w:r>
        <w:rPr>
          <w:spacing w:val="-57"/>
        </w:rPr>
        <w:t xml:space="preserve"> </w:t>
      </w:r>
      <w:r>
        <w:t>(PEPT1). Because PEPT1 can transport various peptide-like drugs, such as ß-lactam</w:t>
      </w:r>
      <w:r>
        <w:rPr>
          <w:spacing w:val="1"/>
        </w:rPr>
        <w:t xml:space="preserve"> </w:t>
      </w:r>
      <w:r>
        <w:t>antibiotics and antiviral drugs, there is potential for substrate competition and altered</w:t>
      </w:r>
      <w:r>
        <w:rPr>
          <w:spacing w:val="1"/>
        </w:rPr>
        <w:t xml:space="preserve"> </w:t>
      </w:r>
      <w:r>
        <w:t>absorption</w:t>
      </w:r>
      <w:r>
        <w:rPr>
          <w:spacing w:val="-1"/>
        </w:rPr>
        <w:t xml:space="preserve"> </w:t>
      </w:r>
      <w:r>
        <w:t>via</w:t>
      </w:r>
      <w:r>
        <w:rPr>
          <w:spacing w:val="-1"/>
        </w:rPr>
        <w:t xml:space="preserve"> </w:t>
      </w:r>
      <w:r>
        <w:t>PEPT1 mediated transport.</w:t>
      </w:r>
    </w:p>
    <w:p w14:paraId="107731A7" w14:textId="77777777" w:rsidR="00E80455" w:rsidRDefault="000B3179" w:rsidP="004E577B">
      <w:pPr>
        <w:pStyle w:val="BodyText"/>
        <w:spacing w:after="240"/>
        <w:ind w:left="100" w:right="332"/>
      </w:pPr>
      <w:r>
        <w:t xml:space="preserve">The 5'-O-demethylation in human liver microsomes of </w:t>
      </w:r>
      <w:proofErr w:type="spellStart"/>
      <w:r>
        <w:t>desglymidodrine</w:t>
      </w:r>
      <w:proofErr w:type="spellEnd"/>
      <w:r>
        <w:t>, the active</w:t>
      </w:r>
      <w:r>
        <w:rPr>
          <w:spacing w:val="1"/>
        </w:rPr>
        <w:t xml:space="preserve"> </w:t>
      </w:r>
      <w:r>
        <w:t xml:space="preserve">metabolite of midodrine, was </w:t>
      </w:r>
      <w:proofErr w:type="spellStart"/>
      <w:r>
        <w:t>catalyzed</w:t>
      </w:r>
      <w:proofErr w:type="spellEnd"/>
      <w:r>
        <w:t xml:space="preserve"> primarily by CYP 2D6.</w:t>
      </w:r>
      <w:r>
        <w:rPr>
          <w:spacing w:val="1"/>
        </w:rPr>
        <w:t xml:space="preserve"> </w:t>
      </w:r>
      <w:r>
        <w:t>CYP 1A2 and CYP2C19</w:t>
      </w:r>
      <w:r>
        <w:rPr>
          <w:spacing w:val="1"/>
        </w:rPr>
        <w:t xml:space="preserve"> </w:t>
      </w:r>
      <w:r>
        <w:t xml:space="preserve">were also found to catalyse formation of the </w:t>
      </w:r>
      <w:proofErr w:type="spellStart"/>
      <w:r>
        <w:t>desmethyl</w:t>
      </w:r>
      <w:proofErr w:type="spellEnd"/>
      <w:r>
        <w:t xml:space="preserve"> metabolite, although the activity was</w:t>
      </w:r>
      <w:r>
        <w:rPr>
          <w:spacing w:val="-57"/>
        </w:rPr>
        <w:t xml:space="preserve"> </w:t>
      </w:r>
      <w:r>
        <w:t>very low. Inhibitors of CYP2D6, such as quinidine, may enhance and prolong the activity of</w:t>
      </w:r>
      <w:r>
        <w:rPr>
          <w:spacing w:val="-57"/>
        </w:rPr>
        <w:t xml:space="preserve"> </w:t>
      </w:r>
      <w:proofErr w:type="spellStart"/>
      <w:r>
        <w:t>desglymidodrine</w:t>
      </w:r>
      <w:proofErr w:type="spellEnd"/>
      <w:r>
        <w:t>.</w:t>
      </w:r>
    </w:p>
    <w:p w14:paraId="0F41CFCE" w14:textId="77777777" w:rsidR="00E80455" w:rsidRDefault="000B3179" w:rsidP="004E577B">
      <w:pPr>
        <w:pStyle w:val="BodyText"/>
        <w:spacing w:after="240"/>
        <w:ind w:left="100" w:right="320"/>
      </w:pPr>
      <w:r>
        <w:t>Decreased clearance of medicinal products metabolised by CYP2D6 (e.g. promethazine) has</w:t>
      </w:r>
      <w:r>
        <w:rPr>
          <w:spacing w:val="-57"/>
        </w:rPr>
        <w:t xml:space="preserve"> </w:t>
      </w:r>
      <w:r>
        <w:t>been</w:t>
      </w:r>
      <w:r>
        <w:rPr>
          <w:spacing w:val="-1"/>
        </w:rPr>
        <w:t xml:space="preserve"> </w:t>
      </w:r>
      <w:r>
        <w:t>reported.</w:t>
      </w:r>
    </w:p>
    <w:p w14:paraId="6ACDBD5E" w14:textId="77777777" w:rsidR="00E80455" w:rsidRDefault="00E80455">
      <w:pPr>
        <w:sectPr w:rsidR="00E80455" w:rsidSect="004E577B">
          <w:pgSz w:w="11910" w:h="16840"/>
          <w:pgMar w:top="1340" w:right="1240" w:bottom="920" w:left="1340" w:header="170" w:footer="729" w:gutter="0"/>
          <w:cols w:space="720"/>
          <w:docGrid w:linePitch="299"/>
        </w:sectPr>
      </w:pPr>
    </w:p>
    <w:p w14:paraId="71E6AD71" w14:textId="77777777" w:rsidR="00E80455" w:rsidRDefault="000B3179">
      <w:pPr>
        <w:pStyle w:val="BodyText"/>
        <w:spacing w:before="82"/>
        <w:ind w:left="100" w:right="227"/>
      </w:pPr>
      <w:r>
        <w:lastRenderedPageBreak/>
        <w:t>It</w:t>
      </w:r>
      <w:r>
        <w:rPr>
          <w:spacing w:val="-2"/>
        </w:rPr>
        <w:t xml:space="preserve"> </w:t>
      </w:r>
      <w:r>
        <w:t>appears</w:t>
      </w:r>
      <w:r>
        <w:rPr>
          <w:spacing w:val="-2"/>
        </w:rPr>
        <w:t xml:space="preserve"> </w:t>
      </w:r>
      <w:r>
        <w:t>possible,</w:t>
      </w:r>
      <w:r>
        <w:rPr>
          <w:spacing w:val="-2"/>
        </w:rPr>
        <w:t xml:space="preserve"> </w:t>
      </w:r>
      <w:r>
        <w:t>although</w:t>
      </w:r>
      <w:r>
        <w:rPr>
          <w:spacing w:val="-2"/>
        </w:rPr>
        <w:t xml:space="preserve"> </w:t>
      </w:r>
      <w:r>
        <w:t>there</w:t>
      </w:r>
      <w:r>
        <w:rPr>
          <w:spacing w:val="-2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no</w:t>
      </w:r>
      <w:r>
        <w:rPr>
          <w:spacing w:val="-2"/>
        </w:rPr>
        <w:t xml:space="preserve"> </w:t>
      </w:r>
      <w:r>
        <w:t>supporting</w:t>
      </w:r>
      <w:r>
        <w:rPr>
          <w:spacing w:val="-3"/>
        </w:rPr>
        <w:t xml:space="preserve"> </w:t>
      </w:r>
      <w:r>
        <w:t>experimental</w:t>
      </w:r>
      <w:r>
        <w:rPr>
          <w:spacing w:val="-2"/>
        </w:rPr>
        <w:t xml:space="preserve"> </w:t>
      </w:r>
      <w:r>
        <w:t>evidence,</w:t>
      </w:r>
      <w:r>
        <w:rPr>
          <w:spacing w:val="1"/>
        </w:rPr>
        <w:t xml:space="preserve"> </w:t>
      </w:r>
      <w:r>
        <w:t>that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high</w:t>
      </w:r>
      <w:r>
        <w:rPr>
          <w:spacing w:val="-2"/>
        </w:rPr>
        <w:t xml:space="preserve"> </w:t>
      </w:r>
      <w:r>
        <w:t>renal</w:t>
      </w:r>
      <w:r>
        <w:rPr>
          <w:spacing w:val="-57"/>
        </w:rPr>
        <w:t xml:space="preserve"> </w:t>
      </w:r>
      <w:r>
        <w:t xml:space="preserve">clearance of </w:t>
      </w:r>
      <w:proofErr w:type="spellStart"/>
      <w:r>
        <w:t>desyglymidodrine</w:t>
      </w:r>
      <w:proofErr w:type="spellEnd"/>
      <w:r>
        <w:t xml:space="preserve"> (a base) is due to active tubular secretion by the base-</w:t>
      </w:r>
      <w:r>
        <w:rPr>
          <w:spacing w:val="1"/>
        </w:rPr>
        <w:t xml:space="preserve"> </w:t>
      </w:r>
      <w:r>
        <w:t>secreting system also responsible for the secretion of such drugs as metformin, cimetidine,</w:t>
      </w:r>
      <w:r>
        <w:rPr>
          <w:spacing w:val="1"/>
        </w:rPr>
        <w:t xml:space="preserve"> </w:t>
      </w:r>
      <w:r>
        <w:t>ranitidine, procainamide, triamterene, flecainide, and quinidine. Thus, there may be a</w:t>
      </w:r>
      <w:r>
        <w:rPr>
          <w:spacing w:val="1"/>
        </w:rPr>
        <w:t xml:space="preserve"> </w:t>
      </w:r>
      <w:r>
        <w:t>potential</w:t>
      </w:r>
      <w:r>
        <w:rPr>
          <w:spacing w:val="-1"/>
        </w:rPr>
        <w:t xml:space="preserve"> </w:t>
      </w:r>
      <w:r>
        <w:t>for drug-drug</w:t>
      </w:r>
      <w:r>
        <w:rPr>
          <w:spacing w:val="-1"/>
        </w:rPr>
        <w:t xml:space="preserve"> </w:t>
      </w:r>
      <w:r>
        <w:t>interactions with these</w:t>
      </w:r>
      <w:r>
        <w:rPr>
          <w:spacing w:val="-2"/>
        </w:rPr>
        <w:t xml:space="preserve"> </w:t>
      </w:r>
      <w:r>
        <w:t>drugs.</w:t>
      </w:r>
    </w:p>
    <w:p w14:paraId="3998B047" w14:textId="77777777" w:rsidR="00E80455" w:rsidRDefault="000B3179" w:rsidP="004E577B">
      <w:pPr>
        <w:pStyle w:val="ListParagraph"/>
        <w:numPr>
          <w:ilvl w:val="1"/>
          <w:numId w:val="3"/>
        </w:numPr>
        <w:tabs>
          <w:tab w:val="left" w:pos="779"/>
          <w:tab w:val="left" w:pos="780"/>
        </w:tabs>
        <w:spacing w:before="124" w:after="240" w:line="610" w:lineRule="atLeast"/>
        <w:ind w:left="100" w:right="4034" w:firstLine="0"/>
        <w:rPr>
          <w:b/>
        </w:rPr>
      </w:pPr>
      <w:bookmarkStart w:id="34" w:name="4.6_FERTILITY,_PREGNANCY_AND_LACTATION"/>
      <w:bookmarkEnd w:id="34"/>
      <w:r>
        <w:rPr>
          <w:b/>
        </w:rPr>
        <w:t>FERTILITY, PREGNANCY AND LACTATION</w:t>
      </w:r>
      <w:r>
        <w:rPr>
          <w:b/>
          <w:spacing w:val="-59"/>
        </w:rPr>
        <w:t xml:space="preserve"> </w:t>
      </w:r>
      <w:bookmarkStart w:id="35" w:name="Effects_on_fertility"/>
      <w:bookmarkEnd w:id="35"/>
      <w:r>
        <w:rPr>
          <w:b/>
        </w:rPr>
        <w:t>Effects</w:t>
      </w:r>
      <w:r>
        <w:rPr>
          <w:b/>
          <w:spacing w:val="-3"/>
        </w:rPr>
        <w:t xml:space="preserve"> </w:t>
      </w:r>
      <w:r>
        <w:rPr>
          <w:b/>
        </w:rPr>
        <w:t>on</w:t>
      </w:r>
      <w:r>
        <w:rPr>
          <w:b/>
          <w:spacing w:val="-3"/>
        </w:rPr>
        <w:t xml:space="preserve"> </w:t>
      </w:r>
      <w:r>
        <w:rPr>
          <w:b/>
        </w:rPr>
        <w:t>fertility</w:t>
      </w:r>
    </w:p>
    <w:p w14:paraId="301F47C5" w14:textId="77777777" w:rsidR="00E80455" w:rsidRDefault="000B3179" w:rsidP="004E577B">
      <w:pPr>
        <w:pStyle w:val="BodyText"/>
        <w:spacing w:after="240"/>
        <w:ind w:left="100"/>
      </w:pPr>
      <w:r>
        <w:t>Animal</w:t>
      </w:r>
      <w:r>
        <w:rPr>
          <w:spacing w:val="-4"/>
        </w:rPr>
        <w:t xml:space="preserve"> </w:t>
      </w:r>
      <w:r>
        <w:t>studies</w:t>
      </w:r>
      <w:r>
        <w:rPr>
          <w:spacing w:val="-2"/>
        </w:rPr>
        <w:t xml:space="preserve"> </w:t>
      </w:r>
      <w:r>
        <w:t>are</w:t>
      </w:r>
      <w:r>
        <w:rPr>
          <w:spacing w:val="-4"/>
        </w:rPr>
        <w:t xml:space="preserve"> </w:t>
      </w:r>
      <w:r>
        <w:t>insufficient</w:t>
      </w:r>
      <w:r>
        <w:rPr>
          <w:spacing w:val="-2"/>
        </w:rPr>
        <w:t xml:space="preserve"> </w:t>
      </w:r>
      <w:r>
        <w:t>with</w:t>
      </w:r>
      <w:r>
        <w:rPr>
          <w:spacing w:val="-2"/>
        </w:rPr>
        <w:t xml:space="preserve"> </w:t>
      </w:r>
      <w:r>
        <w:t>respect</w:t>
      </w:r>
      <w:r>
        <w:rPr>
          <w:spacing w:val="-3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assessment</w:t>
      </w:r>
      <w:r>
        <w:rPr>
          <w:spacing w:val="-3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fertility.</w:t>
      </w:r>
    </w:p>
    <w:p w14:paraId="19810CE4" w14:textId="77777777" w:rsidR="00E80455" w:rsidRDefault="000B3179" w:rsidP="004E577B">
      <w:pPr>
        <w:spacing w:after="240"/>
        <w:ind w:left="100"/>
        <w:rPr>
          <w:rFonts w:ascii="Arial" w:hAnsi="Arial"/>
          <w:b/>
        </w:rPr>
      </w:pPr>
      <w:bookmarkStart w:id="36" w:name="Use_in_pregnancy_–_Pregnancy_Category_C"/>
      <w:bookmarkEnd w:id="36"/>
      <w:r>
        <w:rPr>
          <w:rFonts w:ascii="Arial" w:hAnsi="Arial"/>
          <w:b/>
        </w:rPr>
        <w:t>Use</w:t>
      </w:r>
      <w:r>
        <w:rPr>
          <w:rFonts w:ascii="Arial" w:hAnsi="Arial"/>
          <w:b/>
          <w:spacing w:val="-3"/>
        </w:rPr>
        <w:t xml:space="preserve"> </w:t>
      </w:r>
      <w:r>
        <w:rPr>
          <w:rFonts w:ascii="Arial" w:hAnsi="Arial"/>
          <w:b/>
        </w:rPr>
        <w:t>in</w:t>
      </w:r>
      <w:r>
        <w:rPr>
          <w:rFonts w:ascii="Arial" w:hAnsi="Arial"/>
          <w:b/>
          <w:spacing w:val="-3"/>
        </w:rPr>
        <w:t xml:space="preserve"> </w:t>
      </w:r>
      <w:r>
        <w:rPr>
          <w:rFonts w:ascii="Arial" w:hAnsi="Arial"/>
          <w:b/>
        </w:rPr>
        <w:t>pregnancy</w:t>
      </w:r>
      <w:r>
        <w:rPr>
          <w:rFonts w:ascii="Arial" w:hAnsi="Arial"/>
          <w:b/>
          <w:spacing w:val="-3"/>
        </w:rPr>
        <w:t xml:space="preserve"> </w:t>
      </w:r>
      <w:r>
        <w:rPr>
          <w:rFonts w:ascii="Arial" w:hAnsi="Arial"/>
          <w:b/>
        </w:rPr>
        <w:t>–</w:t>
      </w:r>
      <w:r>
        <w:rPr>
          <w:rFonts w:ascii="Arial" w:hAnsi="Arial"/>
          <w:b/>
          <w:spacing w:val="-4"/>
        </w:rPr>
        <w:t xml:space="preserve"> </w:t>
      </w:r>
      <w:r>
        <w:rPr>
          <w:rFonts w:ascii="Arial" w:hAnsi="Arial"/>
          <w:b/>
        </w:rPr>
        <w:t>Pregnancy</w:t>
      </w:r>
      <w:r>
        <w:rPr>
          <w:rFonts w:ascii="Arial" w:hAnsi="Arial"/>
          <w:b/>
          <w:spacing w:val="-2"/>
        </w:rPr>
        <w:t xml:space="preserve"> </w:t>
      </w:r>
      <w:r>
        <w:rPr>
          <w:rFonts w:ascii="Arial" w:hAnsi="Arial"/>
          <w:b/>
        </w:rPr>
        <w:t>Category</w:t>
      </w:r>
      <w:r>
        <w:rPr>
          <w:rFonts w:ascii="Arial" w:hAnsi="Arial"/>
          <w:b/>
          <w:spacing w:val="-4"/>
        </w:rPr>
        <w:t xml:space="preserve"> </w:t>
      </w:r>
      <w:r>
        <w:rPr>
          <w:rFonts w:ascii="Arial" w:hAnsi="Arial"/>
          <w:b/>
        </w:rPr>
        <w:t>C</w:t>
      </w:r>
    </w:p>
    <w:p w14:paraId="32AE7813" w14:textId="77777777" w:rsidR="00E80455" w:rsidRDefault="000B3179" w:rsidP="004E577B">
      <w:pPr>
        <w:pStyle w:val="BodyText"/>
        <w:spacing w:before="1" w:after="240"/>
        <w:ind w:left="100" w:right="292"/>
      </w:pPr>
      <w:r>
        <w:t>There are no data from the use of midodrine hydrochloride in pregnant women. Studies in</w:t>
      </w:r>
      <w:r>
        <w:rPr>
          <w:spacing w:val="1"/>
        </w:rPr>
        <w:t xml:space="preserve"> </w:t>
      </w:r>
      <w:r>
        <w:t>animals have shown reproductive toxicity at maternally toxic doses. Midodrine increased the</w:t>
      </w:r>
      <w:r>
        <w:rPr>
          <w:spacing w:val="-57"/>
        </w:rPr>
        <w:t xml:space="preserve"> </w:t>
      </w:r>
      <w:r>
        <w:t>rate of embryo resorption, reduced foetal body weight in rats and rabbits, and decreased</w:t>
      </w:r>
      <w:r>
        <w:rPr>
          <w:spacing w:val="1"/>
        </w:rPr>
        <w:t xml:space="preserve"> </w:t>
      </w:r>
      <w:r>
        <w:t>foetal survival in rabbits when given in doses 13 (rat) and 7 (rabbit) times the maximum</w:t>
      </w:r>
      <w:r>
        <w:rPr>
          <w:spacing w:val="1"/>
        </w:rPr>
        <w:t xml:space="preserve"> </w:t>
      </w:r>
      <w:r>
        <w:t>human</w:t>
      </w:r>
      <w:r>
        <w:rPr>
          <w:spacing w:val="-1"/>
        </w:rPr>
        <w:t xml:space="preserve"> </w:t>
      </w:r>
      <w:r>
        <w:t>dose</w:t>
      </w:r>
      <w:r>
        <w:rPr>
          <w:spacing w:val="-2"/>
        </w:rPr>
        <w:t xml:space="preserve"> </w:t>
      </w:r>
      <w:r>
        <w:t>based on body surface</w:t>
      </w:r>
      <w:r>
        <w:rPr>
          <w:spacing w:val="-1"/>
        </w:rPr>
        <w:t xml:space="preserve"> </w:t>
      </w:r>
      <w:r>
        <w:t>area</w:t>
      </w:r>
      <w:r>
        <w:rPr>
          <w:spacing w:val="-1"/>
        </w:rPr>
        <w:t xml:space="preserve"> </w:t>
      </w:r>
      <w:r>
        <w:t>(mg/m</w:t>
      </w:r>
      <w:r>
        <w:rPr>
          <w:vertAlign w:val="superscript"/>
        </w:rPr>
        <w:t>2</w:t>
      </w:r>
      <w:r>
        <w:t>).</w:t>
      </w:r>
    </w:p>
    <w:p w14:paraId="6A41427F" w14:textId="77777777" w:rsidR="00E80455" w:rsidRDefault="000B3179" w:rsidP="004E577B">
      <w:pPr>
        <w:pStyle w:val="BodyText"/>
        <w:spacing w:before="240" w:after="240"/>
        <w:ind w:left="100" w:right="192"/>
      </w:pPr>
      <w:r>
        <w:t>MIDODRINE</w:t>
      </w:r>
      <w:r>
        <w:rPr>
          <w:spacing w:val="-3"/>
        </w:rPr>
        <w:t xml:space="preserve"> </w:t>
      </w:r>
      <w:r>
        <w:t>SCP 2.5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5</w:t>
      </w:r>
      <w:r>
        <w:rPr>
          <w:spacing w:val="-1"/>
        </w:rPr>
        <w:t xml:space="preserve"> </w:t>
      </w:r>
      <w:r>
        <w:t>mg</w:t>
      </w:r>
      <w:r>
        <w:rPr>
          <w:spacing w:val="-2"/>
        </w:rPr>
        <w:t xml:space="preserve"> </w:t>
      </w:r>
      <w:r>
        <w:t>tablets</w:t>
      </w:r>
      <w:r>
        <w:rPr>
          <w:spacing w:val="-1"/>
        </w:rPr>
        <w:t xml:space="preserve"> </w:t>
      </w:r>
      <w:r>
        <w:t>are</w:t>
      </w:r>
      <w:r>
        <w:rPr>
          <w:spacing w:val="-4"/>
        </w:rPr>
        <w:t xml:space="preserve"> </w:t>
      </w:r>
      <w:r>
        <w:t>not</w:t>
      </w:r>
      <w:r>
        <w:rPr>
          <w:spacing w:val="-1"/>
        </w:rPr>
        <w:t xml:space="preserve"> </w:t>
      </w:r>
      <w:r>
        <w:t>recommended</w:t>
      </w:r>
      <w:r>
        <w:rPr>
          <w:spacing w:val="-1"/>
        </w:rPr>
        <w:t xml:space="preserve"> </w:t>
      </w:r>
      <w:r>
        <w:t>during</w:t>
      </w:r>
      <w:r>
        <w:rPr>
          <w:spacing w:val="-2"/>
        </w:rPr>
        <w:t xml:space="preserve"> </w:t>
      </w:r>
      <w:r>
        <w:t>pregnancy</w:t>
      </w:r>
      <w:r>
        <w:rPr>
          <w:spacing w:val="-1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women</w:t>
      </w:r>
      <w:r>
        <w:rPr>
          <w:spacing w:val="-57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childbearing potential</w:t>
      </w:r>
      <w:r>
        <w:rPr>
          <w:spacing w:val="2"/>
        </w:rPr>
        <w:t xml:space="preserve"> </w:t>
      </w:r>
      <w:r>
        <w:t>not using contraception.</w:t>
      </w:r>
    </w:p>
    <w:p w14:paraId="0EC70215" w14:textId="77777777" w:rsidR="00E80455" w:rsidRDefault="000B3179" w:rsidP="004E577B">
      <w:pPr>
        <w:spacing w:before="1" w:after="240"/>
        <w:ind w:left="100"/>
        <w:rPr>
          <w:rFonts w:ascii="Arial"/>
          <w:b/>
        </w:rPr>
      </w:pPr>
      <w:bookmarkStart w:id="37" w:name="Use_in_lactation"/>
      <w:bookmarkEnd w:id="37"/>
      <w:r>
        <w:rPr>
          <w:rFonts w:ascii="Arial"/>
          <w:b/>
        </w:rPr>
        <w:t>Use</w:t>
      </w:r>
      <w:r>
        <w:rPr>
          <w:rFonts w:ascii="Arial"/>
          <w:b/>
          <w:spacing w:val="-2"/>
        </w:rPr>
        <w:t xml:space="preserve"> </w:t>
      </w:r>
      <w:r>
        <w:rPr>
          <w:rFonts w:ascii="Arial"/>
          <w:b/>
        </w:rPr>
        <w:t>in</w:t>
      </w:r>
      <w:r>
        <w:rPr>
          <w:rFonts w:ascii="Arial"/>
          <w:b/>
          <w:spacing w:val="-3"/>
        </w:rPr>
        <w:t xml:space="preserve"> </w:t>
      </w:r>
      <w:r>
        <w:rPr>
          <w:rFonts w:ascii="Arial"/>
          <w:b/>
        </w:rPr>
        <w:t>lactation</w:t>
      </w:r>
    </w:p>
    <w:p w14:paraId="52583B3A" w14:textId="77777777" w:rsidR="00E80455" w:rsidRDefault="000B3179" w:rsidP="004E577B">
      <w:pPr>
        <w:pStyle w:val="BodyText"/>
        <w:spacing w:before="1" w:after="240"/>
        <w:ind w:left="100"/>
      </w:pPr>
      <w:r>
        <w:t>It</w:t>
      </w:r>
      <w:r>
        <w:rPr>
          <w:spacing w:val="-1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unknown whether</w:t>
      </w:r>
      <w:r>
        <w:rPr>
          <w:spacing w:val="-3"/>
        </w:rPr>
        <w:t xml:space="preserve"> </w:t>
      </w:r>
      <w:r>
        <w:t>midodrine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its</w:t>
      </w:r>
      <w:r>
        <w:rPr>
          <w:spacing w:val="-2"/>
        </w:rPr>
        <w:t xml:space="preserve"> </w:t>
      </w:r>
      <w:r>
        <w:t>metabolites are</w:t>
      </w:r>
      <w:r>
        <w:rPr>
          <w:spacing w:val="-1"/>
        </w:rPr>
        <w:t xml:space="preserve"> </w:t>
      </w:r>
      <w:r>
        <w:t>excreted in</w:t>
      </w:r>
      <w:r>
        <w:rPr>
          <w:spacing w:val="-1"/>
        </w:rPr>
        <w:t xml:space="preserve"> </w:t>
      </w:r>
      <w:r>
        <w:t>human milk.</w:t>
      </w:r>
    </w:p>
    <w:p w14:paraId="72B923CF" w14:textId="77777777" w:rsidR="00E80455" w:rsidRDefault="000B3179" w:rsidP="004E577B">
      <w:pPr>
        <w:pStyle w:val="BodyText"/>
        <w:spacing w:after="240"/>
        <w:ind w:left="100" w:right="211"/>
      </w:pPr>
      <w:r>
        <w:t>A risk to newborns/infants cannot be excluded. MIDODRINE SCP 2.5 or 5 mg tablets should</w:t>
      </w:r>
      <w:r>
        <w:rPr>
          <w:spacing w:val="-57"/>
        </w:rPr>
        <w:t xml:space="preserve"> </w:t>
      </w:r>
      <w:r>
        <w:t>not</w:t>
      </w:r>
      <w:r>
        <w:rPr>
          <w:spacing w:val="-1"/>
        </w:rPr>
        <w:t xml:space="preserve"> </w:t>
      </w:r>
      <w:r>
        <w:t>be used during breastfeeding.</w:t>
      </w:r>
    </w:p>
    <w:p w14:paraId="5E4E584E" w14:textId="77777777" w:rsidR="00E80455" w:rsidRDefault="000B3179" w:rsidP="004E577B">
      <w:pPr>
        <w:pStyle w:val="ListParagraph"/>
        <w:numPr>
          <w:ilvl w:val="1"/>
          <w:numId w:val="3"/>
        </w:numPr>
        <w:tabs>
          <w:tab w:val="left" w:pos="779"/>
          <w:tab w:val="left" w:pos="780"/>
        </w:tabs>
        <w:spacing w:before="182" w:after="240"/>
        <w:rPr>
          <w:b/>
        </w:rPr>
      </w:pPr>
      <w:bookmarkStart w:id="38" w:name="4.7_EFFECTS_ON_ABILITY_TO_DRIVE_AND_USE_"/>
      <w:bookmarkEnd w:id="38"/>
      <w:r>
        <w:rPr>
          <w:b/>
        </w:rPr>
        <w:t>EFFECTS</w:t>
      </w:r>
      <w:r>
        <w:rPr>
          <w:b/>
          <w:spacing w:val="-4"/>
        </w:rPr>
        <w:t xml:space="preserve"> </w:t>
      </w:r>
      <w:r>
        <w:rPr>
          <w:b/>
        </w:rPr>
        <w:t>ON</w:t>
      </w:r>
      <w:r>
        <w:rPr>
          <w:b/>
          <w:spacing w:val="-4"/>
        </w:rPr>
        <w:t xml:space="preserve"> </w:t>
      </w:r>
      <w:r>
        <w:rPr>
          <w:b/>
        </w:rPr>
        <w:t>ABILITY</w:t>
      </w:r>
      <w:r>
        <w:rPr>
          <w:b/>
          <w:spacing w:val="-3"/>
        </w:rPr>
        <w:t xml:space="preserve"> </w:t>
      </w:r>
      <w:r>
        <w:rPr>
          <w:b/>
        </w:rPr>
        <w:t>TO DRIVE</w:t>
      </w:r>
      <w:r>
        <w:rPr>
          <w:b/>
          <w:spacing w:val="-4"/>
        </w:rPr>
        <w:t xml:space="preserve"> </w:t>
      </w:r>
      <w:r>
        <w:rPr>
          <w:b/>
        </w:rPr>
        <w:t>AND</w:t>
      </w:r>
      <w:r>
        <w:rPr>
          <w:b/>
          <w:spacing w:val="-4"/>
        </w:rPr>
        <w:t xml:space="preserve"> </w:t>
      </w:r>
      <w:r>
        <w:rPr>
          <w:b/>
        </w:rPr>
        <w:t>USE</w:t>
      </w:r>
      <w:r>
        <w:rPr>
          <w:b/>
          <w:spacing w:val="-1"/>
        </w:rPr>
        <w:t xml:space="preserve"> </w:t>
      </w:r>
      <w:r>
        <w:rPr>
          <w:b/>
        </w:rPr>
        <w:t>MACHINES</w:t>
      </w:r>
    </w:p>
    <w:p w14:paraId="22A9E1E0" w14:textId="77777777" w:rsidR="00E80455" w:rsidRDefault="000B3179" w:rsidP="004E577B">
      <w:pPr>
        <w:pStyle w:val="BodyText"/>
        <w:spacing w:after="240"/>
        <w:ind w:left="100" w:right="213"/>
      </w:pPr>
      <w:r>
        <w:t>MIDODRINE SCP 2.5 or 5 mg tablets have negligible influence on the ability to drive and</w:t>
      </w:r>
      <w:r>
        <w:rPr>
          <w:spacing w:val="1"/>
        </w:rPr>
        <w:t xml:space="preserve"> </w:t>
      </w:r>
      <w:r>
        <w:t>use machines. However, patients who experience dizziness or light-headedness should refrain</w:t>
      </w:r>
      <w:r>
        <w:rPr>
          <w:spacing w:val="-57"/>
        </w:rPr>
        <w:t xml:space="preserve"> </w:t>
      </w:r>
      <w:r>
        <w:t>from</w:t>
      </w:r>
      <w:r>
        <w:rPr>
          <w:spacing w:val="-1"/>
        </w:rPr>
        <w:t xml:space="preserve"> </w:t>
      </w:r>
      <w:r>
        <w:t>driving or</w:t>
      </w:r>
      <w:r>
        <w:rPr>
          <w:spacing w:val="-1"/>
        </w:rPr>
        <w:t xml:space="preserve"> </w:t>
      </w:r>
      <w:r>
        <w:t>operating machinery.</w:t>
      </w:r>
    </w:p>
    <w:p w14:paraId="6A4B0A64" w14:textId="77777777" w:rsidR="00E80455" w:rsidRDefault="000B3179" w:rsidP="004E577B">
      <w:pPr>
        <w:pStyle w:val="ListParagraph"/>
        <w:numPr>
          <w:ilvl w:val="1"/>
          <w:numId w:val="3"/>
        </w:numPr>
        <w:tabs>
          <w:tab w:val="left" w:pos="779"/>
          <w:tab w:val="left" w:pos="780"/>
        </w:tabs>
        <w:spacing w:before="125" w:after="240" w:line="610" w:lineRule="atLeast"/>
        <w:ind w:left="100" w:right="3558" w:firstLine="0"/>
        <w:rPr>
          <w:b/>
        </w:rPr>
      </w:pPr>
      <w:bookmarkStart w:id="39" w:name="4.8_ADVERSE_EFFECTS_(UNDESIRABLE_EFFECTS"/>
      <w:bookmarkEnd w:id="39"/>
      <w:r>
        <w:rPr>
          <w:b/>
        </w:rPr>
        <w:t>ADVERSE EFFECTS (UNDESIRABLE EFFECTS)</w:t>
      </w:r>
      <w:r>
        <w:rPr>
          <w:b/>
          <w:spacing w:val="-59"/>
        </w:rPr>
        <w:t xml:space="preserve"> </w:t>
      </w:r>
      <w:bookmarkStart w:id="40" w:name="Clinical_trial_experience"/>
      <w:bookmarkEnd w:id="40"/>
      <w:r>
        <w:rPr>
          <w:b/>
        </w:rPr>
        <w:t>Clinical</w:t>
      </w:r>
      <w:r>
        <w:rPr>
          <w:b/>
          <w:spacing w:val="-2"/>
        </w:rPr>
        <w:t xml:space="preserve"> </w:t>
      </w:r>
      <w:r>
        <w:rPr>
          <w:b/>
        </w:rPr>
        <w:t>trial</w:t>
      </w:r>
      <w:r>
        <w:rPr>
          <w:b/>
          <w:spacing w:val="-1"/>
        </w:rPr>
        <w:t xml:space="preserve"> </w:t>
      </w:r>
      <w:r>
        <w:rPr>
          <w:b/>
        </w:rPr>
        <w:t>experience</w:t>
      </w:r>
    </w:p>
    <w:p w14:paraId="6A181A92" w14:textId="77777777" w:rsidR="00E80455" w:rsidRDefault="000B3179" w:rsidP="004E577B">
      <w:pPr>
        <w:pStyle w:val="BodyText"/>
        <w:spacing w:after="240"/>
        <w:ind w:left="100" w:right="225"/>
      </w:pPr>
      <w:r>
        <w:t>The most frequent adverse effects from the Phase III clinical study (Low 1997</w:t>
      </w:r>
      <w:r>
        <w:rPr>
          <w:color w:val="0000FF"/>
          <w:position w:val="6"/>
          <w:sz w:val="12"/>
        </w:rPr>
        <w:t>1</w:t>
      </w:r>
      <w:r>
        <w:t>) were</w:t>
      </w:r>
      <w:r>
        <w:rPr>
          <w:spacing w:val="1"/>
        </w:rPr>
        <w:t xml:space="preserve"> </w:t>
      </w:r>
      <w:r>
        <w:t>pilomotor reactions and supine hypertension. The midodrine group had a significantly greater</w:t>
      </w:r>
      <w:r>
        <w:rPr>
          <w:spacing w:val="-57"/>
        </w:rPr>
        <w:t xml:space="preserve"> </w:t>
      </w:r>
      <w:r>
        <w:t>frequency of overall adverse events than placebo (p=0.001). The most common adverse</w:t>
      </w:r>
      <w:r>
        <w:rPr>
          <w:spacing w:val="1"/>
        </w:rPr>
        <w:t xml:space="preserve"> </w:t>
      </w:r>
      <w:r>
        <w:t>reactions of midodrine treatment resulting in discontinuation from the study were pilomotor</w:t>
      </w:r>
      <w:r>
        <w:rPr>
          <w:spacing w:val="1"/>
        </w:rPr>
        <w:t xml:space="preserve"> </w:t>
      </w:r>
      <w:r>
        <w:t>reactions</w:t>
      </w:r>
      <w:r>
        <w:rPr>
          <w:spacing w:val="-1"/>
        </w:rPr>
        <w:t xml:space="preserve"> </w:t>
      </w:r>
      <w:r>
        <w:t>(n=3),</w:t>
      </w:r>
      <w:r>
        <w:rPr>
          <w:spacing w:val="-1"/>
        </w:rPr>
        <w:t xml:space="preserve"> </w:t>
      </w:r>
      <w:r>
        <w:t>urinary urgency</w:t>
      </w:r>
      <w:r>
        <w:rPr>
          <w:spacing w:val="-1"/>
        </w:rPr>
        <w:t xml:space="preserve"> </w:t>
      </w:r>
      <w:r>
        <w:t>or frequency (n=7)</w:t>
      </w:r>
      <w:r>
        <w:rPr>
          <w:spacing w:val="-1"/>
        </w:rPr>
        <w:t xml:space="preserve"> </w:t>
      </w:r>
      <w:r>
        <w:t>and supine</w:t>
      </w:r>
      <w:r>
        <w:rPr>
          <w:spacing w:val="-2"/>
        </w:rPr>
        <w:t xml:space="preserve"> </w:t>
      </w:r>
      <w:r>
        <w:t>hypertension</w:t>
      </w:r>
      <w:r>
        <w:rPr>
          <w:spacing w:val="-1"/>
        </w:rPr>
        <w:t xml:space="preserve"> </w:t>
      </w:r>
      <w:r>
        <w:t>(n=5).</w:t>
      </w:r>
    </w:p>
    <w:p w14:paraId="212F6FBE" w14:textId="77777777" w:rsidR="00E80455" w:rsidRDefault="000B3179" w:rsidP="004E577B">
      <w:pPr>
        <w:pStyle w:val="BodyText"/>
        <w:spacing w:before="6" w:after="240"/>
        <w:rPr>
          <w:sz w:val="13"/>
        </w:rPr>
      </w:pPr>
      <w:r>
        <w:pict w14:anchorId="4C523CF4">
          <v:rect id="docshape4" o:spid="_x0000_s2053" style="position:absolute;margin-left:1in;margin-top:9pt;width:2in;height:.6pt;z-index:-15728640;mso-wrap-distance-left:0;mso-wrap-distance-right:0;mso-position-horizontal-relative:page" fillcolor="black" stroked="f">
            <w10:wrap type="topAndBottom" anchorx="page"/>
          </v:rect>
        </w:pict>
      </w:r>
    </w:p>
    <w:p w14:paraId="33DE8F29" w14:textId="77777777" w:rsidR="00E80455" w:rsidRDefault="000B3179" w:rsidP="004E577B">
      <w:pPr>
        <w:spacing w:before="123" w:after="240"/>
        <w:ind w:left="213" w:right="211" w:hanging="113"/>
        <w:rPr>
          <w:sz w:val="20"/>
        </w:rPr>
      </w:pPr>
      <w:r>
        <w:rPr>
          <w:color w:val="0000FF"/>
          <w:position w:val="6"/>
          <w:sz w:val="12"/>
        </w:rPr>
        <w:t xml:space="preserve">1 </w:t>
      </w:r>
      <w:r>
        <w:rPr>
          <w:sz w:val="20"/>
        </w:rPr>
        <w:t xml:space="preserve">Low PA, </w:t>
      </w:r>
      <w:proofErr w:type="spellStart"/>
      <w:r>
        <w:rPr>
          <w:sz w:val="20"/>
        </w:rPr>
        <w:t>Gilden</w:t>
      </w:r>
      <w:proofErr w:type="spellEnd"/>
      <w:r>
        <w:rPr>
          <w:sz w:val="20"/>
        </w:rPr>
        <w:t xml:space="preserve"> JL, Freeman R, et al. Efficacy of midodrine vs placebo in neurogenic orthostatic hypotension.</w:t>
      </w:r>
      <w:r>
        <w:rPr>
          <w:spacing w:val="-47"/>
          <w:sz w:val="20"/>
        </w:rPr>
        <w:t xml:space="preserve"> </w:t>
      </w:r>
      <w:r>
        <w:rPr>
          <w:sz w:val="20"/>
        </w:rPr>
        <w:t>A</w:t>
      </w:r>
      <w:r>
        <w:rPr>
          <w:spacing w:val="-1"/>
          <w:sz w:val="20"/>
        </w:rPr>
        <w:t xml:space="preserve"> </w:t>
      </w:r>
      <w:r>
        <w:rPr>
          <w:sz w:val="20"/>
        </w:rPr>
        <w:t>randomized,</w:t>
      </w:r>
      <w:r>
        <w:rPr>
          <w:spacing w:val="-1"/>
          <w:sz w:val="20"/>
        </w:rPr>
        <w:t xml:space="preserve"> </w:t>
      </w:r>
      <w:r>
        <w:rPr>
          <w:sz w:val="20"/>
        </w:rPr>
        <w:t>double-blind</w:t>
      </w:r>
      <w:r>
        <w:rPr>
          <w:spacing w:val="-2"/>
          <w:sz w:val="20"/>
        </w:rPr>
        <w:t xml:space="preserve"> </w:t>
      </w:r>
      <w:proofErr w:type="spellStart"/>
      <w:r>
        <w:rPr>
          <w:sz w:val="20"/>
        </w:rPr>
        <w:t>multicenter</w:t>
      </w:r>
      <w:proofErr w:type="spellEnd"/>
      <w:r>
        <w:rPr>
          <w:sz w:val="20"/>
        </w:rPr>
        <w:t xml:space="preserve"> study.</w:t>
      </w:r>
      <w:r>
        <w:rPr>
          <w:spacing w:val="-1"/>
          <w:sz w:val="20"/>
        </w:rPr>
        <w:t xml:space="preserve"> </w:t>
      </w:r>
      <w:r>
        <w:rPr>
          <w:sz w:val="20"/>
        </w:rPr>
        <w:t>Midodrine</w:t>
      </w:r>
      <w:r>
        <w:rPr>
          <w:spacing w:val="-3"/>
          <w:sz w:val="20"/>
        </w:rPr>
        <w:t xml:space="preserve"> </w:t>
      </w:r>
      <w:r>
        <w:rPr>
          <w:sz w:val="20"/>
        </w:rPr>
        <w:t>Study Group. JAMA</w:t>
      </w:r>
      <w:r>
        <w:rPr>
          <w:spacing w:val="-1"/>
          <w:sz w:val="20"/>
        </w:rPr>
        <w:t xml:space="preserve"> </w:t>
      </w:r>
      <w:proofErr w:type="gramStart"/>
      <w:r>
        <w:rPr>
          <w:sz w:val="20"/>
        </w:rPr>
        <w:t>1997;277:1046</w:t>
      </w:r>
      <w:proofErr w:type="gramEnd"/>
      <w:r>
        <w:rPr>
          <w:sz w:val="20"/>
        </w:rPr>
        <w:t>-1051.</w:t>
      </w:r>
    </w:p>
    <w:p w14:paraId="7C26E824" w14:textId="77777777" w:rsidR="00E80455" w:rsidRDefault="00E80455">
      <w:pPr>
        <w:rPr>
          <w:sz w:val="20"/>
        </w:rPr>
        <w:sectPr w:rsidR="00E80455" w:rsidSect="004E577B">
          <w:pgSz w:w="11910" w:h="16840"/>
          <w:pgMar w:top="1340" w:right="1240" w:bottom="920" w:left="1340" w:header="170" w:footer="729" w:gutter="0"/>
          <w:cols w:space="720"/>
          <w:docGrid w:linePitch="299"/>
        </w:sectPr>
      </w:pPr>
    </w:p>
    <w:p w14:paraId="7BA49B85" w14:textId="77777777" w:rsidR="00E80455" w:rsidRDefault="000B3179">
      <w:pPr>
        <w:spacing w:before="84"/>
        <w:ind w:left="4132" w:right="360" w:hanging="3860"/>
        <w:rPr>
          <w:b/>
          <w:sz w:val="20"/>
        </w:rPr>
      </w:pPr>
      <w:r>
        <w:rPr>
          <w:b/>
          <w:sz w:val="20"/>
        </w:rPr>
        <w:lastRenderedPageBreak/>
        <w:t>Table 1 - Summary of the most frequently occurring adverse events from the published Phase III trial</w:t>
      </w:r>
      <w:r>
        <w:rPr>
          <w:b/>
          <w:spacing w:val="-47"/>
          <w:sz w:val="20"/>
        </w:rPr>
        <w:t xml:space="preserve"> </w:t>
      </w:r>
      <w:r>
        <w:rPr>
          <w:b/>
          <w:sz w:val="20"/>
        </w:rPr>
        <w:t>(Low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1997)</w:t>
      </w:r>
    </w:p>
    <w:p w14:paraId="74EF33A0" w14:textId="77777777" w:rsidR="00E80455" w:rsidRDefault="00E80455">
      <w:pPr>
        <w:pStyle w:val="BodyText"/>
        <w:spacing w:before="5"/>
        <w:rPr>
          <w:b/>
          <w:sz w:val="10"/>
        </w:rPr>
      </w:pPr>
    </w:p>
    <w:tbl>
      <w:tblPr>
        <w:tblW w:w="0" w:type="auto"/>
        <w:tblInd w:w="86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727"/>
        <w:gridCol w:w="2391"/>
        <w:gridCol w:w="2394"/>
      </w:tblGrid>
      <w:tr w:rsidR="00E80455" w14:paraId="32784632" w14:textId="77777777">
        <w:trPr>
          <w:trHeight w:val="383"/>
        </w:trPr>
        <w:tc>
          <w:tcPr>
            <w:tcW w:w="2727" w:type="dxa"/>
            <w:vMerge w:val="restart"/>
          </w:tcPr>
          <w:p w14:paraId="179C7A23" w14:textId="77777777" w:rsidR="00E80455" w:rsidRDefault="000B3179">
            <w:pPr>
              <w:pStyle w:val="TableParagraph"/>
              <w:spacing w:before="60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Adverse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events</w:t>
            </w:r>
          </w:p>
        </w:tc>
        <w:tc>
          <w:tcPr>
            <w:tcW w:w="4785" w:type="dxa"/>
            <w:gridSpan w:val="2"/>
          </w:tcPr>
          <w:p w14:paraId="690651AD" w14:textId="77777777" w:rsidR="00E80455" w:rsidRDefault="000B3179">
            <w:pPr>
              <w:pStyle w:val="TableParagraph"/>
              <w:spacing w:before="60"/>
              <w:ind w:left="1363"/>
              <w:rPr>
                <w:b/>
                <w:sz w:val="20"/>
              </w:rPr>
            </w:pPr>
            <w:r>
              <w:rPr>
                <w:b/>
                <w:sz w:val="20"/>
              </w:rPr>
              <w:t>Number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(%)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of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subjects</w:t>
            </w:r>
          </w:p>
        </w:tc>
      </w:tr>
      <w:tr w:rsidR="00E80455" w14:paraId="64721D86" w14:textId="77777777">
        <w:trPr>
          <w:trHeight w:val="383"/>
        </w:trPr>
        <w:tc>
          <w:tcPr>
            <w:tcW w:w="2727" w:type="dxa"/>
            <w:vMerge/>
            <w:tcBorders>
              <w:top w:val="nil"/>
            </w:tcBorders>
          </w:tcPr>
          <w:p w14:paraId="4B29B8AA" w14:textId="77777777" w:rsidR="00E80455" w:rsidRDefault="00E80455">
            <w:pPr>
              <w:rPr>
                <w:sz w:val="2"/>
                <w:szCs w:val="2"/>
              </w:rPr>
            </w:pPr>
          </w:p>
        </w:tc>
        <w:tc>
          <w:tcPr>
            <w:tcW w:w="2391" w:type="dxa"/>
          </w:tcPr>
          <w:p w14:paraId="1A9E3D0F" w14:textId="77777777" w:rsidR="00E80455" w:rsidRDefault="000B3179">
            <w:pPr>
              <w:pStyle w:val="TableParagraph"/>
              <w:spacing w:before="60"/>
              <w:ind w:left="415" w:right="411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Midodrine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(n=82)</w:t>
            </w:r>
          </w:p>
        </w:tc>
        <w:tc>
          <w:tcPr>
            <w:tcW w:w="2394" w:type="dxa"/>
          </w:tcPr>
          <w:p w14:paraId="4399201F" w14:textId="77777777" w:rsidR="00E80455" w:rsidRDefault="000B3179">
            <w:pPr>
              <w:pStyle w:val="TableParagraph"/>
              <w:spacing w:before="60"/>
              <w:ind w:left="540" w:right="531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Placebo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(n=89)</w:t>
            </w:r>
          </w:p>
        </w:tc>
      </w:tr>
      <w:tr w:rsidR="00E80455" w14:paraId="61117E2C" w14:textId="77777777">
        <w:trPr>
          <w:trHeight w:val="386"/>
        </w:trPr>
        <w:tc>
          <w:tcPr>
            <w:tcW w:w="2727" w:type="dxa"/>
          </w:tcPr>
          <w:p w14:paraId="08E39CD6" w14:textId="77777777" w:rsidR="00E80455" w:rsidRDefault="000B3179">
            <w:pPr>
              <w:pStyle w:val="TableParagraph"/>
              <w:spacing w:before="62"/>
              <w:ind w:left="107"/>
              <w:rPr>
                <w:sz w:val="20"/>
              </w:rPr>
            </w:pPr>
            <w:r>
              <w:rPr>
                <w:sz w:val="20"/>
              </w:rPr>
              <w:t>Piloerection</w:t>
            </w:r>
          </w:p>
        </w:tc>
        <w:tc>
          <w:tcPr>
            <w:tcW w:w="2391" w:type="dxa"/>
          </w:tcPr>
          <w:p w14:paraId="1F047A96" w14:textId="77777777" w:rsidR="00E80455" w:rsidRDefault="000B3179">
            <w:pPr>
              <w:pStyle w:val="TableParagraph"/>
              <w:spacing w:before="62"/>
              <w:ind w:left="415" w:right="408"/>
              <w:jc w:val="center"/>
              <w:rPr>
                <w:sz w:val="20"/>
              </w:rPr>
            </w:pPr>
            <w:r>
              <w:rPr>
                <w:sz w:val="20"/>
              </w:rPr>
              <w:t>11 (13)</w:t>
            </w:r>
          </w:p>
        </w:tc>
        <w:tc>
          <w:tcPr>
            <w:tcW w:w="2394" w:type="dxa"/>
          </w:tcPr>
          <w:p w14:paraId="09DF92DA" w14:textId="77777777" w:rsidR="00E80455" w:rsidRDefault="000B3179">
            <w:pPr>
              <w:pStyle w:val="TableParagraph"/>
              <w:spacing w:before="62"/>
              <w:ind w:left="537" w:right="531"/>
              <w:jc w:val="center"/>
              <w:rPr>
                <w:sz w:val="20"/>
              </w:rPr>
            </w:pPr>
            <w:r>
              <w:rPr>
                <w:sz w:val="20"/>
              </w:rPr>
              <w:t>0 (0)</w:t>
            </w:r>
          </w:p>
        </w:tc>
      </w:tr>
      <w:tr w:rsidR="00E80455" w14:paraId="5A796A18" w14:textId="77777777">
        <w:trPr>
          <w:trHeight w:val="383"/>
        </w:trPr>
        <w:tc>
          <w:tcPr>
            <w:tcW w:w="2727" w:type="dxa"/>
          </w:tcPr>
          <w:p w14:paraId="77225B09" w14:textId="77777777" w:rsidR="00E80455" w:rsidRDefault="000B3179">
            <w:pPr>
              <w:pStyle w:val="TableParagraph"/>
              <w:spacing w:before="60"/>
              <w:ind w:left="107"/>
              <w:rPr>
                <w:sz w:val="20"/>
              </w:rPr>
            </w:pPr>
            <w:r>
              <w:rPr>
                <w:sz w:val="20"/>
              </w:rPr>
              <w:t>Pruritus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(scalp)</w:t>
            </w:r>
          </w:p>
        </w:tc>
        <w:tc>
          <w:tcPr>
            <w:tcW w:w="2391" w:type="dxa"/>
          </w:tcPr>
          <w:p w14:paraId="7C0B6E8A" w14:textId="77777777" w:rsidR="00E80455" w:rsidRDefault="000B3179">
            <w:pPr>
              <w:pStyle w:val="TableParagraph"/>
              <w:spacing w:before="60"/>
              <w:ind w:left="415" w:right="408"/>
              <w:jc w:val="center"/>
              <w:rPr>
                <w:sz w:val="20"/>
              </w:rPr>
            </w:pPr>
            <w:r>
              <w:rPr>
                <w:sz w:val="20"/>
              </w:rPr>
              <w:t>8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(10)</w:t>
            </w:r>
          </w:p>
        </w:tc>
        <w:tc>
          <w:tcPr>
            <w:tcW w:w="2394" w:type="dxa"/>
          </w:tcPr>
          <w:p w14:paraId="5D9C9127" w14:textId="77777777" w:rsidR="00E80455" w:rsidRDefault="000B3179">
            <w:pPr>
              <w:pStyle w:val="TableParagraph"/>
              <w:spacing w:before="60"/>
              <w:ind w:left="537" w:right="531"/>
              <w:jc w:val="center"/>
              <w:rPr>
                <w:sz w:val="20"/>
              </w:rPr>
            </w:pPr>
            <w:r>
              <w:rPr>
                <w:sz w:val="20"/>
              </w:rPr>
              <w:t>2 (2)</w:t>
            </w:r>
          </w:p>
        </w:tc>
      </w:tr>
      <w:tr w:rsidR="00E80455" w14:paraId="38E40FD0" w14:textId="77777777">
        <w:trPr>
          <w:trHeight w:val="383"/>
        </w:trPr>
        <w:tc>
          <w:tcPr>
            <w:tcW w:w="2727" w:type="dxa"/>
          </w:tcPr>
          <w:p w14:paraId="7EE80E41" w14:textId="77777777" w:rsidR="00E80455" w:rsidRDefault="000B3179">
            <w:pPr>
              <w:pStyle w:val="TableParagraph"/>
              <w:spacing w:before="60"/>
              <w:ind w:left="107"/>
              <w:rPr>
                <w:sz w:val="20"/>
              </w:rPr>
            </w:pPr>
            <w:proofErr w:type="spellStart"/>
            <w:r>
              <w:rPr>
                <w:sz w:val="20"/>
              </w:rPr>
              <w:t>Paresthesia</w:t>
            </w:r>
            <w:proofErr w:type="spellEnd"/>
          </w:p>
        </w:tc>
        <w:tc>
          <w:tcPr>
            <w:tcW w:w="2391" w:type="dxa"/>
          </w:tcPr>
          <w:p w14:paraId="2777D744" w14:textId="77777777" w:rsidR="00E80455" w:rsidRDefault="000B3179">
            <w:pPr>
              <w:pStyle w:val="TableParagraph"/>
              <w:spacing w:before="60"/>
              <w:ind w:left="415" w:right="411"/>
              <w:jc w:val="center"/>
              <w:rPr>
                <w:sz w:val="20"/>
              </w:rPr>
            </w:pPr>
            <w:r>
              <w:rPr>
                <w:sz w:val="20"/>
              </w:rPr>
              <w:t>7 (9)</w:t>
            </w:r>
          </w:p>
        </w:tc>
        <w:tc>
          <w:tcPr>
            <w:tcW w:w="2394" w:type="dxa"/>
          </w:tcPr>
          <w:p w14:paraId="3B8A04B9" w14:textId="77777777" w:rsidR="00E80455" w:rsidRDefault="000B3179">
            <w:pPr>
              <w:pStyle w:val="TableParagraph"/>
              <w:spacing w:before="60"/>
              <w:ind w:left="537" w:right="531"/>
              <w:jc w:val="center"/>
              <w:rPr>
                <w:sz w:val="20"/>
              </w:rPr>
            </w:pPr>
            <w:r>
              <w:rPr>
                <w:sz w:val="20"/>
              </w:rPr>
              <w:t>3 (3)</w:t>
            </w:r>
          </w:p>
        </w:tc>
      </w:tr>
      <w:tr w:rsidR="00E80455" w14:paraId="605651AA" w14:textId="77777777">
        <w:trPr>
          <w:trHeight w:val="386"/>
        </w:trPr>
        <w:tc>
          <w:tcPr>
            <w:tcW w:w="2727" w:type="dxa"/>
          </w:tcPr>
          <w:p w14:paraId="203F79E7" w14:textId="77777777" w:rsidR="00E80455" w:rsidRDefault="000B3179">
            <w:pPr>
              <w:pStyle w:val="TableParagraph"/>
              <w:spacing w:before="62"/>
              <w:ind w:left="107"/>
              <w:rPr>
                <w:sz w:val="20"/>
              </w:rPr>
            </w:pPr>
            <w:proofErr w:type="spellStart"/>
            <w:r>
              <w:rPr>
                <w:sz w:val="20"/>
              </w:rPr>
              <w:t>Paresthesia</w:t>
            </w:r>
            <w:proofErr w:type="spellEnd"/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(scalp)</w:t>
            </w:r>
          </w:p>
        </w:tc>
        <w:tc>
          <w:tcPr>
            <w:tcW w:w="2391" w:type="dxa"/>
          </w:tcPr>
          <w:p w14:paraId="3E345681" w14:textId="77777777" w:rsidR="00E80455" w:rsidRDefault="000B3179">
            <w:pPr>
              <w:pStyle w:val="TableParagraph"/>
              <w:spacing w:before="62"/>
              <w:ind w:left="415" w:right="411"/>
              <w:jc w:val="center"/>
              <w:rPr>
                <w:sz w:val="20"/>
              </w:rPr>
            </w:pPr>
            <w:r>
              <w:rPr>
                <w:sz w:val="20"/>
              </w:rPr>
              <w:t>7 (9)</w:t>
            </w:r>
          </w:p>
        </w:tc>
        <w:tc>
          <w:tcPr>
            <w:tcW w:w="2394" w:type="dxa"/>
          </w:tcPr>
          <w:p w14:paraId="78E7668E" w14:textId="77777777" w:rsidR="00E80455" w:rsidRDefault="000B3179">
            <w:pPr>
              <w:pStyle w:val="TableParagraph"/>
              <w:spacing w:before="62"/>
              <w:ind w:left="537" w:right="531"/>
              <w:jc w:val="center"/>
              <w:rPr>
                <w:sz w:val="20"/>
              </w:rPr>
            </w:pPr>
            <w:r>
              <w:rPr>
                <w:sz w:val="20"/>
              </w:rPr>
              <w:t>1 (1)</w:t>
            </w:r>
          </w:p>
        </w:tc>
      </w:tr>
      <w:tr w:rsidR="00E80455" w14:paraId="25065965" w14:textId="77777777">
        <w:trPr>
          <w:trHeight w:val="384"/>
        </w:trPr>
        <w:tc>
          <w:tcPr>
            <w:tcW w:w="2727" w:type="dxa"/>
          </w:tcPr>
          <w:p w14:paraId="6A87DF2A" w14:textId="77777777" w:rsidR="00E80455" w:rsidRDefault="000B3179">
            <w:pPr>
              <w:pStyle w:val="TableParagraph"/>
              <w:spacing w:before="60"/>
              <w:ind w:left="107"/>
              <w:rPr>
                <w:sz w:val="20"/>
              </w:rPr>
            </w:pPr>
            <w:r>
              <w:rPr>
                <w:sz w:val="20"/>
              </w:rPr>
              <w:t>Urinary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retention</w:t>
            </w:r>
          </w:p>
        </w:tc>
        <w:tc>
          <w:tcPr>
            <w:tcW w:w="2391" w:type="dxa"/>
          </w:tcPr>
          <w:p w14:paraId="79894A7C" w14:textId="77777777" w:rsidR="00E80455" w:rsidRDefault="000B3179">
            <w:pPr>
              <w:pStyle w:val="TableParagraph"/>
              <w:spacing w:before="60"/>
              <w:ind w:left="415" w:right="411"/>
              <w:jc w:val="center"/>
              <w:rPr>
                <w:sz w:val="20"/>
              </w:rPr>
            </w:pPr>
            <w:r>
              <w:rPr>
                <w:sz w:val="20"/>
              </w:rPr>
              <w:t>5 (6)</w:t>
            </w:r>
          </w:p>
        </w:tc>
        <w:tc>
          <w:tcPr>
            <w:tcW w:w="2394" w:type="dxa"/>
          </w:tcPr>
          <w:p w14:paraId="22FB7D65" w14:textId="77777777" w:rsidR="00E80455" w:rsidRDefault="000B3179">
            <w:pPr>
              <w:pStyle w:val="TableParagraph"/>
              <w:spacing w:before="60"/>
              <w:ind w:left="537" w:right="531"/>
              <w:jc w:val="center"/>
              <w:rPr>
                <w:sz w:val="20"/>
              </w:rPr>
            </w:pPr>
            <w:r>
              <w:rPr>
                <w:sz w:val="20"/>
              </w:rPr>
              <w:t>0 (0)</w:t>
            </w:r>
          </w:p>
        </w:tc>
      </w:tr>
      <w:tr w:rsidR="00E80455" w14:paraId="70A180D2" w14:textId="77777777">
        <w:trPr>
          <w:trHeight w:val="386"/>
        </w:trPr>
        <w:tc>
          <w:tcPr>
            <w:tcW w:w="2727" w:type="dxa"/>
          </w:tcPr>
          <w:p w14:paraId="7FA03906" w14:textId="77777777" w:rsidR="00E80455" w:rsidRDefault="000B3179">
            <w:pPr>
              <w:pStyle w:val="TableParagraph"/>
              <w:spacing w:before="60"/>
              <w:ind w:left="107"/>
              <w:rPr>
                <w:sz w:val="20"/>
              </w:rPr>
            </w:pPr>
            <w:r>
              <w:rPr>
                <w:sz w:val="20"/>
              </w:rPr>
              <w:t>Chills</w:t>
            </w:r>
          </w:p>
        </w:tc>
        <w:tc>
          <w:tcPr>
            <w:tcW w:w="2391" w:type="dxa"/>
          </w:tcPr>
          <w:p w14:paraId="40B8AA5E" w14:textId="77777777" w:rsidR="00E80455" w:rsidRDefault="000B3179">
            <w:pPr>
              <w:pStyle w:val="TableParagraph"/>
              <w:spacing w:before="60"/>
              <w:ind w:left="415" w:right="411"/>
              <w:jc w:val="center"/>
              <w:rPr>
                <w:sz w:val="20"/>
              </w:rPr>
            </w:pPr>
            <w:r>
              <w:rPr>
                <w:sz w:val="20"/>
              </w:rPr>
              <w:t>4 (5)</w:t>
            </w:r>
          </w:p>
        </w:tc>
        <w:tc>
          <w:tcPr>
            <w:tcW w:w="2394" w:type="dxa"/>
          </w:tcPr>
          <w:p w14:paraId="076CB67D" w14:textId="77777777" w:rsidR="00E80455" w:rsidRDefault="000B3179">
            <w:pPr>
              <w:pStyle w:val="TableParagraph"/>
              <w:spacing w:before="60"/>
              <w:ind w:left="537" w:right="531"/>
              <w:jc w:val="center"/>
              <w:rPr>
                <w:sz w:val="20"/>
              </w:rPr>
            </w:pPr>
            <w:r>
              <w:rPr>
                <w:sz w:val="20"/>
              </w:rPr>
              <w:t>0 (0)</w:t>
            </w:r>
          </w:p>
        </w:tc>
      </w:tr>
      <w:tr w:rsidR="00E80455" w14:paraId="2CE98060" w14:textId="77777777">
        <w:trPr>
          <w:trHeight w:val="383"/>
        </w:trPr>
        <w:tc>
          <w:tcPr>
            <w:tcW w:w="2727" w:type="dxa"/>
          </w:tcPr>
          <w:p w14:paraId="7ED7E6F4" w14:textId="77777777" w:rsidR="00E80455" w:rsidRDefault="000B3179">
            <w:pPr>
              <w:pStyle w:val="TableParagraph"/>
              <w:spacing w:before="60"/>
              <w:ind w:left="107"/>
              <w:rPr>
                <w:sz w:val="20"/>
              </w:rPr>
            </w:pPr>
            <w:r>
              <w:rPr>
                <w:sz w:val="20"/>
              </w:rPr>
              <w:t>Supine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hypertension</w:t>
            </w:r>
          </w:p>
        </w:tc>
        <w:tc>
          <w:tcPr>
            <w:tcW w:w="2391" w:type="dxa"/>
          </w:tcPr>
          <w:p w14:paraId="3BC429C8" w14:textId="77777777" w:rsidR="00E80455" w:rsidRDefault="000B3179">
            <w:pPr>
              <w:pStyle w:val="TableParagraph"/>
              <w:spacing w:before="60"/>
              <w:ind w:left="415" w:right="411"/>
              <w:jc w:val="center"/>
              <w:rPr>
                <w:sz w:val="20"/>
              </w:rPr>
            </w:pPr>
            <w:r>
              <w:rPr>
                <w:sz w:val="20"/>
              </w:rPr>
              <w:t>3 (4)</w:t>
            </w:r>
          </w:p>
        </w:tc>
        <w:tc>
          <w:tcPr>
            <w:tcW w:w="2394" w:type="dxa"/>
          </w:tcPr>
          <w:p w14:paraId="6F83C355" w14:textId="77777777" w:rsidR="00E80455" w:rsidRDefault="000B3179">
            <w:pPr>
              <w:pStyle w:val="TableParagraph"/>
              <w:spacing w:before="60"/>
              <w:ind w:left="537" w:right="531"/>
              <w:jc w:val="center"/>
              <w:rPr>
                <w:sz w:val="20"/>
              </w:rPr>
            </w:pPr>
            <w:r>
              <w:rPr>
                <w:sz w:val="20"/>
              </w:rPr>
              <w:t>0 (0)</w:t>
            </w:r>
          </w:p>
        </w:tc>
      </w:tr>
      <w:tr w:rsidR="00E80455" w14:paraId="7B7D64CB" w14:textId="77777777">
        <w:trPr>
          <w:trHeight w:val="383"/>
        </w:trPr>
        <w:tc>
          <w:tcPr>
            <w:tcW w:w="2727" w:type="dxa"/>
          </w:tcPr>
          <w:p w14:paraId="14EEBD51" w14:textId="77777777" w:rsidR="00E80455" w:rsidRDefault="000B3179">
            <w:pPr>
              <w:pStyle w:val="TableParagraph"/>
              <w:spacing w:before="60"/>
              <w:ind w:left="107"/>
              <w:rPr>
                <w:sz w:val="20"/>
              </w:rPr>
            </w:pPr>
            <w:r>
              <w:rPr>
                <w:sz w:val="20"/>
              </w:rPr>
              <w:t>Supine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hypertension increase</w:t>
            </w:r>
          </w:p>
        </w:tc>
        <w:tc>
          <w:tcPr>
            <w:tcW w:w="2391" w:type="dxa"/>
          </w:tcPr>
          <w:p w14:paraId="25E1891F" w14:textId="77777777" w:rsidR="00E80455" w:rsidRDefault="000B3179">
            <w:pPr>
              <w:pStyle w:val="TableParagraph"/>
              <w:spacing w:before="60"/>
              <w:ind w:left="415" w:right="411"/>
              <w:jc w:val="center"/>
              <w:rPr>
                <w:sz w:val="20"/>
              </w:rPr>
            </w:pPr>
            <w:r>
              <w:rPr>
                <w:sz w:val="20"/>
              </w:rPr>
              <w:t>2 (2)</w:t>
            </w:r>
          </w:p>
        </w:tc>
        <w:tc>
          <w:tcPr>
            <w:tcW w:w="2394" w:type="dxa"/>
          </w:tcPr>
          <w:p w14:paraId="585622AE" w14:textId="77777777" w:rsidR="00E80455" w:rsidRDefault="000B3179">
            <w:pPr>
              <w:pStyle w:val="TableParagraph"/>
              <w:spacing w:before="60"/>
              <w:ind w:left="537" w:right="531"/>
              <w:jc w:val="center"/>
              <w:rPr>
                <w:sz w:val="20"/>
              </w:rPr>
            </w:pPr>
            <w:r>
              <w:rPr>
                <w:sz w:val="20"/>
              </w:rPr>
              <w:t>0 (0)</w:t>
            </w:r>
          </w:p>
        </w:tc>
      </w:tr>
      <w:tr w:rsidR="00E80455" w14:paraId="2F05F2B2" w14:textId="77777777">
        <w:trPr>
          <w:trHeight w:val="385"/>
        </w:trPr>
        <w:tc>
          <w:tcPr>
            <w:tcW w:w="2727" w:type="dxa"/>
          </w:tcPr>
          <w:p w14:paraId="1490BC0E" w14:textId="77777777" w:rsidR="00E80455" w:rsidRDefault="000B3179">
            <w:pPr>
              <w:pStyle w:val="TableParagraph"/>
              <w:spacing w:before="60"/>
              <w:ind w:left="107"/>
              <w:rPr>
                <w:sz w:val="20"/>
              </w:rPr>
            </w:pPr>
            <w:r>
              <w:rPr>
                <w:sz w:val="20"/>
              </w:rPr>
              <w:t>Pruritus</w:t>
            </w:r>
          </w:p>
        </w:tc>
        <w:tc>
          <w:tcPr>
            <w:tcW w:w="2391" w:type="dxa"/>
          </w:tcPr>
          <w:p w14:paraId="0F8B25C1" w14:textId="77777777" w:rsidR="00E80455" w:rsidRDefault="000B3179">
            <w:pPr>
              <w:pStyle w:val="TableParagraph"/>
              <w:spacing w:before="60"/>
              <w:ind w:left="415" w:right="411"/>
              <w:jc w:val="center"/>
              <w:rPr>
                <w:sz w:val="20"/>
              </w:rPr>
            </w:pPr>
            <w:r>
              <w:rPr>
                <w:sz w:val="20"/>
              </w:rPr>
              <w:t>2 (2)</w:t>
            </w:r>
          </w:p>
        </w:tc>
        <w:tc>
          <w:tcPr>
            <w:tcW w:w="2394" w:type="dxa"/>
          </w:tcPr>
          <w:p w14:paraId="68340739" w14:textId="77777777" w:rsidR="00E80455" w:rsidRDefault="000B3179">
            <w:pPr>
              <w:pStyle w:val="TableParagraph"/>
              <w:spacing w:before="60"/>
              <w:ind w:left="537" w:right="531"/>
              <w:jc w:val="center"/>
              <w:rPr>
                <w:sz w:val="20"/>
              </w:rPr>
            </w:pPr>
            <w:r>
              <w:rPr>
                <w:sz w:val="20"/>
              </w:rPr>
              <w:t>0 (0)</w:t>
            </w:r>
          </w:p>
        </w:tc>
      </w:tr>
    </w:tbl>
    <w:p w14:paraId="6F5971D9" w14:textId="77777777" w:rsidR="00E80455" w:rsidRDefault="000B3179" w:rsidP="004E577B">
      <w:pPr>
        <w:pStyle w:val="BodyText"/>
        <w:spacing w:before="240" w:after="240"/>
        <w:ind w:left="102" w:right="352"/>
      </w:pPr>
      <w:r>
        <w:t>A random-effects meta-analysis of 9 randomised controlled trials performed by (</w:t>
      </w:r>
      <w:proofErr w:type="spellStart"/>
      <w:r>
        <w:t>Parsaik</w:t>
      </w:r>
      <w:proofErr w:type="spellEnd"/>
      <w:r>
        <w:rPr>
          <w:spacing w:val="1"/>
        </w:rPr>
        <w:t xml:space="preserve"> </w:t>
      </w:r>
      <w:r>
        <w:t>2013</w:t>
      </w:r>
      <w:r>
        <w:rPr>
          <w:color w:val="0000FF"/>
          <w:position w:val="6"/>
          <w:sz w:val="12"/>
        </w:rPr>
        <w:t>2</w:t>
      </w:r>
      <w:r>
        <w:t>, n=352) showed an increased incidence of piloerection, scalp pruritis, urinary</w:t>
      </w:r>
      <w:r>
        <w:rPr>
          <w:spacing w:val="1"/>
        </w:rPr>
        <w:t xml:space="preserve"> </w:t>
      </w:r>
      <w:r>
        <w:t xml:space="preserve">hesitancy/retention, supine hypertension and scalp </w:t>
      </w:r>
      <w:proofErr w:type="spellStart"/>
      <w:r>
        <w:t>paresthesia</w:t>
      </w:r>
      <w:proofErr w:type="spellEnd"/>
      <w:r>
        <w:t xml:space="preserve"> was observed in patients</w:t>
      </w:r>
      <w:r>
        <w:rPr>
          <w:spacing w:val="1"/>
        </w:rPr>
        <w:t xml:space="preserve"> </w:t>
      </w:r>
      <w:r>
        <w:t>receiving midodrine with pooled risk ratios of 10.53, 6.45, 5.85, 6.38 and 8.28, respectively,</w:t>
      </w:r>
      <w:r>
        <w:rPr>
          <w:spacing w:val="-57"/>
        </w:rPr>
        <w:t xml:space="preserve"> </w:t>
      </w:r>
      <w:r>
        <w:t>compared</w:t>
      </w:r>
      <w:r>
        <w:rPr>
          <w:spacing w:val="-1"/>
        </w:rPr>
        <w:t xml:space="preserve"> </w:t>
      </w:r>
      <w:r>
        <w:t>to placebo.</w:t>
      </w:r>
    </w:p>
    <w:p w14:paraId="7FB483C2" w14:textId="77777777" w:rsidR="00E80455" w:rsidRDefault="000B3179" w:rsidP="004E577B">
      <w:pPr>
        <w:pStyle w:val="BodyText"/>
        <w:spacing w:after="240"/>
        <w:ind w:left="100" w:right="212"/>
      </w:pPr>
      <w:r>
        <w:t xml:space="preserve">A second meta-analysis of 11 randomised controlled trials (The </w:t>
      </w:r>
      <w:proofErr w:type="spellStart"/>
      <w:r>
        <w:t>Izcovich</w:t>
      </w:r>
      <w:proofErr w:type="spellEnd"/>
      <w:r>
        <w:t xml:space="preserve"> 2014</w:t>
      </w:r>
      <w:r>
        <w:rPr>
          <w:color w:val="0000FF"/>
          <w:position w:val="6"/>
          <w:sz w:val="12"/>
        </w:rPr>
        <w:t>3</w:t>
      </w:r>
      <w:r>
        <w:t>, n=593) meta-</w:t>
      </w:r>
      <w:r>
        <w:rPr>
          <w:spacing w:val="-57"/>
        </w:rPr>
        <w:t xml:space="preserve"> </w:t>
      </w:r>
      <w:r>
        <w:t>analysis described the most frequently reported adverse effects as pilomotor reactions</w:t>
      </w:r>
      <w:r>
        <w:rPr>
          <w:spacing w:val="1"/>
        </w:rPr>
        <w:t xml:space="preserve"> </w:t>
      </w:r>
      <w:r>
        <w:t>described as pruritus/tingling of the scalp, goose bumps, “prickly feeling,” paraesthesia or</w:t>
      </w:r>
      <w:r>
        <w:rPr>
          <w:spacing w:val="1"/>
        </w:rPr>
        <w:t xml:space="preserve"> </w:t>
      </w:r>
      <w:r>
        <w:t xml:space="preserve">piloerection, as well as chills and abdominal discomfort. </w:t>
      </w:r>
      <w:proofErr w:type="spellStart"/>
      <w:r>
        <w:t>Izcovich</w:t>
      </w:r>
      <w:proofErr w:type="spellEnd"/>
      <w:r>
        <w:t xml:space="preserve"> 2014 calculated a risk ratio</w:t>
      </w:r>
      <w:r>
        <w:rPr>
          <w:spacing w:val="-57"/>
        </w:rPr>
        <w:t xml:space="preserve"> </w:t>
      </w:r>
      <w:r>
        <w:t>for minor side effects to occur in midodrine-patients at 4.58 (95% CI 2.03–10.37) compared</w:t>
      </w:r>
      <w:r>
        <w:rPr>
          <w:spacing w:val="1"/>
        </w:rPr>
        <w:t xml:space="preserve"> </w:t>
      </w:r>
      <w:r>
        <w:t>to placebo. The most frequent side effects that led to a discontinuation of midodrine were</w:t>
      </w:r>
      <w:r>
        <w:rPr>
          <w:spacing w:val="1"/>
        </w:rPr>
        <w:t xml:space="preserve"> </w:t>
      </w:r>
      <w:r>
        <w:t xml:space="preserve">supine hypertension, pilomotor reactions, and urinary problems (urinary retention, </w:t>
      </w:r>
      <w:proofErr w:type="gramStart"/>
      <w:r>
        <w:t>hesitancy</w:t>
      </w:r>
      <w:proofErr w:type="gramEnd"/>
      <w:r>
        <w:rPr>
          <w:spacing w:val="1"/>
        </w:rPr>
        <w:t xml:space="preserve"> </w:t>
      </w:r>
      <w:r>
        <w:t>or urgency).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increased</w:t>
      </w:r>
      <w:r>
        <w:rPr>
          <w:spacing w:val="1"/>
        </w:rPr>
        <w:t xml:space="preserve"> </w:t>
      </w:r>
      <w:r>
        <w:t>risk of</w:t>
      </w:r>
      <w:r>
        <w:rPr>
          <w:spacing w:val="-1"/>
        </w:rPr>
        <w:t xml:space="preserve"> </w:t>
      </w:r>
      <w:r>
        <w:t>supine hypertension</w:t>
      </w:r>
      <w:r>
        <w:rPr>
          <w:spacing w:val="2"/>
        </w:rPr>
        <w:t xml:space="preserve"> </w:t>
      </w:r>
      <w:r>
        <w:t>in midodrine-treated</w:t>
      </w:r>
      <w:r>
        <w:rPr>
          <w:spacing w:val="2"/>
        </w:rPr>
        <w:t xml:space="preserve"> </w:t>
      </w:r>
      <w:r>
        <w:t>patients</w:t>
      </w:r>
      <w:r>
        <w:rPr>
          <w:spacing w:val="1"/>
        </w:rPr>
        <w:t xml:space="preserve"> </w:t>
      </w:r>
      <w:r>
        <w:t>compared to placebo was calculated as a risk ratio of 5.31 (95% CI 1.39–20.27, risk</w:t>
      </w:r>
      <w:r>
        <w:rPr>
          <w:spacing w:val="1"/>
        </w:rPr>
        <w:t xml:space="preserve"> </w:t>
      </w:r>
      <w:r>
        <w:t>difference</w:t>
      </w:r>
      <w:r>
        <w:rPr>
          <w:spacing w:val="-1"/>
        </w:rPr>
        <w:t xml:space="preserve"> </w:t>
      </w:r>
      <w:r>
        <w:t>7%</w:t>
      </w:r>
      <w:r>
        <w:rPr>
          <w:spacing w:val="-1"/>
        </w:rPr>
        <w:t xml:space="preserve"> </w:t>
      </w:r>
      <w:r>
        <w:t>[95%</w:t>
      </w:r>
      <w:r>
        <w:rPr>
          <w:spacing w:val="-1"/>
        </w:rPr>
        <w:t xml:space="preserve"> </w:t>
      </w:r>
      <w:r>
        <w:t>CI</w:t>
      </w:r>
      <w:r>
        <w:rPr>
          <w:spacing w:val="-4"/>
        </w:rPr>
        <w:t xml:space="preserve"> </w:t>
      </w:r>
      <w:r>
        <w:t>2–11%].</w:t>
      </w:r>
    </w:p>
    <w:p w14:paraId="7B31D08C" w14:textId="77777777" w:rsidR="00E80455" w:rsidRDefault="000B3179" w:rsidP="004E577B">
      <w:pPr>
        <w:spacing w:after="240"/>
        <w:ind w:left="100"/>
        <w:rPr>
          <w:rFonts w:ascii="Arial"/>
          <w:b/>
        </w:rPr>
      </w:pPr>
      <w:bookmarkStart w:id="41" w:name="Summary_of_the_safety_profile"/>
      <w:bookmarkEnd w:id="41"/>
      <w:r>
        <w:rPr>
          <w:rFonts w:ascii="Arial"/>
          <w:b/>
        </w:rPr>
        <w:t>Summary</w:t>
      </w:r>
      <w:r>
        <w:rPr>
          <w:rFonts w:ascii="Arial"/>
          <w:b/>
          <w:spacing w:val="-2"/>
        </w:rPr>
        <w:t xml:space="preserve"> </w:t>
      </w:r>
      <w:r>
        <w:rPr>
          <w:rFonts w:ascii="Arial"/>
          <w:b/>
        </w:rPr>
        <w:t>of the</w:t>
      </w:r>
      <w:r>
        <w:rPr>
          <w:rFonts w:ascii="Arial"/>
          <w:b/>
          <w:spacing w:val="-3"/>
        </w:rPr>
        <w:t xml:space="preserve"> </w:t>
      </w:r>
      <w:r>
        <w:rPr>
          <w:rFonts w:ascii="Arial"/>
          <w:b/>
        </w:rPr>
        <w:t>safety</w:t>
      </w:r>
      <w:r>
        <w:rPr>
          <w:rFonts w:ascii="Arial"/>
          <w:b/>
          <w:spacing w:val="-1"/>
        </w:rPr>
        <w:t xml:space="preserve"> </w:t>
      </w:r>
      <w:r>
        <w:rPr>
          <w:rFonts w:ascii="Arial"/>
          <w:b/>
        </w:rPr>
        <w:t>profile</w:t>
      </w:r>
    </w:p>
    <w:p w14:paraId="32F3CF86" w14:textId="109687DC" w:rsidR="00E80455" w:rsidRDefault="000B3179" w:rsidP="004E577B">
      <w:pPr>
        <w:pStyle w:val="BodyText"/>
        <w:spacing w:after="1800"/>
        <w:ind w:left="102" w:right="799"/>
      </w:pPr>
      <w:r>
        <w:t>The most frequent and very common adverse reactions related to midodrine therapy are</w:t>
      </w:r>
      <w:r>
        <w:rPr>
          <w:spacing w:val="-57"/>
        </w:rPr>
        <w:t xml:space="preserve"> </w:t>
      </w:r>
      <w:r>
        <w:t>piloerection,</w:t>
      </w:r>
      <w:r>
        <w:rPr>
          <w:spacing w:val="-1"/>
        </w:rPr>
        <w:t xml:space="preserve"> </w:t>
      </w:r>
      <w:r>
        <w:t>pruritus of t</w:t>
      </w:r>
      <w:r w:rsidR="004E577B">
        <w:t>\</w:t>
      </w:r>
      <w:r>
        <w:t>and dysuria.</w:t>
      </w:r>
    </w:p>
    <w:p w14:paraId="5FB67236" w14:textId="77777777" w:rsidR="00E80455" w:rsidRDefault="000B3179">
      <w:pPr>
        <w:pStyle w:val="BodyText"/>
        <w:spacing w:before="4"/>
      </w:pPr>
      <w:r>
        <w:pict w14:anchorId="09F947CB">
          <v:rect id="docshape5" o:spid="_x0000_s2052" style="position:absolute;margin-left:1in;margin-top:15.25pt;width:2in;height:.6pt;z-index:-15728128;mso-wrap-distance-left:0;mso-wrap-distance-right:0;mso-position-horizontal-relative:page" fillcolor="black" stroked="f">
            <w10:wrap type="topAndBottom" anchorx="page"/>
          </v:rect>
        </w:pict>
      </w:r>
    </w:p>
    <w:p w14:paraId="7548753B" w14:textId="77777777" w:rsidR="00E80455" w:rsidRDefault="000B3179">
      <w:pPr>
        <w:spacing w:before="123"/>
        <w:ind w:left="213" w:right="408" w:hanging="113"/>
        <w:rPr>
          <w:sz w:val="20"/>
        </w:rPr>
      </w:pPr>
      <w:r>
        <w:rPr>
          <w:color w:val="0000FF"/>
          <w:sz w:val="20"/>
          <w:vertAlign w:val="superscript"/>
        </w:rPr>
        <w:t>2</w:t>
      </w:r>
      <w:r>
        <w:rPr>
          <w:color w:val="0000FF"/>
          <w:sz w:val="20"/>
        </w:rPr>
        <w:t xml:space="preserve"> </w:t>
      </w:r>
      <w:proofErr w:type="spellStart"/>
      <w:r>
        <w:rPr>
          <w:sz w:val="20"/>
        </w:rPr>
        <w:t>Parsaik</w:t>
      </w:r>
      <w:proofErr w:type="spellEnd"/>
      <w:r>
        <w:rPr>
          <w:sz w:val="20"/>
        </w:rPr>
        <w:t xml:space="preserve"> AK, Singh B, </w:t>
      </w:r>
      <w:proofErr w:type="spellStart"/>
      <w:r>
        <w:rPr>
          <w:sz w:val="20"/>
        </w:rPr>
        <w:t>Altayar</w:t>
      </w:r>
      <w:proofErr w:type="spellEnd"/>
      <w:r>
        <w:rPr>
          <w:sz w:val="20"/>
        </w:rPr>
        <w:t xml:space="preserve"> O, et al. Midodrine for orthostatic hypotension: a systematic review and meta-</w:t>
      </w:r>
      <w:r>
        <w:rPr>
          <w:spacing w:val="-47"/>
          <w:sz w:val="20"/>
        </w:rPr>
        <w:t xml:space="preserve"> </w:t>
      </w:r>
      <w:r>
        <w:rPr>
          <w:sz w:val="20"/>
        </w:rPr>
        <w:t>analysis</w:t>
      </w:r>
      <w:r>
        <w:rPr>
          <w:spacing w:val="-2"/>
          <w:sz w:val="20"/>
        </w:rPr>
        <w:t xml:space="preserve"> </w:t>
      </w:r>
      <w:r>
        <w:rPr>
          <w:sz w:val="20"/>
        </w:rPr>
        <w:t>of clinical trials. J</w:t>
      </w:r>
      <w:r>
        <w:rPr>
          <w:spacing w:val="-1"/>
          <w:sz w:val="20"/>
        </w:rPr>
        <w:t xml:space="preserve"> </w:t>
      </w:r>
      <w:r>
        <w:rPr>
          <w:sz w:val="20"/>
        </w:rPr>
        <w:t>Gen Intern</w:t>
      </w:r>
      <w:r>
        <w:rPr>
          <w:spacing w:val="1"/>
          <w:sz w:val="20"/>
        </w:rPr>
        <w:t xml:space="preserve"> </w:t>
      </w:r>
      <w:r>
        <w:rPr>
          <w:sz w:val="20"/>
        </w:rPr>
        <w:t>Med.</w:t>
      </w:r>
      <w:r>
        <w:rPr>
          <w:spacing w:val="-2"/>
          <w:sz w:val="20"/>
        </w:rPr>
        <w:t xml:space="preserve"> </w:t>
      </w:r>
      <w:r>
        <w:rPr>
          <w:sz w:val="20"/>
        </w:rPr>
        <w:t>2013;28(11):1496-1503.</w:t>
      </w:r>
    </w:p>
    <w:p w14:paraId="77C63CAF" w14:textId="77777777" w:rsidR="00E80455" w:rsidRDefault="000B3179">
      <w:pPr>
        <w:spacing w:before="20"/>
        <w:ind w:left="213" w:right="211" w:hanging="113"/>
        <w:rPr>
          <w:sz w:val="20"/>
        </w:rPr>
      </w:pPr>
      <w:r>
        <w:rPr>
          <w:color w:val="0000FF"/>
          <w:sz w:val="20"/>
          <w:vertAlign w:val="superscript"/>
        </w:rPr>
        <w:t>3</w:t>
      </w:r>
      <w:r>
        <w:rPr>
          <w:color w:val="0000FF"/>
          <w:spacing w:val="-2"/>
          <w:sz w:val="20"/>
        </w:rPr>
        <w:t xml:space="preserve"> </w:t>
      </w:r>
      <w:proofErr w:type="spellStart"/>
      <w:r>
        <w:rPr>
          <w:sz w:val="20"/>
        </w:rPr>
        <w:t>Izcovich</w:t>
      </w:r>
      <w:proofErr w:type="spellEnd"/>
      <w:r>
        <w:rPr>
          <w:spacing w:val="-1"/>
          <w:sz w:val="20"/>
        </w:rPr>
        <w:t xml:space="preserve"> </w:t>
      </w:r>
      <w:r>
        <w:rPr>
          <w:sz w:val="20"/>
        </w:rPr>
        <w:t>A,</w:t>
      </w:r>
      <w:r>
        <w:rPr>
          <w:spacing w:val="-4"/>
          <w:sz w:val="20"/>
        </w:rPr>
        <w:t xml:space="preserve"> </w:t>
      </w:r>
      <w:r>
        <w:rPr>
          <w:sz w:val="20"/>
        </w:rPr>
        <w:t>González</w:t>
      </w:r>
      <w:r>
        <w:rPr>
          <w:spacing w:val="-1"/>
          <w:sz w:val="20"/>
        </w:rPr>
        <w:t xml:space="preserve"> </w:t>
      </w:r>
      <w:proofErr w:type="spellStart"/>
      <w:r>
        <w:rPr>
          <w:sz w:val="20"/>
        </w:rPr>
        <w:t>Malla</w:t>
      </w:r>
      <w:proofErr w:type="spellEnd"/>
      <w:r>
        <w:rPr>
          <w:spacing w:val="-4"/>
          <w:sz w:val="20"/>
        </w:rPr>
        <w:t xml:space="preserve"> </w:t>
      </w:r>
      <w:r>
        <w:rPr>
          <w:sz w:val="20"/>
        </w:rPr>
        <w:t>C,</w:t>
      </w:r>
      <w:r>
        <w:rPr>
          <w:spacing w:val="-2"/>
          <w:sz w:val="20"/>
        </w:rPr>
        <w:t xml:space="preserve"> </w:t>
      </w:r>
      <w:proofErr w:type="spellStart"/>
      <w:r>
        <w:rPr>
          <w:sz w:val="20"/>
        </w:rPr>
        <w:t>Manzotti</w:t>
      </w:r>
      <w:proofErr w:type="spellEnd"/>
      <w:r>
        <w:rPr>
          <w:spacing w:val="-2"/>
          <w:sz w:val="20"/>
        </w:rPr>
        <w:t xml:space="preserve"> </w:t>
      </w:r>
      <w:r>
        <w:rPr>
          <w:sz w:val="20"/>
        </w:rPr>
        <w:t>M,</w:t>
      </w:r>
      <w:r>
        <w:rPr>
          <w:spacing w:val="-1"/>
          <w:sz w:val="20"/>
        </w:rPr>
        <w:t xml:space="preserve"> </w:t>
      </w:r>
      <w:r>
        <w:rPr>
          <w:sz w:val="20"/>
        </w:rPr>
        <w:t>et</w:t>
      </w:r>
      <w:r>
        <w:rPr>
          <w:spacing w:val="-2"/>
          <w:sz w:val="20"/>
        </w:rPr>
        <w:t xml:space="preserve"> </w:t>
      </w:r>
      <w:r>
        <w:rPr>
          <w:sz w:val="20"/>
        </w:rPr>
        <w:t>al.</w:t>
      </w:r>
      <w:r>
        <w:rPr>
          <w:spacing w:val="-1"/>
          <w:sz w:val="20"/>
        </w:rPr>
        <w:t xml:space="preserve"> </w:t>
      </w:r>
      <w:r>
        <w:rPr>
          <w:sz w:val="20"/>
        </w:rPr>
        <w:t>Midodrine</w:t>
      </w:r>
      <w:r>
        <w:rPr>
          <w:spacing w:val="-2"/>
          <w:sz w:val="20"/>
        </w:rPr>
        <w:t xml:space="preserve"> </w:t>
      </w:r>
      <w:r>
        <w:rPr>
          <w:sz w:val="20"/>
        </w:rPr>
        <w:t>for</w:t>
      </w:r>
      <w:r>
        <w:rPr>
          <w:spacing w:val="-4"/>
          <w:sz w:val="20"/>
        </w:rPr>
        <w:t xml:space="preserve"> </w:t>
      </w:r>
      <w:r>
        <w:rPr>
          <w:sz w:val="20"/>
        </w:rPr>
        <w:t>orthostatic</w:t>
      </w:r>
      <w:r>
        <w:rPr>
          <w:spacing w:val="-2"/>
          <w:sz w:val="20"/>
        </w:rPr>
        <w:t xml:space="preserve"> </w:t>
      </w:r>
      <w:r>
        <w:rPr>
          <w:sz w:val="20"/>
        </w:rPr>
        <w:t>hypotension</w:t>
      </w:r>
      <w:r>
        <w:rPr>
          <w:spacing w:val="-5"/>
          <w:sz w:val="20"/>
        </w:rPr>
        <w:t xml:space="preserve"> </w:t>
      </w:r>
      <w:r>
        <w:rPr>
          <w:sz w:val="20"/>
        </w:rPr>
        <w:t>and</w:t>
      </w:r>
      <w:r>
        <w:rPr>
          <w:spacing w:val="-1"/>
          <w:sz w:val="20"/>
        </w:rPr>
        <w:t xml:space="preserve"> </w:t>
      </w:r>
      <w:r>
        <w:rPr>
          <w:sz w:val="20"/>
        </w:rPr>
        <w:t>recurrent</w:t>
      </w:r>
      <w:r>
        <w:rPr>
          <w:spacing w:val="-4"/>
          <w:sz w:val="20"/>
        </w:rPr>
        <w:t xml:space="preserve"> </w:t>
      </w:r>
      <w:r>
        <w:rPr>
          <w:sz w:val="20"/>
        </w:rPr>
        <w:t>reflex</w:t>
      </w:r>
      <w:r>
        <w:rPr>
          <w:spacing w:val="-47"/>
          <w:sz w:val="20"/>
        </w:rPr>
        <w:t xml:space="preserve"> </w:t>
      </w:r>
      <w:r>
        <w:rPr>
          <w:sz w:val="20"/>
        </w:rPr>
        <w:t>syncope:</w:t>
      </w:r>
      <w:r>
        <w:rPr>
          <w:spacing w:val="-1"/>
          <w:sz w:val="20"/>
        </w:rPr>
        <w:t xml:space="preserve"> </w:t>
      </w:r>
      <w:r>
        <w:rPr>
          <w:sz w:val="20"/>
        </w:rPr>
        <w:t>A systematic review.</w:t>
      </w:r>
      <w:r>
        <w:rPr>
          <w:spacing w:val="-2"/>
          <w:sz w:val="20"/>
        </w:rPr>
        <w:t xml:space="preserve"> </w:t>
      </w:r>
      <w:r>
        <w:rPr>
          <w:sz w:val="20"/>
        </w:rPr>
        <w:t>Neurology</w:t>
      </w:r>
      <w:r>
        <w:rPr>
          <w:spacing w:val="1"/>
          <w:sz w:val="20"/>
        </w:rPr>
        <w:t xml:space="preserve"> </w:t>
      </w:r>
      <w:proofErr w:type="gramStart"/>
      <w:r>
        <w:rPr>
          <w:sz w:val="20"/>
        </w:rPr>
        <w:t>2014;83:1170</w:t>
      </w:r>
      <w:proofErr w:type="gramEnd"/>
      <w:r>
        <w:rPr>
          <w:sz w:val="20"/>
        </w:rPr>
        <w:t>-1177.</w:t>
      </w:r>
    </w:p>
    <w:p w14:paraId="0B130747" w14:textId="77777777" w:rsidR="00E80455" w:rsidRDefault="00E80455">
      <w:pPr>
        <w:rPr>
          <w:sz w:val="20"/>
        </w:rPr>
        <w:sectPr w:rsidR="00E80455" w:rsidSect="004E577B">
          <w:pgSz w:w="11910" w:h="16840"/>
          <w:pgMar w:top="1340" w:right="1240" w:bottom="920" w:left="1340" w:header="170" w:footer="729" w:gutter="0"/>
          <w:cols w:space="720"/>
          <w:docGrid w:linePitch="299"/>
        </w:sectPr>
      </w:pPr>
    </w:p>
    <w:p w14:paraId="740AF273" w14:textId="77777777" w:rsidR="00E80455" w:rsidRDefault="000B3179">
      <w:pPr>
        <w:spacing w:before="84"/>
        <w:ind w:left="2732" w:right="2832"/>
        <w:jc w:val="center"/>
        <w:rPr>
          <w:b/>
          <w:sz w:val="20"/>
        </w:rPr>
      </w:pPr>
      <w:r>
        <w:rPr>
          <w:b/>
          <w:sz w:val="20"/>
        </w:rPr>
        <w:lastRenderedPageBreak/>
        <w:t>Table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2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-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Tabulated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list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of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adverse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reactions</w:t>
      </w:r>
    </w:p>
    <w:p w14:paraId="630426CD" w14:textId="77777777" w:rsidR="00E80455" w:rsidRDefault="00E80455">
      <w:pPr>
        <w:pStyle w:val="BodyText"/>
        <w:spacing w:before="7" w:after="1"/>
        <w:rPr>
          <w:b/>
          <w:sz w:val="11"/>
        </w:rPr>
      </w:pPr>
    </w:p>
    <w:tbl>
      <w:tblPr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721"/>
        <w:gridCol w:w="1554"/>
        <w:gridCol w:w="1489"/>
        <w:gridCol w:w="1698"/>
        <w:gridCol w:w="1297"/>
        <w:gridCol w:w="1264"/>
      </w:tblGrid>
      <w:tr w:rsidR="00E80455" w14:paraId="67EE6CFA" w14:textId="77777777" w:rsidTr="004E577B">
        <w:trPr>
          <w:trHeight w:val="870"/>
        </w:trPr>
        <w:tc>
          <w:tcPr>
            <w:tcW w:w="1721" w:type="dxa"/>
            <w:vAlign w:val="center"/>
          </w:tcPr>
          <w:p w14:paraId="1E71FA7D" w14:textId="77777777" w:rsidR="00E80455" w:rsidRDefault="000B3179">
            <w:pPr>
              <w:pStyle w:val="TableParagraph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Organ</w:t>
            </w:r>
            <w:r>
              <w:rPr>
                <w:b/>
                <w:spacing w:val="33"/>
                <w:sz w:val="20"/>
              </w:rPr>
              <w:t xml:space="preserve"> </w:t>
            </w:r>
            <w:r>
              <w:rPr>
                <w:b/>
                <w:sz w:val="20"/>
              </w:rPr>
              <w:t>Class</w:t>
            </w:r>
          </w:p>
        </w:tc>
        <w:tc>
          <w:tcPr>
            <w:tcW w:w="1554" w:type="dxa"/>
            <w:vAlign w:val="center"/>
          </w:tcPr>
          <w:p w14:paraId="36612F15" w14:textId="77777777" w:rsidR="00E80455" w:rsidRDefault="000B3179">
            <w:pPr>
              <w:pStyle w:val="TableParagraph"/>
              <w:ind w:left="107" w:right="156"/>
              <w:rPr>
                <w:b/>
                <w:sz w:val="20"/>
              </w:rPr>
            </w:pPr>
            <w:r>
              <w:rPr>
                <w:b/>
                <w:sz w:val="20"/>
              </w:rPr>
              <w:t>Very Common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(≥</w:t>
            </w:r>
            <w:r>
              <w:rPr>
                <w:b/>
                <w:spacing w:val="14"/>
                <w:sz w:val="20"/>
              </w:rPr>
              <w:t xml:space="preserve"> </w:t>
            </w:r>
            <w:r>
              <w:rPr>
                <w:b/>
                <w:sz w:val="20"/>
              </w:rPr>
              <w:t>1/10)</w:t>
            </w:r>
          </w:p>
        </w:tc>
        <w:tc>
          <w:tcPr>
            <w:tcW w:w="1489" w:type="dxa"/>
            <w:vAlign w:val="center"/>
          </w:tcPr>
          <w:p w14:paraId="502E7545" w14:textId="77777777" w:rsidR="00E80455" w:rsidRDefault="000B3179">
            <w:pPr>
              <w:pStyle w:val="TableParagraph"/>
              <w:ind w:left="106" w:right="109"/>
              <w:rPr>
                <w:b/>
                <w:sz w:val="20"/>
              </w:rPr>
            </w:pPr>
            <w:r>
              <w:rPr>
                <w:b/>
                <w:sz w:val="20"/>
              </w:rPr>
              <w:t>Common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pacing w:val="-1"/>
                <w:sz w:val="20"/>
              </w:rPr>
              <w:t>(≥1/100,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pacing w:val="-1"/>
                <w:sz w:val="20"/>
              </w:rPr>
              <w:t>&lt;1/10)</w:t>
            </w:r>
          </w:p>
        </w:tc>
        <w:tc>
          <w:tcPr>
            <w:tcW w:w="1698" w:type="dxa"/>
            <w:vAlign w:val="center"/>
          </w:tcPr>
          <w:p w14:paraId="2155AE76" w14:textId="77777777" w:rsidR="00E80455" w:rsidRDefault="000B3179">
            <w:pPr>
              <w:pStyle w:val="TableParagraph"/>
              <w:spacing w:before="91"/>
              <w:ind w:left="105" w:right="580"/>
              <w:jc w:val="both"/>
              <w:rPr>
                <w:b/>
                <w:sz w:val="20"/>
              </w:rPr>
            </w:pPr>
            <w:r>
              <w:rPr>
                <w:b/>
                <w:spacing w:val="-1"/>
                <w:sz w:val="20"/>
              </w:rPr>
              <w:t>Uncommon</w:t>
            </w:r>
            <w:r>
              <w:rPr>
                <w:b/>
                <w:spacing w:val="-48"/>
                <w:sz w:val="20"/>
              </w:rPr>
              <w:t xml:space="preserve"> </w:t>
            </w:r>
            <w:r>
              <w:rPr>
                <w:b/>
                <w:sz w:val="20"/>
              </w:rPr>
              <w:t>(≥1/1,000, &lt;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1/100)</w:t>
            </w:r>
          </w:p>
        </w:tc>
        <w:tc>
          <w:tcPr>
            <w:tcW w:w="1297" w:type="dxa"/>
            <w:vAlign w:val="center"/>
          </w:tcPr>
          <w:p w14:paraId="6F12A8E6" w14:textId="77777777" w:rsidR="00E80455" w:rsidRDefault="000B3179">
            <w:pPr>
              <w:pStyle w:val="TableParagraph"/>
              <w:spacing w:before="60"/>
              <w:ind w:left="105" w:right="285"/>
              <w:rPr>
                <w:b/>
                <w:sz w:val="20"/>
              </w:rPr>
            </w:pPr>
            <w:r>
              <w:rPr>
                <w:b/>
                <w:sz w:val="20"/>
              </w:rPr>
              <w:t>Rare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pacing w:val="-5"/>
                <w:sz w:val="20"/>
              </w:rPr>
              <w:t>(≥1/10,000,</w:t>
            </w:r>
          </w:p>
          <w:p w14:paraId="39E67D0F" w14:textId="77777777" w:rsidR="00E80455" w:rsidRDefault="000B3179">
            <w:pPr>
              <w:pStyle w:val="TableParagraph"/>
              <w:spacing w:before="61"/>
              <w:ind w:left="105"/>
              <w:rPr>
                <w:b/>
                <w:sz w:val="20"/>
              </w:rPr>
            </w:pPr>
            <w:r>
              <w:rPr>
                <w:b/>
                <w:sz w:val="20"/>
              </w:rPr>
              <w:t>&lt;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1/1,000)</w:t>
            </w:r>
          </w:p>
        </w:tc>
        <w:tc>
          <w:tcPr>
            <w:tcW w:w="1264" w:type="dxa"/>
            <w:vAlign w:val="center"/>
          </w:tcPr>
          <w:p w14:paraId="11FB1201" w14:textId="77777777" w:rsidR="00E80455" w:rsidRDefault="000B3179">
            <w:pPr>
              <w:pStyle w:val="TableParagraph"/>
              <w:ind w:left="101" w:right="222"/>
              <w:rPr>
                <w:b/>
                <w:sz w:val="20"/>
              </w:rPr>
            </w:pPr>
            <w:r>
              <w:rPr>
                <w:b/>
                <w:sz w:val="20"/>
              </w:rPr>
              <w:t>Frequency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not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known</w:t>
            </w:r>
          </w:p>
        </w:tc>
      </w:tr>
      <w:tr w:rsidR="00E80455" w14:paraId="4A3979F9" w14:textId="77777777" w:rsidTr="004E577B">
        <w:trPr>
          <w:trHeight w:val="793"/>
        </w:trPr>
        <w:tc>
          <w:tcPr>
            <w:tcW w:w="1721" w:type="dxa"/>
            <w:vAlign w:val="center"/>
          </w:tcPr>
          <w:p w14:paraId="40D7B100" w14:textId="77777777" w:rsidR="00E80455" w:rsidRDefault="000B3179">
            <w:pPr>
              <w:pStyle w:val="TableParagraph"/>
              <w:spacing w:before="132" w:line="278" w:lineRule="auto"/>
              <w:ind w:left="107" w:right="695"/>
              <w:rPr>
                <w:sz w:val="20"/>
              </w:rPr>
            </w:pPr>
            <w:r>
              <w:rPr>
                <w:sz w:val="20"/>
              </w:rPr>
              <w:t>Psychiatric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>disorders</w:t>
            </w:r>
          </w:p>
        </w:tc>
        <w:tc>
          <w:tcPr>
            <w:tcW w:w="1554" w:type="dxa"/>
            <w:vAlign w:val="center"/>
          </w:tcPr>
          <w:p w14:paraId="2DAE2258" w14:textId="77777777" w:rsidR="00E80455" w:rsidRDefault="00E80455">
            <w:pPr>
              <w:pStyle w:val="TableParagraph"/>
              <w:rPr>
                <w:sz w:val="20"/>
              </w:rPr>
            </w:pPr>
          </w:p>
        </w:tc>
        <w:tc>
          <w:tcPr>
            <w:tcW w:w="1489" w:type="dxa"/>
            <w:vAlign w:val="center"/>
          </w:tcPr>
          <w:p w14:paraId="0C685F8A" w14:textId="77777777" w:rsidR="00E80455" w:rsidRDefault="00E80455">
            <w:pPr>
              <w:pStyle w:val="TableParagraph"/>
              <w:rPr>
                <w:sz w:val="20"/>
              </w:rPr>
            </w:pPr>
          </w:p>
        </w:tc>
        <w:tc>
          <w:tcPr>
            <w:tcW w:w="1698" w:type="dxa"/>
            <w:vAlign w:val="center"/>
          </w:tcPr>
          <w:p w14:paraId="1B25F53F" w14:textId="77777777" w:rsidR="00E80455" w:rsidRDefault="000B3179">
            <w:pPr>
              <w:pStyle w:val="TableParagraph"/>
              <w:spacing w:before="132" w:line="278" w:lineRule="auto"/>
              <w:ind w:left="105" w:right="335"/>
              <w:rPr>
                <w:sz w:val="20"/>
              </w:rPr>
            </w:pPr>
            <w:r>
              <w:rPr>
                <w:sz w:val="20"/>
              </w:rPr>
              <w:t>Sleep disorders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Insomnia</w:t>
            </w:r>
          </w:p>
        </w:tc>
        <w:tc>
          <w:tcPr>
            <w:tcW w:w="1297" w:type="dxa"/>
            <w:vAlign w:val="center"/>
          </w:tcPr>
          <w:p w14:paraId="1A3E29A3" w14:textId="77777777" w:rsidR="00E80455" w:rsidRDefault="00E80455">
            <w:pPr>
              <w:pStyle w:val="TableParagraph"/>
              <w:rPr>
                <w:sz w:val="20"/>
              </w:rPr>
            </w:pPr>
          </w:p>
        </w:tc>
        <w:tc>
          <w:tcPr>
            <w:tcW w:w="1264" w:type="dxa"/>
            <w:vAlign w:val="center"/>
          </w:tcPr>
          <w:p w14:paraId="11461FAA" w14:textId="218BC8C4" w:rsidR="00E80455" w:rsidRDefault="000B3179" w:rsidP="004E577B">
            <w:pPr>
              <w:pStyle w:val="TableParagraph"/>
              <w:ind w:left="101"/>
              <w:rPr>
                <w:sz w:val="20"/>
              </w:rPr>
            </w:pPr>
            <w:r>
              <w:rPr>
                <w:sz w:val="20"/>
              </w:rPr>
              <w:t>Anxiety</w:t>
            </w:r>
            <w:r w:rsidR="004E577B"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Confusional</w:t>
            </w:r>
            <w:proofErr w:type="spellEnd"/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state</w:t>
            </w:r>
          </w:p>
        </w:tc>
      </w:tr>
      <w:tr w:rsidR="00E80455" w14:paraId="207F7F30" w14:textId="77777777" w:rsidTr="004E577B">
        <w:trPr>
          <w:trHeight w:val="1586"/>
        </w:trPr>
        <w:tc>
          <w:tcPr>
            <w:tcW w:w="1721" w:type="dxa"/>
            <w:vAlign w:val="center"/>
          </w:tcPr>
          <w:p w14:paraId="27300722" w14:textId="77777777" w:rsidR="00E80455" w:rsidRDefault="000B3179">
            <w:pPr>
              <w:pStyle w:val="TableParagraph"/>
              <w:spacing w:before="1" w:line="278" w:lineRule="auto"/>
              <w:ind w:left="107" w:right="308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Nervous </w:t>
            </w:r>
            <w:r>
              <w:rPr>
                <w:sz w:val="20"/>
              </w:rPr>
              <w:t>system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disorders</w:t>
            </w:r>
          </w:p>
        </w:tc>
        <w:tc>
          <w:tcPr>
            <w:tcW w:w="1554" w:type="dxa"/>
            <w:vAlign w:val="center"/>
          </w:tcPr>
          <w:p w14:paraId="788E71CC" w14:textId="77777777" w:rsidR="00E80455" w:rsidRDefault="00E80455">
            <w:pPr>
              <w:pStyle w:val="TableParagraph"/>
              <w:rPr>
                <w:sz w:val="20"/>
              </w:rPr>
            </w:pPr>
          </w:p>
        </w:tc>
        <w:tc>
          <w:tcPr>
            <w:tcW w:w="1489" w:type="dxa"/>
            <w:vAlign w:val="center"/>
          </w:tcPr>
          <w:p w14:paraId="12E2261E" w14:textId="77777777" w:rsidR="00E80455" w:rsidRDefault="000B3179">
            <w:pPr>
              <w:pStyle w:val="TableParagraph"/>
              <w:spacing w:line="276" w:lineRule="auto"/>
              <w:ind w:left="106" w:right="160"/>
              <w:rPr>
                <w:sz w:val="20"/>
              </w:rPr>
            </w:pPr>
            <w:r>
              <w:rPr>
                <w:sz w:val="20"/>
              </w:rPr>
              <w:t>Paraesthesia</w:t>
            </w:r>
            <w:r>
              <w:rPr>
                <w:spacing w:val="1"/>
                <w:sz w:val="20"/>
              </w:rPr>
              <w:t xml:space="preserve"> </w:t>
            </w:r>
            <w:proofErr w:type="spellStart"/>
            <w:r>
              <w:rPr>
                <w:spacing w:val="-1"/>
                <w:sz w:val="20"/>
              </w:rPr>
              <w:t>Paraesthesia</w:t>
            </w:r>
            <w:proofErr w:type="spell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the scalp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Headache</w:t>
            </w:r>
          </w:p>
        </w:tc>
        <w:tc>
          <w:tcPr>
            <w:tcW w:w="1698" w:type="dxa"/>
            <w:vAlign w:val="center"/>
          </w:tcPr>
          <w:p w14:paraId="08DD167B" w14:textId="77777777" w:rsidR="00E80455" w:rsidRDefault="000B3179">
            <w:pPr>
              <w:pStyle w:val="TableParagraph"/>
              <w:spacing w:line="276" w:lineRule="auto"/>
              <w:ind w:left="105" w:right="218"/>
              <w:rPr>
                <w:sz w:val="20"/>
              </w:rPr>
            </w:pPr>
            <w:r>
              <w:rPr>
                <w:sz w:val="20"/>
              </w:rPr>
              <w:t>Restlessness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Excitability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Irritability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Feeling of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pressure/fullness</w:t>
            </w:r>
          </w:p>
          <w:p w14:paraId="24B42E66" w14:textId="77777777" w:rsidR="00E80455" w:rsidRDefault="000B3179">
            <w:pPr>
              <w:pStyle w:val="TableParagraph"/>
              <w:spacing w:before="1"/>
              <w:ind w:left="105"/>
              <w:rPr>
                <w:sz w:val="20"/>
              </w:rPr>
            </w:pPr>
            <w:r>
              <w:rPr>
                <w:sz w:val="20"/>
              </w:rPr>
              <w:t>in the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head</w:t>
            </w:r>
          </w:p>
        </w:tc>
        <w:tc>
          <w:tcPr>
            <w:tcW w:w="1297" w:type="dxa"/>
            <w:vAlign w:val="center"/>
          </w:tcPr>
          <w:p w14:paraId="27406AEE" w14:textId="77777777" w:rsidR="00E80455" w:rsidRDefault="000B3179">
            <w:pPr>
              <w:pStyle w:val="TableParagraph"/>
              <w:spacing w:before="156"/>
              <w:ind w:left="105"/>
              <w:rPr>
                <w:sz w:val="20"/>
              </w:rPr>
            </w:pPr>
            <w:r>
              <w:rPr>
                <w:sz w:val="20"/>
              </w:rPr>
              <w:t>Dizziness</w:t>
            </w:r>
          </w:p>
        </w:tc>
        <w:tc>
          <w:tcPr>
            <w:tcW w:w="1264" w:type="dxa"/>
            <w:vAlign w:val="center"/>
          </w:tcPr>
          <w:p w14:paraId="6D52E747" w14:textId="77777777" w:rsidR="00E80455" w:rsidRDefault="00E80455">
            <w:pPr>
              <w:pStyle w:val="TableParagraph"/>
              <w:rPr>
                <w:sz w:val="20"/>
              </w:rPr>
            </w:pPr>
          </w:p>
        </w:tc>
      </w:tr>
      <w:tr w:rsidR="00E80455" w14:paraId="665A06E0" w14:textId="77777777" w:rsidTr="004E577B">
        <w:trPr>
          <w:trHeight w:val="794"/>
        </w:trPr>
        <w:tc>
          <w:tcPr>
            <w:tcW w:w="1721" w:type="dxa"/>
            <w:vAlign w:val="center"/>
          </w:tcPr>
          <w:p w14:paraId="4DC5CF29" w14:textId="77777777" w:rsidR="00E80455" w:rsidRDefault="000B3179"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Cardiac disorders</w:t>
            </w:r>
          </w:p>
        </w:tc>
        <w:tc>
          <w:tcPr>
            <w:tcW w:w="1554" w:type="dxa"/>
            <w:vAlign w:val="center"/>
          </w:tcPr>
          <w:p w14:paraId="38A923CC" w14:textId="77777777" w:rsidR="00E80455" w:rsidRDefault="00E80455">
            <w:pPr>
              <w:pStyle w:val="TableParagraph"/>
              <w:rPr>
                <w:sz w:val="20"/>
              </w:rPr>
            </w:pPr>
          </w:p>
        </w:tc>
        <w:tc>
          <w:tcPr>
            <w:tcW w:w="1489" w:type="dxa"/>
            <w:vAlign w:val="center"/>
          </w:tcPr>
          <w:p w14:paraId="4BCF2306" w14:textId="77777777" w:rsidR="00E80455" w:rsidRDefault="00E80455">
            <w:pPr>
              <w:pStyle w:val="TableParagraph"/>
              <w:rPr>
                <w:sz w:val="20"/>
              </w:rPr>
            </w:pPr>
          </w:p>
        </w:tc>
        <w:tc>
          <w:tcPr>
            <w:tcW w:w="1698" w:type="dxa"/>
            <w:vAlign w:val="center"/>
          </w:tcPr>
          <w:p w14:paraId="647F75D1" w14:textId="77777777" w:rsidR="00E80455" w:rsidRDefault="000B3179">
            <w:pPr>
              <w:pStyle w:val="TableParagraph"/>
              <w:spacing w:before="134" w:line="276" w:lineRule="auto"/>
              <w:ind w:left="105" w:right="619"/>
              <w:rPr>
                <w:sz w:val="20"/>
              </w:rPr>
            </w:pPr>
            <w:r>
              <w:rPr>
                <w:sz w:val="20"/>
              </w:rPr>
              <w:t>Reflex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bradycardia</w:t>
            </w:r>
          </w:p>
        </w:tc>
        <w:tc>
          <w:tcPr>
            <w:tcW w:w="1297" w:type="dxa"/>
            <w:vAlign w:val="center"/>
          </w:tcPr>
          <w:p w14:paraId="5A1C128C" w14:textId="7B4F6230" w:rsidR="00E80455" w:rsidRDefault="000B3179" w:rsidP="004E577B">
            <w:pPr>
              <w:pStyle w:val="TableParagraph"/>
              <w:ind w:left="105"/>
              <w:rPr>
                <w:sz w:val="20"/>
              </w:rPr>
            </w:pPr>
            <w:r>
              <w:rPr>
                <w:sz w:val="20"/>
              </w:rPr>
              <w:t>Tachycardia</w:t>
            </w:r>
            <w:r w:rsidR="004E577B">
              <w:rPr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Palpitations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Asthenia</w:t>
            </w:r>
          </w:p>
        </w:tc>
        <w:tc>
          <w:tcPr>
            <w:tcW w:w="1264" w:type="dxa"/>
            <w:vAlign w:val="center"/>
          </w:tcPr>
          <w:p w14:paraId="02007375" w14:textId="77777777" w:rsidR="00E80455" w:rsidRDefault="00E80455">
            <w:pPr>
              <w:pStyle w:val="TableParagraph"/>
              <w:rPr>
                <w:sz w:val="20"/>
              </w:rPr>
            </w:pPr>
          </w:p>
        </w:tc>
      </w:tr>
      <w:tr w:rsidR="00E80455" w14:paraId="4AA3ED14" w14:textId="77777777" w:rsidTr="004E577B">
        <w:trPr>
          <w:trHeight w:val="1321"/>
        </w:trPr>
        <w:tc>
          <w:tcPr>
            <w:tcW w:w="1721" w:type="dxa"/>
            <w:vAlign w:val="center"/>
          </w:tcPr>
          <w:p w14:paraId="10172559" w14:textId="77777777" w:rsidR="00E80455" w:rsidRDefault="000B3179"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Vascular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disorders</w:t>
            </w:r>
          </w:p>
        </w:tc>
        <w:tc>
          <w:tcPr>
            <w:tcW w:w="1554" w:type="dxa"/>
            <w:vAlign w:val="center"/>
          </w:tcPr>
          <w:p w14:paraId="6300763C" w14:textId="77777777" w:rsidR="00E80455" w:rsidRDefault="00E80455">
            <w:pPr>
              <w:pStyle w:val="TableParagraph"/>
              <w:rPr>
                <w:sz w:val="20"/>
              </w:rPr>
            </w:pPr>
          </w:p>
        </w:tc>
        <w:tc>
          <w:tcPr>
            <w:tcW w:w="1489" w:type="dxa"/>
            <w:vAlign w:val="center"/>
          </w:tcPr>
          <w:p w14:paraId="23C4D0C3" w14:textId="77777777" w:rsidR="00E80455" w:rsidRDefault="000B3179">
            <w:pPr>
              <w:pStyle w:val="TableParagraph"/>
              <w:spacing w:line="276" w:lineRule="auto"/>
              <w:ind w:left="106" w:right="275"/>
              <w:rPr>
                <w:sz w:val="20"/>
              </w:rPr>
            </w:pPr>
            <w:r>
              <w:rPr>
                <w:sz w:val="20"/>
              </w:rPr>
              <w:t>Supine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Hypertension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(dose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dependent</w:t>
            </w:r>
          </w:p>
          <w:p w14:paraId="50899112" w14:textId="77777777" w:rsidR="00E80455" w:rsidRDefault="000B3179">
            <w:pPr>
              <w:pStyle w:val="TableParagraph"/>
              <w:ind w:left="106"/>
              <w:rPr>
                <w:sz w:val="20"/>
              </w:rPr>
            </w:pPr>
            <w:r>
              <w:rPr>
                <w:sz w:val="20"/>
              </w:rPr>
              <w:t>effect)</w:t>
            </w:r>
          </w:p>
        </w:tc>
        <w:tc>
          <w:tcPr>
            <w:tcW w:w="1698" w:type="dxa"/>
            <w:vAlign w:val="center"/>
          </w:tcPr>
          <w:p w14:paraId="488F3D46" w14:textId="77777777" w:rsidR="00E80455" w:rsidRDefault="00E80455">
            <w:pPr>
              <w:pStyle w:val="TableParagraph"/>
              <w:rPr>
                <w:sz w:val="20"/>
              </w:rPr>
            </w:pPr>
          </w:p>
        </w:tc>
        <w:tc>
          <w:tcPr>
            <w:tcW w:w="1297" w:type="dxa"/>
            <w:vAlign w:val="center"/>
          </w:tcPr>
          <w:p w14:paraId="3A2E8930" w14:textId="77777777" w:rsidR="00E80455" w:rsidRDefault="00E80455">
            <w:pPr>
              <w:pStyle w:val="TableParagraph"/>
              <w:rPr>
                <w:sz w:val="20"/>
              </w:rPr>
            </w:pPr>
          </w:p>
        </w:tc>
        <w:tc>
          <w:tcPr>
            <w:tcW w:w="1264" w:type="dxa"/>
            <w:vAlign w:val="center"/>
          </w:tcPr>
          <w:p w14:paraId="28406D0A" w14:textId="77777777" w:rsidR="00E80455" w:rsidRDefault="000B3179">
            <w:pPr>
              <w:pStyle w:val="TableParagraph"/>
              <w:spacing w:before="143" w:line="278" w:lineRule="auto"/>
              <w:ind w:left="101" w:right="311"/>
              <w:rPr>
                <w:sz w:val="20"/>
              </w:rPr>
            </w:pPr>
            <w:r>
              <w:rPr>
                <w:sz w:val="20"/>
              </w:rPr>
              <w:t>Peripheral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ischemia</w:t>
            </w:r>
          </w:p>
        </w:tc>
      </w:tr>
      <w:tr w:rsidR="00E80455" w14:paraId="401E4949" w14:textId="77777777" w:rsidTr="004E577B">
        <w:trPr>
          <w:trHeight w:val="1058"/>
        </w:trPr>
        <w:tc>
          <w:tcPr>
            <w:tcW w:w="1721" w:type="dxa"/>
            <w:vAlign w:val="center"/>
          </w:tcPr>
          <w:p w14:paraId="3C0A7AC0" w14:textId="77777777" w:rsidR="00E80455" w:rsidRDefault="000B3179">
            <w:pPr>
              <w:pStyle w:val="TableParagraph"/>
              <w:spacing w:line="276" w:lineRule="auto"/>
              <w:ind w:left="107" w:right="333"/>
              <w:rPr>
                <w:sz w:val="20"/>
              </w:rPr>
            </w:pPr>
            <w:r>
              <w:rPr>
                <w:spacing w:val="-1"/>
                <w:sz w:val="20"/>
              </w:rPr>
              <w:t>Gastrointestinal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disorders</w:t>
            </w:r>
          </w:p>
        </w:tc>
        <w:tc>
          <w:tcPr>
            <w:tcW w:w="1554" w:type="dxa"/>
            <w:vAlign w:val="center"/>
          </w:tcPr>
          <w:p w14:paraId="7913F15C" w14:textId="77777777" w:rsidR="00E80455" w:rsidRDefault="00E80455">
            <w:pPr>
              <w:pStyle w:val="TableParagraph"/>
              <w:rPr>
                <w:sz w:val="20"/>
              </w:rPr>
            </w:pPr>
          </w:p>
        </w:tc>
        <w:tc>
          <w:tcPr>
            <w:tcW w:w="1489" w:type="dxa"/>
            <w:vAlign w:val="center"/>
          </w:tcPr>
          <w:p w14:paraId="0D1F5FEB" w14:textId="77777777" w:rsidR="00E80455" w:rsidRDefault="000B3179">
            <w:pPr>
              <w:pStyle w:val="TableParagraph"/>
              <w:spacing w:before="132" w:line="276" w:lineRule="auto"/>
              <w:ind w:left="106" w:right="519"/>
              <w:rPr>
                <w:sz w:val="20"/>
              </w:rPr>
            </w:pPr>
            <w:r>
              <w:rPr>
                <w:sz w:val="20"/>
              </w:rPr>
              <w:t>Nausea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Dyspepsia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>Stomatitis</w:t>
            </w:r>
          </w:p>
        </w:tc>
        <w:tc>
          <w:tcPr>
            <w:tcW w:w="1698" w:type="dxa"/>
            <w:vAlign w:val="center"/>
          </w:tcPr>
          <w:p w14:paraId="71E1DACF" w14:textId="77777777" w:rsidR="00E80455" w:rsidRDefault="000B3179">
            <w:pPr>
              <w:pStyle w:val="TableParagraph"/>
              <w:spacing w:before="145"/>
              <w:ind w:left="105"/>
              <w:rPr>
                <w:sz w:val="20"/>
              </w:rPr>
            </w:pPr>
            <w:r>
              <w:rPr>
                <w:sz w:val="20"/>
              </w:rPr>
              <w:t>Dry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mouth</w:t>
            </w:r>
          </w:p>
        </w:tc>
        <w:tc>
          <w:tcPr>
            <w:tcW w:w="1297" w:type="dxa"/>
            <w:vAlign w:val="center"/>
          </w:tcPr>
          <w:p w14:paraId="00942FC3" w14:textId="77777777" w:rsidR="00E80455" w:rsidRDefault="00E80455">
            <w:pPr>
              <w:pStyle w:val="TableParagraph"/>
              <w:rPr>
                <w:sz w:val="20"/>
              </w:rPr>
            </w:pPr>
          </w:p>
        </w:tc>
        <w:tc>
          <w:tcPr>
            <w:tcW w:w="1264" w:type="dxa"/>
            <w:vAlign w:val="center"/>
          </w:tcPr>
          <w:p w14:paraId="1FE8C6C5" w14:textId="7A49F183" w:rsidR="00E80455" w:rsidRDefault="000B3179" w:rsidP="004E577B">
            <w:pPr>
              <w:pStyle w:val="TableParagraph"/>
              <w:spacing w:line="276" w:lineRule="auto"/>
              <w:ind w:left="101" w:right="233"/>
              <w:rPr>
                <w:sz w:val="20"/>
              </w:rPr>
            </w:pPr>
            <w:r>
              <w:rPr>
                <w:sz w:val="20"/>
              </w:rPr>
              <w:t>Abdominal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pain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Vomiting</w:t>
            </w:r>
            <w:r w:rsidR="004E577B">
              <w:rPr>
                <w:sz w:val="20"/>
              </w:rPr>
              <w:t xml:space="preserve"> </w:t>
            </w:r>
            <w:r>
              <w:rPr>
                <w:sz w:val="20"/>
              </w:rPr>
              <w:t>Diarrhea</w:t>
            </w:r>
          </w:p>
        </w:tc>
      </w:tr>
      <w:tr w:rsidR="00E80455" w14:paraId="2CABC618" w14:textId="77777777" w:rsidTr="004E577B">
        <w:trPr>
          <w:trHeight w:val="1321"/>
        </w:trPr>
        <w:tc>
          <w:tcPr>
            <w:tcW w:w="1721" w:type="dxa"/>
            <w:vAlign w:val="center"/>
          </w:tcPr>
          <w:p w14:paraId="243C5B8C" w14:textId="77777777" w:rsidR="00E80455" w:rsidRDefault="000B3179">
            <w:pPr>
              <w:pStyle w:val="TableParagraph"/>
              <w:spacing w:before="145" w:line="276" w:lineRule="auto"/>
              <w:ind w:left="107" w:right="484"/>
              <w:rPr>
                <w:sz w:val="20"/>
              </w:rPr>
            </w:pPr>
            <w:r>
              <w:rPr>
                <w:sz w:val="20"/>
              </w:rPr>
              <w:t>Hepatobiliary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disorders</w:t>
            </w:r>
          </w:p>
        </w:tc>
        <w:tc>
          <w:tcPr>
            <w:tcW w:w="1554" w:type="dxa"/>
            <w:vAlign w:val="center"/>
          </w:tcPr>
          <w:p w14:paraId="3A90C37B" w14:textId="77777777" w:rsidR="00E80455" w:rsidRDefault="00E80455">
            <w:pPr>
              <w:pStyle w:val="TableParagraph"/>
              <w:rPr>
                <w:sz w:val="20"/>
              </w:rPr>
            </w:pPr>
          </w:p>
        </w:tc>
        <w:tc>
          <w:tcPr>
            <w:tcW w:w="1489" w:type="dxa"/>
            <w:vAlign w:val="center"/>
          </w:tcPr>
          <w:p w14:paraId="5EA8134F" w14:textId="77777777" w:rsidR="00E80455" w:rsidRDefault="00E80455">
            <w:pPr>
              <w:pStyle w:val="TableParagraph"/>
              <w:rPr>
                <w:sz w:val="20"/>
              </w:rPr>
            </w:pPr>
          </w:p>
        </w:tc>
        <w:tc>
          <w:tcPr>
            <w:tcW w:w="1698" w:type="dxa"/>
            <w:vAlign w:val="center"/>
          </w:tcPr>
          <w:p w14:paraId="70F99E6E" w14:textId="77777777" w:rsidR="00E80455" w:rsidRDefault="00E80455">
            <w:pPr>
              <w:pStyle w:val="TableParagraph"/>
              <w:rPr>
                <w:sz w:val="20"/>
              </w:rPr>
            </w:pPr>
          </w:p>
        </w:tc>
        <w:tc>
          <w:tcPr>
            <w:tcW w:w="1297" w:type="dxa"/>
            <w:vAlign w:val="center"/>
          </w:tcPr>
          <w:p w14:paraId="31F17851" w14:textId="38A1CB03" w:rsidR="00E80455" w:rsidRDefault="000B3179" w:rsidP="004E577B">
            <w:pPr>
              <w:pStyle w:val="TableParagraph"/>
              <w:spacing w:line="276" w:lineRule="auto"/>
              <w:ind w:left="105" w:right="217"/>
              <w:rPr>
                <w:sz w:val="20"/>
              </w:rPr>
            </w:pPr>
            <w:r>
              <w:rPr>
                <w:sz w:val="20"/>
              </w:rPr>
              <w:t>Abnormal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hepatic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function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Raised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liver</w:t>
            </w:r>
            <w:r w:rsidR="004E577B">
              <w:rPr>
                <w:sz w:val="20"/>
              </w:rPr>
              <w:t xml:space="preserve"> </w:t>
            </w:r>
            <w:r>
              <w:rPr>
                <w:sz w:val="20"/>
              </w:rPr>
              <w:t>enzymes</w:t>
            </w:r>
          </w:p>
        </w:tc>
        <w:tc>
          <w:tcPr>
            <w:tcW w:w="1264" w:type="dxa"/>
            <w:vAlign w:val="center"/>
          </w:tcPr>
          <w:p w14:paraId="17A193B2" w14:textId="77777777" w:rsidR="00E80455" w:rsidRDefault="00E80455">
            <w:pPr>
              <w:pStyle w:val="TableParagraph"/>
              <w:rPr>
                <w:sz w:val="20"/>
              </w:rPr>
            </w:pPr>
          </w:p>
        </w:tc>
      </w:tr>
      <w:tr w:rsidR="00E80455" w14:paraId="07D9C6D4" w14:textId="77777777" w:rsidTr="004E577B">
        <w:trPr>
          <w:trHeight w:val="1058"/>
        </w:trPr>
        <w:tc>
          <w:tcPr>
            <w:tcW w:w="1721" w:type="dxa"/>
            <w:vAlign w:val="center"/>
          </w:tcPr>
          <w:p w14:paraId="54DB438F" w14:textId="77777777" w:rsidR="00E80455" w:rsidRDefault="000B3179">
            <w:pPr>
              <w:pStyle w:val="TableParagraph"/>
              <w:spacing w:before="134" w:line="276" w:lineRule="auto"/>
              <w:ind w:left="107" w:right="360"/>
              <w:rPr>
                <w:sz w:val="20"/>
              </w:rPr>
            </w:pPr>
            <w:r>
              <w:rPr>
                <w:sz w:val="20"/>
              </w:rPr>
              <w:t>Skin and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subcutaneous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tissue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disorders</w:t>
            </w:r>
          </w:p>
        </w:tc>
        <w:tc>
          <w:tcPr>
            <w:tcW w:w="1554" w:type="dxa"/>
            <w:vAlign w:val="center"/>
          </w:tcPr>
          <w:p w14:paraId="0D9BDC78" w14:textId="24C0D758" w:rsidR="00E80455" w:rsidRDefault="000B3179" w:rsidP="004E577B">
            <w:pPr>
              <w:pStyle w:val="TableParagraph"/>
              <w:spacing w:line="276" w:lineRule="auto"/>
              <w:ind w:left="107" w:right="283"/>
              <w:rPr>
                <w:sz w:val="20"/>
              </w:rPr>
            </w:pPr>
            <w:r>
              <w:rPr>
                <w:sz w:val="20"/>
              </w:rPr>
              <w:t>Piloerection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(goosebumps)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Pruritus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 w:rsidR="004E577B">
              <w:rPr>
                <w:sz w:val="20"/>
              </w:rPr>
              <w:t xml:space="preserve"> </w:t>
            </w:r>
            <w:r>
              <w:rPr>
                <w:sz w:val="20"/>
              </w:rPr>
              <w:t>scalp</w:t>
            </w:r>
          </w:p>
        </w:tc>
        <w:tc>
          <w:tcPr>
            <w:tcW w:w="1489" w:type="dxa"/>
            <w:vAlign w:val="center"/>
          </w:tcPr>
          <w:p w14:paraId="6787D862" w14:textId="4ECD544A" w:rsidR="00E80455" w:rsidRDefault="000B3179" w:rsidP="004E577B">
            <w:pPr>
              <w:pStyle w:val="TableParagraph"/>
              <w:spacing w:line="276" w:lineRule="auto"/>
              <w:ind w:left="106" w:right="660"/>
              <w:rPr>
                <w:sz w:val="20"/>
              </w:rPr>
            </w:pPr>
            <w:r>
              <w:rPr>
                <w:sz w:val="20"/>
              </w:rPr>
              <w:t>Pruritus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Chills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Flushing</w:t>
            </w:r>
            <w:r w:rsidR="004E577B"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Rash</w:t>
            </w:r>
          </w:p>
        </w:tc>
        <w:tc>
          <w:tcPr>
            <w:tcW w:w="1698" w:type="dxa"/>
            <w:vAlign w:val="center"/>
          </w:tcPr>
          <w:p w14:paraId="61850C61" w14:textId="77777777" w:rsidR="00E80455" w:rsidRDefault="00E80455">
            <w:pPr>
              <w:pStyle w:val="TableParagraph"/>
              <w:rPr>
                <w:sz w:val="20"/>
              </w:rPr>
            </w:pPr>
          </w:p>
        </w:tc>
        <w:tc>
          <w:tcPr>
            <w:tcW w:w="1297" w:type="dxa"/>
            <w:vAlign w:val="center"/>
          </w:tcPr>
          <w:p w14:paraId="45CA7FA2" w14:textId="473D31BF" w:rsidR="00E80455" w:rsidRDefault="000B3179" w:rsidP="004E577B">
            <w:pPr>
              <w:pStyle w:val="TableParagraph"/>
              <w:spacing w:line="276" w:lineRule="auto"/>
              <w:ind w:left="105" w:right="262"/>
              <w:rPr>
                <w:sz w:val="20"/>
              </w:rPr>
            </w:pPr>
            <w:r>
              <w:rPr>
                <w:sz w:val="20"/>
              </w:rPr>
              <w:t>Erythema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multiforme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Dry skin</w:t>
            </w:r>
            <w:r w:rsidR="004E577B">
              <w:rPr>
                <w:sz w:val="20"/>
              </w:rPr>
              <w:t xml:space="preserve"> </w:t>
            </w:r>
            <w:r>
              <w:rPr>
                <w:sz w:val="20"/>
              </w:rPr>
              <w:t>Canker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sore</w:t>
            </w:r>
          </w:p>
        </w:tc>
        <w:tc>
          <w:tcPr>
            <w:tcW w:w="1264" w:type="dxa"/>
            <w:vAlign w:val="center"/>
          </w:tcPr>
          <w:p w14:paraId="048F486A" w14:textId="77777777" w:rsidR="00E80455" w:rsidRDefault="00E80455">
            <w:pPr>
              <w:pStyle w:val="TableParagraph"/>
              <w:rPr>
                <w:sz w:val="20"/>
              </w:rPr>
            </w:pPr>
          </w:p>
        </w:tc>
      </w:tr>
      <w:tr w:rsidR="00E80455" w14:paraId="479371EC" w14:textId="77777777" w:rsidTr="004E577B">
        <w:trPr>
          <w:trHeight w:val="1058"/>
        </w:trPr>
        <w:tc>
          <w:tcPr>
            <w:tcW w:w="1721" w:type="dxa"/>
            <w:vAlign w:val="center"/>
          </w:tcPr>
          <w:p w14:paraId="408692D5" w14:textId="77777777" w:rsidR="00E80455" w:rsidRDefault="000B3179">
            <w:pPr>
              <w:pStyle w:val="TableParagraph"/>
              <w:spacing w:before="1" w:line="276" w:lineRule="auto"/>
              <w:ind w:left="107" w:right="106"/>
              <w:rPr>
                <w:sz w:val="20"/>
              </w:rPr>
            </w:pPr>
            <w:r>
              <w:rPr>
                <w:sz w:val="20"/>
              </w:rPr>
              <w:t>Renal and Urinary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disorders</w:t>
            </w:r>
          </w:p>
        </w:tc>
        <w:tc>
          <w:tcPr>
            <w:tcW w:w="1554" w:type="dxa"/>
            <w:vAlign w:val="center"/>
          </w:tcPr>
          <w:p w14:paraId="102C12FA" w14:textId="77777777" w:rsidR="00E80455" w:rsidRDefault="000B3179">
            <w:pPr>
              <w:pStyle w:val="TableParagraph"/>
              <w:spacing w:before="146"/>
              <w:ind w:left="107"/>
              <w:rPr>
                <w:sz w:val="20"/>
              </w:rPr>
            </w:pPr>
            <w:r>
              <w:rPr>
                <w:sz w:val="20"/>
              </w:rPr>
              <w:t>Dysuria</w:t>
            </w:r>
          </w:p>
        </w:tc>
        <w:tc>
          <w:tcPr>
            <w:tcW w:w="1489" w:type="dxa"/>
            <w:vAlign w:val="center"/>
          </w:tcPr>
          <w:p w14:paraId="05E0BE44" w14:textId="77777777" w:rsidR="00E80455" w:rsidRDefault="000B3179">
            <w:pPr>
              <w:pStyle w:val="TableParagraph"/>
              <w:spacing w:line="276" w:lineRule="auto"/>
              <w:ind w:left="106" w:right="642"/>
              <w:rPr>
                <w:sz w:val="20"/>
              </w:rPr>
            </w:pPr>
            <w:r>
              <w:rPr>
                <w:sz w:val="20"/>
              </w:rPr>
              <w:t>Urinary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retention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Urinary</w:t>
            </w:r>
          </w:p>
          <w:p w14:paraId="19EFE815" w14:textId="77777777" w:rsidR="00E80455" w:rsidRDefault="000B3179">
            <w:pPr>
              <w:pStyle w:val="TableParagraph"/>
              <w:spacing w:before="2"/>
              <w:ind w:left="106"/>
              <w:rPr>
                <w:sz w:val="20"/>
              </w:rPr>
            </w:pPr>
            <w:r>
              <w:rPr>
                <w:sz w:val="20"/>
              </w:rPr>
              <w:t>urgency</w:t>
            </w:r>
          </w:p>
        </w:tc>
        <w:tc>
          <w:tcPr>
            <w:tcW w:w="1698" w:type="dxa"/>
            <w:vAlign w:val="center"/>
          </w:tcPr>
          <w:p w14:paraId="23A73C02" w14:textId="77777777" w:rsidR="00E80455" w:rsidRDefault="00E80455">
            <w:pPr>
              <w:pStyle w:val="TableParagraph"/>
              <w:rPr>
                <w:sz w:val="20"/>
              </w:rPr>
            </w:pPr>
          </w:p>
        </w:tc>
        <w:tc>
          <w:tcPr>
            <w:tcW w:w="1297" w:type="dxa"/>
            <w:vAlign w:val="center"/>
          </w:tcPr>
          <w:p w14:paraId="61B5CC0D" w14:textId="77777777" w:rsidR="00E80455" w:rsidRDefault="00E80455">
            <w:pPr>
              <w:pStyle w:val="TableParagraph"/>
              <w:rPr>
                <w:sz w:val="20"/>
              </w:rPr>
            </w:pPr>
          </w:p>
        </w:tc>
        <w:tc>
          <w:tcPr>
            <w:tcW w:w="1264" w:type="dxa"/>
            <w:vAlign w:val="center"/>
          </w:tcPr>
          <w:p w14:paraId="1661F8D3" w14:textId="77777777" w:rsidR="00E80455" w:rsidRDefault="00E80455">
            <w:pPr>
              <w:pStyle w:val="TableParagraph"/>
              <w:rPr>
                <w:sz w:val="20"/>
              </w:rPr>
            </w:pPr>
          </w:p>
        </w:tc>
      </w:tr>
      <w:tr w:rsidR="00E80455" w14:paraId="6C89D06D" w14:textId="77777777" w:rsidTr="004E577B">
        <w:trPr>
          <w:trHeight w:val="530"/>
        </w:trPr>
        <w:tc>
          <w:tcPr>
            <w:tcW w:w="1721" w:type="dxa"/>
            <w:vAlign w:val="center"/>
          </w:tcPr>
          <w:p w14:paraId="7E863835" w14:textId="77777777" w:rsidR="00E80455" w:rsidRDefault="000B3179">
            <w:pPr>
              <w:pStyle w:val="TableParagraph"/>
              <w:spacing w:before="132"/>
              <w:ind w:left="107"/>
              <w:rPr>
                <w:sz w:val="20"/>
              </w:rPr>
            </w:pPr>
            <w:r>
              <w:rPr>
                <w:sz w:val="20"/>
              </w:rPr>
              <w:t>Eye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Disorders</w:t>
            </w:r>
          </w:p>
        </w:tc>
        <w:tc>
          <w:tcPr>
            <w:tcW w:w="1554" w:type="dxa"/>
            <w:vAlign w:val="center"/>
          </w:tcPr>
          <w:p w14:paraId="7E274269" w14:textId="77777777" w:rsidR="00E80455" w:rsidRDefault="00E80455">
            <w:pPr>
              <w:pStyle w:val="TableParagraph"/>
              <w:rPr>
                <w:sz w:val="20"/>
              </w:rPr>
            </w:pPr>
          </w:p>
        </w:tc>
        <w:tc>
          <w:tcPr>
            <w:tcW w:w="1489" w:type="dxa"/>
            <w:vAlign w:val="center"/>
          </w:tcPr>
          <w:p w14:paraId="432BAB68" w14:textId="77777777" w:rsidR="00E80455" w:rsidRDefault="00E80455">
            <w:pPr>
              <w:pStyle w:val="TableParagraph"/>
              <w:rPr>
                <w:sz w:val="20"/>
              </w:rPr>
            </w:pPr>
          </w:p>
        </w:tc>
        <w:tc>
          <w:tcPr>
            <w:tcW w:w="1698" w:type="dxa"/>
            <w:vAlign w:val="center"/>
          </w:tcPr>
          <w:p w14:paraId="7D5B98F5" w14:textId="77777777" w:rsidR="00E80455" w:rsidRDefault="00E80455">
            <w:pPr>
              <w:pStyle w:val="TableParagraph"/>
              <w:rPr>
                <w:sz w:val="20"/>
              </w:rPr>
            </w:pPr>
          </w:p>
        </w:tc>
        <w:tc>
          <w:tcPr>
            <w:tcW w:w="1297" w:type="dxa"/>
            <w:vAlign w:val="center"/>
          </w:tcPr>
          <w:p w14:paraId="5098FFA0" w14:textId="70DF101D" w:rsidR="00E80455" w:rsidRDefault="000B3179" w:rsidP="004E577B">
            <w:pPr>
              <w:pStyle w:val="TableParagraph"/>
              <w:ind w:left="105"/>
              <w:rPr>
                <w:sz w:val="20"/>
              </w:rPr>
            </w:pPr>
            <w:r>
              <w:rPr>
                <w:sz w:val="20"/>
              </w:rPr>
              <w:t>Visual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Field</w:t>
            </w:r>
            <w:r w:rsidR="004E577B">
              <w:rPr>
                <w:sz w:val="20"/>
              </w:rPr>
              <w:t xml:space="preserve"> </w:t>
            </w:r>
            <w:r>
              <w:rPr>
                <w:sz w:val="20"/>
              </w:rPr>
              <w:t>defect</w:t>
            </w:r>
          </w:p>
        </w:tc>
        <w:tc>
          <w:tcPr>
            <w:tcW w:w="1264" w:type="dxa"/>
            <w:vAlign w:val="center"/>
          </w:tcPr>
          <w:p w14:paraId="189378B1" w14:textId="77777777" w:rsidR="00E80455" w:rsidRDefault="00E80455">
            <w:pPr>
              <w:pStyle w:val="TableParagraph"/>
              <w:rPr>
                <w:sz w:val="20"/>
              </w:rPr>
            </w:pPr>
          </w:p>
        </w:tc>
      </w:tr>
      <w:tr w:rsidR="00E80455" w14:paraId="75F27746" w14:textId="77777777" w:rsidTr="004E577B">
        <w:trPr>
          <w:trHeight w:val="794"/>
        </w:trPr>
        <w:tc>
          <w:tcPr>
            <w:tcW w:w="1721" w:type="dxa"/>
            <w:vAlign w:val="center"/>
          </w:tcPr>
          <w:p w14:paraId="736FBB16" w14:textId="411D317A" w:rsidR="00E80455" w:rsidRDefault="000B3179" w:rsidP="004E577B"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Musculoskeletal</w:t>
            </w:r>
            <w:r w:rsidR="004E577B">
              <w:rPr>
                <w:sz w:val="20"/>
              </w:rPr>
              <w:t xml:space="preserve"> </w:t>
            </w:r>
            <w:r>
              <w:rPr>
                <w:sz w:val="20"/>
              </w:rPr>
              <w:t>and connective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tissue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disorders</w:t>
            </w:r>
          </w:p>
        </w:tc>
        <w:tc>
          <w:tcPr>
            <w:tcW w:w="1554" w:type="dxa"/>
            <w:vAlign w:val="center"/>
          </w:tcPr>
          <w:p w14:paraId="206928EA" w14:textId="77777777" w:rsidR="00E80455" w:rsidRDefault="00E80455">
            <w:pPr>
              <w:pStyle w:val="TableParagraph"/>
              <w:rPr>
                <w:sz w:val="20"/>
              </w:rPr>
            </w:pPr>
          </w:p>
        </w:tc>
        <w:tc>
          <w:tcPr>
            <w:tcW w:w="1489" w:type="dxa"/>
            <w:vAlign w:val="center"/>
          </w:tcPr>
          <w:p w14:paraId="7D535E77" w14:textId="77777777" w:rsidR="00E80455" w:rsidRDefault="00E80455">
            <w:pPr>
              <w:pStyle w:val="TableParagraph"/>
              <w:rPr>
                <w:sz w:val="20"/>
              </w:rPr>
            </w:pPr>
          </w:p>
        </w:tc>
        <w:tc>
          <w:tcPr>
            <w:tcW w:w="1698" w:type="dxa"/>
            <w:vAlign w:val="center"/>
          </w:tcPr>
          <w:p w14:paraId="025BE3AF" w14:textId="77777777" w:rsidR="00E80455" w:rsidRDefault="00E80455">
            <w:pPr>
              <w:pStyle w:val="TableParagraph"/>
              <w:rPr>
                <w:sz w:val="20"/>
              </w:rPr>
            </w:pPr>
          </w:p>
        </w:tc>
        <w:tc>
          <w:tcPr>
            <w:tcW w:w="1297" w:type="dxa"/>
            <w:vAlign w:val="center"/>
          </w:tcPr>
          <w:p w14:paraId="1A3A6C25" w14:textId="77777777" w:rsidR="00E80455" w:rsidRDefault="000B3179">
            <w:pPr>
              <w:pStyle w:val="TableParagraph"/>
              <w:spacing w:before="132" w:line="276" w:lineRule="auto"/>
              <w:ind w:left="105" w:right="234"/>
              <w:rPr>
                <w:sz w:val="20"/>
              </w:rPr>
            </w:pPr>
            <w:r>
              <w:rPr>
                <w:sz w:val="20"/>
              </w:rPr>
              <w:t>Backache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Leg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cramps</w:t>
            </w:r>
          </w:p>
        </w:tc>
        <w:tc>
          <w:tcPr>
            <w:tcW w:w="1264" w:type="dxa"/>
            <w:vAlign w:val="center"/>
          </w:tcPr>
          <w:p w14:paraId="4E538A6E" w14:textId="77777777" w:rsidR="00E80455" w:rsidRDefault="00E80455">
            <w:pPr>
              <w:pStyle w:val="TableParagraph"/>
              <w:rPr>
                <w:sz w:val="20"/>
              </w:rPr>
            </w:pPr>
          </w:p>
        </w:tc>
      </w:tr>
    </w:tbl>
    <w:p w14:paraId="54656921" w14:textId="77777777" w:rsidR="00E80455" w:rsidRDefault="000B3179" w:rsidP="004E577B">
      <w:pPr>
        <w:spacing w:before="240" w:after="240"/>
        <w:ind w:left="102"/>
        <w:rPr>
          <w:rFonts w:ascii="Arial"/>
          <w:b/>
        </w:rPr>
      </w:pPr>
      <w:bookmarkStart w:id="42" w:name="Post_Marketing_Data"/>
      <w:bookmarkEnd w:id="42"/>
      <w:r>
        <w:rPr>
          <w:rFonts w:ascii="Arial"/>
          <w:b/>
        </w:rPr>
        <w:t>Post</w:t>
      </w:r>
      <w:r>
        <w:rPr>
          <w:rFonts w:ascii="Arial"/>
          <w:b/>
          <w:spacing w:val="-5"/>
        </w:rPr>
        <w:t xml:space="preserve"> </w:t>
      </w:r>
      <w:r>
        <w:rPr>
          <w:rFonts w:ascii="Arial"/>
          <w:b/>
        </w:rPr>
        <w:t>Marketing</w:t>
      </w:r>
      <w:r>
        <w:rPr>
          <w:rFonts w:ascii="Arial"/>
          <w:b/>
          <w:spacing w:val="-3"/>
        </w:rPr>
        <w:t xml:space="preserve"> </w:t>
      </w:r>
      <w:r>
        <w:rPr>
          <w:rFonts w:ascii="Arial"/>
          <w:b/>
        </w:rPr>
        <w:t>Data</w:t>
      </w:r>
    </w:p>
    <w:p w14:paraId="0FEC4F8B" w14:textId="77777777" w:rsidR="00E80455" w:rsidRDefault="000B3179" w:rsidP="004E577B">
      <w:pPr>
        <w:pStyle w:val="BodyText"/>
        <w:spacing w:after="240"/>
        <w:ind w:left="100"/>
      </w:pPr>
      <w:r>
        <w:t>The</w:t>
      </w:r>
      <w:r>
        <w:rPr>
          <w:spacing w:val="-3"/>
        </w:rPr>
        <w:t xml:space="preserve"> </w:t>
      </w:r>
      <w:r>
        <w:t>following adverse</w:t>
      </w:r>
      <w:r>
        <w:rPr>
          <w:spacing w:val="-1"/>
        </w:rPr>
        <w:t xml:space="preserve"> </w:t>
      </w:r>
      <w:r>
        <w:t>events have</w:t>
      </w:r>
      <w:r>
        <w:rPr>
          <w:spacing w:val="-3"/>
        </w:rPr>
        <w:t xml:space="preserve"> </w:t>
      </w:r>
      <w:r>
        <w:t>also been reported with</w:t>
      </w:r>
      <w:r>
        <w:rPr>
          <w:spacing w:val="-1"/>
        </w:rPr>
        <w:t xml:space="preserve"> </w:t>
      </w:r>
      <w:r>
        <w:t>the use</w:t>
      </w:r>
      <w:r>
        <w:rPr>
          <w:spacing w:val="-2"/>
        </w:rPr>
        <w:t xml:space="preserve"> </w:t>
      </w:r>
      <w:r>
        <w:t>of midodrine:</w:t>
      </w:r>
    </w:p>
    <w:p w14:paraId="56E5A409" w14:textId="77777777" w:rsidR="00E80455" w:rsidRDefault="000B3179" w:rsidP="004E577B">
      <w:pPr>
        <w:spacing w:after="240"/>
        <w:ind w:left="100" w:right="581"/>
        <w:rPr>
          <w:sz w:val="23"/>
        </w:rPr>
      </w:pPr>
      <w:r>
        <w:rPr>
          <w:sz w:val="23"/>
        </w:rPr>
        <w:t>Very common (&gt;1/10); common (&gt;1/100, &lt;1/10); uncommon (&gt;1/1 000, &lt;1/100); rare (&gt;1/10</w:t>
      </w:r>
      <w:r>
        <w:rPr>
          <w:spacing w:val="-55"/>
          <w:sz w:val="23"/>
        </w:rPr>
        <w:t xml:space="preserve"> </w:t>
      </w:r>
      <w:r>
        <w:rPr>
          <w:sz w:val="23"/>
        </w:rPr>
        <w:t>000, &lt; 1/1 000); very rare</w:t>
      </w:r>
      <w:r>
        <w:rPr>
          <w:spacing w:val="-2"/>
          <w:sz w:val="23"/>
        </w:rPr>
        <w:t xml:space="preserve"> </w:t>
      </w:r>
      <w:r>
        <w:rPr>
          <w:sz w:val="23"/>
        </w:rPr>
        <w:t>(&lt;1/10000)</w:t>
      </w:r>
    </w:p>
    <w:p w14:paraId="42D2CEE7" w14:textId="77777777" w:rsidR="00E80455" w:rsidRDefault="00E80455">
      <w:pPr>
        <w:rPr>
          <w:sz w:val="23"/>
        </w:rPr>
        <w:sectPr w:rsidR="00E80455" w:rsidSect="004E577B">
          <w:pgSz w:w="11910" w:h="16840"/>
          <w:pgMar w:top="1340" w:right="1240" w:bottom="920" w:left="1340" w:header="170" w:footer="729" w:gutter="0"/>
          <w:cols w:space="720"/>
          <w:docGrid w:linePitch="299"/>
        </w:sectPr>
      </w:pPr>
    </w:p>
    <w:p w14:paraId="2C584165" w14:textId="77777777" w:rsidR="00E80455" w:rsidRDefault="000B3179" w:rsidP="004E577B">
      <w:pPr>
        <w:spacing w:before="82" w:after="240"/>
        <w:ind w:left="100"/>
        <w:rPr>
          <w:i/>
          <w:sz w:val="23"/>
        </w:rPr>
      </w:pPr>
      <w:r>
        <w:rPr>
          <w:i/>
          <w:sz w:val="23"/>
        </w:rPr>
        <w:lastRenderedPageBreak/>
        <w:t>Psychiatric</w:t>
      </w:r>
      <w:r>
        <w:rPr>
          <w:i/>
          <w:spacing w:val="-4"/>
          <w:sz w:val="23"/>
        </w:rPr>
        <w:t xml:space="preserve"> </w:t>
      </w:r>
      <w:r>
        <w:rPr>
          <w:i/>
          <w:sz w:val="23"/>
        </w:rPr>
        <w:t>disorders:</w:t>
      </w:r>
    </w:p>
    <w:p w14:paraId="12ED943D" w14:textId="77777777" w:rsidR="00E80455" w:rsidRDefault="000B3179" w:rsidP="004E577B">
      <w:pPr>
        <w:spacing w:before="1" w:after="240"/>
        <w:ind w:left="100"/>
        <w:rPr>
          <w:sz w:val="23"/>
        </w:rPr>
      </w:pPr>
      <w:r>
        <w:rPr>
          <w:sz w:val="23"/>
        </w:rPr>
        <w:t>Uncommon:</w:t>
      </w:r>
      <w:r>
        <w:rPr>
          <w:spacing w:val="-3"/>
          <w:sz w:val="23"/>
        </w:rPr>
        <w:t xml:space="preserve"> </w:t>
      </w:r>
      <w:r>
        <w:rPr>
          <w:sz w:val="23"/>
        </w:rPr>
        <w:t>sleep</w:t>
      </w:r>
      <w:r>
        <w:rPr>
          <w:spacing w:val="-2"/>
          <w:sz w:val="23"/>
        </w:rPr>
        <w:t xml:space="preserve"> </w:t>
      </w:r>
      <w:r>
        <w:rPr>
          <w:sz w:val="23"/>
        </w:rPr>
        <w:t>disorders,</w:t>
      </w:r>
      <w:r>
        <w:rPr>
          <w:spacing w:val="-2"/>
          <w:sz w:val="23"/>
        </w:rPr>
        <w:t xml:space="preserve"> </w:t>
      </w:r>
      <w:r>
        <w:rPr>
          <w:sz w:val="23"/>
        </w:rPr>
        <w:t>insomnia</w:t>
      </w:r>
    </w:p>
    <w:p w14:paraId="5F4A0832" w14:textId="77777777" w:rsidR="00E80455" w:rsidRDefault="000B3179" w:rsidP="004E577B">
      <w:pPr>
        <w:spacing w:after="240"/>
        <w:ind w:left="100"/>
        <w:rPr>
          <w:i/>
          <w:sz w:val="23"/>
        </w:rPr>
      </w:pPr>
      <w:r>
        <w:rPr>
          <w:i/>
          <w:sz w:val="23"/>
        </w:rPr>
        <w:t>Nervous</w:t>
      </w:r>
      <w:r>
        <w:rPr>
          <w:i/>
          <w:spacing w:val="-3"/>
          <w:sz w:val="23"/>
        </w:rPr>
        <w:t xml:space="preserve"> </w:t>
      </w:r>
      <w:r>
        <w:rPr>
          <w:i/>
          <w:sz w:val="23"/>
        </w:rPr>
        <w:t>system</w:t>
      </w:r>
      <w:r>
        <w:rPr>
          <w:i/>
          <w:spacing w:val="-3"/>
          <w:sz w:val="23"/>
        </w:rPr>
        <w:t xml:space="preserve"> </w:t>
      </w:r>
      <w:r>
        <w:rPr>
          <w:i/>
          <w:sz w:val="23"/>
        </w:rPr>
        <w:t>disorders:</w:t>
      </w:r>
    </w:p>
    <w:p w14:paraId="690A66B4" w14:textId="77777777" w:rsidR="00E80455" w:rsidRDefault="000B3179" w:rsidP="004E577B">
      <w:pPr>
        <w:spacing w:before="1" w:after="240"/>
        <w:ind w:left="100"/>
        <w:rPr>
          <w:sz w:val="23"/>
        </w:rPr>
      </w:pPr>
      <w:r>
        <w:rPr>
          <w:sz w:val="23"/>
        </w:rPr>
        <w:t>Uncommon:</w:t>
      </w:r>
      <w:r>
        <w:rPr>
          <w:spacing w:val="-5"/>
          <w:sz w:val="23"/>
        </w:rPr>
        <w:t xml:space="preserve"> </w:t>
      </w:r>
      <w:r>
        <w:rPr>
          <w:sz w:val="23"/>
        </w:rPr>
        <w:t>restlessness,</w:t>
      </w:r>
      <w:r>
        <w:rPr>
          <w:spacing w:val="-7"/>
          <w:sz w:val="23"/>
        </w:rPr>
        <w:t xml:space="preserve"> </w:t>
      </w:r>
      <w:r>
        <w:rPr>
          <w:sz w:val="23"/>
        </w:rPr>
        <w:t>excitability,</w:t>
      </w:r>
      <w:r>
        <w:rPr>
          <w:spacing w:val="-4"/>
          <w:sz w:val="23"/>
        </w:rPr>
        <w:t xml:space="preserve"> </w:t>
      </w:r>
      <w:r>
        <w:rPr>
          <w:sz w:val="23"/>
        </w:rPr>
        <w:t>irritability</w:t>
      </w:r>
    </w:p>
    <w:p w14:paraId="25C13ECB" w14:textId="77777777" w:rsidR="00E80455" w:rsidRDefault="000B3179" w:rsidP="004E577B">
      <w:pPr>
        <w:spacing w:after="240"/>
        <w:ind w:left="100"/>
        <w:rPr>
          <w:i/>
          <w:sz w:val="23"/>
        </w:rPr>
      </w:pPr>
      <w:r>
        <w:rPr>
          <w:i/>
          <w:sz w:val="23"/>
        </w:rPr>
        <w:t>Cardiac</w:t>
      </w:r>
      <w:r>
        <w:rPr>
          <w:i/>
          <w:spacing w:val="-1"/>
          <w:sz w:val="23"/>
        </w:rPr>
        <w:t xml:space="preserve"> </w:t>
      </w:r>
      <w:r>
        <w:rPr>
          <w:i/>
          <w:sz w:val="23"/>
        </w:rPr>
        <w:t>disorders:</w:t>
      </w:r>
    </w:p>
    <w:p w14:paraId="73C1F764" w14:textId="77777777" w:rsidR="00E80455" w:rsidRDefault="000B3179" w:rsidP="004E577B">
      <w:pPr>
        <w:spacing w:before="1" w:after="240" w:line="458" w:lineRule="auto"/>
        <w:ind w:left="100" w:right="6259"/>
        <w:rPr>
          <w:i/>
          <w:sz w:val="23"/>
        </w:rPr>
      </w:pPr>
      <w:r>
        <w:rPr>
          <w:sz w:val="23"/>
        </w:rPr>
        <w:t>Uncommon: reflex bradycardia;</w:t>
      </w:r>
      <w:r>
        <w:rPr>
          <w:spacing w:val="-55"/>
          <w:sz w:val="23"/>
        </w:rPr>
        <w:t xml:space="preserve"> </w:t>
      </w:r>
      <w:r>
        <w:rPr>
          <w:sz w:val="23"/>
        </w:rPr>
        <w:t>Rare: tachycardia</w:t>
      </w:r>
      <w:r>
        <w:rPr>
          <w:spacing w:val="1"/>
          <w:sz w:val="23"/>
        </w:rPr>
        <w:t xml:space="preserve"> </w:t>
      </w:r>
      <w:r>
        <w:rPr>
          <w:i/>
          <w:sz w:val="23"/>
        </w:rPr>
        <w:t>Gastrointestinal</w:t>
      </w:r>
      <w:r>
        <w:rPr>
          <w:i/>
          <w:spacing w:val="-1"/>
          <w:sz w:val="23"/>
        </w:rPr>
        <w:t xml:space="preserve"> </w:t>
      </w:r>
      <w:r>
        <w:rPr>
          <w:i/>
          <w:sz w:val="23"/>
        </w:rPr>
        <w:t>disorders:</w:t>
      </w:r>
    </w:p>
    <w:p w14:paraId="733CAD0A" w14:textId="77777777" w:rsidR="00E80455" w:rsidRDefault="000B3179" w:rsidP="004E577B">
      <w:pPr>
        <w:spacing w:after="240" w:line="264" w:lineRule="exact"/>
        <w:ind w:left="100"/>
        <w:rPr>
          <w:sz w:val="23"/>
        </w:rPr>
      </w:pPr>
      <w:r>
        <w:rPr>
          <w:sz w:val="23"/>
        </w:rPr>
        <w:t>Common:</w:t>
      </w:r>
      <w:r>
        <w:rPr>
          <w:spacing w:val="-3"/>
          <w:sz w:val="23"/>
        </w:rPr>
        <w:t xml:space="preserve"> </w:t>
      </w:r>
      <w:r>
        <w:rPr>
          <w:sz w:val="23"/>
        </w:rPr>
        <w:t>heartburn,</w:t>
      </w:r>
      <w:r>
        <w:rPr>
          <w:spacing w:val="-2"/>
          <w:sz w:val="23"/>
        </w:rPr>
        <w:t xml:space="preserve"> </w:t>
      </w:r>
      <w:r>
        <w:rPr>
          <w:sz w:val="23"/>
        </w:rPr>
        <w:t>stomatitis</w:t>
      </w:r>
    </w:p>
    <w:p w14:paraId="6DB3B1FD" w14:textId="77777777" w:rsidR="00E80455" w:rsidRDefault="000B3179" w:rsidP="004E577B">
      <w:pPr>
        <w:spacing w:after="240"/>
        <w:ind w:left="100"/>
        <w:rPr>
          <w:i/>
          <w:sz w:val="23"/>
        </w:rPr>
      </w:pPr>
      <w:r>
        <w:rPr>
          <w:i/>
          <w:sz w:val="23"/>
        </w:rPr>
        <w:t>Hepatobiliary</w:t>
      </w:r>
      <w:r>
        <w:rPr>
          <w:i/>
          <w:spacing w:val="-4"/>
          <w:sz w:val="23"/>
        </w:rPr>
        <w:t xml:space="preserve"> </w:t>
      </w:r>
      <w:r>
        <w:rPr>
          <w:i/>
          <w:sz w:val="23"/>
        </w:rPr>
        <w:t>disorders:</w:t>
      </w:r>
    </w:p>
    <w:p w14:paraId="6545EE55" w14:textId="77777777" w:rsidR="00E80455" w:rsidRDefault="000B3179" w:rsidP="004E577B">
      <w:pPr>
        <w:spacing w:after="240"/>
        <w:ind w:left="100"/>
        <w:rPr>
          <w:sz w:val="23"/>
        </w:rPr>
      </w:pPr>
      <w:r>
        <w:rPr>
          <w:sz w:val="23"/>
        </w:rPr>
        <w:t>Rare:</w:t>
      </w:r>
      <w:r>
        <w:rPr>
          <w:spacing w:val="-2"/>
          <w:sz w:val="23"/>
        </w:rPr>
        <w:t xml:space="preserve"> </w:t>
      </w:r>
      <w:r>
        <w:rPr>
          <w:sz w:val="23"/>
        </w:rPr>
        <w:t>Hepatic</w:t>
      </w:r>
      <w:r>
        <w:rPr>
          <w:spacing w:val="-3"/>
          <w:sz w:val="23"/>
        </w:rPr>
        <w:t xml:space="preserve"> </w:t>
      </w:r>
      <w:r>
        <w:rPr>
          <w:sz w:val="23"/>
        </w:rPr>
        <w:t>function</w:t>
      </w:r>
      <w:r>
        <w:rPr>
          <w:spacing w:val="-4"/>
          <w:sz w:val="23"/>
        </w:rPr>
        <w:t xml:space="preserve"> </w:t>
      </w:r>
      <w:r>
        <w:rPr>
          <w:sz w:val="23"/>
        </w:rPr>
        <w:t>abnormal,</w:t>
      </w:r>
      <w:r>
        <w:rPr>
          <w:spacing w:val="-1"/>
          <w:sz w:val="23"/>
        </w:rPr>
        <w:t xml:space="preserve"> </w:t>
      </w:r>
      <w:r>
        <w:rPr>
          <w:sz w:val="23"/>
        </w:rPr>
        <w:t>raised</w:t>
      </w:r>
      <w:r>
        <w:rPr>
          <w:spacing w:val="-2"/>
          <w:sz w:val="23"/>
        </w:rPr>
        <w:t xml:space="preserve"> </w:t>
      </w:r>
      <w:r>
        <w:rPr>
          <w:sz w:val="23"/>
        </w:rPr>
        <w:t>liver</w:t>
      </w:r>
      <w:r>
        <w:rPr>
          <w:spacing w:val="-4"/>
          <w:sz w:val="23"/>
        </w:rPr>
        <w:t xml:space="preserve"> </w:t>
      </w:r>
      <w:r>
        <w:rPr>
          <w:sz w:val="23"/>
        </w:rPr>
        <w:t>enzymes</w:t>
      </w:r>
    </w:p>
    <w:p w14:paraId="7A4C72DC" w14:textId="77777777" w:rsidR="00E80455" w:rsidRDefault="000B3179" w:rsidP="004E577B">
      <w:pPr>
        <w:spacing w:after="240"/>
        <w:ind w:left="100"/>
        <w:rPr>
          <w:i/>
          <w:sz w:val="23"/>
        </w:rPr>
      </w:pPr>
      <w:r>
        <w:rPr>
          <w:i/>
          <w:sz w:val="23"/>
        </w:rPr>
        <w:t>Respiratory,</w:t>
      </w:r>
      <w:r>
        <w:rPr>
          <w:i/>
          <w:spacing w:val="-2"/>
          <w:sz w:val="23"/>
        </w:rPr>
        <w:t xml:space="preserve"> </w:t>
      </w:r>
      <w:proofErr w:type="gramStart"/>
      <w:r>
        <w:rPr>
          <w:i/>
          <w:sz w:val="23"/>
        </w:rPr>
        <w:t>thoracic</w:t>
      </w:r>
      <w:proofErr w:type="gramEnd"/>
      <w:r>
        <w:rPr>
          <w:i/>
          <w:spacing w:val="-2"/>
          <w:sz w:val="23"/>
        </w:rPr>
        <w:t xml:space="preserve"> </w:t>
      </w:r>
      <w:r>
        <w:rPr>
          <w:i/>
          <w:sz w:val="23"/>
        </w:rPr>
        <w:t>and</w:t>
      </w:r>
      <w:r>
        <w:rPr>
          <w:i/>
          <w:spacing w:val="-5"/>
          <w:sz w:val="23"/>
        </w:rPr>
        <w:t xml:space="preserve"> </w:t>
      </w:r>
      <w:r>
        <w:rPr>
          <w:i/>
          <w:sz w:val="23"/>
        </w:rPr>
        <w:t>mediastinal</w:t>
      </w:r>
      <w:r>
        <w:rPr>
          <w:i/>
          <w:spacing w:val="-2"/>
          <w:sz w:val="23"/>
        </w:rPr>
        <w:t xml:space="preserve"> </w:t>
      </w:r>
      <w:r>
        <w:rPr>
          <w:i/>
          <w:sz w:val="23"/>
        </w:rPr>
        <w:t>disorders:</w:t>
      </w:r>
    </w:p>
    <w:p w14:paraId="5228D2EB" w14:textId="77777777" w:rsidR="00E80455" w:rsidRDefault="000B3179" w:rsidP="004E577B">
      <w:pPr>
        <w:spacing w:after="240"/>
        <w:ind w:left="100"/>
        <w:rPr>
          <w:sz w:val="23"/>
        </w:rPr>
      </w:pPr>
      <w:r>
        <w:rPr>
          <w:sz w:val="23"/>
        </w:rPr>
        <w:t>Unknown:</w:t>
      </w:r>
      <w:r>
        <w:rPr>
          <w:spacing w:val="-2"/>
          <w:sz w:val="23"/>
        </w:rPr>
        <w:t xml:space="preserve"> </w:t>
      </w:r>
      <w:r>
        <w:rPr>
          <w:sz w:val="23"/>
        </w:rPr>
        <w:t>Respiratory</w:t>
      </w:r>
      <w:r>
        <w:rPr>
          <w:spacing w:val="-2"/>
          <w:sz w:val="23"/>
        </w:rPr>
        <w:t xml:space="preserve"> </w:t>
      </w:r>
      <w:r>
        <w:rPr>
          <w:sz w:val="23"/>
        </w:rPr>
        <w:t>failure</w:t>
      </w:r>
    </w:p>
    <w:p w14:paraId="748EF11A" w14:textId="77777777" w:rsidR="00E80455" w:rsidRDefault="000B3179" w:rsidP="004E577B">
      <w:pPr>
        <w:spacing w:before="1" w:after="240"/>
        <w:ind w:left="100"/>
        <w:rPr>
          <w:i/>
          <w:sz w:val="23"/>
        </w:rPr>
      </w:pPr>
      <w:r>
        <w:rPr>
          <w:i/>
          <w:sz w:val="23"/>
        </w:rPr>
        <w:t>Skin</w:t>
      </w:r>
      <w:r>
        <w:rPr>
          <w:i/>
          <w:spacing w:val="-2"/>
          <w:sz w:val="23"/>
        </w:rPr>
        <w:t xml:space="preserve"> </w:t>
      </w:r>
      <w:r>
        <w:rPr>
          <w:i/>
          <w:sz w:val="23"/>
        </w:rPr>
        <w:t>and</w:t>
      </w:r>
      <w:r>
        <w:rPr>
          <w:i/>
          <w:spacing w:val="-2"/>
          <w:sz w:val="23"/>
        </w:rPr>
        <w:t xml:space="preserve"> </w:t>
      </w:r>
      <w:r>
        <w:rPr>
          <w:i/>
          <w:sz w:val="23"/>
        </w:rPr>
        <w:t>subcutaneous</w:t>
      </w:r>
      <w:r>
        <w:rPr>
          <w:i/>
          <w:spacing w:val="-3"/>
          <w:sz w:val="23"/>
        </w:rPr>
        <w:t xml:space="preserve"> </w:t>
      </w:r>
      <w:r>
        <w:rPr>
          <w:i/>
          <w:sz w:val="23"/>
        </w:rPr>
        <w:t>tissue</w:t>
      </w:r>
      <w:r>
        <w:rPr>
          <w:i/>
          <w:spacing w:val="-2"/>
          <w:sz w:val="23"/>
        </w:rPr>
        <w:t xml:space="preserve"> </w:t>
      </w:r>
      <w:r>
        <w:rPr>
          <w:i/>
          <w:sz w:val="23"/>
        </w:rPr>
        <w:t>disorders:</w:t>
      </w:r>
    </w:p>
    <w:p w14:paraId="4A36382C" w14:textId="77777777" w:rsidR="00E80455" w:rsidRDefault="000B3179" w:rsidP="004E577B">
      <w:pPr>
        <w:spacing w:after="240"/>
        <w:ind w:left="100"/>
        <w:rPr>
          <w:sz w:val="23"/>
        </w:rPr>
      </w:pPr>
      <w:r>
        <w:rPr>
          <w:sz w:val="23"/>
        </w:rPr>
        <w:t>Common:</w:t>
      </w:r>
      <w:r>
        <w:rPr>
          <w:spacing w:val="-2"/>
          <w:sz w:val="23"/>
        </w:rPr>
        <w:t xml:space="preserve"> </w:t>
      </w:r>
      <w:r>
        <w:rPr>
          <w:sz w:val="23"/>
        </w:rPr>
        <w:t>flushing,</w:t>
      </w:r>
      <w:r>
        <w:rPr>
          <w:spacing w:val="-2"/>
          <w:sz w:val="23"/>
        </w:rPr>
        <w:t xml:space="preserve"> </w:t>
      </w:r>
      <w:r>
        <w:rPr>
          <w:sz w:val="23"/>
        </w:rPr>
        <w:t>skin</w:t>
      </w:r>
      <w:r>
        <w:rPr>
          <w:spacing w:val="-1"/>
          <w:sz w:val="23"/>
        </w:rPr>
        <w:t xml:space="preserve"> </w:t>
      </w:r>
      <w:r>
        <w:rPr>
          <w:sz w:val="23"/>
        </w:rPr>
        <w:t>rash</w:t>
      </w:r>
    </w:p>
    <w:p w14:paraId="6690A4F8" w14:textId="77777777" w:rsidR="00E80455" w:rsidRDefault="000B3179" w:rsidP="004E577B">
      <w:pPr>
        <w:spacing w:after="240"/>
        <w:ind w:left="100" w:right="261"/>
        <w:rPr>
          <w:sz w:val="23"/>
        </w:rPr>
      </w:pPr>
      <w:r>
        <w:rPr>
          <w:sz w:val="23"/>
        </w:rPr>
        <w:t>Unknown: There have been cases of serious skin reactions, including Stevens Johnson Syndrome</w:t>
      </w:r>
      <w:r>
        <w:rPr>
          <w:spacing w:val="-55"/>
          <w:sz w:val="23"/>
        </w:rPr>
        <w:t xml:space="preserve"> </w:t>
      </w:r>
      <w:r>
        <w:rPr>
          <w:sz w:val="23"/>
        </w:rPr>
        <w:t>and</w:t>
      </w:r>
      <w:r>
        <w:rPr>
          <w:spacing w:val="-1"/>
          <w:sz w:val="23"/>
        </w:rPr>
        <w:t xml:space="preserve"> </w:t>
      </w:r>
      <w:r>
        <w:rPr>
          <w:sz w:val="23"/>
        </w:rPr>
        <w:t>Toxic</w:t>
      </w:r>
      <w:r>
        <w:rPr>
          <w:spacing w:val="-1"/>
          <w:sz w:val="23"/>
        </w:rPr>
        <w:t xml:space="preserve"> </w:t>
      </w:r>
      <w:r>
        <w:rPr>
          <w:sz w:val="23"/>
        </w:rPr>
        <w:t>Epidermal</w:t>
      </w:r>
      <w:r>
        <w:rPr>
          <w:spacing w:val="-1"/>
          <w:sz w:val="23"/>
        </w:rPr>
        <w:t xml:space="preserve"> </w:t>
      </w:r>
      <w:r>
        <w:rPr>
          <w:sz w:val="23"/>
        </w:rPr>
        <w:t>Necrolysis, associated with</w:t>
      </w:r>
      <w:r>
        <w:rPr>
          <w:spacing w:val="-4"/>
          <w:sz w:val="23"/>
        </w:rPr>
        <w:t xml:space="preserve"> </w:t>
      </w:r>
      <w:r>
        <w:rPr>
          <w:sz w:val="23"/>
        </w:rPr>
        <w:t>the</w:t>
      </w:r>
      <w:r>
        <w:rPr>
          <w:spacing w:val="-2"/>
          <w:sz w:val="23"/>
        </w:rPr>
        <w:t xml:space="preserve"> </w:t>
      </w:r>
      <w:r>
        <w:rPr>
          <w:sz w:val="23"/>
        </w:rPr>
        <w:t>use of</w:t>
      </w:r>
      <w:r>
        <w:rPr>
          <w:spacing w:val="-1"/>
          <w:sz w:val="23"/>
        </w:rPr>
        <w:t xml:space="preserve"> </w:t>
      </w:r>
      <w:r>
        <w:rPr>
          <w:sz w:val="23"/>
        </w:rPr>
        <w:t>midodrine.</w:t>
      </w:r>
    </w:p>
    <w:p w14:paraId="1B1E1C30" w14:textId="77777777" w:rsidR="00E80455" w:rsidRDefault="000B3179" w:rsidP="004E577B">
      <w:pPr>
        <w:spacing w:after="240"/>
        <w:ind w:left="100"/>
        <w:rPr>
          <w:i/>
          <w:sz w:val="23"/>
        </w:rPr>
      </w:pPr>
      <w:r>
        <w:rPr>
          <w:i/>
          <w:sz w:val="23"/>
        </w:rPr>
        <w:t>Vascular</w:t>
      </w:r>
      <w:r>
        <w:rPr>
          <w:i/>
          <w:spacing w:val="-2"/>
          <w:sz w:val="23"/>
        </w:rPr>
        <w:t xml:space="preserve"> </w:t>
      </w:r>
      <w:r>
        <w:rPr>
          <w:i/>
          <w:sz w:val="23"/>
        </w:rPr>
        <w:t>disorders:</w:t>
      </w:r>
    </w:p>
    <w:p w14:paraId="52D321AA" w14:textId="77777777" w:rsidR="00E80455" w:rsidRDefault="000B3179" w:rsidP="004E577B">
      <w:pPr>
        <w:spacing w:after="240"/>
        <w:ind w:left="100" w:right="662"/>
        <w:rPr>
          <w:sz w:val="23"/>
        </w:rPr>
      </w:pPr>
      <w:r>
        <w:rPr>
          <w:sz w:val="23"/>
        </w:rPr>
        <w:t>Common: supine hypertension (blood pressure above 180/110mmhg) with daily doses above</w:t>
      </w:r>
      <w:r>
        <w:rPr>
          <w:spacing w:val="-55"/>
          <w:sz w:val="23"/>
        </w:rPr>
        <w:t xml:space="preserve"> </w:t>
      </w:r>
      <w:proofErr w:type="gramStart"/>
      <w:r>
        <w:rPr>
          <w:sz w:val="23"/>
        </w:rPr>
        <w:t>30mg;</w:t>
      </w:r>
      <w:proofErr w:type="gramEnd"/>
    </w:p>
    <w:p w14:paraId="301BFCE4" w14:textId="77777777" w:rsidR="00E80455" w:rsidRDefault="000B3179" w:rsidP="004E577B">
      <w:pPr>
        <w:spacing w:after="240"/>
        <w:ind w:left="100" w:right="433"/>
        <w:rPr>
          <w:sz w:val="23"/>
        </w:rPr>
      </w:pPr>
      <w:r>
        <w:rPr>
          <w:sz w:val="23"/>
        </w:rPr>
        <w:t>Uncommon: supine hypertension (blood pressure above 180/110mmhg) with daily doses above</w:t>
      </w:r>
      <w:r>
        <w:rPr>
          <w:spacing w:val="-55"/>
          <w:sz w:val="23"/>
        </w:rPr>
        <w:t xml:space="preserve"> </w:t>
      </w:r>
      <w:r>
        <w:rPr>
          <w:sz w:val="23"/>
        </w:rPr>
        <w:t>7.5mg.</w:t>
      </w:r>
    </w:p>
    <w:p w14:paraId="6750D361" w14:textId="77777777" w:rsidR="00E80455" w:rsidRDefault="000B3179" w:rsidP="004E577B">
      <w:pPr>
        <w:spacing w:before="1" w:after="240"/>
        <w:ind w:left="100"/>
        <w:rPr>
          <w:rFonts w:ascii="Arial"/>
          <w:b/>
        </w:rPr>
      </w:pPr>
      <w:bookmarkStart w:id="43" w:name="Reporting_suspected_adverse_effects"/>
      <w:bookmarkEnd w:id="43"/>
      <w:r>
        <w:rPr>
          <w:rFonts w:ascii="Arial"/>
          <w:b/>
        </w:rPr>
        <w:t>Reporting</w:t>
      </w:r>
      <w:r>
        <w:rPr>
          <w:rFonts w:ascii="Arial"/>
          <w:b/>
          <w:spacing w:val="-7"/>
        </w:rPr>
        <w:t xml:space="preserve"> </w:t>
      </w:r>
      <w:r>
        <w:rPr>
          <w:rFonts w:ascii="Arial"/>
          <w:b/>
        </w:rPr>
        <w:t>suspected</w:t>
      </w:r>
      <w:r>
        <w:rPr>
          <w:rFonts w:ascii="Arial"/>
          <w:b/>
          <w:spacing w:val="-6"/>
        </w:rPr>
        <w:t xml:space="preserve"> </w:t>
      </w:r>
      <w:r>
        <w:rPr>
          <w:rFonts w:ascii="Arial"/>
          <w:b/>
        </w:rPr>
        <w:t>adverse</w:t>
      </w:r>
      <w:r>
        <w:rPr>
          <w:rFonts w:ascii="Arial"/>
          <w:b/>
          <w:spacing w:val="-3"/>
        </w:rPr>
        <w:t xml:space="preserve"> </w:t>
      </w:r>
      <w:r>
        <w:rPr>
          <w:rFonts w:ascii="Arial"/>
          <w:b/>
        </w:rPr>
        <w:t>effects</w:t>
      </w:r>
    </w:p>
    <w:p w14:paraId="3F610B5D" w14:textId="77777777" w:rsidR="00E80455" w:rsidRDefault="000B3179" w:rsidP="004E577B">
      <w:pPr>
        <w:pStyle w:val="BodyText"/>
        <w:spacing w:after="240"/>
        <w:ind w:left="100" w:right="199"/>
      </w:pPr>
      <w:r>
        <w:t>Reporting suspected adverse reactions after registration of the medicinal product is important.</w:t>
      </w:r>
      <w:r>
        <w:rPr>
          <w:spacing w:val="-58"/>
        </w:rPr>
        <w:t xml:space="preserve"> </w:t>
      </w:r>
      <w:r>
        <w:t>It</w:t>
      </w:r>
      <w:r>
        <w:rPr>
          <w:spacing w:val="-1"/>
        </w:rPr>
        <w:t xml:space="preserve"> </w:t>
      </w:r>
      <w:r>
        <w:t>allows</w:t>
      </w:r>
      <w:r>
        <w:rPr>
          <w:spacing w:val="2"/>
        </w:rPr>
        <w:t xml:space="preserve"> </w:t>
      </w:r>
      <w:r>
        <w:t>continued</w:t>
      </w:r>
      <w:r>
        <w:rPr>
          <w:spacing w:val="-1"/>
        </w:rPr>
        <w:t xml:space="preserve"> </w:t>
      </w:r>
      <w:r>
        <w:t>monitoring of the</w:t>
      </w:r>
      <w:r>
        <w:rPr>
          <w:spacing w:val="-2"/>
        </w:rPr>
        <w:t xml:space="preserve"> </w:t>
      </w:r>
      <w:r>
        <w:t>benefit-risk balance</w:t>
      </w:r>
      <w:r>
        <w:rPr>
          <w:spacing w:val="-2"/>
        </w:rPr>
        <w:t xml:space="preserve"> </w:t>
      </w:r>
      <w:r>
        <w:t>of the</w:t>
      </w:r>
      <w:r>
        <w:rPr>
          <w:spacing w:val="-2"/>
        </w:rPr>
        <w:t xml:space="preserve"> </w:t>
      </w:r>
      <w:r>
        <w:t>medicinal</w:t>
      </w:r>
      <w:r>
        <w:rPr>
          <w:spacing w:val="1"/>
        </w:rPr>
        <w:t xml:space="preserve"> </w:t>
      </w:r>
      <w:r>
        <w:t>product.</w:t>
      </w:r>
    </w:p>
    <w:p w14:paraId="08FDCD20" w14:textId="77777777" w:rsidR="00E80455" w:rsidRDefault="000B3179" w:rsidP="004E577B">
      <w:pPr>
        <w:pStyle w:val="BodyText"/>
        <w:spacing w:after="240"/>
        <w:ind w:left="100" w:right="1665"/>
      </w:pPr>
      <w:r>
        <w:t>Healthcare professionals are asked to report any suspected adverse reactions at</w:t>
      </w:r>
      <w:r>
        <w:rPr>
          <w:spacing w:val="-57"/>
        </w:rPr>
        <w:t xml:space="preserve"> </w:t>
      </w:r>
      <w:hyperlink r:id="rId10">
        <w:r>
          <w:rPr>
            <w:color w:val="0000FF"/>
            <w:u w:val="single" w:color="0000FF"/>
          </w:rPr>
          <w:t>www.tga.gov.au/reporting-problems</w:t>
        </w:r>
      </w:hyperlink>
      <w:r>
        <w:t>.</w:t>
      </w:r>
    </w:p>
    <w:p w14:paraId="69A1F2E4" w14:textId="77777777" w:rsidR="00E80455" w:rsidRDefault="000B3179" w:rsidP="004E577B">
      <w:pPr>
        <w:pStyle w:val="ListParagraph"/>
        <w:numPr>
          <w:ilvl w:val="1"/>
          <w:numId w:val="3"/>
        </w:numPr>
        <w:tabs>
          <w:tab w:val="left" w:pos="779"/>
          <w:tab w:val="left" w:pos="780"/>
        </w:tabs>
        <w:spacing w:before="0" w:after="240"/>
        <w:rPr>
          <w:b/>
        </w:rPr>
      </w:pPr>
      <w:bookmarkStart w:id="44" w:name="4.9_OVERDOSE"/>
      <w:bookmarkEnd w:id="44"/>
      <w:r>
        <w:rPr>
          <w:b/>
        </w:rPr>
        <w:t>OVERDOSE</w:t>
      </w:r>
    </w:p>
    <w:p w14:paraId="045BDF85" w14:textId="77777777" w:rsidR="00E80455" w:rsidRDefault="000B3179" w:rsidP="004E577B">
      <w:pPr>
        <w:pStyle w:val="BodyText"/>
        <w:spacing w:after="240"/>
        <w:ind w:left="100" w:right="478"/>
      </w:pPr>
      <w:r>
        <w:t>There are literature reports of adults ingesting from 50 mg to 350 mg midodrine as a single</w:t>
      </w:r>
      <w:r>
        <w:rPr>
          <w:spacing w:val="-58"/>
        </w:rPr>
        <w:t xml:space="preserve"> </w:t>
      </w:r>
      <w:r>
        <w:t>dose.</w:t>
      </w:r>
      <w:r>
        <w:rPr>
          <w:spacing w:val="-1"/>
        </w:rPr>
        <w:t xml:space="preserve"> </w:t>
      </w:r>
      <w:r>
        <w:t>Severe</w:t>
      </w:r>
      <w:r>
        <w:rPr>
          <w:spacing w:val="-2"/>
        </w:rPr>
        <w:t xml:space="preserve"> </w:t>
      </w:r>
      <w:r>
        <w:t>hypertension and bradycardia</w:t>
      </w:r>
      <w:r>
        <w:rPr>
          <w:spacing w:val="-2"/>
        </w:rPr>
        <w:t xml:space="preserve"> </w:t>
      </w:r>
      <w:r>
        <w:t>may occur.</w:t>
      </w:r>
    </w:p>
    <w:p w14:paraId="539AA923" w14:textId="77777777" w:rsidR="00E80455" w:rsidRDefault="00E80455">
      <w:pPr>
        <w:sectPr w:rsidR="00E80455" w:rsidSect="004E577B">
          <w:pgSz w:w="11910" w:h="16840"/>
          <w:pgMar w:top="1340" w:right="1240" w:bottom="920" w:left="1340" w:header="170" w:footer="729" w:gutter="0"/>
          <w:cols w:space="720"/>
          <w:docGrid w:linePitch="299"/>
        </w:sectPr>
      </w:pPr>
    </w:p>
    <w:p w14:paraId="6F5789EA" w14:textId="77777777" w:rsidR="00E80455" w:rsidRDefault="000B3179" w:rsidP="004E577B">
      <w:pPr>
        <w:pStyle w:val="BodyText"/>
        <w:spacing w:before="82" w:after="240"/>
        <w:ind w:left="100" w:right="499"/>
      </w:pPr>
      <w:r>
        <w:lastRenderedPageBreak/>
        <w:t>The symptoms of overdose are the same as experienced with side effects. The following in</w:t>
      </w:r>
      <w:r>
        <w:rPr>
          <w:spacing w:val="-57"/>
        </w:rPr>
        <w:t xml:space="preserve"> </w:t>
      </w:r>
      <w:r>
        <w:t xml:space="preserve">particular may </w:t>
      </w:r>
      <w:proofErr w:type="gramStart"/>
      <w:r>
        <w:t>occur:</w:t>
      </w:r>
      <w:proofErr w:type="gramEnd"/>
      <w:r>
        <w:t xml:space="preserve"> severe hypertension, piloerection (goosebumps) and feeling cold,</w:t>
      </w:r>
      <w:r>
        <w:rPr>
          <w:spacing w:val="1"/>
        </w:rPr>
        <w:t xml:space="preserve"> </w:t>
      </w:r>
      <w:r>
        <w:t>bradycardia</w:t>
      </w:r>
      <w:r>
        <w:rPr>
          <w:spacing w:val="-3"/>
        </w:rPr>
        <w:t xml:space="preserve"> </w:t>
      </w:r>
      <w:r>
        <w:t>(reflex bradycardia) and urinary retention.</w:t>
      </w:r>
    </w:p>
    <w:p w14:paraId="5F8C3766" w14:textId="77777777" w:rsidR="00E80455" w:rsidRDefault="000B3179" w:rsidP="004E577B">
      <w:pPr>
        <w:pStyle w:val="BodyText"/>
        <w:spacing w:after="240"/>
        <w:ind w:left="100" w:right="92"/>
      </w:pPr>
      <w:r>
        <w:t xml:space="preserve">Treatment: In addition to the main general supportive care measures, induced </w:t>
      </w:r>
      <w:proofErr w:type="gramStart"/>
      <w:r>
        <w:t>vomiting</w:t>
      </w:r>
      <w:proofErr w:type="gramEnd"/>
      <w:r>
        <w:t xml:space="preserve"> and the</w:t>
      </w:r>
      <w:r>
        <w:rPr>
          <w:spacing w:val="-57"/>
        </w:rPr>
        <w:t xml:space="preserve"> </w:t>
      </w:r>
      <w:r>
        <w:t>administration of an α-sympatholytic agent (e.g. nitroprusside, phentolamine, glyceryl</w:t>
      </w:r>
      <w:r>
        <w:rPr>
          <w:spacing w:val="1"/>
        </w:rPr>
        <w:t xml:space="preserve"> </w:t>
      </w:r>
      <w:r>
        <w:t>trinitrate)</w:t>
      </w:r>
      <w:r>
        <w:rPr>
          <w:spacing w:val="-1"/>
        </w:rPr>
        <w:t xml:space="preserve"> </w:t>
      </w:r>
      <w:r>
        <w:t>is recommended, based on the</w:t>
      </w:r>
      <w:r>
        <w:rPr>
          <w:spacing w:val="-1"/>
        </w:rPr>
        <w:t xml:space="preserve"> </w:t>
      </w:r>
      <w:r>
        <w:t>pharmacology of the</w:t>
      </w:r>
      <w:r>
        <w:rPr>
          <w:spacing w:val="-1"/>
        </w:rPr>
        <w:t xml:space="preserve"> </w:t>
      </w:r>
      <w:r>
        <w:t>drug.</w:t>
      </w:r>
    </w:p>
    <w:p w14:paraId="36F72B67" w14:textId="77777777" w:rsidR="00E80455" w:rsidRDefault="000B3179" w:rsidP="004E577B">
      <w:pPr>
        <w:pStyle w:val="BodyText"/>
        <w:spacing w:before="1" w:after="240" w:line="448" w:lineRule="auto"/>
        <w:ind w:left="100" w:right="1346"/>
      </w:pPr>
      <w:r>
        <w:t>Bradycardia and bradycardic conduction disturbances can be blocked by atropine.</w:t>
      </w:r>
      <w:r>
        <w:rPr>
          <w:spacing w:val="-57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active</w:t>
      </w:r>
      <w:r>
        <w:rPr>
          <w:spacing w:val="-1"/>
        </w:rPr>
        <w:t xml:space="preserve"> </w:t>
      </w:r>
      <w:r>
        <w:t xml:space="preserve">metabolite </w:t>
      </w:r>
      <w:proofErr w:type="spellStart"/>
      <w:r>
        <w:t>desglymidodrine</w:t>
      </w:r>
      <w:proofErr w:type="spellEnd"/>
      <w:r>
        <w:rPr>
          <w:spacing w:val="-1"/>
        </w:rPr>
        <w:t xml:space="preserve"> </w:t>
      </w:r>
      <w:r>
        <w:t>is dialysable.</w:t>
      </w:r>
    </w:p>
    <w:p w14:paraId="4348E93B" w14:textId="77777777" w:rsidR="00E80455" w:rsidRDefault="000B3179" w:rsidP="004E577B">
      <w:pPr>
        <w:pStyle w:val="BodyText"/>
        <w:spacing w:after="240"/>
        <w:ind w:left="100" w:right="378"/>
      </w:pPr>
      <w:r>
        <w:t>For information on the management of overdose, contact the Poisons Information Centre on</w:t>
      </w:r>
      <w:r>
        <w:rPr>
          <w:spacing w:val="-57"/>
        </w:rPr>
        <w:t xml:space="preserve"> </w:t>
      </w:r>
      <w:r>
        <w:t>13</w:t>
      </w:r>
      <w:r>
        <w:rPr>
          <w:spacing w:val="-1"/>
        </w:rPr>
        <w:t xml:space="preserve"> </w:t>
      </w:r>
      <w:r>
        <w:t>11</w:t>
      </w:r>
      <w:r>
        <w:rPr>
          <w:spacing w:val="-1"/>
        </w:rPr>
        <w:t xml:space="preserve"> </w:t>
      </w:r>
      <w:r>
        <w:t>26 (Australia).</w:t>
      </w:r>
    </w:p>
    <w:p w14:paraId="2A5D0346" w14:textId="77777777" w:rsidR="00E80455" w:rsidRDefault="000B3179">
      <w:pPr>
        <w:pStyle w:val="Heading1"/>
        <w:numPr>
          <w:ilvl w:val="0"/>
          <w:numId w:val="4"/>
        </w:numPr>
        <w:tabs>
          <w:tab w:val="left" w:pos="779"/>
          <w:tab w:val="left" w:pos="780"/>
        </w:tabs>
      </w:pPr>
      <w:bookmarkStart w:id="45" w:name="5_PHARMACOLOGICAL_PROPERTIES"/>
      <w:bookmarkEnd w:id="45"/>
      <w:r>
        <w:t>PHARMACOLOGICAL</w:t>
      </w:r>
      <w:r>
        <w:rPr>
          <w:spacing w:val="-17"/>
        </w:rPr>
        <w:t xml:space="preserve"> </w:t>
      </w:r>
      <w:r>
        <w:t>PROPERTIES</w:t>
      </w:r>
    </w:p>
    <w:p w14:paraId="565FB2E8" w14:textId="77777777" w:rsidR="00CC3D64" w:rsidRPr="00CC3D64" w:rsidRDefault="000B3179" w:rsidP="00CC3D64">
      <w:pPr>
        <w:pStyle w:val="ListParagraph"/>
        <w:numPr>
          <w:ilvl w:val="1"/>
          <w:numId w:val="4"/>
        </w:numPr>
        <w:tabs>
          <w:tab w:val="left" w:pos="779"/>
          <w:tab w:val="left" w:pos="780"/>
        </w:tabs>
        <w:spacing w:before="240" w:after="240"/>
        <w:ind w:left="102" w:right="4740" w:firstLine="0"/>
        <w:rPr>
          <w:b/>
        </w:rPr>
      </w:pPr>
      <w:bookmarkStart w:id="46" w:name="5.1_PHARMACODYNAMIC_PROPERTIES"/>
      <w:bookmarkEnd w:id="46"/>
      <w:r>
        <w:rPr>
          <w:b/>
        </w:rPr>
        <w:t>PHARMACODYNAMIC PROPERTIES</w:t>
      </w:r>
      <w:bookmarkStart w:id="47" w:name="Mechanism_of_action"/>
      <w:bookmarkEnd w:id="47"/>
    </w:p>
    <w:p w14:paraId="4D536786" w14:textId="1F067914" w:rsidR="00E80455" w:rsidRDefault="000B3179" w:rsidP="00CC3D64">
      <w:pPr>
        <w:pStyle w:val="ListParagraph"/>
        <w:tabs>
          <w:tab w:val="left" w:pos="779"/>
          <w:tab w:val="left" w:pos="780"/>
        </w:tabs>
        <w:spacing w:before="240" w:after="240"/>
        <w:ind w:left="102" w:right="4740" w:firstLine="0"/>
        <w:rPr>
          <w:b/>
        </w:rPr>
      </w:pPr>
      <w:r>
        <w:rPr>
          <w:b/>
        </w:rPr>
        <w:t>Mechanism of</w:t>
      </w:r>
      <w:r>
        <w:rPr>
          <w:b/>
          <w:spacing w:val="1"/>
        </w:rPr>
        <w:t xml:space="preserve"> </w:t>
      </w:r>
      <w:r>
        <w:rPr>
          <w:b/>
        </w:rPr>
        <w:t>action</w:t>
      </w:r>
    </w:p>
    <w:p w14:paraId="7E78D7E3" w14:textId="77777777" w:rsidR="00E80455" w:rsidRDefault="000B3179" w:rsidP="004E577B">
      <w:pPr>
        <w:pStyle w:val="BodyText"/>
        <w:spacing w:before="1" w:after="240"/>
        <w:ind w:left="100" w:right="236"/>
      </w:pPr>
      <w:r>
        <w:t>Midodrine is the rapidly absorbed prodrug of the pharmacologically active constituent</w:t>
      </w:r>
      <w:r>
        <w:rPr>
          <w:spacing w:val="1"/>
        </w:rPr>
        <w:t xml:space="preserve"> </w:t>
      </w:r>
      <w:proofErr w:type="spellStart"/>
      <w:r>
        <w:t>desglymidodrine</w:t>
      </w:r>
      <w:proofErr w:type="spellEnd"/>
      <w:r>
        <w:t xml:space="preserve">. </w:t>
      </w:r>
      <w:proofErr w:type="spellStart"/>
      <w:r>
        <w:t>Desglymidodrine</w:t>
      </w:r>
      <w:proofErr w:type="spellEnd"/>
      <w:r>
        <w:t xml:space="preserve"> is a sympathomimetic agent with a direct and selective</w:t>
      </w:r>
      <w:r>
        <w:rPr>
          <w:spacing w:val="1"/>
        </w:rPr>
        <w:t xml:space="preserve"> </w:t>
      </w:r>
      <w:r>
        <w:t>effect on the peripheral α1-adrenergic receptors. This α1- stimulative effect induces</w:t>
      </w:r>
      <w:r>
        <w:rPr>
          <w:spacing w:val="1"/>
        </w:rPr>
        <w:t xml:space="preserve"> </w:t>
      </w:r>
      <w:r>
        <w:t>vasoconstriction of the venous system (causing a reduction in venous pooling). The α1-</w:t>
      </w:r>
      <w:r>
        <w:rPr>
          <w:spacing w:val="1"/>
        </w:rPr>
        <w:t xml:space="preserve"> </w:t>
      </w:r>
      <w:r>
        <w:t xml:space="preserve">adrenergic effects of </w:t>
      </w:r>
      <w:proofErr w:type="spellStart"/>
      <w:r>
        <w:t>desglymidodrine</w:t>
      </w:r>
      <w:proofErr w:type="spellEnd"/>
      <w:r>
        <w:t xml:space="preserve"> are almost wholly attributable to the (-) enantiomer of</w:t>
      </w:r>
      <w:r>
        <w:rPr>
          <w:spacing w:val="1"/>
        </w:rPr>
        <w:t xml:space="preserve"> </w:t>
      </w:r>
      <w:proofErr w:type="spellStart"/>
      <w:r>
        <w:t>desglymidodrine</w:t>
      </w:r>
      <w:proofErr w:type="spellEnd"/>
      <w:r>
        <w:t xml:space="preserve">. After taking midodrine, which is a racemic mixture, (+) </w:t>
      </w:r>
      <w:proofErr w:type="spellStart"/>
      <w:r>
        <w:t>desglymidodrine</w:t>
      </w:r>
      <w:proofErr w:type="spellEnd"/>
      <w:r>
        <w:t xml:space="preserve"> is</w:t>
      </w:r>
      <w:r>
        <w:rPr>
          <w:spacing w:val="-57"/>
        </w:rPr>
        <w:t xml:space="preserve"> </w:t>
      </w:r>
      <w:r>
        <w:t>also</w:t>
      </w:r>
      <w:r>
        <w:rPr>
          <w:spacing w:val="-1"/>
        </w:rPr>
        <w:t xml:space="preserve"> </w:t>
      </w:r>
      <w:r>
        <w:t>present, though this</w:t>
      </w:r>
      <w:r>
        <w:rPr>
          <w:spacing w:val="-2"/>
        </w:rPr>
        <w:t xml:space="preserve"> </w:t>
      </w:r>
      <w:r>
        <w:t>contributes</w:t>
      </w:r>
      <w:r>
        <w:rPr>
          <w:spacing w:val="-1"/>
        </w:rPr>
        <w:t xml:space="preserve"> </w:t>
      </w:r>
      <w:r>
        <w:t>almost nothing</w:t>
      </w:r>
      <w:r>
        <w:rPr>
          <w:spacing w:val="-1"/>
        </w:rPr>
        <w:t xml:space="preserve"> </w:t>
      </w:r>
      <w:r>
        <w:t>to the</w:t>
      </w:r>
      <w:r>
        <w:rPr>
          <w:spacing w:val="-1"/>
        </w:rPr>
        <w:t xml:space="preserve"> </w:t>
      </w:r>
      <w:r>
        <w:t>desired effect.</w:t>
      </w:r>
    </w:p>
    <w:p w14:paraId="616360F8" w14:textId="77777777" w:rsidR="00E80455" w:rsidRDefault="000B3179" w:rsidP="004E577B">
      <w:pPr>
        <w:pStyle w:val="BodyText"/>
        <w:spacing w:after="240"/>
        <w:ind w:left="100" w:right="147"/>
      </w:pPr>
      <w:proofErr w:type="spellStart"/>
      <w:r>
        <w:t>Desglymidodrine</w:t>
      </w:r>
      <w:proofErr w:type="spellEnd"/>
      <w:r>
        <w:t xml:space="preserve"> increases the peripheral arterial resistance, resulting in an increase in arterial</w:t>
      </w:r>
      <w:r>
        <w:rPr>
          <w:spacing w:val="-57"/>
        </w:rPr>
        <w:t xml:space="preserve"> </w:t>
      </w:r>
      <w:r>
        <w:t>blood</w:t>
      </w:r>
      <w:r>
        <w:rPr>
          <w:spacing w:val="-1"/>
        </w:rPr>
        <w:t xml:space="preserve"> </w:t>
      </w:r>
      <w:r>
        <w:t>pressure.</w:t>
      </w:r>
    </w:p>
    <w:p w14:paraId="5FAE02BC" w14:textId="77777777" w:rsidR="00E80455" w:rsidRDefault="000B3179" w:rsidP="004E577B">
      <w:pPr>
        <w:pStyle w:val="BodyText"/>
        <w:spacing w:after="240"/>
        <w:ind w:left="100" w:right="99"/>
      </w:pPr>
      <w:r>
        <w:t>Nonclinical experiments showed that midodrine had a selective effect on blood flow in various</w:t>
      </w:r>
      <w:r>
        <w:rPr>
          <w:spacing w:val="-57"/>
        </w:rPr>
        <w:t xml:space="preserve"> </w:t>
      </w:r>
      <w:r>
        <w:t>vascular beds, with the most effect observed in the femoral artery, and least in the mesenteric</w:t>
      </w:r>
      <w:r>
        <w:rPr>
          <w:spacing w:val="1"/>
        </w:rPr>
        <w:t xml:space="preserve"> </w:t>
      </w:r>
      <w:r>
        <w:t>artery.</w:t>
      </w:r>
    </w:p>
    <w:p w14:paraId="256F8AF5" w14:textId="77777777" w:rsidR="00E80455" w:rsidRDefault="000B3179" w:rsidP="004E577B">
      <w:pPr>
        <w:pStyle w:val="BodyText"/>
        <w:spacing w:after="240"/>
        <w:ind w:left="100"/>
      </w:pPr>
      <w:r>
        <w:t>Only</w:t>
      </w:r>
      <w:r>
        <w:rPr>
          <w:spacing w:val="-3"/>
        </w:rPr>
        <w:t xml:space="preserve"> </w:t>
      </w:r>
      <w:r>
        <w:t>limited</w:t>
      </w:r>
      <w:r>
        <w:rPr>
          <w:spacing w:val="-1"/>
        </w:rPr>
        <w:t xml:space="preserve"> </w:t>
      </w:r>
      <w:r>
        <w:t>data</w:t>
      </w:r>
      <w:r>
        <w:rPr>
          <w:spacing w:val="-1"/>
        </w:rPr>
        <w:t xml:space="preserve"> </w:t>
      </w:r>
      <w:r>
        <w:t>is</w:t>
      </w:r>
      <w:r>
        <w:rPr>
          <w:spacing w:val="-1"/>
        </w:rPr>
        <w:t xml:space="preserve"> </w:t>
      </w:r>
      <w:r>
        <w:t>available</w:t>
      </w:r>
      <w:r>
        <w:rPr>
          <w:spacing w:val="-2"/>
        </w:rPr>
        <w:t xml:space="preserve"> </w:t>
      </w:r>
      <w:r>
        <w:t>on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long-term</w:t>
      </w:r>
      <w:r>
        <w:rPr>
          <w:spacing w:val="1"/>
        </w:rPr>
        <w:t xml:space="preserve"> </w:t>
      </w:r>
      <w:r>
        <w:t>effects</w:t>
      </w:r>
      <w:r>
        <w:rPr>
          <w:spacing w:val="-1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taking</w:t>
      </w:r>
      <w:r>
        <w:rPr>
          <w:spacing w:val="-1"/>
        </w:rPr>
        <w:t xml:space="preserve"> </w:t>
      </w:r>
      <w:r>
        <w:t>midodrine.</w:t>
      </w:r>
    </w:p>
    <w:p w14:paraId="08017CCE" w14:textId="77777777" w:rsidR="00E80455" w:rsidRDefault="000B3179" w:rsidP="004E577B">
      <w:pPr>
        <w:pStyle w:val="BodyText"/>
        <w:spacing w:after="240"/>
        <w:ind w:left="100" w:right="254"/>
      </w:pPr>
      <w:r>
        <w:t>Stimulation of the α-adrenergic receptors of the bladder and the ureter increases the sphincter</w:t>
      </w:r>
      <w:r>
        <w:rPr>
          <w:spacing w:val="-57"/>
        </w:rPr>
        <w:t xml:space="preserve"> </w:t>
      </w:r>
      <w:r>
        <w:t>muscle</w:t>
      </w:r>
      <w:r>
        <w:rPr>
          <w:spacing w:val="-1"/>
        </w:rPr>
        <w:t xml:space="preserve"> </w:t>
      </w:r>
      <w:r>
        <w:t>tone.</w:t>
      </w:r>
    </w:p>
    <w:p w14:paraId="5607837A" w14:textId="77777777" w:rsidR="00E80455" w:rsidRDefault="000B3179" w:rsidP="004E577B">
      <w:pPr>
        <w:pStyle w:val="BodyText"/>
        <w:spacing w:after="240"/>
        <w:ind w:left="100"/>
      </w:pPr>
      <w:proofErr w:type="spellStart"/>
      <w:r>
        <w:t>Desglymidodrine</w:t>
      </w:r>
      <w:proofErr w:type="spellEnd"/>
      <w:r>
        <w:rPr>
          <w:spacing w:val="-4"/>
        </w:rPr>
        <w:t xml:space="preserve"> </w:t>
      </w:r>
      <w:r>
        <w:t>has</w:t>
      </w:r>
      <w:r>
        <w:rPr>
          <w:spacing w:val="-3"/>
        </w:rPr>
        <w:t xml:space="preserve"> </w:t>
      </w:r>
      <w:r>
        <w:t>no</w:t>
      </w:r>
      <w:r>
        <w:rPr>
          <w:spacing w:val="-1"/>
        </w:rPr>
        <w:t xml:space="preserve"> </w:t>
      </w:r>
      <w:r>
        <w:t>β-adrenergic</w:t>
      </w:r>
      <w:r>
        <w:rPr>
          <w:spacing w:val="-2"/>
        </w:rPr>
        <w:t xml:space="preserve"> </w:t>
      </w:r>
      <w:r>
        <w:t>effects.</w:t>
      </w:r>
    </w:p>
    <w:p w14:paraId="6A641C0C" w14:textId="77777777" w:rsidR="00E80455" w:rsidRDefault="000B3179" w:rsidP="004E577B">
      <w:pPr>
        <w:spacing w:after="240"/>
        <w:ind w:left="100"/>
        <w:rPr>
          <w:rFonts w:ascii="Arial"/>
          <w:b/>
        </w:rPr>
      </w:pPr>
      <w:bookmarkStart w:id="48" w:name="Clinical_trials"/>
      <w:bookmarkEnd w:id="48"/>
      <w:r>
        <w:rPr>
          <w:rFonts w:ascii="Arial"/>
          <w:b/>
        </w:rPr>
        <w:t>Clinical</w:t>
      </w:r>
      <w:r>
        <w:rPr>
          <w:rFonts w:ascii="Arial"/>
          <w:b/>
          <w:spacing w:val="-8"/>
        </w:rPr>
        <w:t xml:space="preserve"> </w:t>
      </w:r>
      <w:r>
        <w:rPr>
          <w:rFonts w:ascii="Arial"/>
          <w:b/>
        </w:rPr>
        <w:t>trials</w:t>
      </w:r>
    </w:p>
    <w:p w14:paraId="7DD67936" w14:textId="42512866" w:rsidR="00E80455" w:rsidRDefault="000B3179" w:rsidP="004E577B">
      <w:pPr>
        <w:pStyle w:val="BodyText"/>
        <w:spacing w:before="1" w:after="240"/>
        <w:ind w:left="100" w:right="252"/>
      </w:pPr>
      <w:r>
        <w:t>The safety and efficacy of midodrine was evaluated in a published randomised, double-blind,</w:t>
      </w:r>
      <w:r>
        <w:rPr>
          <w:spacing w:val="-57"/>
        </w:rPr>
        <w:t xml:space="preserve"> </w:t>
      </w:r>
      <w:r>
        <w:t>parallel group Phase III study (Low 1997, n=171) in patients with orthostatic hypotension of</w:t>
      </w:r>
      <w:r>
        <w:rPr>
          <w:spacing w:val="1"/>
        </w:rPr>
        <w:t xml:space="preserve"> </w:t>
      </w:r>
      <w:r>
        <w:t>any aetiology. Patients were included based on a measured reduction of supine-to-standing</w:t>
      </w:r>
      <w:r>
        <w:rPr>
          <w:spacing w:val="1"/>
        </w:rPr>
        <w:t xml:space="preserve"> </w:t>
      </w:r>
      <w:r>
        <w:t>systolic blood pressure (BP) of at least 15 mmHg and symptoms of dizziness,</w:t>
      </w:r>
      <w:r>
        <w:rPr>
          <w:spacing w:val="1"/>
        </w:rPr>
        <w:t xml:space="preserve"> </w:t>
      </w:r>
      <w:proofErr w:type="spellStart"/>
      <w:r>
        <w:t>lightheadedness</w:t>
      </w:r>
      <w:proofErr w:type="spellEnd"/>
      <w:r>
        <w:rPr>
          <w:spacing w:val="-3"/>
        </w:rPr>
        <w:t xml:space="preserve"> </w:t>
      </w:r>
      <w:r>
        <w:t>and/or</w:t>
      </w:r>
      <w:r>
        <w:rPr>
          <w:spacing w:val="-3"/>
        </w:rPr>
        <w:t xml:space="preserve"> </w:t>
      </w:r>
      <w:r>
        <w:t>unsteadiness (collectively</w:t>
      </w:r>
      <w:r>
        <w:rPr>
          <w:spacing w:val="-2"/>
        </w:rPr>
        <w:t xml:space="preserve"> </w:t>
      </w:r>
      <w:r>
        <w:t>referred</w:t>
      </w:r>
      <w:r>
        <w:rPr>
          <w:spacing w:val="-1"/>
        </w:rPr>
        <w:t xml:space="preserve"> </w:t>
      </w:r>
      <w:r>
        <w:t>to as</w:t>
      </w:r>
      <w:r>
        <w:rPr>
          <w:spacing w:val="-3"/>
        </w:rPr>
        <w:t xml:space="preserve"> </w:t>
      </w:r>
      <w:proofErr w:type="spellStart"/>
      <w:r>
        <w:t>lightheadness</w:t>
      </w:r>
      <w:proofErr w:type="spellEnd"/>
      <w:r>
        <w:t>).</w:t>
      </w:r>
      <w:r>
        <w:rPr>
          <w:spacing w:val="-1"/>
        </w:rPr>
        <w:t xml:space="preserve"> </w:t>
      </w:r>
      <w:r>
        <w:t>Patients</w:t>
      </w:r>
      <w:r>
        <w:rPr>
          <w:spacing w:val="-2"/>
        </w:rPr>
        <w:t xml:space="preserve"> </w:t>
      </w:r>
      <w:r>
        <w:t>with</w:t>
      </w:r>
      <w:r w:rsidR="004E577B">
        <w:t xml:space="preserve"> </w:t>
      </w:r>
      <w:r>
        <w:t>pre-existing sustained supine hypertension above 180/110 mmHg were excluded.</w:t>
      </w:r>
      <w:r>
        <w:rPr>
          <w:spacing w:val="1"/>
        </w:rPr>
        <w:t xml:space="preserve"> </w:t>
      </w:r>
      <w:r>
        <w:t>Concomitant treatment with fludrocortisone acetate, high-salt diet and compression garments</w:t>
      </w:r>
      <w:r>
        <w:rPr>
          <w:spacing w:val="-57"/>
        </w:rPr>
        <w:t xml:space="preserve"> </w:t>
      </w:r>
      <w:r>
        <w:t>was</w:t>
      </w:r>
      <w:r>
        <w:rPr>
          <w:spacing w:val="-1"/>
        </w:rPr>
        <w:t xml:space="preserve"> </w:t>
      </w:r>
      <w:r>
        <w:t>permitted during the</w:t>
      </w:r>
      <w:r>
        <w:rPr>
          <w:spacing w:val="1"/>
        </w:rPr>
        <w:t xml:space="preserve"> </w:t>
      </w:r>
      <w:r>
        <w:t>study.</w:t>
      </w:r>
    </w:p>
    <w:p w14:paraId="7F36033E" w14:textId="77777777" w:rsidR="00E80455" w:rsidRDefault="000B3179" w:rsidP="00CC3D64">
      <w:pPr>
        <w:pStyle w:val="BodyText"/>
        <w:spacing w:after="240"/>
        <w:ind w:left="100" w:right="289"/>
      </w:pPr>
      <w:r>
        <w:lastRenderedPageBreak/>
        <w:t>The study design included a single-blind placebo one week run in period, a double-blind</w:t>
      </w:r>
      <w:r>
        <w:rPr>
          <w:spacing w:val="1"/>
        </w:rPr>
        <w:t xml:space="preserve"> </w:t>
      </w:r>
      <w:proofErr w:type="gramStart"/>
      <w:r>
        <w:t>three week</w:t>
      </w:r>
      <w:proofErr w:type="gramEnd"/>
      <w:r>
        <w:t xml:space="preserve"> treatment period (midodrine 10 mg or placebo three times a day), and a two week</w:t>
      </w:r>
      <w:r>
        <w:rPr>
          <w:spacing w:val="-57"/>
        </w:rPr>
        <w:t xml:space="preserve"> </w:t>
      </w:r>
      <w:r>
        <w:t>single-blind placebo washout period. The primary efficacy endpoints were improvement in</w:t>
      </w:r>
      <w:r>
        <w:rPr>
          <w:spacing w:val="1"/>
        </w:rPr>
        <w:t xml:space="preserve"> </w:t>
      </w:r>
      <w:r>
        <w:t xml:space="preserve">standing blood pressure (BP) and patients’ recollection of symptoms of </w:t>
      </w:r>
      <w:proofErr w:type="spellStart"/>
      <w:r>
        <w:t>lightheadedness</w:t>
      </w:r>
      <w:proofErr w:type="spellEnd"/>
      <w:r>
        <w:t xml:space="preserve"> at</w:t>
      </w:r>
      <w:r>
        <w:rPr>
          <w:spacing w:val="1"/>
        </w:rPr>
        <w:t xml:space="preserve"> </w:t>
      </w:r>
      <w:r>
        <w:t>weekly visits. The secondary endpoint was a global composite orthostatic symptom score</w:t>
      </w:r>
      <w:r>
        <w:rPr>
          <w:spacing w:val="1"/>
        </w:rPr>
        <w:t xml:space="preserve"> </w:t>
      </w:r>
      <w:r>
        <w:t>independently rated by the investigator and the patient at the end of the treatment period</w:t>
      </w:r>
      <w:r>
        <w:rPr>
          <w:spacing w:val="1"/>
        </w:rPr>
        <w:t xml:space="preserve"> </w:t>
      </w:r>
      <w:r>
        <w:t xml:space="preserve">which comprised of </w:t>
      </w:r>
      <w:proofErr w:type="spellStart"/>
      <w:r>
        <w:t>lightheadedness</w:t>
      </w:r>
      <w:proofErr w:type="spellEnd"/>
      <w:r>
        <w:t xml:space="preserve"> symptoms and improvements in the patients’ ability to</w:t>
      </w:r>
      <w:r>
        <w:rPr>
          <w:spacing w:val="1"/>
        </w:rPr>
        <w:t xml:space="preserve"> </w:t>
      </w:r>
      <w:r>
        <w:t>remain</w:t>
      </w:r>
      <w:r>
        <w:rPr>
          <w:spacing w:val="-1"/>
        </w:rPr>
        <w:t xml:space="preserve"> </w:t>
      </w:r>
      <w:r>
        <w:t>on their</w:t>
      </w:r>
      <w:r>
        <w:rPr>
          <w:spacing w:val="-1"/>
        </w:rPr>
        <w:t xml:space="preserve"> </w:t>
      </w:r>
      <w:r>
        <w:t>feet and</w:t>
      </w:r>
      <w:r>
        <w:rPr>
          <w:spacing w:val="1"/>
        </w:rPr>
        <w:t xml:space="preserve"> </w:t>
      </w:r>
      <w:r>
        <w:t>perform orthostatic activities of</w:t>
      </w:r>
      <w:r>
        <w:rPr>
          <w:spacing w:val="-1"/>
        </w:rPr>
        <w:t xml:space="preserve"> </w:t>
      </w:r>
      <w:r>
        <w:t>daily living.</w:t>
      </w:r>
    </w:p>
    <w:p w14:paraId="3E53201C" w14:textId="77777777" w:rsidR="00E80455" w:rsidRDefault="000B3179" w:rsidP="00CC3D64">
      <w:pPr>
        <w:pStyle w:val="BodyText"/>
        <w:spacing w:after="240"/>
        <w:ind w:left="100" w:right="472"/>
      </w:pPr>
      <w:r>
        <w:t>The mean age of patients was 60 years and the common underlying diagnoses were</w:t>
      </w:r>
      <w:r>
        <w:rPr>
          <w:spacing w:val="1"/>
        </w:rPr>
        <w:t xml:space="preserve"> </w:t>
      </w:r>
      <w:r>
        <w:t>autonomic failure (Shy-Drager and Bradbury-Eggleston syndromes), diabetic autonomic</w:t>
      </w:r>
      <w:r>
        <w:rPr>
          <w:spacing w:val="1"/>
        </w:rPr>
        <w:t xml:space="preserve"> </w:t>
      </w:r>
      <w:r>
        <w:t>neuropathy and Parkinson’s disease. The study completion rate was 72% for the midodrine</w:t>
      </w:r>
      <w:r>
        <w:rPr>
          <w:spacing w:val="-57"/>
        </w:rPr>
        <w:t xml:space="preserve"> </w:t>
      </w:r>
      <w:r>
        <w:t>group (n=59/82) and 90% for the placebo group, which was due to a higher rate number of</w:t>
      </w:r>
      <w:r>
        <w:rPr>
          <w:spacing w:val="-57"/>
        </w:rPr>
        <w:t xml:space="preserve"> </w:t>
      </w:r>
      <w:r>
        <w:t>adverse events in the midodrine group (refer to section 4.8 Adverse effects (Undesirable</w:t>
      </w:r>
      <w:r>
        <w:rPr>
          <w:spacing w:val="1"/>
        </w:rPr>
        <w:t xml:space="preserve"> </w:t>
      </w:r>
      <w:r>
        <w:t>effects).</w:t>
      </w:r>
    </w:p>
    <w:p w14:paraId="264F5C3D" w14:textId="77777777" w:rsidR="00E80455" w:rsidRDefault="000B3179" w:rsidP="00CC3D64">
      <w:pPr>
        <w:pStyle w:val="BodyText"/>
        <w:spacing w:after="240"/>
        <w:ind w:left="100" w:right="198"/>
      </w:pPr>
      <w:r>
        <w:t>The supine and standing BP was measured before and one hour after the dose on week 2 to</w:t>
      </w:r>
      <w:r>
        <w:rPr>
          <w:spacing w:val="1"/>
        </w:rPr>
        <w:t xml:space="preserve"> </w:t>
      </w:r>
      <w:r>
        <w:t xml:space="preserve">week 6 are shown in </w:t>
      </w:r>
      <w:hyperlink w:anchor="_bookmark0" w:history="1">
        <w:r>
          <w:t>Table 3</w:t>
        </w:r>
      </w:hyperlink>
      <w:r>
        <w:t>. The standing BP was significantly improved in the midodrine</w:t>
      </w:r>
      <w:r>
        <w:rPr>
          <w:spacing w:val="1"/>
        </w:rPr>
        <w:t xml:space="preserve"> </w:t>
      </w:r>
      <w:r>
        <w:t>group compared with the placebo group (p&lt;0.001) during the treatment period. The mean</w:t>
      </w:r>
      <w:r>
        <w:rPr>
          <w:spacing w:val="1"/>
        </w:rPr>
        <w:t xml:space="preserve"> </w:t>
      </w:r>
      <w:r>
        <w:t>increase in systolic BP was 21.8 mmHg for midodrine-treated patients, which was maintained</w:t>
      </w:r>
      <w:r>
        <w:rPr>
          <w:spacing w:val="-57"/>
        </w:rPr>
        <w:t xml:space="preserve"> </w:t>
      </w:r>
      <w:r>
        <w:t>throughout the duration of the treatment period and returned toward baseline during the</w:t>
      </w:r>
      <w:r>
        <w:rPr>
          <w:spacing w:val="1"/>
        </w:rPr>
        <w:t xml:space="preserve"> </w:t>
      </w:r>
      <w:r>
        <w:t>washout period. A similar pattern of improvement was observed for diastolic BP. The</w:t>
      </w:r>
      <w:r>
        <w:rPr>
          <w:spacing w:val="1"/>
        </w:rPr>
        <w:t xml:space="preserve"> </w:t>
      </w:r>
      <w:r>
        <w:t>percentage</w:t>
      </w:r>
      <w:r>
        <w:rPr>
          <w:spacing w:val="-2"/>
        </w:rPr>
        <w:t xml:space="preserve"> </w:t>
      </w:r>
      <w:r>
        <w:t>change</w:t>
      </w:r>
      <w:r>
        <w:rPr>
          <w:spacing w:val="-1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standing</w:t>
      </w:r>
      <w:r>
        <w:rPr>
          <w:spacing w:val="1"/>
        </w:rPr>
        <w:t xml:space="preserve"> </w:t>
      </w:r>
      <w:r>
        <w:t>BP</w:t>
      </w:r>
      <w:r>
        <w:rPr>
          <w:spacing w:val="-1"/>
        </w:rPr>
        <w:t xml:space="preserve"> </w:t>
      </w:r>
      <w:r>
        <w:t>was approximately</w:t>
      </w:r>
      <w:r>
        <w:rPr>
          <w:spacing w:val="-1"/>
        </w:rPr>
        <w:t xml:space="preserve"> </w:t>
      </w:r>
      <w:r>
        <w:t>double the</w:t>
      </w:r>
      <w:r>
        <w:rPr>
          <w:spacing w:val="-2"/>
        </w:rPr>
        <w:t xml:space="preserve"> </w:t>
      </w:r>
      <w:r>
        <w:t>change</w:t>
      </w:r>
      <w:r>
        <w:rPr>
          <w:spacing w:val="-1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supine BP.</w:t>
      </w:r>
    </w:p>
    <w:p w14:paraId="0089E6C2" w14:textId="77777777" w:rsidR="00E80455" w:rsidRDefault="000B3179" w:rsidP="00CC3D64">
      <w:pPr>
        <w:pStyle w:val="BodyText"/>
        <w:spacing w:after="240"/>
        <w:ind w:left="100" w:right="210"/>
      </w:pPr>
      <w:r>
        <w:t>Both groups showed an improvement in symptoms during treatment relative to baseline. The</w:t>
      </w:r>
      <w:r>
        <w:rPr>
          <w:spacing w:val="1"/>
        </w:rPr>
        <w:t xml:space="preserve"> </w:t>
      </w:r>
      <w:r>
        <w:t>mean</w:t>
      </w:r>
      <w:r>
        <w:rPr>
          <w:spacing w:val="-2"/>
        </w:rPr>
        <w:t xml:space="preserve"> </w:t>
      </w:r>
      <w:r>
        <w:t>improvement</w:t>
      </w:r>
      <w:r>
        <w:rPr>
          <w:spacing w:val="-1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midodrine</w:t>
      </w:r>
      <w:r>
        <w:rPr>
          <w:spacing w:val="-3"/>
        </w:rPr>
        <w:t xml:space="preserve"> </w:t>
      </w:r>
      <w:r>
        <w:t>group</w:t>
      </w:r>
      <w:r>
        <w:rPr>
          <w:spacing w:val="-1"/>
        </w:rPr>
        <w:t xml:space="preserve"> </w:t>
      </w:r>
      <w:r>
        <w:t>was</w:t>
      </w:r>
      <w:r>
        <w:rPr>
          <w:spacing w:val="-2"/>
        </w:rPr>
        <w:t xml:space="preserve"> </w:t>
      </w:r>
      <w:r>
        <w:t>statistically</w:t>
      </w:r>
      <w:r>
        <w:rPr>
          <w:spacing w:val="-1"/>
        </w:rPr>
        <w:t xml:space="preserve"> </w:t>
      </w:r>
      <w:r>
        <w:t>greater</w:t>
      </w:r>
      <w:r>
        <w:rPr>
          <w:spacing w:val="-4"/>
        </w:rPr>
        <w:t xml:space="preserve"> </w:t>
      </w:r>
      <w:r>
        <w:t>than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placebo</w:t>
      </w:r>
      <w:r>
        <w:rPr>
          <w:spacing w:val="-1"/>
        </w:rPr>
        <w:t xml:space="preserve"> </w:t>
      </w:r>
      <w:r>
        <w:t>group</w:t>
      </w:r>
      <w:r>
        <w:rPr>
          <w:spacing w:val="-2"/>
        </w:rPr>
        <w:t xml:space="preserve"> </w:t>
      </w:r>
      <w:r>
        <w:t>at</w:t>
      </w:r>
      <w:r>
        <w:rPr>
          <w:spacing w:val="-57"/>
        </w:rPr>
        <w:t xml:space="preserve"> </w:t>
      </w:r>
      <w:r>
        <w:t>the end of the second week of treatment (p=0.02) and approached significance at the end of</w:t>
      </w:r>
      <w:r>
        <w:rPr>
          <w:spacing w:val="1"/>
        </w:rPr>
        <w:t xml:space="preserve"> </w:t>
      </w:r>
      <w:r>
        <w:t>the third week (p=0.06). The improvement in the global composite orthostatic symptom score</w:t>
      </w:r>
      <w:r>
        <w:rPr>
          <w:spacing w:val="-57"/>
        </w:rPr>
        <w:t xml:space="preserve"> </w:t>
      </w:r>
      <w:r>
        <w:t>by</w:t>
      </w:r>
      <w:r>
        <w:rPr>
          <w:spacing w:val="-1"/>
        </w:rPr>
        <w:t xml:space="preserve"> </w:t>
      </w:r>
      <w:r>
        <w:t>investigators and patients</w:t>
      </w:r>
      <w:r>
        <w:rPr>
          <w:spacing w:val="-1"/>
        </w:rPr>
        <w:t xml:space="preserve"> </w:t>
      </w:r>
      <w:r>
        <w:t>also favoured midodrine</w:t>
      </w:r>
      <w:r>
        <w:rPr>
          <w:spacing w:val="-3"/>
        </w:rPr>
        <w:t xml:space="preserve"> </w:t>
      </w:r>
      <w:r>
        <w:t>treatment.</w:t>
      </w:r>
    </w:p>
    <w:p w14:paraId="45666410" w14:textId="77777777" w:rsidR="00E80455" w:rsidRDefault="00E80455">
      <w:pPr>
        <w:sectPr w:rsidR="00E80455" w:rsidSect="004E577B">
          <w:pgSz w:w="11910" w:h="16840"/>
          <w:pgMar w:top="1340" w:right="1240" w:bottom="920" w:left="1340" w:header="170" w:footer="729" w:gutter="0"/>
          <w:cols w:space="720"/>
          <w:docGrid w:linePitch="299"/>
        </w:sectPr>
      </w:pPr>
    </w:p>
    <w:p w14:paraId="04198D83" w14:textId="77777777" w:rsidR="00E80455" w:rsidRDefault="000B3179">
      <w:pPr>
        <w:spacing w:before="82"/>
        <w:ind w:left="2846" w:right="211" w:hanging="2706"/>
        <w:rPr>
          <w:b/>
          <w:sz w:val="24"/>
        </w:rPr>
      </w:pPr>
      <w:bookmarkStart w:id="49" w:name="_bookmark0"/>
      <w:bookmarkEnd w:id="49"/>
      <w:r>
        <w:rPr>
          <w:b/>
          <w:sz w:val="24"/>
        </w:rPr>
        <w:lastRenderedPageBreak/>
        <w:t>Table 3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- Mean (% change) supine and standing blood pressure (BP, mmHg) responses</w:t>
      </w:r>
      <w:r>
        <w:rPr>
          <w:b/>
          <w:spacing w:val="-57"/>
          <w:sz w:val="24"/>
        </w:rPr>
        <w:t xml:space="preserve"> </w:t>
      </w:r>
      <w:r>
        <w:rPr>
          <w:b/>
          <w:sz w:val="24"/>
        </w:rPr>
        <w:t>in the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Phase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III study*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(Low 1997)</w:t>
      </w:r>
    </w:p>
    <w:p w14:paraId="63569568" w14:textId="77777777" w:rsidR="00E80455" w:rsidRDefault="00E80455">
      <w:pPr>
        <w:pStyle w:val="BodyText"/>
        <w:spacing w:before="6"/>
        <w:rPr>
          <w:b/>
          <w:sz w:val="10"/>
        </w:rPr>
      </w:pPr>
    </w:p>
    <w:tbl>
      <w:tblPr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942"/>
        <w:gridCol w:w="858"/>
        <w:gridCol w:w="1083"/>
        <w:gridCol w:w="639"/>
        <w:gridCol w:w="1028"/>
        <w:gridCol w:w="694"/>
        <w:gridCol w:w="1112"/>
        <w:gridCol w:w="609"/>
        <w:gridCol w:w="1060"/>
      </w:tblGrid>
      <w:tr w:rsidR="00E80455" w14:paraId="2B7B470B" w14:textId="77777777">
        <w:trPr>
          <w:trHeight w:val="350"/>
        </w:trPr>
        <w:tc>
          <w:tcPr>
            <w:tcW w:w="1942" w:type="dxa"/>
            <w:vMerge w:val="restart"/>
          </w:tcPr>
          <w:p w14:paraId="0BAEA72D" w14:textId="77777777" w:rsidR="00E80455" w:rsidRDefault="00E80455">
            <w:pPr>
              <w:pStyle w:val="TableParagraph"/>
              <w:rPr>
                <w:b/>
              </w:rPr>
            </w:pPr>
          </w:p>
          <w:p w14:paraId="46502E82" w14:textId="77777777" w:rsidR="00E80455" w:rsidRDefault="00E80455">
            <w:pPr>
              <w:pStyle w:val="TableParagraph"/>
              <w:spacing w:before="10"/>
              <w:rPr>
                <w:b/>
                <w:sz w:val="18"/>
              </w:rPr>
            </w:pPr>
          </w:p>
          <w:p w14:paraId="0D14FDCF" w14:textId="77777777" w:rsidR="00E80455" w:rsidRDefault="000B3179">
            <w:pPr>
              <w:pStyle w:val="TableParagraph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Visit</w:t>
            </w:r>
          </w:p>
        </w:tc>
        <w:tc>
          <w:tcPr>
            <w:tcW w:w="3608" w:type="dxa"/>
            <w:gridSpan w:val="4"/>
          </w:tcPr>
          <w:p w14:paraId="795993BC" w14:textId="77777777" w:rsidR="00E80455" w:rsidRDefault="000B3179">
            <w:pPr>
              <w:pStyle w:val="TableParagraph"/>
              <w:spacing w:before="60"/>
              <w:ind w:left="1322" w:right="1323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Midodrine</w:t>
            </w:r>
          </w:p>
        </w:tc>
        <w:tc>
          <w:tcPr>
            <w:tcW w:w="3475" w:type="dxa"/>
            <w:gridSpan w:val="4"/>
          </w:tcPr>
          <w:p w14:paraId="7C859392" w14:textId="77777777" w:rsidR="00E80455" w:rsidRDefault="000B3179">
            <w:pPr>
              <w:pStyle w:val="TableParagraph"/>
              <w:spacing w:before="60"/>
              <w:ind w:left="1377" w:right="1381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Placebo</w:t>
            </w:r>
          </w:p>
        </w:tc>
      </w:tr>
      <w:tr w:rsidR="00E80455" w14:paraId="4E091B20" w14:textId="77777777">
        <w:trPr>
          <w:trHeight w:val="810"/>
        </w:trPr>
        <w:tc>
          <w:tcPr>
            <w:tcW w:w="1942" w:type="dxa"/>
            <w:vMerge/>
            <w:tcBorders>
              <w:top w:val="nil"/>
            </w:tcBorders>
          </w:tcPr>
          <w:p w14:paraId="33614657" w14:textId="77777777" w:rsidR="00E80455" w:rsidRDefault="00E80455">
            <w:pPr>
              <w:rPr>
                <w:sz w:val="2"/>
                <w:szCs w:val="2"/>
              </w:rPr>
            </w:pPr>
          </w:p>
        </w:tc>
        <w:tc>
          <w:tcPr>
            <w:tcW w:w="858" w:type="dxa"/>
          </w:tcPr>
          <w:p w14:paraId="35D44D2D" w14:textId="77777777" w:rsidR="00E80455" w:rsidRDefault="00E80455">
            <w:pPr>
              <w:pStyle w:val="TableParagraph"/>
              <w:spacing w:before="3"/>
              <w:rPr>
                <w:b/>
                <w:sz w:val="25"/>
              </w:rPr>
            </w:pPr>
          </w:p>
          <w:p w14:paraId="2CA17B75" w14:textId="77777777" w:rsidR="00E80455" w:rsidRDefault="000B3179">
            <w:pPr>
              <w:pStyle w:val="TableParagraph"/>
              <w:ind w:left="257" w:right="256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No.</w:t>
            </w:r>
          </w:p>
        </w:tc>
        <w:tc>
          <w:tcPr>
            <w:tcW w:w="1083" w:type="dxa"/>
          </w:tcPr>
          <w:p w14:paraId="4A0A159D" w14:textId="77777777" w:rsidR="00E80455" w:rsidRDefault="000B3179">
            <w:pPr>
              <w:pStyle w:val="TableParagraph"/>
              <w:spacing w:before="60"/>
              <w:ind w:left="152" w:right="144"/>
              <w:jc w:val="center"/>
              <w:rPr>
                <w:b/>
                <w:sz w:val="20"/>
              </w:rPr>
            </w:pPr>
            <w:r>
              <w:rPr>
                <w:b/>
                <w:spacing w:val="-1"/>
                <w:sz w:val="20"/>
              </w:rPr>
              <w:t>Change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in BP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supine</w:t>
            </w:r>
          </w:p>
        </w:tc>
        <w:tc>
          <w:tcPr>
            <w:tcW w:w="639" w:type="dxa"/>
          </w:tcPr>
          <w:p w14:paraId="7FEC0744" w14:textId="77777777" w:rsidR="00E80455" w:rsidRDefault="00E80455">
            <w:pPr>
              <w:pStyle w:val="TableParagraph"/>
              <w:spacing w:before="3"/>
              <w:rPr>
                <w:b/>
                <w:sz w:val="25"/>
              </w:rPr>
            </w:pPr>
          </w:p>
          <w:p w14:paraId="1CDFB6BD" w14:textId="77777777" w:rsidR="00E80455" w:rsidRDefault="000B3179">
            <w:pPr>
              <w:pStyle w:val="TableParagraph"/>
              <w:ind w:left="168"/>
              <w:rPr>
                <w:b/>
                <w:sz w:val="20"/>
              </w:rPr>
            </w:pPr>
            <w:r>
              <w:rPr>
                <w:b/>
                <w:sz w:val="20"/>
              </w:rPr>
              <w:t>No.</w:t>
            </w:r>
          </w:p>
        </w:tc>
        <w:tc>
          <w:tcPr>
            <w:tcW w:w="1028" w:type="dxa"/>
          </w:tcPr>
          <w:p w14:paraId="4D722E07" w14:textId="77777777" w:rsidR="00E80455" w:rsidRDefault="000B3179">
            <w:pPr>
              <w:pStyle w:val="TableParagraph"/>
              <w:spacing w:before="60"/>
              <w:ind w:left="122" w:right="12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Change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in BP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pacing w:val="-1"/>
                <w:sz w:val="20"/>
              </w:rPr>
              <w:t>standing</w:t>
            </w:r>
          </w:p>
        </w:tc>
        <w:tc>
          <w:tcPr>
            <w:tcW w:w="694" w:type="dxa"/>
          </w:tcPr>
          <w:p w14:paraId="305C9351" w14:textId="77777777" w:rsidR="00E80455" w:rsidRDefault="00E80455">
            <w:pPr>
              <w:pStyle w:val="TableParagraph"/>
              <w:spacing w:before="3"/>
              <w:rPr>
                <w:b/>
                <w:sz w:val="25"/>
              </w:rPr>
            </w:pPr>
          </w:p>
          <w:p w14:paraId="6A8C5CEB" w14:textId="77777777" w:rsidR="00E80455" w:rsidRDefault="000B3179">
            <w:pPr>
              <w:pStyle w:val="TableParagraph"/>
              <w:ind w:left="193"/>
              <w:rPr>
                <w:b/>
                <w:sz w:val="20"/>
              </w:rPr>
            </w:pPr>
            <w:r>
              <w:rPr>
                <w:b/>
                <w:sz w:val="20"/>
              </w:rPr>
              <w:t>No.</w:t>
            </w:r>
          </w:p>
        </w:tc>
        <w:tc>
          <w:tcPr>
            <w:tcW w:w="1112" w:type="dxa"/>
          </w:tcPr>
          <w:p w14:paraId="25D5A30D" w14:textId="77777777" w:rsidR="00E80455" w:rsidRDefault="000B3179">
            <w:pPr>
              <w:pStyle w:val="TableParagraph"/>
              <w:spacing w:before="175"/>
              <w:ind w:left="121" w:right="100" w:hanging="5"/>
              <w:rPr>
                <w:b/>
                <w:sz w:val="20"/>
              </w:rPr>
            </w:pPr>
            <w:r>
              <w:rPr>
                <w:b/>
                <w:spacing w:val="-1"/>
                <w:sz w:val="20"/>
              </w:rPr>
              <w:t xml:space="preserve">Change </w:t>
            </w:r>
            <w:r>
              <w:rPr>
                <w:b/>
                <w:sz w:val="20"/>
              </w:rPr>
              <w:t>in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BP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supine</w:t>
            </w:r>
          </w:p>
        </w:tc>
        <w:tc>
          <w:tcPr>
            <w:tcW w:w="609" w:type="dxa"/>
          </w:tcPr>
          <w:p w14:paraId="0FDCF0FC" w14:textId="77777777" w:rsidR="00E80455" w:rsidRDefault="00E80455">
            <w:pPr>
              <w:pStyle w:val="TableParagraph"/>
              <w:spacing w:before="3"/>
              <w:rPr>
                <w:b/>
                <w:sz w:val="25"/>
              </w:rPr>
            </w:pPr>
          </w:p>
          <w:p w14:paraId="2A159D0F" w14:textId="77777777" w:rsidR="00E80455" w:rsidRDefault="000B3179">
            <w:pPr>
              <w:pStyle w:val="TableParagraph"/>
              <w:ind w:right="150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No.</w:t>
            </w:r>
          </w:p>
        </w:tc>
        <w:tc>
          <w:tcPr>
            <w:tcW w:w="1060" w:type="dxa"/>
          </w:tcPr>
          <w:p w14:paraId="1A37140E" w14:textId="77777777" w:rsidR="00E80455" w:rsidRDefault="000B3179">
            <w:pPr>
              <w:pStyle w:val="TableParagraph"/>
              <w:spacing w:before="60"/>
              <w:ind w:left="155" w:right="161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Change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in BP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pacing w:val="-1"/>
                <w:sz w:val="20"/>
              </w:rPr>
              <w:t>standing</w:t>
            </w:r>
          </w:p>
        </w:tc>
      </w:tr>
      <w:tr w:rsidR="00E80455" w14:paraId="34653085" w14:textId="77777777">
        <w:trPr>
          <w:trHeight w:val="350"/>
        </w:trPr>
        <w:tc>
          <w:tcPr>
            <w:tcW w:w="9025" w:type="dxa"/>
            <w:gridSpan w:val="9"/>
          </w:tcPr>
          <w:p w14:paraId="4E6283C0" w14:textId="77777777" w:rsidR="00E80455" w:rsidRDefault="000B3179">
            <w:pPr>
              <w:pStyle w:val="TableParagraph"/>
              <w:spacing w:before="60"/>
              <w:ind w:left="3962" w:right="3963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Systolic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BP</w:t>
            </w:r>
          </w:p>
        </w:tc>
      </w:tr>
      <w:tr w:rsidR="00E80455" w14:paraId="23DBDD56" w14:textId="77777777">
        <w:trPr>
          <w:trHeight w:val="350"/>
        </w:trPr>
        <w:tc>
          <w:tcPr>
            <w:tcW w:w="1942" w:type="dxa"/>
          </w:tcPr>
          <w:p w14:paraId="29033B01" w14:textId="77777777" w:rsidR="00E80455" w:rsidRDefault="000B3179">
            <w:pPr>
              <w:pStyle w:val="TableParagraph"/>
              <w:spacing w:before="60"/>
              <w:ind w:left="107"/>
              <w:rPr>
                <w:sz w:val="20"/>
              </w:rPr>
            </w:pPr>
            <w:r>
              <w:rPr>
                <w:sz w:val="20"/>
              </w:rPr>
              <w:t>Single-blind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placebo</w:t>
            </w:r>
          </w:p>
        </w:tc>
        <w:tc>
          <w:tcPr>
            <w:tcW w:w="858" w:type="dxa"/>
          </w:tcPr>
          <w:p w14:paraId="7BFB6349" w14:textId="77777777" w:rsidR="00E80455" w:rsidRDefault="000B3179">
            <w:pPr>
              <w:pStyle w:val="TableParagraph"/>
              <w:spacing w:before="60"/>
              <w:ind w:left="257" w:right="252"/>
              <w:jc w:val="center"/>
              <w:rPr>
                <w:sz w:val="20"/>
              </w:rPr>
            </w:pPr>
            <w:r>
              <w:rPr>
                <w:sz w:val="20"/>
              </w:rPr>
              <w:t>77</w:t>
            </w:r>
          </w:p>
        </w:tc>
        <w:tc>
          <w:tcPr>
            <w:tcW w:w="1083" w:type="dxa"/>
          </w:tcPr>
          <w:p w14:paraId="761CE41F" w14:textId="77777777" w:rsidR="00E80455" w:rsidRDefault="000B3179">
            <w:pPr>
              <w:pStyle w:val="TableParagraph"/>
              <w:spacing w:before="60"/>
              <w:ind w:left="152" w:right="148"/>
              <w:jc w:val="center"/>
              <w:rPr>
                <w:sz w:val="20"/>
              </w:rPr>
            </w:pPr>
            <w:r>
              <w:rPr>
                <w:sz w:val="20"/>
              </w:rPr>
              <w:t>-0.1 (1)</w:t>
            </w:r>
          </w:p>
        </w:tc>
        <w:tc>
          <w:tcPr>
            <w:tcW w:w="639" w:type="dxa"/>
          </w:tcPr>
          <w:p w14:paraId="4D687C29" w14:textId="77777777" w:rsidR="00E80455" w:rsidRDefault="000B3179">
            <w:pPr>
              <w:pStyle w:val="TableParagraph"/>
              <w:spacing w:before="60"/>
              <w:ind w:left="216"/>
              <w:rPr>
                <w:sz w:val="20"/>
              </w:rPr>
            </w:pPr>
            <w:r>
              <w:rPr>
                <w:sz w:val="20"/>
              </w:rPr>
              <w:t>75</w:t>
            </w:r>
          </w:p>
        </w:tc>
        <w:tc>
          <w:tcPr>
            <w:tcW w:w="1028" w:type="dxa"/>
          </w:tcPr>
          <w:p w14:paraId="3C701752" w14:textId="77777777" w:rsidR="00E80455" w:rsidRDefault="000B3179">
            <w:pPr>
              <w:pStyle w:val="TableParagraph"/>
              <w:spacing w:before="60"/>
              <w:ind w:left="123" w:right="119"/>
              <w:jc w:val="center"/>
              <w:rPr>
                <w:sz w:val="20"/>
              </w:rPr>
            </w:pPr>
            <w:r>
              <w:rPr>
                <w:sz w:val="20"/>
              </w:rPr>
              <w:t>-3.0 (3)</w:t>
            </w:r>
          </w:p>
        </w:tc>
        <w:tc>
          <w:tcPr>
            <w:tcW w:w="694" w:type="dxa"/>
          </w:tcPr>
          <w:p w14:paraId="333B8A3E" w14:textId="77777777" w:rsidR="00E80455" w:rsidRDefault="000B3179">
            <w:pPr>
              <w:pStyle w:val="TableParagraph"/>
              <w:spacing w:before="60"/>
              <w:ind w:left="241"/>
              <w:rPr>
                <w:sz w:val="20"/>
              </w:rPr>
            </w:pPr>
            <w:r>
              <w:rPr>
                <w:sz w:val="20"/>
              </w:rPr>
              <w:t>82</w:t>
            </w:r>
          </w:p>
        </w:tc>
        <w:tc>
          <w:tcPr>
            <w:tcW w:w="1112" w:type="dxa"/>
          </w:tcPr>
          <w:p w14:paraId="0E33441E" w14:textId="77777777" w:rsidR="00E80455" w:rsidRDefault="000B3179">
            <w:pPr>
              <w:pStyle w:val="TableParagraph"/>
              <w:spacing w:before="60"/>
              <w:ind w:right="305"/>
              <w:jc w:val="right"/>
              <w:rPr>
                <w:sz w:val="20"/>
              </w:rPr>
            </w:pPr>
            <w:r>
              <w:rPr>
                <w:sz w:val="20"/>
              </w:rPr>
              <w:t>21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(1)</w:t>
            </w:r>
          </w:p>
        </w:tc>
        <w:tc>
          <w:tcPr>
            <w:tcW w:w="609" w:type="dxa"/>
          </w:tcPr>
          <w:p w14:paraId="5FC8F356" w14:textId="77777777" w:rsidR="00E80455" w:rsidRDefault="000B3179">
            <w:pPr>
              <w:pStyle w:val="TableParagraph"/>
              <w:spacing w:before="60"/>
              <w:ind w:right="195"/>
              <w:jc w:val="right"/>
              <w:rPr>
                <w:sz w:val="20"/>
              </w:rPr>
            </w:pPr>
            <w:r>
              <w:rPr>
                <w:sz w:val="20"/>
              </w:rPr>
              <w:t>81</w:t>
            </w:r>
          </w:p>
        </w:tc>
        <w:tc>
          <w:tcPr>
            <w:tcW w:w="1060" w:type="dxa"/>
          </w:tcPr>
          <w:p w14:paraId="3B2C0C2D" w14:textId="77777777" w:rsidR="00E80455" w:rsidRDefault="000B3179">
            <w:pPr>
              <w:pStyle w:val="TableParagraph"/>
              <w:spacing w:before="60"/>
              <w:ind w:left="222"/>
              <w:rPr>
                <w:sz w:val="20"/>
              </w:rPr>
            </w:pPr>
            <w:r>
              <w:rPr>
                <w:sz w:val="20"/>
              </w:rPr>
              <w:t>-2.0 (2)</w:t>
            </w:r>
          </w:p>
        </w:tc>
      </w:tr>
      <w:tr w:rsidR="00E80455" w14:paraId="0AF2BB92" w14:textId="77777777">
        <w:trPr>
          <w:trHeight w:val="577"/>
        </w:trPr>
        <w:tc>
          <w:tcPr>
            <w:tcW w:w="1942" w:type="dxa"/>
          </w:tcPr>
          <w:p w14:paraId="44C6EE8E" w14:textId="77777777" w:rsidR="00E80455" w:rsidRDefault="000B3179">
            <w:pPr>
              <w:pStyle w:val="TableParagraph"/>
              <w:spacing w:before="60"/>
              <w:ind w:left="107"/>
              <w:rPr>
                <w:sz w:val="20"/>
              </w:rPr>
            </w:pPr>
            <w:r>
              <w:rPr>
                <w:sz w:val="20"/>
              </w:rPr>
              <w:t>Day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1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washout</w:t>
            </w:r>
          </w:p>
        </w:tc>
        <w:tc>
          <w:tcPr>
            <w:tcW w:w="858" w:type="dxa"/>
          </w:tcPr>
          <w:p w14:paraId="1EBA8DE9" w14:textId="77777777" w:rsidR="00E80455" w:rsidRDefault="000B3179">
            <w:pPr>
              <w:pStyle w:val="TableParagraph"/>
              <w:spacing w:before="60"/>
              <w:ind w:left="257" w:right="252"/>
              <w:jc w:val="center"/>
              <w:rPr>
                <w:sz w:val="20"/>
              </w:rPr>
            </w:pPr>
            <w:r>
              <w:rPr>
                <w:sz w:val="20"/>
              </w:rPr>
              <w:t>55</w:t>
            </w:r>
          </w:p>
        </w:tc>
        <w:tc>
          <w:tcPr>
            <w:tcW w:w="1083" w:type="dxa"/>
          </w:tcPr>
          <w:p w14:paraId="75E2F2B1" w14:textId="77777777" w:rsidR="00E80455" w:rsidRDefault="000B3179">
            <w:pPr>
              <w:pStyle w:val="TableParagraph"/>
              <w:spacing w:before="60"/>
              <w:ind w:left="152" w:right="148"/>
              <w:jc w:val="center"/>
              <w:rPr>
                <w:sz w:val="20"/>
              </w:rPr>
            </w:pPr>
            <w:r>
              <w:rPr>
                <w:sz w:val="20"/>
              </w:rPr>
              <w:t>12.0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(</w:t>
            </w:r>
            <w:proofErr w:type="gramStart"/>
            <w:r>
              <w:rPr>
                <w:sz w:val="20"/>
              </w:rPr>
              <w:t>8)†</w:t>
            </w:r>
            <w:proofErr w:type="gramEnd"/>
          </w:p>
        </w:tc>
        <w:tc>
          <w:tcPr>
            <w:tcW w:w="639" w:type="dxa"/>
          </w:tcPr>
          <w:p w14:paraId="1E856258" w14:textId="77777777" w:rsidR="00E80455" w:rsidRDefault="000B3179">
            <w:pPr>
              <w:pStyle w:val="TableParagraph"/>
              <w:spacing w:before="60"/>
              <w:ind w:left="216"/>
              <w:rPr>
                <w:sz w:val="20"/>
              </w:rPr>
            </w:pPr>
            <w:r>
              <w:rPr>
                <w:sz w:val="20"/>
              </w:rPr>
              <w:t>53</w:t>
            </w:r>
          </w:p>
        </w:tc>
        <w:tc>
          <w:tcPr>
            <w:tcW w:w="1028" w:type="dxa"/>
          </w:tcPr>
          <w:p w14:paraId="7E1A8F20" w14:textId="77777777" w:rsidR="00E80455" w:rsidRDefault="000B3179">
            <w:pPr>
              <w:pStyle w:val="TableParagraph"/>
              <w:spacing w:before="60"/>
              <w:ind w:left="333"/>
              <w:rPr>
                <w:sz w:val="20"/>
              </w:rPr>
            </w:pPr>
            <w:r>
              <w:rPr>
                <w:sz w:val="20"/>
              </w:rPr>
              <w:t>16.5</w:t>
            </w:r>
          </w:p>
          <w:p w14:paraId="5BF1B190" w14:textId="77777777" w:rsidR="00E80455" w:rsidRDefault="000B3179">
            <w:pPr>
              <w:pStyle w:val="TableParagraph"/>
              <w:ind w:left="292"/>
              <w:rPr>
                <w:sz w:val="20"/>
              </w:rPr>
            </w:pPr>
            <w:r>
              <w:rPr>
                <w:sz w:val="20"/>
              </w:rPr>
              <w:t>(</w:t>
            </w:r>
            <w:proofErr w:type="gramStart"/>
            <w:r>
              <w:rPr>
                <w:sz w:val="20"/>
              </w:rPr>
              <w:t>17)†</w:t>
            </w:r>
            <w:proofErr w:type="gramEnd"/>
          </w:p>
        </w:tc>
        <w:tc>
          <w:tcPr>
            <w:tcW w:w="694" w:type="dxa"/>
          </w:tcPr>
          <w:p w14:paraId="6235D3BA" w14:textId="77777777" w:rsidR="00E80455" w:rsidRDefault="000B3179">
            <w:pPr>
              <w:pStyle w:val="TableParagraph"/>
              <w:spacing w:before="60"/>
              <w:ind w:left="241"/>
              <w:rPr>
                <w:sz w:val="20"/>
              </w:rPr>
            </w:pPr>
            <w:r>
              <w:rPr>
                <w:sz w:val="20"/>
              </w:rPr>
              <w:t>73</w:t>
            </w:r>
          </w:p>
        </w:tc>
        <w:tc>
          <w:tcPr>
            <w:tcW w:w="1112" w:type="dxa"/>
          </w:tcPr>
          <w:p w14:paraId="46086E6C" w14:textId="77777777" w:rsidR="00E80455" w:rsidRDefault="000B3179">
            <w:pPr>
              <w:pStyle w:val="TableParagraph"/>
              <w:spacing w:before="60"/>
              <w:ind w:right="282"/>
              <w:jc w:val="right"/>
              <w:rPr>
                <w:sz w:val="20"/>
              </w:rPr>
            </w:pPr>
            <w:r>
              <w:rPr>
                <w:sz w:val="20"/>
              </w:rPr>
              <w:t>1.8 (1)</w:t>
            </w:r>
          </w:p>
        </w:tc>
        <w:tc>
          <w:tcPr>
            <w:tcW w:w="609" w:type="dxa"/>
          </w:tcPr>
          <w:p w14:paraId="4C80F5A2" w14:textId="77777777" w:rsidR="00E80455" w:rsidRDefault="000B3179">
            <w:pPr>
              <w:pStyle w:val="TableParagraph"/>
              <w:spacing w:before="60"/>
              <w:ind w:right="195"/>
              <w:jc w:val="right"/>
              <w:rPr>
                <w:sz w:val="20"/>
              </w:rPr>
            </w:pPr>
            <w:r>
              <w:rPr>
                <w:sz w:val="20"/>
              </w:rPr>
              <w:t>71</w:t>
            </w:r>
          </w:p>
        </w:tc>
        <w:tc>
          <w:tcPr>
            <w:tcW w:w="1060" w:type="dxa"/>
          </w:tcPr>
          <w:p w14:paraId="0A5C1DDF" w14:textId="77777777" w:rsidR="00E80455" w:rsidRDefault="000B3179">
            <w:pPr>
              <w:pStyle w:val="TableParagraph"/>
              <w:spacing w:before="60"/>
              <w:ind w:left="256"/>
              <w:rPr>
                <w:sz w:val="20"/>
              </w:rPr>
            </w:pPr>
            <w:r>
              <w:rPr>
                <w:sz w:val="20"/>
              </w:rPr>
              <w:t>3.2 (3)</w:t>
            </w:r>
          </w:p>
        </w:tc>
      </w:tr>
      <w:tr w:rsidR="00E80455" w14:paraId="6CFB31B7" w14:textId="77777777">
        <w:trPr>
          <w:trHeight w:val="350"/>
        </w:trPr>
        <w:tc>
          <w:tcPr>
            <w:tcW w:w="9025" w:type="dxa"/>
            <w:gridSpan w:val="9"/>
          </w:tcPr>
          <w:p w14:paraId="1D12956D" w14:textId="77777777" w:rsidR="00E80455" w:rsidRDefault="000B3179">
            <w:pPr>
              <w:pStyle w:val="TableParagraph"/>
              <w:spacing w:before="63"/>
              <w:ind w:left="3964" w:right="3963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Diastolic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BP</w:t>
            </w:r>
          </w:p>
        </w:tc>
      </w:tr>
      <w:tr w:rsidR="00E80455" w14:paraId="60AB2311" w14:textId="77777777">
        <w:trPr>
          <w:trHeight w:val="350"/>
        </w:trPr>
        <w:tc>
          <w:tcPr>
            <w:tcW w:w="1942" w:type="dxa"/>
          </w:tcPr>
          <w:p w14:paraId="7BAF1F61" w14:textId="77777777" w:rsidR="00E80455" w:rsidRDefault="000B3179">
            <w:pPr>
              <w:pStyle w:val="TableParagraph"/>
              <w:spacing w:before="62"/>
              <w:ind w:left="107"/>
              <w:rPr>
                <w:sz w:val="20"/>
              </w:rPr>
            </w:pPr>
            <w:r>
              <w:rPr>
                <w:sz w:val="20"/>
              </w:rPr>
              <w:t>Single-blind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placebo</w:t>
            </w:r>
          </w:p>
        </w:tc>
        <w:tc>
          <w:tcPr>
            <w:tcW w:w="858" w:type="dxa"/>
          </w:tcPr>
          <w:p w14:paraId="0853CDA5" w14:textId="77777777" w:rsidR="00E80455" w:rsidRDefault="000B3179">
            <w:pPr>
              <w:pStyle w:val="TableParagraph"/>
              <w:spacing w:before="62"/>
              <w:ind w:left="257" w:right="252"/>
              <w:jc w:val="center"/>
              <w:rPr>
                <w:sz w:val="20"/>
              </w:rPr>
            </w:pPr>
            <w:r>
              <w:rPr>
                <w:sz w:val="20"/>
              </w:rPr>
              <w:t>77</w:t>
            </w:r>
          </w:p>
        </w:tc>
        <w:tc>
          <w:tcPr>
            <w:tcW w:w="1083" w:type="dxa"/>
          </w:tcPr>
          <w:p w14:paraId="1204DABB" w14:textId="77777777" w:rsidR="00E80455" w:rsidRDefault="000B3179">
            <w:pPr>
              <w:pStyle w:val="TableParagraph"/>
              <w:spacing w:before="62"/>
              <w:ind w:left="152" w:right="148"/>
              <w:jc w:val="center"/>
              <w:rPr>
                <w:sz w:val="20"/>
              </w:rPr>
            </w:pPr>
            <w:r>
              <w:rPr>
                <w:sz w:val="20"/>
              </w:rPr>
              <w:t>0.6 (1)</w:t>
            </w:r>
          </w:p>
        </w:tc>
        <w:tc>
          <w:tcPr>
            <w:tcW w:w="639" w:type="dxa"/>
          </w:tcPr>
          <w:p w14:paraId="5F47FCB7" w14:textId="77777777" w:rsidR="00E80455" w:rsidRDefault="000B3179">
            <w:pPr>
              <w:pStyle w:val="TableParagraph"/>
              <w:spacing w:before="62"/>
              <w:ind w:left="216"/>
              <w:rPr>
                <w:sz w:val="20"/>
              </w:rPr>
            </w:pPr>
            <w:r>
              <w:rPr>
                <w:sz w:val="20"/>
              </w:rPr>
              <w:t>68</w:t>
            </w:r>
          </w:p>
        </w:tc>
        <w:tc>
          <w:tcPr>
            <w:tcW w:w="1028" w:type="dxa"/>
          </w:tcPr>
          <w:p w14:paraId="67B6EEF1" w14:textId="77777777" w:rsidR="00E80455" w:rsidRDefault="000B3179">
            <w:pPr>
              <w:pStyle w:val="TableParagraph"/>
              <w:spacing w:before="62"/>
              <w:ind w:left="123" w:right="119"/>
              <w:jc w:val="center"/>
              <w:rPr>
                <w:sz w:val="20"/>
              </w:rPr>
            </w:pPr>
            <w:r>
              <w:rPr>
                <w:sz w:val="20"/>
              </w:rPr>
              <w:t>-0.7 (1)</w:t>
            </w:r>
          </w:p>
        </w:tc>
        <w:tc>
          <w:tcPr>
            <w:tcW w:w="694" w:type="dxa"/>
          </w:tcPr>
          <w:p w14:paraId="6FF9740E" w14:textId="77777777" w:rsidR="00E80455" w:rsidRDefault="000B3179">
            <w:pPr>
              <w:pStyle w:val="TableParagraph"/>
              <w:spacing w:before="62"/>
              <w:ind w:left="241"/>
              <w:rPr>
                <w:sz w:val="20"/>
              </w:rPr>
            </w:pPr>
            <w:r>
              <w:rPr>
                <w:sz w:val="20"/>
              </w:rPr>
              <w:t>81</w:t>
            </w:r>
          </w:p>
        </w:tc>
        <w:tc>
          <w:tcPr>
            <w:tcW w:w="1112" w:type="dxa"/>
          </w:tcPr>
          <w:p w14:paraId="4FE63B7D" w14:textId="77777777" w:rsidR="00E80455" w:rsidRDefault="000B3179">
            <w:pPr>
              <w:pStyle w:val="TableParagraph"/>
              <w:spacing w:before="62"/>
              <w:ind w:right="248"/>
              <w:jc w:val="right"/>
              <w:rPr>
                <w:sz w:val="20"/>
              </w:rPr>
            </w:pPr>
            <w:r>
              <w:rPr>
                <w:sz w:val="20"/>
              </w:rPr>
              <w:t>-2.0 (2)</w:t>
            </w:r>
          </w:p>
        </w:tc>
        <w:tc>
          <w:tcPr>
            <w:tcW w:w="609" w:type="dxa"/>
          </w:tcPr>
          <w:p w14:paraId="4E8514BC" w14:textId="77777777" w:rsidR="00E80455" w:rsidRDefault="000B3179">
            <w:pPr>
              <w:pStyle w:val="TableParagraph"/>
              <w:spacing w:before="62"/>
              <w:ind w:right="195"/>
              <w:jc w:val="right"/>
              <w:rPr>
                <w:sz w:val="20"/>
              </w:rPr>
            </w:pPr>
            <w:r>
              <w:rPr>
                <w:sz w:val="20"/>
              </w:rPr>
              <w:t>76</w:t>
            </w:r>
          </w:p>
        </w:tc>
        <w:tc>
          <w:tcPr>
            <w:tcW w:w="1060" w:type="dxa"/>
          </w:tcPr>
          <w:p w14:paraId="62794078" w14:textId="77777777" w:rsidR="00E80455" w:rsidRDefault="000B3179">
            <w:pPr>
              <w:pStyle w:val="TableParagraph"/>
              <w:spacing w:before="62"/>
              <w:ind w:left="256"/>
              <w:rPr>
                <w:sz w:val="20"/>
              </w:rPr>
            </w:pPr>
            <w:r>
              <w:rPr>
                <w:sz w:val="20"/>
              </w:rPr>
              <w:t>2.1 (3)</w:t>
            </w:r>
          </w:p>
        </w:tc>
      </w:tr>
      <w:tr w:rsidR="00E80455" w14:paraId="5993995A" w14:textId="77777777">
        <w:trPr>
          <w:trHeight w:val="350"/>
        </w:trPr>
        <w:tc>
          <w:tcPr>
            <w:tcW w:w="1942" w:type="dxa"/>
          </w:tcPr>
          <w:p w14:paraId="206D3D76" w14:textId="77777777" w:rsidR="00E80455" w:rsidRDefault="000B3179">
            <w:pPr>
              <w:pStyle w:val="TableParagraph"/>
              <w:spacing w:before="62"/>
              <w:ind w:left="107"/>
              <w:rPr>
                <w:sz w:val="20"/>
              </w:rPr>
            </w:pPr>
            <w:r>
              <w:rPr>
                <w:sz w:val="20"/>
              </w:rPr>
              <w:t>Day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1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washout</w:t>
            </w:r>
          </w:p>
        </w:tc>
        <w:tc>
          <w:tcPr>
            <w:tcW w:w="858" w:type="dxa"/>
          </w:tcPr>
          <w:p w14:paraId="19DB9C21" w14:textId="77777777" w:rsidR="00E80455" w:rsidRDefault="000B3179">
            <w:pPr>
              <w:pStyle w:val="TableParagraph"/>
              <w:spacing w:before="62"/>
              <w:ind w:left="257" w:right="252"/>
              <w:jc w:val="center"/>
              <w:rPr>
                <w:sz w:val="20"/>
              </w:rPr>
            </w:pPr>
            <w:r>
              <w:rPr>
                <w:sz w:val="20"/>
              </w:rPr>
              <w:t>55</w:t>
            </w:r>
          </w:p>
        </w:tc>
        <w:tc>
          <w:tcPr>
            <w:tcW w:w="1083" w:type="dxa"/>
          </w:tcPr>
          <w:p w14:paraId="190163AD" w14:textId="77777777" w:rsidR="00E80455" w:rsidRDefault="000B3179">
            <w:pPr>
              <w:pStyle w:val="TableParagraph"/>
              <w:spacing w:before="62"/>
              <w:ind w:left="152" w:right="148"/>
              <w:jc w:val="center"/>
              <w:rPr>
                <w:sz w:val="20"/>
              </w:rPr>
            </w:pPr>
            <w:r>
              <w:rPr>
                <w:sz w:val="20"/>
              </w:rPr>
              <w:t>5.5 (6)</w:t>
            </w:r>
          </w:p>
        </w:tc>
        <w:tc>
          <w:tcPr>
            <w:tcW w:w="639" w:type="dxa"/>
          </w:tcPr>
          <w:p w14:paraId="65599479" w14:textId="77777777" w:rsidR="00E80455" w:rsidRDefault="000B3179">
            <w:pPr>
              <w:pStyle w:val="TableParagraph"/>
              <w:spacing w:before="62"/>
              <w:ind w:left="216"/>
              <w:rPr>
                <w:sz w:val="20"/>
              </w:rPr>
            </w:pPr>
            <w:r>
              <w:rPr>
                <w:sz w:val="20"/>
              </w:rPr>
              <w:t>48</w:t>
            </w:r>
          </w:p>
        </w:tc>
        <w:tc>
          <w:tcPr>
            <w:tcW w:w="1028" w:type="dxa"/>
          </w:tcPr>
          <w:p w14:paraId="38A1E1BD" w14:textId="77777777" w:rsidR="00E80455" w:rsidRDefault="000B3179">
            <w:pPr>
              <w:pStyle w:val="TableParagraph"/>
              <w:spacing w:before="62"/>
              <w:ind w:left="123" w:right="120"/>
              <w:jc w:val="center"/>
              <w:rPr>
                <w:sz w:val="20"/>
              </w:rPr>
            </w:pPr>
            <w:r>
              <w:rPr>
                <w:sz w:val="20"/>
              </w:rPr>
              <w:t>7.9 (</w:t>
            </w:r>
            <w:proofErr w:type="gramStart"/>
            <w:r>
              <w:rPr>
                <w:sz w:val="20"/>
              </w:rPr>
              <w:t>12)†</w:t>
            </w:r>
            <w:proofErr w:type="gramEnd"/>
          </w:p>
        </w:tc>
        <w:tc>
          <w:tcPr>
            <w:tcW w:w="694" w:type="dxa"/>
          </w:tcPr>
          <w:p w14:paraId="355DEC33" w14:textId="77777777" w:rsidR="00E80455" w:rsidRDefault="000B3179">
            <w:pPr>
              <w:pStyle w:val="TableParagraph"/>
              <w:spacing w:before="62"/>
              <w:ind w:left="241"/>
              <w:rPr>
                <w:sz w:val="20"/>
              </w:rPr>
            </w:pPr>
            <w:r>
              <w:rPr>
                <w:sz w:val="20"/>
              </w:rPr>
              <w:t>71</w:t>
            </w:r>
          </w:p>
        </w:tc>
        <w:tc>
          <w:tcPr>
            <w:tcW w:w="1112" w:type="dxa"/>
          </w:tcPr>
          <w:p w14:paraId="6F3B2083" w14:textId="77777777" w:rsidR="00E80455" w:rsidRDefault="000B3179">
            <w:pPr>
              <w:pStyle w:val="TableParagraph"/>
              <w:spacing w:before="62"/>
              <w:ind w:right="282"/>
              <w:jc w:val="right"/>
              <w:rPr>
                <w:sz w:val="20"/>
              </w:rPr>
            </w:pPr>
            <w:r>
              <w:rPr>
                <w:sz w:val="20"/>
              </w:rPr>
              <w:t>3.2 (0)</w:t>
            </w:r>
          </w:p>
        </w:tc>
        <w:tc>
          <w:tcPr>
            <w:tcW w:w="609" w:type="dxa"/>
          </w:tcPr>
          <w:p w14:paraId="4A5B4670" w14:textId="77777777" w:rsidR="00E80455" w:rsidRDefault="000B3179">
            <w:pPr>
              <w:pStyle w:val="TableParagraph"/>
              <w:spacing w:before="62"/>
              <w:ind w:right="195"/>
              <w:jc w:val="right"/>
              <w:rPr>
                <w:sz w:val="20"/>
              </w:rPr>
            </w:pPr>
            <w:r>
              <w:rPr>
                <w:sz w:val="20"/>
              </w:rPr>
              <w:t>67</w:t>
            </w:r>
          </w:p>
        </w:tc>
        <w:tc>
          <w:tcPr>
            <w:tcW w:w="1060" w:type="dxa"/>
          </w:tcPr>
          <w:p w14:paraId="2AAA127A" w14:textId="77777777" w:rsidR="00E80455" w:rsidRDefault="000B3179">
            <w:pPr>
              <w:pStyle w:val="TableParagraph"/>
              <w:spacing w:before="62"/>
              <w:ind w:left="256"/>
              <w:rPr>
                <w:sz w:val="20"/>
              </w:rPr>
            </w:pPr>
            <w:r>
              <w:rPr>
                <w:sz w:val="20"/>
              </w:rPr>
              <w:t>0.0 (0)</w:t>
            </w:r>
          </w:p>
        </w:tc>
      </w:tr>
    </w:tbl>
    <w:p w14:paraId="0E6EF308" w14:textId="77777777" w:rsidR="00E80455" w:rsidRDefault="000B3179">
      <w:pPr>
        <w:spacing w:before="62"/>
        <w:ind w:left="213" w:right="395"/>
        <w:rPr>
          <w:sz w:val="20"/>
        </w:rPr>
      </w:pPr>
      <w:r>
        <w:rPr>
          <w:sz w:val="20"/>
        </w:rPr>
        <w:t>*Values represent mean data (mmHg with percent change in parentheses) from all evaluable subjects at each</w:t>
      </w:r>
      <w:r>
        <w:rPr>
          <w:spacing w:val="-47"/>
          <w:sz w:val="20"/>
        </w:rPr>
        <w:t xml:space="preserve"> </w:t>
      </w:r>
      <w:r>
        <w:rPr>
          <w:sz w:val="20"/>
        </w:rPr>
        <w:t>time</w:t>
      </w:r>
      <w:r>
        <w:rPr>
          <w:spacing w:val="-1"/>
          <w:sz w:val="20"/>
        </w:rPr>
        <w:t xml:space="preserve"> </w:t>
      </w:r>
      <w:r>
        <w:rPr>
          <w:sz w:val="20"/>
        </w:rPr>
        <w:t>point. BP</w:t>
      </w:r>
      <w:r>
        <w:rPr>
          <w:spacing w:val="-1"/>
          <w:sz w:val="20"/>
        </w:rPr>
        <w:t xml:space="preserve"> </w:t>
      </w:r>
      <w:r>
        <w:rPr>
          <w:sz w:val="20"/>
        </w:rPr>
        <w:t>indicates</w:t>
      </w:r>
      <w:r>
        <w:rPr>
          <w:spacing w:val="-1"/>
          <w:sz w:val="20"/>
        </w:rPr>
        <w:t xml:space="preserve"> </w:t>
      </w:r>
      <w:r>
        <w:rPr>
          <w:sz w:val="20"/>
        </w:rPr>
        <w:t>blood</w:t>
      </w:r>
      <w:r>
        <w:rPr>
          <w:spacing w:val="-1"/>
          <w:sz w:val="20"/>
        </w:rPr>
        <w:t xml:space="preserve"> </w:t>
      </w:r>
      <w:r>
        <w:rPr>
          <w:sz w:val="20"/>
        </w:rPr>
        <w:t>pressure.</w:t>
      </w:r>
    </w:p>
    <w:p w14:paraId="516E2B82" w14:textId="77777777" w:rsidR="00E80455" w:rsidRDefault="000B3179">
      <w:pPr>
        <w:spacing w:before="61"/>
        <w:ind w:left="213"/>
        <w:rPr>
          <w:sz w:val="20"/>
        </w:rPr>
      </w:pPr>
      <w:r>
        <w:rPr>
          <w:sz w:val="20"/>
        </w:rPr>
        <w:t>†p&lt;0.01</w:t>
      </w:r>
      <w:r>
        <w:rPr>
          <w:spacing w:val="-1"/>
          <w:sz w:val="20"/>
        </w:rPr>
        <w:t xml:space="preserve"> </w:t>
      </w:r>
      <w:r>
        <w:rPr>
          <w:sz w:val="20"/>
        </w:rPr>
        <w:t>versus</w:t>
      </w:r>
      <w:r>
        <w:rPr>
          <w:spacing w:val="-3"/>
          <w:sz w:val="20"/>
        </w:rPr>
        <w:t xml:space="preserve"> </w:t>
      </w:r>
      <w:r>
        <w:rPr>
          <w:sz w:val="20"/>
        </w:rPr>
        <w:t>placebo</w:t>
      </w:r>
    </w:p>
    <w:p w14:paraId="0A87FD83" w14:textId="77777777" w:rsidR="00E80455" w:rsidRDefault="000B3179" w:rsidP="00CC3D64">
      <w:pPr>
        <w:spacing w:before="60" w:after="240"/>
        <w:ind w:left="215"/>
        <w:rPr>
          <w:sz w:val="20"/>
        </w:rPr>
      </w:pPr>
      <w:r>
        <w:rPr>
          <w:sz w:val="20"/>
          <w:vertAlign w:val="superscript"/>
        </w:rPr>
        <w:t>‡</w:t>
      </w:r>
      <w:r>
        <w:rPr>
          <w:sz w:val="20"/>
        </w:rPr>
        <w:t>Day</w:t>
      </w:r>
      <w:r>
        <w:rPr>
          <w:spacing w:val="-2"/>
          <w:sz w:val="20"/>
        </w:rPr>
        <w:t xml:space="preserve"> </w:t>
      </w:r>
      <w:r>
        <w:rPr>
          <w:sz w:val="20"/>
        </w:rPr>
        <w:t>1</w:t>
      </w:r>
      <w:r>
        <w:rPr>
          <w:spacing w:val="-1"/>
          <w:sz w:val="20"/>
        </w:rPr>
        <w:t xml:space="preserve"> </w:t>
      </w:r>
      <w:r>
        <w:rPr>
          <w:sz w:val="20"/>
        </w:rPr>
        <w:t>of</w:t>
      </w:r>
      <w:r>
        <w:rPr>
          <w:spacing w:val="-2"/>
          <w:sz w:val="20"/>
        </w:rPr>
        <w:t xml:space="preserve"> </w:t>
      </w:r>
      <w:r>
        <w:rPr>
          <w:sz w:val="20"/>
        </w:rPr>
        <w:t>washout</w:t>
      </w:r>
      <w:r>
        <w:rPr>
          <w:spacing w:val="-2"/>
          <w:sz w:val="20"/>
        </w:rPr>
        <w:t xml:space="preserve"> </w:t>
      </w:r>
      <w:r>
        <w:rPr>
          <w:sz w:val="20"/>
        </w:rPr>
        <w:t>period</w:t>
      </w:r>
      <w:r>
        <w:rPr>
          <w:spacing w:val="-1"/>
          <w:sz w:val="20"/>
        </w:rPr>
        <w:t xml:space="preserve"> </w:t>
      </w:r>
      <w:r>
        <w:rPr>
          <w:sz w:val="20"/>
        </w:rPr>
        <w:t>scored</w:t>
      </w:r>
      <w:r>
        <w:rPr>
          <w:spacing w:val="-1"/>
          <w:sz w:val="20"/>
        </w:rPr>
        <w:t xml:space="preserve"> </w:t>
      </w:r>
      <w:r>
        <w:rPr>
          <w:sz w:val="20"/>
        </w:rPr>
        <w:t>on</w:t>
      </w:r>
      <w:r>
        <w:rPr>
          <w:spacing w:val="-2"/>
          <w:sz w:val="20"/>
        </w:rPr>
        <w:t xml:space="preserve"> </w:t>
      </w:r>
      <w:r>
        <w:rPr>
          <w:sz w:val="20"/>
        </w:rPr>
        <w:t>the</w:t>
      </w:r>
      <w:r>
        <w:rPr>
          <w:spacing w:val="-1"/>
          <w:sz w:val="20"/>
        </w:rPr>
        <w:t xml:space="preserve"> </w:t>
      </w:r>
      <w:r>
        <w:rPr>
          <w:sz w:val="20"/>
        </w:rPr>
        <w:t>antecedent</w:t>
      </w:r>
      <w:r>
        <w:rPr>
          <w:spacing w:val="-3"/>
          <w:sz w:val="20"/>
        </w:rPr>
        <w:t xml:space="preserve"> </w:t>
      </w:r>
      <w:r>
        <w:rPr>
          <w:sz w:val="20"/>
        </w:rPr>
        <w:t>(pre-washout)</w:t>
      </w:r>
      <w:r>
        <w:rPr>
          <w:spacing w:val="-3"/>
          <w:sz w:val="20"/>
        </w:rPr>
        <w:t xml:space="preserve"> </w:t>
      </w:r>
      <w:r>
        <w:rPr>
          <w:sz w:val="20"/>
        </w:rPr>
        <w:t>period.</w:t>
      </w:r>
    </w:p>
    <w:p w14:paraId="2E1AD972" w14:textId="3390E338" w:rsidR="00E80455" w:rsidRDefault="000B3179" w:rsidP="00CC3D64">
      <w:pPr>
        <w:pStyle w:val="BodyText"/>
        <w:spacing w:before="90" w:after="240"/>
        <w:ind w:left="100" w:right="272"/>
      </w:pPr>
      <w:r>
        <w:t>The clinical benefit of midodrine was evaluated in a published randomised, double-blind,</w:t>
      </w:r>
      <w:r>
        <w:rPr>
          <w:spacing w:val="1"/>
        </w:rPr>
        <w:t xml:space="preserve"> </w:t>
      </w:r>
      <w:r>
        <w:t>placebo-controlled, post-marketing study (Smith 2016</w:t>
      </w:r>
      <w:r>
        <w:rPr>
          <w:color w:val="0000FF"/>
          <w:position w:val="6"/>
          <w:sz w:val="12"/>
        </w:rPr>
        <w:t>4</w:t>
      </w:r>
      <w:r>
        <w:t>) in patients with severe symptomatic</w:t>
      </w:r>
      <w:r>
        <w:rPr>
          <w:spacing w:val="1"/>
        </w:rPr>
        <w:t xml:space="preserve"> </w:t>
      </w:r>
      <w:r>
        <w:t>OH.</w:t>
      </w:r>
      <w:r>
        <w:rPr>
          <w:spacing w:val="-13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objective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 study</w:t>
      </w:r>
      <w:r>
        <w:rPr>
          <w:spacing w:val="-1"/>
        </w:rPr>
        <w:t xml:space="preserve"> </w:t>
      </w:r>
      <w:r>
        <w:t>was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assess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effect</w:t>
      </w:r>
      <w:r>
        <w:rPr>
          <w:spacing w:val="-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midodrine</w:t>
      </w:r>
      <w:r>
        <w:rPr>
          <w:spacing w:val="-2"/>
        </w:rPr>
        <w:t xml:space="preserve"> </w:t>
      </w:r>
      <w:r>
        <w:t>on</w:t>
      </w:r>
      <w:r>
        <w:rPr>
          <w:spacing w:val="-2"/>
        </w:rPr>
        <w:t xml:space="preserve"> </w:t>
      </w:r>
      <w:r>
        <w:t>symptom</w:t>
      </w:r>
      <w:r>
        <w:rPr>
          <w:spacing w:val="-1"/>
        </w:rPr>
        <w:t xml:space="preserve"> </w:t>
      </w:r>
      <w:r>
        <w:t>response</w:t>
      </w:r>
      <w:r>
        <w:rPr>
          <w:spacing w:val="-2"/>
        </w:rPr>
        <w:t xml:space="preserve"> </w:t>
      </w:r>
      <w:r>
        <w:t>in</w:t>
      </w:r>
      <w:r>
        <w:rPr>
          <w:spacing w:val="-57"/>
        </w:rPr>
        <w:t xml:space="preserve"> </w:t>
      </w:r>
      <w:r>
        <w:t>the form of time to onset of syncopal symptoms or near-syncope measured using a protocol-</w:t>
      </w:r>
      <w:r>
        <w:rPr>
          <w:spacing w:val="1"/>
        </w:rPr>
        <w:t xml:space="preserve"> </w:t>
      </w:r>
      <w:r>
        <w:t>defined tilt-table test at 1 h post-dose. Patients were eligible for the study if they were aged</w:t>
      </w:r>
      <w:r>
        <w:rPr>
          <w:spacing w:val="1"/>
        </w:rPr>
        <w:t xml:space="preserve"> </w:t>
      </w:r>
      <w:r>
        <w:t>18 years and older with a documented history of severe symptomatic OH (e.g. due to</w:t>
      </w:r>
      <w:r>
        <w:rPr>
          <w:spacing w:val="1"/>
        </w:rPr>
        <w:t xml:space="preserve"> </w:t>
      </w:r>
      <w:r>
        <w:t>Parkinson’s disease, Shy-Drager syndrome, multiple system atrophy, pure autonomic failure,</w:t>
      </w:r>
      <w:r>
        <w:rPr>
          <w:spacing w:val="-57"/>
        </w:rPr>
        <w:t xml:space="preserve"> </w:t>
      </w:r>
      <w:r>
        <w:t>or autonomic neuropathies). Patients must have been maintained on a stable dose of</w:t>
      </w:r>
      <w:r>
        <w:rPr>
          <w:spacing w:val="1"/>
        </w:rPr>
        <w:t xml:space="preserve"> </w:t>
      </w:r>
      <w:r>
        <w:t>midodrine for at least 3 months, been ambulatory when receiving adequate therapy for their</w:t>
      </w:r>
      <w:r>
        <w:rPr>
          <w:spacing w:val="1"/>
        </w:rPr>
        <w:t xml:space="preserve"> </w:t>
      </w:r>
      <w:r>
        <w:t>symptomatic OH and had at least one of the following symptoms while standing or when not</w:t>
      </w:r>
      <w:r>
        <w:rPr>
          <w:spacing w:val="-57"/>
        </w:rPr>
        <w:t xml:space="preserve"> </w:t>
      </w:r>
      <w:r>
        <w:t xml:space="preserve">on treatment: dizziness, </w:t>
      </w:r>
      <w:proofErr w:type="spellStart"/>
      <w:r>
        <w:t>lightheadedness</w:t>
      </w:r>
      <w:proofErr w:type="spellEnd"/>
      <w:r>
        <w:t>, feeling faint, or feeling like they might lose</w:t>
      </w:r>
      <w:r>
        <w:rPr>
          <w:spacing w:val="1"/>
        </w:rPr>
        <w:t xml:space="preserve"> </w:t>
      </w:r>
      <w:r>
        <w:t>consciousness.</w:t>
      </w:r>
      <w:r>
        <w:rPr>
          <w:spacing w:val="60"/>
        </w:rPr>
        <w:t xml:space="preserve"> </w:t>
      </w:r>
      <w:r>
        <w:t>The sample size calculation for the study assumed a standard deviation of</w:t>
      </w:r>
      <w:r>
        <w:rPr>
          <w:spacing w:val="1"/>
        </w:rPr>
        <w:t xml:space="preserve"> </w:t>
      </w:r>
      <w:r>
        <w:t>240</w:t>
      </w:r>
      <w:r>
        <w:rPr>
          <w:spacing w:val="-2"/>
        </w:rPr>
        <w:t xml:space="preserve"> </w:t>
      </w:r>
      <w:r>
        <w:t>s</w:t>
      </w:r>
      <w:r>
        <w:rPr>
          <w:spacing w:val="-2"/>
        </w:rPr>
        <w:t xml:space="preserve"> </w:t>
      </w:r>
      <w:r>
        <w:t>for</w:t>
      </w:r>
      <w:r>
        <w:rPr>
          <w:spacing w:val="-3"/>
        </w:rPr>
        <w:t xml:space="preserve"> </w:t>
      </w:r>
      <w:r>
        <w:t>within-patient</w:t>
      </w:r>
      <w:r>
        <w:rPr>
          <w:spacing w:val="-1"/>
        </w:rPr>
        <w:t xml:space="preserve"> </w:t>
      </w:r>
      <w:r>
        <w:t>difference</w:t>
      </w:r>
      <w:r>
        <w:rPr>
          <w:spacing w:val="-3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time</w:t>
      </w:r>
      <w:r>
        <w:rPr>
          <w:spacing w:val="-2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onset</w:t>
      </w:r>
      <w:r>
        <w:rPr>
          <w:spacing w:val="1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syncopal</w:t>
      </w:r>
      <w:r>
        <w:rPr>
          <w:spacing w:val="-1"/>
        </w:rPr>
        <w:t xml:space="preserve"> </w:t>
      </w:r>
      <w:r>
        <w:t>symptoms</w:t>
      </w:r>
      <w:r>
        <w:rPr>
          <w:spacing w:val="-2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near</w:t>
      </w:r>
      <w:r>
        <w:rPr>
          <w:spacing w:val="-2"/>
        </w:rPr>
        <w:t xml:space="preserve"> </w:t>
      </w:r>
      <w:r>
        <w:t>syncope.</w:t>
      </w:r>
    </w:p>
    <w:p w14:paraId="5714C17B" w14:textId="77777777" w:rsidR="00E80455" w:rsidRDefault="000B3179" w:rsidP="00CC3D64">
      <w:pPr>
        <w:pStyle w:val="BodyText"/>
        <w:spacing w:after="240"/>
        <w:ind w:left="100" w:right="309"/>
      </w:pPr>
      <w:r>
        <w:t>Using a power level of 80% and a two-sided significance level of 0.05, the sample size</w:t>
      </w:r>
      <w:r>
        <w:rPr>
          <w:spacing w:val="1"/>
        </w:rPr>
        <w:t xml:space="preserve"> </w:t>
      </w:r>
      <w:r>
        <w:t>calculation determined that n=18 participants (n=9 per treatment sequence) would be needed</w:t>
      </w:r>
      <w:r>
        <w:rPr>
          <w:spacing w:val="-57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detect a treatment difference</w:t>
      </w:r>
      <w:r>
        <w:rPr>
          <w:spacing w:val="-2"/>
        </w:rPr>
        <w:t xml:space="preserve"> </w:t>
      </w:r>
      <w:r>
        <w:t>of 180 s</w:t>
      </w:r>
      <w:r>
        <w:rPr>
          <w:spacing w:val="-1"/>
        </w:rPr>
        <w:t xml:space="preserve"> </w:t>
      </w:r>
      <w:r>
        <w:t>between the</w:t>
      </w:r>
      <w:r>
        <w:rPr>
          <w:spacing w:val="-2"/>
        </w:rPr>
        <w:t xml:space="preserve"> </w:t>
      </w:r>
      <w:r>
        <w:t>treatments.</w:t>
      </w:r>
    </w:p>
    <w:p w14:paraId="4B5852F4" w14:textId="77777777" w:rsidR="00E80455" w:rsidRDefault="000B3179" w:rsidP="00CC3D64">
      <w:pPr>
        <w:pStyle w:val="BodyText"/>
        <w:spacing w:after="720"/>
        <w:ind w:left="102" w:right="210"/>
      </w:pPr>
      <w:r>
        <w:t>A</w:t>
      </w:r>
      <w:r>
        <w:rPr>
          <w:spacing w:val="-1"/>
        </w:rPr>
        <w:t xml:space="preserve"> </w:t>
      </w:r>
      <w:r>
        <w:t>total of</w:t>
      </w:r>
      <w:r>
        <w:rPr>
          <w:spacing w:val="-1"/>
        </w:rPr>
        <w:t xml:space="preserve"> </w:t>
      </w:r>
      <w:r>
        <w:t>20</w:t>
      </w:r>
      <w:r>
        <w:rPr>
          <w:spacing w:val="1"/>
        </w:rPr>
        <w:t xml:space="preserve"> </w:t>
      </w:r>
      <w:r>
        <w:t>subjects were</w:t>
      </w:r>
      <w:r>
        <w:rPr>
          <w:spacing w:val="-2"/>
        </w:rPr>
        <w:t xml:space="preserve"> </w:t>
      </w:r>
      <w:r>
        <w:t>recruited, with 19 completing both arms.</w:t>
      </w:r>
      <w:r>
        <w:rPr>
          <w:spacing w:val="3"/>
        </w:rPr>
        <w:t xml:space="preserve"> </w:t>
      </w:r>
      <w:r>
        <w:t>Patients</w:t>
      </w:r>
      <w:r>
        <w:rPr>
          <w:spacing w:val="1"/>
        </w:rPr>
        <w:t xml:space="preserve"> </w:t>
      </w:r>
      <w:r>
        <w:t>were</w:t>
      </w:r>
      <w:r>
        <w:rPr>
          <w:spacing w:val="1"/>
        </w:rPr>
        <w:t xml:space="preserve"> </w:t>
      </w:r>
      <w:r>
        <w:t>randomised into one of the two treatment sequences: midodrine followed by placebo or</w:t>
      </w:r>
      <w:r>
        <w:rPr>
          <w:spacing w:val="1"/>
        </w:rPr>
        <w:t xml:space="preserve"> </w:t>
      </w:r>
      <w:r>
        <w:t>placebo followed</w:t>
      </w:r>
      <w:r>
        <w:rPr>
          <w:spacing w:val="1"/>
        </w:rPr>
        <w:t xml:space="preserve"> </w:t>
      </w:r>
      <w:r>
        <w:t>by</w:t>
      </w:r>
      <w:r>
        <w:rPr>
          <w:spacing w:val="1"/>
        </w:rPr>
        <w:t xml:space="preserve"> </w:t>
      </w:r>
      <w:r>
        <w:t>midodrine.</w:t>
      </w:r>
      <w:r>
        <w:rPr>
          <w:spacing w:val="2"/>
        </w:rPr>
        <w:t xml:space="preserve"> </w:t>
      </w:r>
      <w:r>
        <w:t>Patients</w:t>
      </w:r>
      <w:r>
        <w:rPr>
          <w:spacing w:val="1"/>
        </w:rPr>
        <w:t xml:space="preserve"> </w:t>
      </w:r>
      <w:r>
        <w:t>received</w:t>
      </w:r>
      <w:r>
        <w:rPr>
          <w:spacing w:val="2"/>
        </w:rPr>
        <w:t xml:space="preserve"> </w:t>
      </w:r>
      <w:r>
        <w:t>midodrine</w:t>
      </w:r>
      <w:r>
        <w:rPr>
          <w:spacing w:val="-1"/>
        </w:rPr>
        <w:t xml:space="preserve"> </w:t>
      </w:r>
      <w:r>
        <w:t>at</w:t>
      </w:r>
      <w:r>
        <w:rPr>
          <w:spacing w:val="1"/>
        </w:rPr>
        <w:t xml:space="preserve"> </w:t>
      </w:r>
      <w:r>
        <w:t>their pre-study</w:t>
      </w:r>
      <w:r>
        <w:rPr>
          <w:spacing w:val="1"/>
        </w:rPr>
        <w:t xml:space="preserve"> </w:t>
      </w:r>
      <w:r>
        <w:t>dose or</w:t>
      </w:r>
      <w:r>
        <w:rPr>
          <w:spacing w:val="1"/>
        </w:rPr>
        <w:t xml:space="preserve"> </w:t>
      </w:r>
      <w:r>
        <w:t>placebo and underwent a tilt-table test performed 1 h after administration of the treatment.</w:t>
      </w:r>
      <w:r>
        <w:rPr>
          <w:spacing w:val="1"/>
        </w:rPr>
        <w:t xml:space="preserve"> </w:t>
      </w:r>
      <w:r>
        <w:t>The following day the alternative treatment was administered, and the tilt-table test was</w:t>
      </w:r>
      <w:r>
        <w:rPr>
          <w:spacing w:val="1"/>
        </w:rPr>
        <w:t xml:space="preserve"> </w:t>
      </w:r>
      <w:r>
        <w:t>repeated 1 h after the treatment. The primary endpoint was the time to onset of syncopal</w:t>
      </w:r>
      <w:r>
        <w:rPr>
          <w:spacing w:val="1"/>
        </w:rPr>
        <w:t xml:space="preserve"> </w:t>
      </w:r>
      <w:r>
        <w:t>symptoms</w:t>
      </w:r>
      <w:r>
        <w:rPr>
          <w:spacing w:val="-3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near-syncope</w:t>
      </w:r>
      <w:r>
        <w:rPr>
          <w:spacing w:val="-3"/>
        </w:rPr>
        <w:t xml:space="preserve"> </w:t>
      </w:r>
      <w:r>
        <w:t>(participants</w:t>
      </w:r>
      <w:r>
        <w:rPr>
          <w:spacing w:val="-2"/>
        </w:rPr>
        <w:t xml:space="preserve"> </w:t>
      </w:r>
      <w:r>
        <w:t>felt</w:t>
      </w:r>
      <w:r>
        <w:rPr>
          <w:spacing w:val="-2"/>
        </w:rPr>
        <w:t xml:space="preserve"> </w:t>
      </w:r>
      <w:r>
        <w:t>sufficiently</w:t>
      </w:r>
      <w:r>
        <w:rPr>
          <w:spacing w:val="-2"/>
        </w:rPr>
        <w:t xml:space="preserve"> </w:t>
      </w:r>
      <w:r>
        <w:t>dizzy,</w:t>
      </w:r>
      <w:r>
        <w:rPr>
          <w:spacing w:val="-2"/>
        </w:rPr>
        <w:t xml:space="preserve"> </w:t>
      </w:r>
      <w:r>
        <w:t>lightheaded,</w:t>
      </w:r>
      <w:r>
        <w:rPr>
          <w:spacing w:val="-2"/>
        </w:rPr>
        <w:t xml:space="preserve"> </w:t>
      </w:r>
      <w:r>
        <w:t>faint,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as</w:t>
      </w:r>
      <w:r>
        <w:rPr>
          <w:spacing w:val="-3"/>
        </w:rPr>
        <w:t xml:space="preserve"> </w:t>
      </w:r>
      <w:r>
        <w:t>if</w:t>
      </w:r>
      <w:r>
        <w:rPr>
          <w:spacing w:val="-2"/>
        </w:rPr>
        <w:t xml:space="preserve"> </w:t>
      </w:r>
      <w:r>
        <w:t>they</w:t>
      </w:r>
      <w:r>
        <w:rPr>
          <w:spacing w:val="-57"/>
        </w:rPr>
        <w:t xml:space="preserve"> </w:t>
      </w:r>
      <w:r>
        <w:t>were</w:t>
      </w:r>
      <w:r>
        <w:rPr>
          <w:spacing w:val="-1"/>
        </w:rPr>
        <w:t xml:space="preserve"> </w:t>
      </w:r>
      <w:r>
        <w:t>about</w:t>
      </w:r>
      <w:r>
        <w:rPr>
          <w:spacing w:val="-1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lose</w:t>
      </w:r>
      <w:r>
        <w:rPr>
          <w:spacing w:val="-1"/>
        </w:rPr>
        <w:t xml:space="preserve"> </w:t>
      </w:r>
      <w:r>
        <w:t>consciousness</w:t>
      </w:r>
      <w:r>
        <w:rPr>
          <w:spacing w:val="-2"/>
        </w:rPr>
        <w:t xml:space="preserve"> </w:t>
      </w:r>
      <w:r>
        <w:t>so</w:t>
      </w:r>
      <w:r>
        <w:rPr>
          <w:spacing w:val="-1"/>
        </w:rPr>
        <w:t xml:space="preserve"> </w:t>
      </w:r>
      <w:r>
        <w:t>that</w:t>
      </w:r>
      <w:r>
        <w:rPr>
          <w:spacing w:val="-1"/>
        </w:rPr>
        <w:t xml:space="preserve"> </w:t>
      </w:r>
      <w:r>
        <w:t>they</w:t>
      </w:r>
      <w:r>
        <w:rPr>
          <w:spacing w:val="-1"/>
        </w:rPr>
        <w:t xml:space="preserve"> </w:t>
      </w:r>
      <w:r>
        <w:t>requested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table</w:t>
      </w:r>
      <w:r>
        <w:rPr>
          <w:spacing w:val="-2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be returned</w:t>
      </w:r>
      <w:r>
        <w:rPr>
          <w:spacing w:val="-1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horizontal,</w:t>
      </w:r>
    </w:p>
    <w:p w14:paraId="2A1BB5A5" w14:textId="77777777" w:rsidR="00E80455" w:rsidRDefault="000B3179">
      <w:pPr>
        <w:pStyle w:val="BodyText"/>
        <w:spacing w:before="8"/>
        <w:rPr>
          <w:sz w:val="11"/>
        </w:rPr>
      </w:pPr>
      <w:r>
        <w:pict w14:anchorId="3B43E07B">
          <v:rect id="docshape6" o:spid="_x0000_s2051" style="position:absolute;margin-left:1in;margin-top:7.95pt;width:2in;height:.6pt;z-index:-15727616;mso-wrap-distance-left:0;mso-wrap-distance-right:0;mso-position-horizontal-relative:page" fillcolor="black" stroked="f">
            <w10:wrap type="topAndBottom" anchorx="page"/>
          </v:rect>
        </w:pict>
      </w:r>
    </w:p>
    <w:p w14:paraId="04143CE2" w14:textId="77777777" w:rsidR="00E80455" w:rsidRDefault="000B3179">
      <w:pPr>
        <w:spacing w:before="123"/>
        <w:ind w:left="213" w:right="393" w:hanging="113"/>
        <w:rPr>
          <w:sz w:val="20"/>
        </w:rPr>
      </w:pPr>
      <w:r>
        <w:rPr>
          <w:color w:val="0000FF"/>
          <w:sz w:val="20"/>
          <w:vertAlign w:val="superscript"/>
        </w:rPr>
        <w:t>4</w:t>
      </w:r>
      <w:r>
        <w:rPr>
          <w:color w:val="0000FF"/>
          <w:sz w:val="20"/>
        </w:rPr>
        <w:t xml:space="preserve"> </w:t>
      </w:r>
      <w:r>
        <w:rPr>
          <w:sz w:val="20"/>
        </w:rPr>
        <w:t>Smith W, Wan H, Much D, et al. Clinical benefit of midodrine hydrochloride in symptomatic orthostatic</w:t>
      </w:r>
      <w:r>
        <w:rPr>
          <w:spacing w:val="1"/>
          <w:sz w:val="20"/>
        </w:rPr>
        <w:t xml:space="preserve"> </w:t>
      </w:r>
      <w:r>
        <w:rPr>
          <w:sz w:val="20"/>
        </w:rPr>
        <w:t xml:space="preserve">hypotension: a phase 4, double-blind, placebo-controlled, randomized, tilt-table study. Clin </w:t>
      </w:r>
      <w:proofErr w:type="spellStart"/>
      <w:r>
        <w:rPr>
          <w:sz w:val="20"/>
        </w:rPr>
        <w:t>Auton</w:t>
      </w:r>
      <w:proofErr w:type="spellEnd"/>
      <w:r>
        <w:rPr>
          <w:sz w:val="20"/>
        </w:rPr>
        <w:t xml:space="preserve"> Res 2016;</w:t>
      </w:r>
      <w:r>
        <w:rPr>
          <w:spacing w:val="-47"/>
          <w:sz w:val="20"/>
        </w:rPr>
        <w:t xml:space="preserve"> </w:t>
      </w:r>
      <w:r>
        <w:rPr>
          <w:sz w:val="20"/>
        </w:rPr>
        <w:t>26:269–277.</w:t>
      </w:r>
    </w:p>
    <w:p w14:paraId="17705796" w14:textId="77777777" w:rsidR="00E80455" w:rsidRDefault="00E80455">
      <w:pPr>
        <w:rPr>
          <w:sz w:val="20"/>
        </w:rPr>
        <w:sectPr w:rsidR="00E80455" w:rsidSect="004E577B">
          <w:pgSz w:w="11910" w:h="16840"/>
          <w:pgMar w:top="1340" w:right="1240" w:bottom="920" w:left="1340" w:header="170" w:footer="729" w:gutter="0"/>
          <w:cols w:space="720"/>
          <w:docGrid w:linePitch="299"/>
        </w:sectPr>
      </w:pPr>
    </w:p>
    <w:p w14:paraId="4BDCD2C8" w14:textId="77777777" w:rsidR="00E80455" w:rsidRDefault="000B3179" w:rsidP="00CC3D64">
      <w:pPr>
        <w:pStyle w:val="BodyText"/>
        <w:spacing w:before="82" w:after="240"/>
        <w:ind w:left="100" w:right="254"/>
      </w:pPr>
      <w:r>
        <w:lastRenderedPageBreak/>
        <w:t>or they looked to be about to lose consciousness based on investigator assessment) during the</w:t>
      </w:r>
      <w:r>
        <w:rPr>
          <w:spacing w:val="-57"/>
        </w:rPr>
        <w:t xml:space="preserve"> </w:t>
      </w:r>
      <w:r>
        <w:t>tilt-table</w:t>
      </w:r>
      <w:r>
        <w:rPr>
          <w:spacing w:val="-1"/>
        </w:rPr>
        <w:t xml:space="preserve"> </w:t>
      </w:r>
      <w:r>
        <w:t>test.</w:t>
      </w:r>
    </w:p>
    <w:p w14:paraId="1D9D9F46" w14:textId="77777777" w:rsidR="00E80455" w:rsidRDefault="000B3179" w:rsidP="00CC3D64">
      <w:pPr>
        <w:pStyle w:val="BodyText"/>
        <w:spacing w:after="240"/>
        <w:ind w:left="100" w:right="239"/>
      </w:pPr>
      <w:r>
        <w:t>The final analysis set included 19 patients who completed the cross-over treatments. One</w:t>
      </w:r>
      <w:r>
        <w:rPr>
          <w:spacing w:val="1"/>
        </w:rPr>
        <w:t xml:space="preserve"> </w:t>
      </w:r>
      <w:r>
        <w:t>patient did not complete the study due to technical problems with the tilt-table. The mean age</w:t>
      </w:r>
      <w:r>
        <w:rPr>
          <w:spacing w:val="-57"/>
        </w:rPr>
        <w:t xml:space="preserve"> </w:t>
      </w:r>
      <w:r>
        <w:t>of participants was 43.5 years (range 18-78) and the group was predominantly female</w:t>
      </w:r>
      <w:r>
        <w:rPr>
          <w:spacing w:val="1"/>
        </w:rPr>
        <w:t xml:space="preserve"> </w:t>
      </w:r>
      <w:r>
        <w:t>(94.7%)). The pre-study midodrine dose was 2.5 mg to 15 mg. Treatment with midodrine</w:t>
      </w:r>
      <w:r>
        <w:rPr>
          <w:spacing w:val="1"/>
        </w:rPr>
        <w:t xml:space="preserve"> </w:t>
      </w:r>
      <w:r>
        <w:t>resulted in a statistically significant increase in the time to tilt-table induced syncopal</w:t>
      </w:r>
      <w:r>
        <w:rPr>
          <w:spacing w:val="1"/>
        </w:rPr>
        <w:t xml:space="preserve"> </w:t>
      </w:r>
      <w:r>
        <w:t>symptoms or near-syncopal symptoms relative to placebo control (p=0.0131). The least-</w:t>
      </w:r>
      <w:r>
        <w:rPr>
          <w:spacing w:val="1"/>
        </w:rPr>
        <w:t xml:space="preserve"> </w:t>
      </w:r>
      <w:r>
        <w:t>squares</w:t>
      </w:r>
      <w:r>
        <w:rPr>
          <w:spacing w:val="-2"/>
        </w:rPr>
        <w:t xml:space="preserve"> </w:t>
      </w:r>
      <w:r>
        <w:t>mean</w:t>
      </w:r>
      <w:r>
        <w:rPr>
          <w:spacing w:val="-1"/>
        </w:rPr>
        <w:t xml:space="preserve"> </w:t>
      </w:r>
      <w:r>
        <w:t>time</w:t>
      </w:r>
      <w:r>
        <w:rPr>
          <w:spacing w:val="-1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onset</w:t>
      </w:r>
      <w:r>
        <w:rPr>
          <w:spacing w:val="-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syncopal</w:t>
      </w:r>
      <w:r>
        <w:rPr>
          <w:spacing w:val="-1"/>
        </w:rPr>
        <w:t xml:space="preserve"> </w:t>
      </w:r>
      <w:r>
        <w:t>symptoms</w:t>
      </w:r>
      <w:r>
        <w:rPr>
          <w:spacing w:val="-2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near-syncope (mean ±</w:t>
      </w:r>
      <w:r>
        <w:rPr>
          <w:spacing w:val="1"/>
        </w:rPr>
        <w:t xml:space="preserve"> </w:t>
      </w:r>
      <w:r>
        <w:t>SE)</w:t>
      </w:r>
      <w:r>
        <w:rPr>
          <w:spacing w:val="-2"/>
        </w:rPr>
        <w:t xml:space="preserve"> </w:t>
      </w:r>
      <w:r>
        <w:t>was</w:t>
      </w:r>
    </w:p>
    <w:p w14:paraId="42F3F302" w14:textId="77777777" w:rsidR="00E80455" w:rsidRDefault="000B3179" w:rsidP="00CC3D64">
      <w:pPr>
        <w:pStyle w:val="BodyText"/>
        <w:spacing w:before="1" w:after="240"/>
        <w:ind w:left="100" w:right="1380"/>
      </w:pPr>
      <w:r>
        <w:t>1626.6 ± 186.8 s after initiation of the tilt-table test after midodrine treatment and</w:t>
      </w:r>
      <w:r>
        <w:rPr>
          <w:spacing w:val="-57"/>
        </w:rPr>
        <w:t xml:space="preserve"> </w:t>
      </w:r>
      <w:r>
        <w:t>1105.6</w:t>
      </w:r>
      <w:r>
        <w:rPr>
          <w:spacing w:val="-2"/>
        </w:rPr>
        <w:t xml:space="preserve"> </w:t>
      </w:r>
      <w:r>
        <w:t>± 186.8 s</w:t>
      </w:r>
      <w:r>
        <w:rPr>
          <w:spacing w:val="-1"/>
        </w:rPr>
        <w:t xml:space="preserve"> </w:t>
      </w:r>
      <w:r>
        <w:t>after the</w:t>
      </w:r>
      <w:r>
        <w:rPr>
          <w:spacing w:val="-1"/>
        </w:rPr>
        <w:t xml:space="preserve"> </w:t>
      </w:r>
      <w:r>
        <w:t>placebo</w:t>
      </w:r>
      <w:r>
        <w:rPr>
          <w:spacing w:val="2"/>
        </w:rPr>
        <w:t xml:space="preserve"> </w:t>
      </w:r>
      <w:r>
        <w:t>(</w:t>
      </w:r>
      <w:hyperlink w:anchor="_bookmark1" w:history="1">
        <w:r>
          <w:t>Figure</w:t>
        </w:r>
        <w:r>
          <w:rPr>
            <w:spacing w:val="-1"/>
          </w:rPr>
          <w:t xml:space="preserve"> </w:t>
        </w:r>
        <w:r>
          <w:t>1</w:t>
        </w:r>
      </w:hyperlink>
      <w:r>
        <w:t>).</w:t>
      </w:r>
    </w:p>
    <w:p w14:paraId="593C5F57" w14:textId="77777777" w:rsidR="00E80455" w:rsidRDefault="000B3179" w:rsidP="00CC3D64">
      <w:pPr>
        <w:spacing w:after="240"/>
        <w:ind w:left="2610" w:right="296" w:hanging="2400"/>
        <w:rPr>
          <w:b/>
          <w:sz w:val="20"/>
        </w:rPr>
      </w:pPr>
      <w:bookmarkStart w:id="50" w:name="_bookmark1"/>
      <w:bookmarkEnd w:id="50"/>
      <w:r>
        <w:rPr>
          <w:b/>
          <w:sz w:val="20"/>
        </w:rPr>
        <w:t>Figure 1 - Time to onset of syncopal symptoms or near-syncope after initiation of the tilt-table test after</w:t>
      </w:r>
      <w:r>
        <w:rPr>
          <w:b/>
          <w:spacing w:val="-47"/>
          <w:sz w:val="20"/>
        </w:rPr>
        <w:t xml:space="preserve"> </w:t>
      </w:r>
      <w:r>
        <w:rPr>
          <w:b/>
          <w:sz w:val="20"/>
        </w:rPr>
        <w:t>placebo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and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midodrine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treatment</w:t>
      </w:r>
      <w:r>
        <w:rPr>
          <w:b/>
          <w:spacing w:val="5"/>
          <w:sz w:val="20"/>
        </w:rPr>
        <w:t xml:space="preserve"> </w:t>
      </w:r>
      <w:r>
        <w:rPr>
          <w:b/>
          <w:sz w:val="20"/>
        </w:rPr>
        <w:t>(Smith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2016)</w:t>
      </w:r>
    </w:p>
    <w:p w14:paraId="5EE39D96" w14:textId="77777777" w:rsidR="00CC3D64" w:rsidRDefault="000B3179" w:rsidP="00CC3D64">
      <w:pPr>
        <w:pStyle w:val="BodyText"/>
        <w:spacing w:before="240" w:after="240"/>
        <w:rPr>
          <w:b/>
          <w:spacing w:val="-59"/>
        </w:rPr>
      </w:pPr>
      <w:r>
        <w:rPr>
          <w:noProof/>
        </w:rPr>
        <w:drawing>
          <wp:anchor distT="0" distB="0" distL="0" distR="0" simplePos="0" relativeHeight="3" behindDoc="0" locked="0" layoutInCell="1" allowOverlap="1" wp14:anchorId="3607AF31" wp14:editId="5FD8C2D7">
            <wp:simplePos x="0" y="0"/>
            <wp:positionH relativeFrom="page">
              <wp:posOffset>2209567</wp:posOffset>
            </wp:positionH>
            <wp:positionV relativeFrom="paragraph">
              <wp:posOffset>158632</wp:posOffset>
            </wp:positionV>
            <wp:extent cx="3338287" cy="2615183"/>
            <wp:effectExtent l="0" t="0" r="0" b="0"/>
            <wp:wrapTopAndBottom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338287" cy="261518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bookmarkStart w:id="51" w:name="5.2_PHARMACOKINETIC_PROPERTIES"/>
      <w:bookmarkEnd w:id="51"/>
      <w:r>
        <w:rPr>
          <w:b/>
        </w:rPr>
        <w:t>PHARMACOKINETIC PROPERTIES</w:t>
      </w:r>
      <w:r>
        <w:rPr>
          <w:b/>
          <w:spacing w:val="-59"/>
        </w:rPr>
        <w:t xml:space="preserve"> </w:t>
      </w:r>
      <w:bookmarkStart w:id="52" w:name="Absorption"/>
      <w:bookmarkEnd w:id="52"/>
    </w:p>
    <w:p w14:paraId="5216AEAD" w14:textId="78513823" w:rsidR="00E80455" w:rsidRDefault="000B3179" w:rsidP="00CC3D64">
      <w:pPr>
        <w:pStyle w:val="BodyText"/>
        <w:spacing w:before="240" w:after="240"/>
        <w:rPr>
          <w:b/>
        </w:rPr>
      </w:pPr>
      <w:r>
        <w:rPr>
          <w:b/>
        </w:rPr>
        <w:t>Absorption</w:t>
      </w:r>
    </w:p>
    <w:p w14:paraId="3E6437EB" w14:textId="77777777" w:rsidR="00E80455" w:rsidRDefault="000B3179" w:rsidP="00CC3D64">
      <w:pPr>
        <w:pStyle w:val="BodyText"/>
        <w:spacing w:after="240"/>
        <w:ind w:left="100" w:right="505"/>
      </w:pPr>
      <w:r>
        <w:t>The oral absorption of midodrine is facilitated by the intestinal coupled peptide transporter</w:t>
      </w:r>
      <w:r>
        <w:rPr>
          <w:spacing w:val="-57"/>
        </w:rPr>
        <w:t xml:space="preserve"> </w:t>
      </w:r>
      <w:r>
        <w:t>(PEPT1).</w:t>
      </w:r>
    </w:p>
    <w:p w14:paraId="21DC73F6" w14:textId="77777777" w:rsidR="00E80455" w:rsidRDefault="000B3179" w:rsidP="00CC3D64">
      <w:pPr>
        <w:pStyle w:val="BodyText"/>
        <w:spacing w:after="240"/>
        <w:ind w:left="100" w:right="377"/>
      </w:pPr>
      <w:r>
        <w:t>After</w:t>
      </w:r>
      <w:r>
        <w:rPr>
          <w:spacing w:val="-4"/>
        </w:rPr>
        <w:t xml:space="preserve"> </w:t>
      </w:r>
      <w:r>
        <w:t>oral</w:t>
      </w:r>
      <w:r>
        <w:rPr>
          <w:spacing w:val="-2"/>
        </w:rPr>
        <w:t xml:space="preserve"> </w:t>
      </w:r>
      <w:r>
        <w:t>administration,</w:t>
      </w:r>
      <w:r>
        <w:rPr>
          <w:spacing w:val="-1"/>
        </w:rPr>
        <w:t xml:space="preserve"> </w:t>
      </w:r>
      <w:r>
        <w:t>midodrine</w:t>
      </w:r>
      <w:r>
        <w:rPr>
          <w:spacing w:val="-4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rapidly</w:t>
      </w:r>
      <w:r>
        <w:rPr>
          <w:spacing w:val="-1"/>
        </w:rPr>
        <w:t xml:space="preserve"> </w:t>
      </w:r>
      <w:r>
        <w:t>absorbed.</w:t>
      </w:r>
      <w:r>
        <w:rPr>
          <w:spacing w:val="-2"/>
        </w:rPr>
        <w:t xml:space="preserve"> </w:t>
      </w:r>
      <w:r>
        <w:t>Peak</w:t>
      </w:r>
      <w:r>
        <w:rPr>
          <w:spacing w:val="-2"/>
        </w:rPr>
        <w:t xml:space="preserve"> </w:t>
      </w:r>
      <w:r>
        <w:t>plasma concentrations</w:t>
      </w:r>
      <w:r>
        <w:rPr>
          <w:spacing w:val="-2"/>
        </w:rPr>
        <w:t xml:space="preserve"> </w:t>
      </w:r>
      <w:r>
        <w:t>are</w:t>
      </w:r>
      <w:r>
        <w:rPr>
          <w:spacing w:val="-57"/>
        </w:rPr>
        <w:t xml:space="preserve"> </w:t>
      </w:r>
      <w:r>
        <w:t>reached after approximately 30 minutes, and the plasma concentration of the active</w:t>
      </w:r>
      <w:r>
        <w:rPr>
          <w:spacing w:val="1"/>
        </w:rPr>
        <w:t xml:space="preserve"> </w:t>
      </w:r>
      <w:r>
        <w:t>metabolite,</w:t>
      </w:r>
      <w:r>
        <w:rPr>
          <w:spacing w:val="-1"/>
        </w:rPr>
        <w:t xml:space="preserve"> </w:t>
      </w:r>
      <w:proofErr w:type="spellStart"/>
      <w:r>
        <w:t>desglymidodrine</w:t>
      </w:r>
      <w:proofErr w:type="spellEnd"/>
      <w:r>
        <w:t>, peaks after</w:t>
      </w:r>
      <w:r>
        <w:rPr>
          <w:spacing w:val="-1"/>
        </w:rPr>
        <w:t xml:space="preserve"> </w:t>
      </w:r>
      <w:r>
        <w:t>approximately 1 hour.</w:t>
      </w:r>
    </w:p>
    <w:p w14:paraId="7EF5A3D2" w14:textId="77777777" w:rsidR="00E80455" w:rsidRDefault="000B3179" w:rsidP="00CC3D64">
      <w:pPr>
        <w:pStyle w:val="BodyText"/>
        <w:spacing w:after="240" w:line="237" w:lineRule="auto"/>
        <w:ind w:left="100" w:right="211"/>
      </w:pPr>
      <w:r>
        <w:rPr>
          <w:position w:val="2"/>
        </w:rPr>
        <w:t>AUC and C</w:t>
      </w:r>
      <w:r>
        <w:rPr>
          <w:sz w:val="16"/>
        </w:rPr>
        <w:t>max</w:t>
      </w:r>
      <w:r>
        <w:rPr>
          <w:spacing w:val="1"/>
          <w:sz w:val="16"/>
        </w:rPr>
        <w:t xml:space="preserve"> </w:t>
      </w:r>
      <w:r>
        <w:rPr>
          <w:position w:val="2"/>
        </w:rPr>
        <w:t>increase proportionally to the dose across a dosage range of 2.5 – 20 mg.</w:t>
      </w:r>
      <w:r>
        <w:rPr>
          <w:spacing w:val="1"/>
          <w:position w:val="2"/>
        </w:rPr>
        <w:t xml:space="preserve"> </w:t>
      </w:r>
      <w:r>
        <w:rPr>
          <w:position w:val="2"/>
        </w:rPr>
        <w:t>Administration with food increases the AUC by approximately 25%, and the C</w:t>
      </w:r>
      <w:r>
        <w:rPr>
          <w:sz w:val="16"/>
        </w:rPr>
        <w:t xml:space="preserve">max </w:t>
      </w:r>
      <w:r>
        <w:rPr>
          <w:position w:val="2"/>
        </w:rPr>
        <w:t>decreases</w:t>
      </w:r>
      <w:r>
        <w:rPr>
          <w:spacing w:val="-57"/>
          <w:position w:val="2"/>
        </w:rPr>
        <w:t xml:space="preserve"> </w:t>
      </w:r>
      <w:r>
        <w:t>by</w:t>
      </w:r>
      <w:r>
        <w:rPr>
          <w:spacing w:val="-1"/>
        </w:rPr>
        <w:t xml:space="preserve"> </w:t>
      </w:r>
      <w:r>
        <w:t>approximately 30%.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pharmacokinetics</w:t>
      </w:r>
      <w:r>
        <w:rPr>
          <w:spacing w:val="-1"/>
        </w:rPr>
        <w:t xml:space="preserve"> </w:t>
      </w:r>
      <w:r>
        <w:t>of</w:t>
      </w:r>
      <w:r>
        <w:rPr>
          <w:spacing w:val="-1"/>
        </w:rPr>
        <w:t xml:space="preserve"> </w:t>
      </w:r>
      <w:proofErr w:type="spellStart"/>
      <w:r>
        <w:t>desglymidodrine</w:t>
      </w:r>
      <w:proofErr w:type="spellEnd"/>
      <w:r>
        <w:rPr>
          <w:spacing w:val="-2"/>
        </w:rPr>
        <w:t xml:space="preserve"> </w:t>
      </w:r>
      <w:r>
        <w:t>are</w:t>
      </w:r>
      <w:r>
        <w:rPr>
          <w:spacing w:val="-2"/>
        </w:rPr>
        <w:t xml:space="preserve"> </w:t>
      </w:r>
      <w:r>
        <w:t>not</w:t>
      </w:r>
      <w:r>
        <w:rPr>
          <w:spacing w:val="-1"/>
        </w:rPr>
        <w:t xml:space="preserve"> </w:t>
      </w:r>
      <w:r>
        <w:t>affected.</w:t>
      </w:r>
    </w:p>
    <w:p w14:paraId="309ABC3B" w14:textId="77777777" w:rsidR="00E80455" w:rsidRDefault="00E80455">
      <w:pPr>
        <w:spacing w:line="237" w:lineRule="auto"/>
        <w:sectPr w:rsidR="00E80455" w:rsidSect="004E577B">
          <w:pgSz w:w="11910" w:h="16840"/>
          <w:pgMar w:top="1340" w:right="1240" w:bottom="920" w:left="1340" w:header="170" w:footer="729" w:gutter="0"/>
          <w:cols w:space="720"/>
          <w:docGrid w:linePitch="299"/>
        </w:sectPr>
      </w:pPr>
    </w:p>
    <w:p w14:paraId="3B33F089" w14:textId="77777777" w:rsidR="00E80455" w:rsidRDefault="000B3179" w:rsidP="00CC3D64">
      <w:pPr>
        <w:spacing w:before="83" w:after="240"/>
        <w:ind w:left="100"/>
        <w:rPr>
          <w:rFonts w:ascii="Arial"/>
          <w:b/>
        </w:rPr>
      </w:pPr>
      <w:bookmarkStart w:id="53" w:name="Distribution"/>
      <w:bookmarkEnd w:id="53"/>
      <w:r>
        <w:rPr>
          <w:rFonts w:ascii="Arial"/>
          <w:b/>
        </w:rPr>
        <w:lastRenderedPageBreak/>
        <w:t>Distribution</w:t>
      </w:r>
    </w:p>
    <w:p w14:paraId="4E1AC56C" w14:textId="77777777" w:rsidR="00E80455" w:rsidRDefault="000B3179" w:rsidP="00CC3D64">
      <w:pPr>
        <w:pStyle w:val="BodyText"/>
        <w:spacing w:after="240"/>
        <w:ind w:left="100" w:right="227"/>
      </w:pPr>
      <w:r>
        <w:t xml:space="preserve">Neither midodrine nor </w:t>
      </w:r>
      <w:proofErr w:type="spellStart"/>
      <w:r>
        <w:t>desgylmidodrine</w:t>
      </w:r>
      <w:proofErr w:type="spellEnd"/>
      <w:r>
        <w:t xml:space="preserve"> are bound</w:t>
      </w:r>
      <w:r>
        <w:rPr>
          <w:spacing w:val="1"/>
        </w:rPr>
        <w:t xml:space="preserve"> </w:t>
      </w:r>
      <w:r>
        <w:t>to</w:t>
      </w:r>
      <w:r>
        <w:rPr>
          <w:spacing w:val="1"/>
        </w:rPr>
        <w:t xml:space="preserve"> </w:t>
      </w:r>
      <w:r>
        <w:t>plasma proteins to any</w:t>
      </w:r>
      <w:r>
        <w:rPr>
          <w:spacing w:val="60"/>
        </w:rPr>
        <w:t xml:space="preserve"> </w:t>
      </w:r>
      <w:r>
        <w:t>significant</w:t>
      </w:r>
      <w:r>
        <w:rPr>
          <w:spacing w:val="1"/>
        </w:rPr>
        <w:t xml:space="preserve"> </w:t>
      </w:r>
      <w:r>
        <w:t>extent</w:t>
      </w:r>
      <w:r>
        <w:rPr>
          <w:spacing w:val="1"/>
        </w:rPr>
        <w:t xml:space="preserve"> </w:t>
      </w:r>
      <w:r>
        <w:t>(less</w:t>
      </w:r>
      <w:r>
        <w:rPr>
          <w:spacing w:val="1"/>
        </w:rPr>
        <w:t xml:space="preserve"> </w:t>
      </w:r>
      <w:r>
        <w:t>than 30%).</w:t>
      </w:r>
      <w:r>
        <w:rPr>
          <w:spacing w:val="1"/>
        </w:rPr>
        <w:t xml:space="preserve"> </w:t>
      </w:r>
      <w:proofErr w:type="spellStart"/>
      <w:r>
        <w:t>Desglymidodrine</w:t>
      </w:r>
      <w:proofErr w:type="spellEnd"/>
      <w:r>
        <w:t xml:space="preserve"> diffuses poorly across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blood-brain barrier.</w:t>
      </w:r>
      <w:r>
        <w:rPr>
          <w:spacing w:val="1"/>
        </w:rPr>
        <w:t xml:space="preserve"> </w:t>
      </w:r>
      <w:r>
        <w:t>Diffusion across the</w:t>
      </w:r>
      <w:r>
        <w:rPr>
          <w:spacing w:val="1"/>
        </w:rPr>
        <w:t xml:space="preserve"> </w:t>
      </w:r>
      <w:r>
        <w:t>placenta has been reported. It is not known whether this drug is excreted</w:t>
      </w:r>
      <w:r>
        <w:rPr>
          <w:spacing w:val="-57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human</w:t>
      </w:r>
      <w:r>
        <w:rPr>
          <w:spacing w:val="-2"/>
        </w:rPr>
        <w:t xml:space="preserve"> </w:t>
      </w:r>
      <w:r>
        <w:t>milk.</w:t>
      </w:r>
    </w:p>
    <w:p w14:paraId="559E3A1E" w14:textId="77777777" w:rsidR="00E80455" w:rsidRDefault="000B3179" w:rsidP="00CC3D64">
      <w:pPr>
        <w:spacing w:after="240"/>
        <w:ind w:left="100"/>
        <w:rPr>
          <w:rFonts w:ascii="Arial"/>
          <w:b/>
        </w:rPr>
      </w:pPr>
      <w:bookmarkStart w:id="54" w:name="Metabolism"/>
      <w:bookmarkEnd w:id="54"/>
      <w:r>
        <w:rPr>
          <w:rFonts w:ascii="Arial"/>
          <w:b/>
        </w:rPr>
        <w:t>Metabolism</w:t>
      </w:r>
    </w:p>
    <w:p w14:paraId="5348E9B2" w14:textId="77777777" w:rsidR="00E80455" w:rsidRDefault="000B3179" w:rsidP="00CC3D64">
      <w:pPr>
        <w:pStyle w:val="BodyText"/>
        <w:spacing w:after="240"/>
        <w:ind w:left="100" w:right="692"/>
      </w:pPr>
      <w:r>
        <w:t>Midodrine is partially hydrolysed before absorption (in the intestines), and partially after</w:t>
      </w:r>
      <w:r>
        <w:rPr>
          <w:spacing w:val="-57"/>
        </w:rPr>
        <w:t xml:space="preserve"> </w:t>
      </w:r>
      <w:r>
        <w:t>absorption (in plasma) by the separation of glycine, herewith generating the active</w:t>
      </w:r>
      <w:r>
        <w:rPr>
          <w:spacing w:val="1"/>
        </w:rPr>
        <w:t xml:space="preserve"> </w:t>
      </w:r>
      <w:r>
        <w:rPr>
          <w:position w:val="2"/>
        </w:rPr>
        <w:t xml:space="preserve">metabolite, </w:t>
      </w:r>
      <w:proofErr w:type="spellStart"/>
      <w:r>
        <w:rPr>
          <w:position w:val="2"/>
        </w:rPr>
        <w:t>desglymidodrine</w:t>
      </w:r>
      <w:proofErr w:type="spellEnd"/>
      <w:r>
        <w:rPr>
          <w:position w:val="2"/>
        </w:rPr>
        <w:t>. The mean plasma C</w:t>
      </w:r>
      <w:r>
        <w:rPr>
          <w:sz w:val="16"/>
        </w:rPr>
        <w:t>max</w:t>
      </w:r>
      <w:r>
        <w:rPr>
          <w:spacing w:val="1"/>
          <w:sz w:val="16"/>
        </w:rPr>
        <w:t xml:space="preserve"> </w:t>
      </w:r>
      <w:r>
        <w:rPr>
          <w:position w:val="2"/>
        </w:rPr>
        <w:t xml:space="preserve">of </w:t>
      </w:r>
      <w:proofErr w:type="spellStart"/>
      <w:r>
        <w:rPr>
          <w:position w:val="2"/>
        </w:rPr>
        <w:t>desglymidodrine</w:t>
      </w:r>
      <w:proofErr w:type="spellEnd"/>
      <w:r>
        <w:rPr>
          <w:position w:val="2"/>
        </w:rPr>
        <w:t>, peaks in</w:t>
      </w:r>
      <w:r>
        <w:rPr>
          <w:spacing w:val="1"/>
          <w:position w:val="2"/>
        </w:rPr>
        <w:t xml:space="preserve"> </w:t>
      </w:r>
      <w:r>
        <w:t>approximately 1 hour, with a plasma half-life of approximately 3 hours after the oral</w:t>
      </w:r>
      <w:r>
        <w:rPr>
          <w:spacing w:val="1"/>
        </w:rPr>
        <w:t xml:space="preserve"> </w:t>
      </w:r>
      <w:r>
        <w:t xml:space="preserve">administration. The elimination of </w:t>
      </w:r>
      <w:proofErr w:type="spellStart"/>
      <w:r>
        <w:t>desglymidodrine</w:t>
      </w:r>
      <w:proofErr w:type="spellEnd"/>
      <w:r>
        <w:t xml:space="preserve"> is primarily caused by an oxidating</w:t>
      </w:r>
      <w:r>
        <w:rPr>
          <w:spacing w:val="1"/>
        </w:rPr>
        <w:t xml:space="preserve"> </w:t>
      </w:r>
      <w:r>
        <w:t>metabolism,</w:t>
      </w:r>
      <w:r>
        <w:rPr>
          <w:spacing w:val="-2"/>
        </w:rPr>
        <w:t xml:space="preserve"> </w:t>
      </w:r>
      <w:r>
        <w:t>followed by (partial) conjugation.</w:t>
      </w:r>
    </w:p>
    <w:p w14:paraId="6461D405" w14:textId="77777777" w:rsidR="00E80455" w:rsidRDefault="000B3179" w:rsidP="00CC3D64">
      <w:pPr>
        <w:spacing w:after="240"/>
        <w:ind w:left="100"/>
        <w:rPr>
          <w:rFonts w:ascii="Arial"/>
          <w:b/>
        </w:rPr>
      </w:pPr>
      <w:bookmarkStart w:id="55" w:name="Excretion"/>
      <w:bookmarkEnd w:id="55"/>
      <w:r>
        <w:rPr>
          <w:rFonts w:ascii="Arial"/>
          <w:b/>
        </w:rPr>
        <w:t>Excretion</w:t>
      </w:r>
    </w:p>
    <w:p w14:paraId="2A3CC669" w14:textId="77777777" w:rsidR="00E80455" w:rsidRDefault="000B3179" w:rsidP="00CC3D64">
      <w:pPr>
        <w:pStyle w:val="BodyText"/>
        <w:spacing w:after="240"/>
        <w:ind w:left="100" w:right="298"/>
      </w:pPr>
      <w:r>
        <w:t xml:space="preserve">Midodrine (8%), </w:t>
      </w:r>
      <w:proofErr w:type="spellStart"/>
      <w:r>
        <w:t>desglymidodrine</w:t>
      </w:r>
      <w:proofErr w:type="spellEnd"/>
      <w:r>
        <w:t xml:space="preserve"> (40%), and their degradation products (55%) are excreted</w:t>
      </w:r>
      <w:r>
        <w:rPr>
          <w:spacing w:val="-57"/>
        </w:rPr>
        <w:t xml:space="preserve"> </w:t>
      </w:r>
      <w:r>
        <w:t>in the urine by more than 90% within 24 hours in conjugated or non-conjugated forms. The</w:t>
      </w:r>
      <w:r>
        <w:rPr>
          <w:spacing w:val="1"/>
        </w:rPr>
        <w:t xml:space="preserve"> </w:t>
      </w:r>
      <w:r>
        <w:t>plasma elimination half-life for midodrine is approximately 30 minutes and is approximately</w:t>
      </w:r>
      <w:r>
        <w:rPr>
          <w:spacing w:val="-57"/>
        </w:rPr>
        <w:t xml:space="preserve"> </w:t>
      </w:r>
      <w:r>
        <w:t xml:space="preserve">3 hours for </w:t>
      </w:r>
      <w:proofErr w:type="spellStart"/>
      <w:r>
        <w:t>desglymidodrine</w:t>
      </w:r>
      <w:proofErr w:type="spellEnd"/>
      <w:r>
        <w:t xml:space="preserve">. Elimination of the active (-) enantiomer of </w:t>
      </w:r>
      <w:proofErr w:type="spellStart"/>
      <w:r>
        <w:t>desglymidodrine</w:t>
      </w:r>
      <w:proofErr w:type="spellEnd"/>
      <w:r>
        <w:t xml:space="preserve"> is</w:t>
      </w:r>
      <w:r>
        <w:rPr>
          <w:spacing w:val="1"/>
        </w:rPr>
        <w:t xml:space="preserve"> </w:t>
      </w:r>
      <w:r>
        <w:t>slower</w:t>
      </w:r>
      <w:r>
        <w:rPr>
          <w:spacing w:val="-1"/>
        </w:rPr>
        <w:t xml:space="preserve"> </w:t>
      </w:r>
      <w:r>
        <w:t>than the</w:t>
      </w:r>
      <w:r>
        <w:rPr>
          <w:spacing w:val="-1"/>
        </w:rPr>
        <w:t xml:space="preserve"> </w:t>
      </w:r>
      <w:r>
        <w:t>elimination of the</w:t>
      </w:r>
      <w:r>
        <w:rPr>
          <w:spacing w:val="-1"/>
        </w:rPr>
        <w:t xml:space="preserve"> </w:t>
      </w:r>
      <w:r>
        <w:t>inactive</w:t>
      </w:r>
      <w:r>
        <w:rPr>
          <w:spacing w:val="-1"/>
        </w:rPr>
        <w:t xml:space="preserve"> </w:t>
      </w:r>
      <w:r>
        <w:t>(+) enantiomer.</w:t>
      </w:r>
    </w:p>
    <w:p w14:paraId="789480AF" w14:textId="77777777" w:rsidR="00E80455" w:rsidRDefault="000B3179" w:rsidP="00CC3D64">
      <w:pPr>
        <w:pStyle w:val="ListParagraph"/>
        <w:numPr>
          <w:ilvl w:val="1"/>
          <w:numId w:val="4"/>
        </w:numPr>
        <w:tabs>
          <w:tab w:val="left" w:pos="779"/>
          <w:tab w:val="left" w:pos="780"/>
        </w:tabs>
        <w:spacing w:before="124" w:after="240" w:line="610" w:lineRule="atLeast"/>
        <w:ind w:left="100" w:right="5464" w:firstLine="0"/>
        <w:rPr>
          <w:b/>
        </w:rPr>
      </w:pPr>
      <w:bookmarkStart w:id="56" w:name="5.3_PRECLINICAL_SAFETY_DATA"/>
      <w:bookmarkEnd w:id="56"/>
      <w:r>
        <w:rPr>
          <w:b/>
        </w:rPr>
        <w:t>PRECLINICAL SAFETY DATA</w:t>
      </w:r>
      <w:r>
        <w:rPr>
          <w:b/>
          <w:spacing w:val="-59"/>
        </w:rPr>
        <w:t xml:space="preserve"> </w:t>
      </w:r>
      <w:bookmarkStart w:id="57" w:name="Genotoxicity"/>
      <w:bookmarkEnd w:id="57"/>
      <w:r>
        <w:rPr>
          <w:b/>
        </w:rPr>
        <w:t>Genotoxicity</w:t>
      </w:r>
    </w:p>
    <w:p w14:paraId="18CB06B2" w14:textId="77777777" w:rsidR="00E80455" w:rsidRDefault="000B3179" w:rsidP="00CC3D64">
      <w:pPr>
        <w:pStyle w:val="BodyText"/>
        <w:spacing w:after="240"/>
        <w:ind w:left="100" w:right="1308"/>
      </w:pPr>
      <w:r>
        <w:t>Studies</w:t>
      </w:r>
      <w:r>
        <w:rPr>
          <w:spacing w:val="-2"/>
        </w:rPr>
        <w:t xml:space="preserve"> </w:t>
      </w:r>
      <w:r>
        <w:t>investigating</w:t>
      </w:r>
      <w:r>
        <w:rPr>
          <w:spacing w:val="-1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genotoxic</w:t>
      </w:r>
      <w:r>
        <w:rPr>
          <w:spacing w:val="-2"/>
        </w:rPr>
        <w:t xml:space="preserve"> </w:t>
      </w:r>
      <w:r>
        <w:t>potential of</w:t>
      </w:r>
      <w:r>
        <w:rPr>
          <w:spacing w:val="-2"/>
        </w:rPr>
        <w:t xml:space="preserve"> </w:t>
      </w:r>
      <w:r>
        <w:t>midodrine</w:t>
      </w:r>
      <w:r>
        <w:rPr>
          <w:spacing w:val="-3"/>
        </w:rPr>
        <w:t xml:space="preserve"> </w:t>
      </w:r>
      <w:r>
        <w:t>revealed</w:t>
      </w:r>
      <w:r>
        <w:rPr>
          <w:spacing w:val="-1"/>
        </w:rPr>
        <w:t xml:space="preserve"> </w:t>
      </w:r>
      <w:r>
        <w:t>no evidence</w:t>
      </w:r>
      <w:r>
        <w:rPr>
          <w:spacing w:val="-1"/>
        </w:rPr>
        <w:t xml:space="preserve"> </w:t>
      </w:r>
      <w:r>
        <w:t>of</w:t>
      </w:r>
      <w:r>
        <w:rPr>
          <w:spacing w:val="-57"/>
        </w:rPr>
        <w:t xml:space="preserve"> </w:t>
      </w:r>
      <w:r>
        <w:t>genotoxicity.</w:t>
      </w:r>
    </w:p>
    <w:p w14:paraId="291922DA" w14:textId="77777777" w:rsidR="00E80455" w:rsidRDefault="000B3179" w:rsidP="00CC3D64">
      <w:pPr>
        <w:spacing w:after="240"/>
        <w:ind w:left="100"/>
        <w:rPr>
          <w:rFonts w:ascii="Arial"/>
          <w:b/>
        </w:rPr>
      </w:pPr>
      <w:bookmarkStart w:id="58" w:name="Carcinogenicity"/>
      <w:bookmarkEnd w:id="58"/>
      <w:r>
        <w:rPr>
          <w:rFonts w:ascii="Arial"/>
          <w:b/>
        </w:rPr>
        <w:t>Carcinogenicity</w:t>
      </w:r>
    </w:p>
    <w:p w14:paraId="6879A3FF" w14:textId="77777777" w:rsidR="00E80455" w:rsidRDefault="000B3179" w:rsidP="00CC3D64">
      <w:pPr>
        <w:pStyle w:val="BodyText"/>
        <w:spacing w:after="240"/>
        <w:ind w:left="100" w:right="473"/>
      </w:pPr>
      <w:r>
        <w:t>In carcinogenic trials in rats an increased tumour incidence in the testicular interstitial cells</w:t>
      </w:r>
      <w:r>
        <w:rPr>
          <w:spacing w:val="-57"/>
        </w:rPr>
        <w:t xml:space="preserve"> </w:t>
      </w:r>
      <w:r>
        <w:t>was</w:t>
      </w:r>
      <w:r>
        <w:rPr>
          <w:spacing w:val="-2"/>
        </w:rPr>
        <w:t xml:space="preserve"> </w:t>
      </w:r>
      <w:r>
        <w:t>observed; the</w:t>
      </w:r>
      <w:r>
        <w:rPr>
          <w:spacing w:val="-1"/>
        </w:rPr>
        <w:t xml:space="preserve"> </w:t>
      </w:r>
      <w:r>
        <w:t>relevance</w:t>
      </w:r>
      <w:r>
        <w:rPr>
          <w:spacing w:val="-1"/>
        </w:rPr>
        <w:t xml:space="preserve"> </w:t>
      </w:r>
      <w:r>
        <w:t>of this for</w:t>
      </w:r>
      <w:r>
        <w:rPr>
          <w:spacing w:val="-2"/>
        </w:rPr>
        <w:t xml:space="preserve"> </w:t>
      </w:r>
      <w:r>
        <w:t>humans is</w:t>
      </w:r>
      <w:r>
        <w:rPr>
          <w:spacing w:val="2"/>
        </w:rPr>
        <w:t xml:space="preserve"> </w:t>
      </w:r>
      <w:r>
        <w:t>however unclear.</w:t>
      </w:r>
    </w:p>
    <w:p w14:paraId="0802AA06" w14:textId="77777777" w:rsidR="00E80455" w:rsidRDefault="000B3179" w:rsidP="00CC3D64">
      <w:pPr>
        <w:pStyle w:val="BodyText"/>
        <w:spacing w:after="240"/>
        <w:ind w:left="100" w:right="965"/>
      </w:pPr>
      <w:r>
        <w:t>Long term studies have been conducted in rats and mice at dosages of 3 to 4 times the</w:t>
      </w:r>
      <w:r>
        <w:rPr>
          <w:spacing w:val="-57"/>
        </w:rPr>
        <w:t xml:space="preserve"> </w:t>
      </w:r>
      <w:r>
        <w:t>maximum recommended daily human dose on a mg/m</w:t>
      </w:r>
      <w:r>
        <w:rPr>
          <w:vertAlign w:val="superscript"/>
        </w:rPr>
        <w:t>2</w:t>
      </w:r>
      <w:r>
        <w:t xml:space="preserve"> basis, with no indication of</w:t>
      </w:r>
      <w:r>
        <w:rPr>
          <w:spacing w:val="1"/>
        </w:rPr>
        <w:t xml:space="preserve"> </w:t>
      </w:r>
      <w:r>
        <w:t>carcinogenic</w:t>
      </w:r>
      <w:r>
        <w:rPr>
          <w:spacing w:val="-1"/>
        </w:rPr>
        <w:t xml:space="preserve"> </w:t>
      </w:r>
      <w:r>
        <w:t>effects related to midodrine.</w:t>
      </w:r>
    </w:p>
    <w:p w14:paraId="0B6BCD73" w14:textId="77777777" w:rsidR="00E80455" w:rsidRDefault="000B3179" w:rsidP="00CC3D64">
      <w:pPr>
        <w:pStyle w:val="Heading1"/>
        <w:numPr>
          <w:ilvl w:val="0"/>
          <w:numId w:val="4"/>
        </w:numPr>
        <w:tabs>
          <w:tab w:val="left" w:pos="779"/>
          <w:tab w:val="left" w:pos="780"/>
        </w:tabs>
        <w:spacing w:after="240"/>
      </w:pPr>
      <w:bookmarkStart w:id="59" w:name="6_PHARMACEUTICAL_PARTICULARS"/>
      <w:bookmarkEnd w:id="59"/>
      <w:r>
        <w:t>PHARMACEUTICAL</w:t>
      </w:r>
      <w:r>
        <w:rPr>
          <w:spacing w:val="-19"/>
        </w:rPr>
        <w:t xml:space="preserve"> </w:t>
      </w:r>
      <w:r>
        <w:t>PARTICULARS</w:t>
      </w:r>
    </w:p>
    <w:p w14:paraId="661FE649" w14:textId="77777777" w:rsidR="00E80455" w:rsidRDefault="000B3179" w:rsidP="00CC3D64">
      <w:pPr>
        <w:pStyle w:val="ListParagraph"/>
        <w:numPr>
          <w:ilvl w:val="1"/>
          <w:numId w:val="4"/>
        </w:numPr>
        <w:tabs>
          <w:tab w:val="left" w:pos="779"/>
          <w:tab w:val="left" w:pos="780"/>
        </w:tabs>
        <w:spacing w:before="1" w:after="240" w:line="458" w:lineRule="auto"/>
        <w:ind w:left="100" w:right="6329" w:firstLine="0"/>
        <w:rPr>
          <w:rFonts w:ascii="Times New Roman"/>
          <w:sz w:val="24"/>
        </w:rPr>
      </w:pPr>
      <w:bookmarkStart w:id="60" w:name="6.1_LIST_OF_EXCIPIENTS"/>
      <w:bookmarkEnd w:id="60"/>
      <w:r>
        <w:rPr>
          <w:b/>
        </w:rPr>
        <w:t>LIST OF EXCIPIENTS</w:t>
      </w:r>
      <w:r>
        <w:rPr>
          <w:b/>
          <w:spacing w:val="-59"/>
        </w:rPr>
        <w:t xml:space="preserve"> </w:t>
      </w:r>
      <w:r>
        <w:rPr>
          <w:rFonts w:ascii="Times New Roman"/>
          <w:sz w:val="24"/>
        </w:rPr>
        <w:t>Microcrystalline cellulose</w:t>
      </w:r>
      <w:r>
        <w:rPr>
          <w:rFonts w:ascii="Times New Roman"/>
          <w:spacing w:val="1"/>
          <w:sz w:val="24"/>
        </w:rPr>
        <w:t xml:space="preserve"> </w:t>
      </w:r>
      <w:proofErr w:type="spellStart"/>
      <w:r>
        <w:rPr>
          <w:rFonts w:ascii="Times New Roman"/>
          <w:sz w:val="24"/>
        </w:rPr>
        <w:t>Pregelatinised</w:t>
      </w:r>
      <w:proofErr w:type="spellEnd"/>
      <w:r>
        <w:rPr>
          <w:rFonts w:ascii="Times New Roman"/>
          <w:spacing w:val="-2"/>
          <w:sz w:val="24"/>
        </w:rPr>
        <w:t xml:space="preserve"> </w:t>
      </w:r>
      <w:r>
        <w:rPr>
          <w:rFonts w:ascii="Times New Roman"/>
          <w:sz w:val="24"/>
        </w:rPr>
        <w:t>Maize</w:t>
      </w:r>
      <w:r>
        <w:rPr>
          <w:rFonts w:ascii="Times New Roman"/>
          <w:spacing w:val="-3"/>
          <w:sz w:val="24"/>
        </w:rPr>
        <w:t xml:space="preserve"> </w:t>
      </w:r>
      <w:r>
        <w:rPr>
          <w:rFonts w:ascii="Times New Roman"/>
          <w:sz w:val="24"/>
        </w:rPr>
        <w:t>Starch</w:t>
      </w:r>
    </w:p>
    <w:p w14:paraId="70D26997" w14:textId="77777777" w:rsidR="00E80455" w:rsidRDefault="00E80455">
      <w:pPr>
        <w:spacing w:line="458" w:lineRule="auto"/>
        <w:rPr>
          <w:sz w:val="24"/>
        </w:rPr>
        <w:sectPr w:rsidR="00E80455" w:rsidSect="004E577B">
          <w:pgSz w:w="11910" w:h="16840"/>
          <w:pgMar w:top="1340" w:right="1240" w:bottom="920" w:left="1340" w:header="170" w:footer="729" w:gutter="0"/>
          <w:cols w:space="720"/>
          <w:docGrid w:linePitch="299"/>
        </w:sectPr>
      </w:pPr>
    </w:p>
    <w:p w14:paraId="5329B559" w14:textId="77777777" w:rsidR="00E80455" w:rsidRDefault="000B3179">
      <w:pPr>
        <w:pStyle w:val="BodyText"/>
        <w:spacing w:before="82" w:line="448" w:lineRule="auto"/>
        <w:ind w:left="100" w:right="6390"/>
      </w:pPr>
      <w:r>
        <w:lastRenderedPageBreak/>
        <w:t>Magnesium Stearate</w:t>
      </w:r>
      <w:r>
        <w:rPr>
          <w:spacing w:val="1"/>
        </w:rPr>
        <w:t xml:space="preserve"> </w:t>
      </w:r>
      <w:r>
        <w:t>Colloidal</w:t>
      </w:r>
      <w:r>
        <w:rPr>
          <w:spacing w:val="-8"/>
        </w:rPr>
        <w:t xml:space="preserve"> </w:t>
      </w:r>
      <w:r>
        <w:t>anhydrous</w:t>
      </w:r>
      <w:r>
        <w:rPr>
          <w:spacing w:val="-7"/>
        </w:rPr>
        <w:t xml:space="preserve"> </w:t>
      </w:r>
      <w:r>
        <w:t>silica</w:t>
      </w:r>
    </w:p>
    <w:p w14:paraId="79B4E408" w14:textId="77777777" w:rsidR="00E80455" w:rsidRDefault="000B3179" w:rsidP="00CC3D64">
      <w:pPr>
        <w:pStyle w:val="ListParagraph"/>
        <w:numPr>
          <w:ilvl w:val="1"/>
          <w:numId w:val="4"/>
        </w:numPr>
        <w:tabs>
          <w:tab w:val="left" w:pos="779"/>
          <w:tab w:val="left" w:pos="780"/>
        </w:tabs>
        <w:spacing w:before="0" w:after="240"/>
        <w:rPr>
          <w:b/>
        </w:rPr>
      </w:pPr>
      <w:bookmarkStart w:id="61" w:name="6.2_INCOMPATIBILITIES"/>
      <w:bookmarkEnd w:id="61"/>
      <w:r>
        <w:rPr>
          <w:b/>
        </w:rPr>
        <w:t>INCOMPATIBILITIES</w:t>
      </w:r>
    </w:p>
    <w:p w14:paraId="3F6385A9" w14:textId="77777777" w:rsidR="00E80455" w:rsidRDefault="000B3179" w:rsidP="00CC3D64">
      <w:pPr>
        <w:pStyle w:val="BodyText"/>
        <w:spacing w:after="240"/>
        <w:ind w:left="100"/>
      </w:pPr>
      <w:r>
        <w:t>Not</w:t>
      </w:r>
      <w:r>
        <w:rPr>
          <w:spacing w:val="-4"/>
        </w:rPr>
        <w:t xml:space="preserve"> </w:t>
      </w:r>
      <w:r>
        <w:t>applicable.</w:t>
      </w:r>
    </w:p>
    <w:p w14:paraId="1CFC29B4" w14:textId="77777777" w:rsidR="00E80455" w:rsidRDefault="000B3179" w:rsidP="00CC3D64">
      <w:pPr>
        <w:pStyle w:val="ListParagraph"/>
        <w:numPr>
          <w:ilvl w:val="1"/>
          <w:numId w:val="4"/>
        </w:numPr>
        <w:tabs>
          <w:tab w:val="left" w:pos="779"/>
          <w:tab w:val="left" w:pos="780"/>
        </w:tabs>
        <w:spacing w:before="182" w:after="240"/>
        <w:rPr>
          <w:b/>
        </w:rPr>
      </w:pPr>
      <w:bookmarkStart w:id="62" w:name="6.3_SHELF_LIFE"/>
      <w:bookmarkEnd w:id="62"/>
      <w:r>
        <w:rPr>
          <w:b/>
        </w:rPr>
        <w:t>SHELF LIFE</w:t>
      </w:r>
    </w:p>
    <w:p w14:paraId="609A1539" w14:textId="77777777" w:rsidR="00E80455" w:rsidRDefault="000B3179" w:rsidP="00CC3D64">
      <w:pPr>
        <w:pStyle w:val="BodyText"/>
        <w:spacing w:after="240"/>
        <w:ind w:left="100"/>
      </w:pPr>
      <w:r>
        <w:t>27 months</w:t>
      </w:r>
    </w:p>
    <w:p w14:paraId="65D5AB09" w14:textId="77777777" w:rsidR="00E80455" w:rsidRDefault="000B3179" w:rsidP="00CC3D64">
      <w:pPr>
        <w:pStyle w:val="ListParagraph"/>
        <w:numPr>
          <w:ilvl w:val="1"/>
          <w:numId w:val="4"/>
        </w:numPr>
        <w:tabs>
          <w:tab w:val="left" w:pos="779"/>
          <w:tab w:val="left" w:pos="780"/>
        </w:tabs>
        <w:spacing w:before="182" w:after="240"/>
        <w:rPr>
          <w:b/>
        </w:rPr>
      </w:pPr>
      <w:bookmarkStart w:id="63" w:name="6.4_SPECIAL_PRECAUTIONS_FOR_STORAGE"/>
      <w:bookmarkEnd w:id="63"/>
      <w:r>
        <w:rPr>
          <w:b/>
        </w:rPr>
        <w:t>SPECIAL</w:t>
      </w:r>
      <w:r>
        <w:rPr>
          <w:b/>
          <w:spacing w:val="-2"/>
        </w:rPr>
        <w:t xml:space="preserve"> </w:t>
      </w:r>
      <w:r>
        <w:rPr>
          <w:b/>
        </w:rPr>
        <w:t>PRECAUTIONS</w:t>
      </w:r>
      <w:r>
        <w:rPr>
          <w:b/>
          <w:spacing w:val="-2"/>
        </w:rPr>
        <w:t xml:space="preserve"> </w:t>
      </w:r>
      <w:r>
        <w:rPr>
          <w:b/>
        </w:rPr>
        <w:t>FOR</w:t>
      </w:r>
      <w:r>
        <w:rPr>
          <w:b/>
          <w:spacing w:val="-2"/>
        </w:rPr>
        <w:t xml:space="preserve"> </w:t>
      </w:r>
      <w:r>
        <w:rPr>
          <w:b/>
        </w:rPr>
        <w:t>STORAGE</w:t>
      </w:r>
    </w:p>
    <w:p w14:paraId="57688454" w14:textId="77777777" w:rsidR="00E80455" w:rsidRDefault="000B3179" w:rsidP="00CC3D64">
      <w:pPr>
        <w:pStyle w:val="BodyText"/>
        <w:spacing w:after="240"/>
        <w:ind w:left="100"/>
      </w:pPr>
      <w:r>
        <w:t>Store</w:t>
      </w:r>
      <w:r>
        <w:rPr>
          <w:spacing w:val="-3"/>
        </w:rPr>
        <w:t xml:space="preserve"> </w:t>
      </w:r>
      <w:r>
        <w:t>below</w:t>
      </w:r>
      <w:r>
        <w:rPr>
          <w:spacing w:val="-1"/>
        </w:rPr>
        <w:t xml:space="preserve"> </w:t>
      </w:r>
      <w:r>
        <w:t>25°C.</w:t>
      </w:r>
    </w:p>
    <w:p w14:paraId="0364473D" w14:textId="77777777" w:rsidR="00E80455" w:rsidRDefault="000B3179" w:rsidP="00CC3D64">
      <w:pPr>
        <w:pStyle w:val="ListParagraph"/>
        <w:numPr>
          <w:ilvl w:val="1"/>
          <w:numId w:val="4"/>
        </w:numPr>
        <w:tabs>
          <w:tab w:val="left" w:pos="779"/>
          <w:tab w:val="left" w:pos="780"/>
        </w:tabs>
        <w:spacing w:before="182" w:after="240"/>
        <w:rPr>
          <w:b/>
        </w:rPr>
      </w:pPr>
      <w:bookmarkStart w:id="64" w:name="6.5_NATURE_AND_CONTENTS_OF_CONTAINER"/>
      <w:bookmarkEnd w:id="64"/>
      <w:r>
        <w:rPr>
          <w:b/>
        </w:rPr>
        <w:t>NATURE</w:t>
      </w:r>
      <w:r>
        <w:rPr>
          <w:b/>
          <w:spacing w:val="-3"/>
        </w:rPr>
        <w:t xml:space="preserve"> </w:t>
      </w:r>
      <w:r>
        <w:rPr>
          <w:b/>
        </w:rPr>
        <w:t>AND</w:t>
      </w:r>
      <w:r>
        <w:rPr>
          <w:b/>
          <w:spacing w:val="-3"/>
        </w:rPr>
        <w:t xml:space="preserve"> </w:t>
      </w:r>
      <w:r>
        <w:rPr>
          <w:b/>
        </w:rPr>
        <w:t>CONTENTS</w:t>
      </w:r>
      <w:r>
        <w:rPr>
          <w:b/>
          <w:spacing w:val="-5"/>
        </w:rPr>
        <w:t xml:space="preserve"> </w:t>
      </w:r>
      <w:r>
        <w:rPr>
          <w:b/>
        </w:rPr>
        <w:t>OF</w:t>
      </w:r>
      <w:r>
        <w:rPr>
          <w:b/>
          <w:spacing w:val="-4"/>
        </w:rPr>
        <w:t xml:space="preserve"> </w:t>
      </w:r>
      <w:r>
        <w:rPr>
          <w:b/>
        </w:rPr>
        <w:t>CONTAINER</w:t>
      </w:r>
    </w:p>
    <w:p w14:paraId="5C196DE5" w14:textId="77777777" w:rsidR="00E80455" w:rsidRDefault="000B3179" w:rsidP="00CC3D64">
      <w:pPr>
        <w:pStyle w:val="BodyText"/>
        <w:spacing w:after="240"/>
        <w:ind w:left="100"/>
      </w:pPr>
      <w:r>
        <w:rPr>
          <w:spacing w:val="-2"/>
        </w:rPr>
        <w:t>PVC-PVDC/Aluminium</w:t>
      </w:r>
      <w:r>
        <w:rPr>
          <w:spacing w:val="14"/>
        </w:rPr>
        <w:t xml:space="preserve"> </w:t>
      </w:r>
      <w:r>
        <w:rPr>
          <w:spacing w:val="-1"/>
        </w:rPr>
        <w:t>foil</w:t>
      </w:r>
      <w:r>
        <w:rPr>
          <w:spacing w:val="7"/>
        </w:rPr>
        <w:t xml:space="preserve"> </w:t>
      </w:r>
      <w:r>
        <w:rPr>
          <w:spacing w:val="-1"/>
        </w:rPr>
        <w:t>blister.</w:t>
      </w:r>
    </w:p>
    <w:p w14:paraId="63306204" w14:textId="77777777" w:rsidR="00E80455" w:rsidRDefault="000B3179" w:rsidP="00CC3D64">
      <w:pPr>
        <w:pStyle w:val="BodyText"/>
        <w:spacing w:after="240" w:line="448" w:lineRule="auto"/>
        <w:ind w:left="100" w:right="4749"/>
      </w:pPr>
      <w:r>
        <w:rPr>
          <w:spacing w:val="-2"/>
        </w:rPr>
        <w:t>2.5</w:t>
      </w:r>
      <w:r>
        <w:rPr>
          <w:spacing w:val="-10"/>
        </w:rPr>
        <w:t xml:space="preserve"> </w:t>
      </w:r>
      <w:r>
        <w:rPr>
          <w:spacing w:val="-2"/>
        </w:rPr>
        <w:t>mg:</w:t>
      </w:r>
      <w:r>
        <w:rPr>
          <w:spacing w:val="10"/>
        </w:rPr>
        <w:t xml:space="preserve"> </w:t>
      </w:r>
      <w:r>
        <w:rPr>
          <w:spacing w:val="-1"/>
        </w:rPr>
        <w:t>Packs</w:t>
      </w:r>
      <w:r>
        <w:rPr>
          <w:spacing w:val="-14"/>
        </w:rPr>
        <w:t xml:space="preserve"> </w:t>
      </w:r>
      <w:r>
        <w:rPr>
          <w:spacing w:val="-1"/>
        </w:rPr>
        <w:t>of</w:t>
      </w:r>
      <w:r>
        <w:rPr>
          <w:spacing w:val="-3"/>
        </w:rPr>
        <w:t xml:space="preserve"> </w:t>
      </w:r>
      <w:r>
        <w:rPr>
          <w:spacing w:val="-1"/>
        </w:rPr>
        <w:t>tablets</w:t>
      </w:r>
      <w:r>
        <w:rPr>
          <w:spacing w:val="11"/>
        </w:rPr>
        <w:t xml:space="preserve"> </w:t>
      </w:r>
      <w:r>
        <w:rPr>
          <w:spacing w:val="-1"/>
        </w:rPr>
        <w:t>60,</w:t>
      </w:r>
      <w:r>
        <w:rPr>
          <w:spacing w:val="-10"/>
        </w:rPr>
        <w:t xml:space="preserve"> </w:t>
      </w:r>
      <w:r>
        <w:rPr>
          <w:spacing w:val="-1"/>
        </w:rPr>
        <w:t>90</w:t>
      </w:r>
      <w:r>
        <w:rPr>
          <w:spacing w:val="3"/>
        </w:rPr>
        <w:t xml:space="preserve"> </w:t>
      </w:r>
      <w:r>
        <w:rPr>
          <w:spacing w:val="-1"/>
        </w:rPr>
        <w:t>and</w:t>
      </w:r>
      <w:r>
        <w:rPr>
          <w:spacing w:val="-4"/>
        </w:rPr>
        <w:t xml:space="preserve"> </w:t>
      </w:r>
      <w:r>
        <w:rPr>
          <w:spacing w:val="-1"/>
        </w:rPr>
        <w:t>500</w:t>
      </w:r>
      <w:r>
        <w:rPr>
          <w:spacing w:val="-10"/>
        </w:rPr>
        <w:t xml:space="preserve"> </w:t>
      </w:r>
      <w:r>
        <w:rPr>
          <w:spacing w:val="-1"/>
        </w:rPr>
        <w:t>tablets.</w:t>
      </w:r>
      <w:r>
        <w:rPr>
          <w:spacing w:val="-57"/>
        </w:rPr>
        <w:t xml:space="preserve"> </w:t>
      </w:r>
      <w:r>
        <w:t>5 mg: Packs of tablets 60, 90 and 500 tablets.</w:t>
      </w:r>
      <w:r>
        <w:rPr>
          <w:spacing w:val="1"/>
        </w:rPr>
        <w:t xml:space="preserve"> </w:t>
      </w:r>
      <w:r>
        <w:t>Not</w:t>
      </w:r>
      <w:r>
        <w:rPr>
          <w:spacing w:val="-8"/>
        </w:rPr>
        <w:t xml:space="preserve"> </w:t>
      </w:r>
      <w:r>
        <w:t>all</w:t>
      </w:r>
      <w:r>
        <w:rPr>
          <w:spacing w:val="16"/>
        </w:rPr>
        <w:t xml:space="preserve"> </w:t>
      </w:r>
      <w:r>
        <w:t>pack</w:t>
      </w:r>
      <w:r>
        <w:rPr>
          <w:spacing w:val="-3"/>
        </w:rPr>
        <w:t xml:space="preserve"> </w:t>
      </w:r>
      <w:r>
        <w:t>sizes</w:t>
      </w:r>
      <w:r>
        <w:rPr>
          <w:spacing w:val="33"/>
        </w:rPr>
        <w:t xml:space="preserve"> </w:t>
      </w:r>
      <w:r>
        <w:t>may</w:t>
      </w:r>
      <w:r>
        <w:rPr>
          <w:spacing w:val="14"/>
        </w:rPr>
        <w:t xml:space="preserve"> </w:t>
      </w:r>
      <w:r>
        <w:t>be</w:t>
      </w:r>
      <w:r>
        <w:rPr>
          <w:spacing w:val="-7"/>
        </w:rPr>
        <w:t xml:space="preserve"> </w:t>
      </w:r>
      <w:r>
        <w:t>marketed.</w:t>
      </w:r>
    </w:p>
    <w:p w14:paraId="2A2970F5" w14:textId="77777777" w:rsidR="00E80455" w:rsidRDefault="000B3179" w:rsidP="00CC3D64">
      <w:pPr>
        <w:pStyle w:val="ListParagraph"/>
        <w:numPr>
          <w:ilvl w:val="1"/>
          <w:numId w:val="2"/>
        </w:numPr>
        <w:tabs>
          <w:tab w:val="left" w:pos="841"/>
          <w:tab w:val="left" w:pos="842"/>
        </w:tabs>
        <w:spacing w:before="0" w:after="240"/>
        <w:rPr>
          <w:b/>
        </w:rPr>
      </w:pPr>
      <w:bookmarkStart w:id="65" w:name="6.6__SPECIAL_PRECAUTIONS_FOR_DISPOSAL"/>
      <w:bookmarkEnd w:id="65"/>
      <w:r>
        <w:rPr>
          <w:b/>
        </w:rPr>
        <w:t>SPECIAL</w:t>
      </w:r>
      <w:r>
        <w:rPr>
          <w:b/>
          <w:spacing w:val="-6"/>
        </w:rPr>
        <w:t xml:space="preserve"> </w:t>
      </w:r>
      <w:r>
        <w:rPr>
          <w:b/>
        </w:rPr>
        <w:t>PRECAUTIONS</w:t>
      </w:r>
      <w:r>
        <w:rPr>
          <w:b/>
          <w:spacing w:val="-4"/>
        </w:rPr>
        <w:t xml:space="preserve"> </w:t>
      </w:r>
      <w:r>
        <w:rPr>
          <w:b/>
        </w:rPr>
        <w:t>FOR</w:t>
      </w:r>
      <w:r>
        <w:rPr>
          <w:b/>
          <w:spacing w:val="-3"/>
        </w:rPr>
        <w:t xml:space="preserve"> </w:t>
      </w:r>
      <w:r>
        <w:rPr>
          <w:b/>
        </w:rPr>
        <w:t>DISPOSAL</w:t>
      </w:r>
    </w:p>
    <w:p w14:paraId="15F33C3E" w14:textId="77777777" w:rsidR="00E80455" w:rsidRDefault="000B3179" w:rsidP="00CC3D64">
      <w:pPr>
        <w:pStyle w:val="BodyText"/>
        <w:spacing w:after="240"/>
        <w:ind w:left="100" w:right="358"/>
      </w:pPr>
      <w:r>
        <w:t>In Australia, any unused medicine or waste material should be disposed of by taking to your</w:t>
      </w:r>
      <w:r>
        <w:rPr>
          <w:spacing w:val="-57"/>
        </w:rPr>
        <w:t xml:space="preserve"> </w:t>
      </w:r>
      <w:r>
        <w:t>local</w:t>
      </w:r>
      <w:r>
        <w:rPr>
          <w:spacing w:val="-1"/>
        </w:rPr>
        <w:t xml:space="preserve"> </w:t>
      </w:r>
      <w:r>
        <w:t>pharmacy.</w:t>
      </w:r>
    </w:p>
    <w:p w14:paraId="4C936AAD" w14:textId="77777777" w:rsidR="00E80455" w:rsidRDefault="000B3179" w:rsidP="00CC3D64">
      <w:pPr>
        <w:pStyle w:val="ListParagraph"/>
        <w:numPr>
          <w:ilvl w:val="1"/>
          <w:numId w:val="2"/>
        </w:numPr>
        <w:tabs>
          <w:tab w:val="left" w:pos="779"/>
          <w:tab w:val="left" w:pos="780"/>
        </w:tabs>
        <w:spacing w:before="182" w:after="240" w:line="580" w:lineRule="auto"/>
        <w:ind w:left="100" w:right="4913" w:firstLine="0"/>
        <w:rPr>
          <w:b/>
        </w:rPr>
      </w:pPr>
      <w:r>
        <w:pict w14:anchorId="19B79C5B">
          <v:shapetype id="_x0000_t202" coordsize="21600,21600" o:spt="202" path="m,l,21600r21600,l21600,xe">
            <v:stroke joinstyle="miter"/>
            <v:path gradientshapeok="t" o:connecttype="rect"/>
          </v:shapetype>
          <v:shape id="docshape7" o:spid="_x0000_s2050" type="#_x0000_t202" style="position:absolute;left:0;text-align:left;margin-left:1in;margin-top:52.25pt;width:226.95pt;height:115.8pt;z-index:-16291328;mso-position-horizontal-relative:page" filled="f" stroked="f">
            <v:textbox inset="0,0,0,0">
              <w:txbxContent>
                <w:p w14:paraId="63C58411" w14:textId="77777777" w:rsidR="000B3179" w:rsidRDefault="000B3179">
                  <w:pPr>
                    <w:pStyle w:val="BodyText"/>
                    <w:rPr>
                      <w:sz w:val="26"/>
                    </w:rPr>
                  </w:pPr>
                </w:p>
                <w:p w14:paraId="2B686A33" w14:textId="77777777" w:rsidR="000B3179" w:rsidRDefault="000B3179">
                  <w:pPr>
                    <w:pStyle w:val="BodyText"/>
                    <w:rPr>
                      <w:sz w:val="26"/>
                    </w:rPr>
                  </w:pPr>
                </w:p>
                <w:p w14:paraId="5FBF0130" w14:textId="77777777" w:rsidR="000B3179" w:rsidRDefault="000B3179">
                  <w:pPr>
                    <w:pStyle w:val="BodyText"/>
                    <w:spacing w:before="160"/>
                  </w:pPr>
                  <w:r>
                    <w:t>CAS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t>Number</w:t>
                  </w:r>
                </w:p>
              </w:txbxContent>
            </v:textbox>
            <w10:wrap anchorx="page"/>
          </v:shape>
        </w:pict>
      </w:r>
      <w:r>
        <w:rPr>
          <w:noProof/>
        </w:rPr>
        <w:drawing>
          <wp:anchor distT="0" distB="0" distL="0" distR="0" simplePos="0" relativeHeight="15731200" behindDoc="0" locked="0" layoutInCell="1" allowOverlap="1" wp14:anchorId="33F61844" wp14:editId="030DADF1">
            <wp:simplePos x="0" y="0"/>
            <wp:positionH relativeFrom="page">
              <wp:posOffset>914400</wp:posOffset>
            </wp:positionH>
            <wp:positionV relativeFrom="paragraph">
              <wp:posOffset>663801</wp:posOffset>
            </wp:positionV>
            <wp:extent cx="2882265" cy="1470278"/>
            <wp:effectExtent l="0" t="0" r="0" b="0"/>
            <wp:wrapNone/>
            <wp:docPr id="3" name="image2.jpeg" descr="C:\Users\daniel.mobasseri\Desktop\Captur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jpe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82265" cy="147027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bookmarkStart w:id="66" w:name="6.7_PHYSICOCHEMICAL_PROPERTIES"/>
      <w:bookmarkEnd w:id="66"/>
      <w:r>
        <w:rPr>
          <w:b/>
        </w:rPr>
        <w:t>PHYSICOCHEMICAL PROPERTIES</w:t>
      </w:r>
      <w:r>
        <w:rPr>
          <w:b/>
          <w:spacing w:val="-59"/>
        </w:rPr>
        <w:t xml:space="preserve"> </w:t>
      </w:r>
      <w:bookmarkStart w:id="67" w:name="Chemical_structure"/>
      <w:bookmarkEnd w:id="67"/>
      <w:r>
        <w:rPr>
          <w:b/>
        </w:rPr>
        <w:t>Chemical</w:t>
      </w:r>
      <w:r>
        <w:rPr>
          <w:b/>
          <w:spacing w:val="-2"/>
        </w:rPr>
        <w:t xml:space="preserve"> </w:t>
      </w:r>
      <w:r>
        <w:rPr>
          <w:b/>
        </w:rPr>
        <w:t>structure</w:t>
      </w:r>
    </w:p>
    <w:p w14:paraId="4E704637" w14:textId="77777777" w:rsidR="00E80455" w:rsidRDefault="00E80455">
      <w:pPr>
        <w:pStyle w:val="BodyText"/>
        <w:rPr>
          <w:rFonts w:ascii="Arial"/>
          <w:b/>
        </w:rPr>
      </w:pPr>
    </w:p>
    <w:p w14:paraId="44427DE1" w14:textId="77777777" w:rsidR="00E80455" w:rsidRDefault="00E80455">
      <w:pPr>
        <w:pStyle w:val="BodyText"/>
        <w:rPr>
          <w:rFonts w:ascii="Arial"/>
          <w:b/>
        </w:rPr>
      </w:pPr>
    </w:p>
    <w:p w14:paraId="45E3E8AB" w14:textId="77777777" w:rsidR="00E80455" w:rsidRDefault="00E80455">
      <w:pPr>
        <w:pStyle w:val="BodyText"/>
        <w:rPr>
          <w:rFonts w:ascii="Arial"/>
          <w:b/>
        </w:rPr>
      </w:pPr>
    </w:p>
    <w:p w14:paraId="5361D058" w14:textId="77777777" w:rsidR="00E80455" w:rsidRDefault="00E80455">
      <w:pPr>
        <w:pStyle w:val="BodyText"/>
        <w:rPr>
          <w:rFonts w:ascii="Arial"/>
          <w:b/>
        </w:rPr>
      </w:pPr>
    </w:p>
    <w:p w14:paraId="6A82B335" w14:textId="77777777" w:rsidR="00E80455" w:rsidRDefault="00E80455">
      <w:pPr>
        <w:pStyle w:val="BodyText"/>
        <w:rPr>
          <w:rFonts w:ascii="Arial"/>
          <w:b/>
        </w:rPr>
      </w:pPr>
    </w:p>
    <w:p w14:paraId="3321E008" w14:textId="77777777" w:rsidR="00E80455" w:rsidRDefault="00E80455">
      <w:pPr>
        <w:pStyle w:val="BodyText"/>
        <w:rPr>
          <w:rFonts w:ascii="Arial"/>
          <w:b/>
        </w:rPr>
      </w:pPr>
    </w:p>
    <w:p w14:paraId="359C5C56" w14:textId="77777777" w:rsidR="00E80455" w:rsidRDefault="00E80455">
      <w:pPr>
        <w:pStyle w:val="BodyText"/>
        <w:spacing w:before="9"/>
        <w:rPr>
          <w:rFonts w:ascii="Arial"/>
          <w:b/>
          <w:sz w:val="35"/>
        </w:rPr>
      </w:pPr>
    </w:p>
    <w:p w14:paraId="4A8F2961" w14:textId="77777777" w:rsidR="00E80455" w:rsidRDefault="000B3179" w:rsidP="00CC3D64">
      <w:pPr>
        <w:spacing w:after="240"/>
        <w:ind w:left="100"/>
        <w:rPr>
          <w:rFonts w:ascii="Arial"/>
          <w:b/>
        </w:rPr>
      </w:pPr>
      <w:bookmarkStart w:id="68" w:name="CAS_number"/>
      <w:bookmarkEnd w:id="68"/>
      <w:r>
        <w:rPr>
          <w:rFonts w:ascii="Arial"/>
          <w:b/>
        </w:rPr>
        <w:t>CAS</w:t>
      </w:r>
      <w:r>
        <w:rPr>
          <w:rFonts w:ascii="Arial"/>
          <w:b/>
          <w:spacing w:val="-4"/>
        </w:rPr>
        <w:t xml:space="preserve"> </w:t>
      </w:r>
      <w:r>
        <w:rPr>
          <w:rFonts w:ascii="Arial"/>
          <w:b/>
        </w:rPr>
        <w:t>number</w:t>
      </w:r>
    </w:p>
    <w:p w14:paraId="5A54F6EC" w14:textId="77777777" w:rsidR="00E80455" w:rsidRDefault="000B3179" w:rsidP="00CC3D64">
      <w:pPr>
        <w:pStyle w:val="BodyText"/>
        <w:spacing w:after="240"/>
        <w:ind w:left="100"/>
      </w:pPr>
      <w:r>
        <w:t>43218-56-09</w:t>
      </w:r>
    </w:p>
    <w:p w14:paraId="0891B1E6" w14:textId="77777777" w:rsidR="00E80455" w:rsidRDefault="00E80455">
      <w:pPr>
        <w:sectPr w:rsidR="00E80455" w:rsidSect="004E577B">
          <w:pgSz w:w="11910" w:h="16840"/>
          <w:pgMar w:top="1340" w:right="1240" w:bottom="920" w:left="1340" w:header="170" w:footer="729" w:gutter="0"/>
          <w:cols w:space="720"/>
          <w:docGrid w:linePitch="299"/>
        </w:sectPr>
      </w:pPr>
    </w:p>
    <w:p w14:paraId="58628930" w14:textId="77777777" w:rsidR="00E80455" w:rsidRDefault="000B3179">
      <w:pPr>
        <w:pStyle w:val="Heading1"/>
        <w:numPr>
          <w:ilvl w:val="0"/>
          <w:numId w:val="1"/>
        </w:numPr>
        <w:tabs>
          <w:tab w:val="left" w:pos="779"/>
          <w:tab w:val="left" w:pos="780"/>
        </w:tabs>
        <w:spacing w:before="82"/>
      </w:pPr>
      <w:bookmarkStart w:id="69" w:name="7_MEDICINE_SCHEDULE_(POISONS_STANDARD)"/>
      <w:bookmarkEnd w:id="69"/>
      <w:r>
        <w:lastRenderedPageBreak/>
        <w:t>MEDICINE</w:t>
      </w:r>
      <w:r>
        <w:rPr>
          <w:spacing w:val="-7"/>
        </w:rPr>
        <w:t xml:space="preserve"> </w:t>
      </w:r>
      <w:r>
        <w:t>SCHEDULE</w:t>
      </w:r>
      <w:r>
        <w:rPr>
          <w:spacing w:val="-7"/>
        </w:rPr>
        <w:t xml:space="preserve"> </w:t>
      </w:r>
      <w:r>
        <w:t>(POISONS</w:t>
      </w:r>
      <w:r>
        <w:rPr>
          <w:spacing w:val="-7"/>
        </w:rPr>
        <w:t xml:space="preserve"> </w:t>
      </w:r>
      <w:r>
        <w:t>STANDARD)</w:t>
      </w:r>
    </w:p>
    <w:p w14:paraId="5735DEF6" w14:textId="77777777" w:rsidR="00E80455" w:rsidRDefault="000B3179" w:rsidP="00CC3D64">
      <w:pPr>
        <w:pStyle w:val="BodyText"/>
        <w:spacing w:before="240" w:after="240"/>
        <w:ind w:left="100"/>
      </w:pPr>
      <w:r>
        <w:t>Schedule</w:t>
      </w:r>
      <w:r>
        <w:rPr>
          <w:spacing w:val="-2"/>
        </w:rPr>
        <w:t xml:space="preserve"> </w:t>
      </w:r>
      <w:r>
        <w:t>4</w:t>
      </w:r>
      <w:r>
        <w:rPr>
          <w:spacing w:val="-2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t>Prescription</w:t>
      </w:r>
      <w:r>
        <w:rPr>
          <w:spacing w:val="-1"/>
        </w:rPr>
        <w:t xml:space="preserve"> </w:t>
      </w:r>
      <w:r>
        <w:t>Only</w:t>
      </w:r>
      <w:r>
        <w:rPr>
          <w:spacing w:val="-3"/>
        </w:rPr>
        <w:t xml:space="preserve"> </w:t>
      </w:r>
      <w:r>
        <w:t>Medicine</w:t>
      </w:r>
    </w:p>
    <w:p w14:paraId="3FBB9231" w14:textId="77777777" w:rsidR="00E80455" w:rsidRDefault="000B3179" w:rsidP="00CC3D64">
      <w:pPr>
        <w:pStyle w:val="Heading1"/>
        <w:numPr>
          <w:ilvl w:val="0"/>
          <w:numId w:val="1"/>
        </w:numPr>
        <w:tabs>
          <w:tab w:val="left" w:pos="779"/>
          <w:tab w:val="left" w:pos="780"/>
        </w:tabs>
        <w:spacing w:after="240"/>
      </w:pPr>
      <w:bookmarkStart w:id="70" w:name="8_SPONSOR"/>
      <w:bookmarkEnd w:id="70"/>
      <w:r>
        <w:t>SPONSOR</w:t>
      </w:r>
    </w:p>
    <w:p w14:paraId="6194CDFC" w14:textId="77777777" w:rsidR="00E80455" w:rsidRDefault="000B3179" w:rsidP="00CC3D64">
      <w:pPr>
        <w:pStyle w:val="BodyText"/>
        <w:spacing w:after="240"/>
        <w:ind w:left="100" w:right="6170"/>
      </w:pPr>
      <w:r>
        <w:t>Southern Cross Pharma Pty Ltd</w:t>
      </w:r>
      <w:r>
        <w:rPr>
          <w:spacing w:val="-57"/>
        </w:rPr>
        <w:t xml:space="preserve"> </w:t>
      </w:r>
      <w:r>
        <w:t>Suite 5/118 church Street</w:t>
      </w:r>
      <w:r>
        <w:rPr>
          <w:spacing w:val="1"/>
        </w:rPr>
        <w:t xml:space="preserve"> </w:t>
      </w:r>
      <w:r>
        <w:t>Hawthorn</w:t>
      </w:r>
      <w:r>
        <w:rPr>
          <w:spacing w:val="-1"/>
        </w:rPr>
        <w:t xml:space="preserve"> </w:t>
      </w:r>
      <w:r>
        <w:t>VIC</w:t>
      </w:r>
      <w:r>
        <w:rPr>
          <w:spacing w:val="-1"/>
        </w:rPr>
        <w:t xml:space="preserve"> </w:t>
      </w:r>
      <w:r>
        <w:t>3122</w:t>
      </w:r>
    </w:p>
    <w:p w14:paraId="6E142D73" w14:textId="77777777" w:rsidR="00E80455" w:rsidRDefault="000B3179" w:rsidP="00CC3D64">
      <w:pPr>
        <w:spacing w:after="240"/>
        <w:ind w:left="100"/>
        <w:rPr>
          <w:sz w:val="23"/>
        </w:rPr>
      </w:pPr>
      <w:r>
        <w:rPr>
          <w:sz w:val="24"/>
        </w:rPr>
        <w:t>e</w:t>
      </w:r>
      <w:r>
        <w:rPr>
          <w:sz w:val="23"/>
        </w:rPr>
        <w:t>mail:</w:t>
      </w:r>
      <w:r>
        <w:rPr>
          <w:spacing w:val="-4"/>
          <w:sz w:val="23"/>
        </w:rPr>
        <w:t xml:space="preserve"> </w:t>
      </w:r>
      <w:hyperlink r:id="rId13">
        <w:r>
          <w:rPr>
            <w:sz w:val="23"/>
          </w:rPr>
          <w:t>info@southernxp.com</w:t>
        </w:r>
      </w:hyperlink>
    </w:p>
    <w:p w14:paraId="576D9973" w14:textId="77777777" w:rsidR="00E80455" w:rsidRDefault="000B3179" w:rsidP="00CC3D64">
      <w:pPr>
        <w:pStyle w:val="Heading1"/>
        <w:numPr>
          <w:ilvl w:val="0"/>
          <w:numId w:val="1"/>
        </w:numPr>
        <w:tabs>
          <w:tab w:val="left" w:pos="779"/>
          <w:tab w:val="left" w:pos="780"/>
        </w:tabs>
        <w:spacing w:before="182" w:after="240"/>
      </w:pPr>
      <w:bookmarkStart w:id="71" w:name="9_DATE_OF_FIRST_APPROVAL"/>
      <w:bookmarkEnd w:id="71"/>
      <w:r>
        <w:t>DATE</w:t>
      </w:r>
      <w:r>
        <w:rPr>
          <w:spacing w:val="-5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FIRST</w:t>
      </w:r>
      <w:r>
        <w:rPr>
          <w:spacing w:val="-2"/>
        </w:rPr>
        <w:t xml:space="preserve"> </w:t>
      </w:r>
      <w:r>
        <w:t>APPROVAL</w:t>
      </w:r>
    </w:p>
    <w:p w14:paraId="22A4BC87" w14:textId="77777777" w:rsidR="00E80455" w:rsidRDefault="000B3179" w:rsidP="00CC3D64">
      <w:pPr>
        <w:pStyle w:val="BodyText"/>
        <w:spacing w:before="240" w:after="240"/>
        <w:ind w:left="100"/>
      </w:pPr>
      <w:r>
        <w:t>4</w:t>
      </w:r>
      <w:r>
        <w:rPr>
          <w:spacing w:val="-2"/>
        </w:rPr>
        <w:t xml:space="preserve"> </w:t>
      </w:r>
      <w:r>
        <w:t>December</w:t>
      </w:r>
      <w:r>
        <w:rPr>
          <w:spacing w:val="-1"/>
        </w:rPr>
        <w:t xml:space="preserve"> </w:t>
      </w:r>
      <w:r>
        <w:t>2019</w:t>
      </w:r>
    </w:p>
    <w:p w14:paraId="70B404CB" w14:textId="77777777" w:rsidR="00E80455" w:rsidRDefault="000B3179" w:rsidP="00CC3D64">
      <w:pPr>
        <w:pStyle w:val="Heading1"/>
        <w:numPr>
          <w:ilvl w:val="0"/>
          <w:numId w:val="1"/>
        </w:numPr>
        <w:tabs>
          <w:tab w:val="left" w:pos="779"/>
          <w:tab w:val="left" w:pos="780"/>
        </w:tabs>
        <w:spacing w:before="180" w:after="240"/>
      </w:pPr>
      <w:bookmarkStart w:id="72" w:name="10_DATE_OF_REVISION"/>
      <w:bookmarkEnd w:id="72"/>
      <w:r>
        <w:t>DATE</w:t>
      </w:r>
      <w:r>
        <w:rPr>
          <w:spacing w:val="-6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REVISION</w:t>
      </w:r>
    </w:p>
    <w:p w14:paraId="4528E126" w14:textId="77777777" w:rsidR="00E80455" w:rsidRDefault="000B3179" w:rsidP="00CC3D64">
      <w:pPr>
        <w:pStyle w:val="BodyText"/>
        <w:spacing w:before="240" w:after="240"/>
        <w:ind w:left="100"/>
      </w:pPr>
      <w:r>
        <w:t>Not</w:t>
      </w:r>
      <w:r>
        <w:rPr>
          <w:spacing w:val="-4"/>
        </w:rPr>
        <w:t xml:space="preserve"> </w:t>
      </w:r>
      <w:r>
        <w:t>applicable</w:t>
      </w:r>
    </w:p>
    <w:sectPr w:rsidR="00E80455" w:rsidSect="004E577B">
      <w:pgSz w:w="11910" w:h="16840"/>
      <w:pgMar w:top="1340" w:right="1240" w:bottom="920" w:left="1340" w:header="170" w:footer="729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A0840ED" w14:textId="77777777" w:rsidR="000B3179" w:rsidRDefault="000B3179">
      <w:r>
        <w:separator/>
      </w:r>
    </w:p>
  </w:endnote>
  <w:endnote w:type="continuationSeparator" w:id="0">
    <w:p w14:paraId="20EBF621" w14:textId="77777777" w:rsidR="000B3179" w:rsidRDefault="000B31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0DECC48" w14:textId="77777777" w:rsidR="000B3179" w:rsidRDefault="000B3179">
    <w:pPr>
      <w:pStyle w:val="BodyText"/>
      <w:spacing w:line="14" w:lineRule="auto"/>
      <w:rPr>
        <w:sz w:val="20"/>
      </w:rPr>
    </w:pPr>
    <w:r>
      <w:pict w14:anchorId="6FBDE9F6">
        <v:shapetype id="_x0000_t202" coordsize="21600,21600" o:spt="202" path="m,l,21600r21600,l21600,xe">
          <v:stroke joinstyle="miter"/>
          <v:path gradientshapeok="t" o:connecttype="rect"/>
        </v:shapetype>
        <v:shape id="docshape3" o:spid="_x0000_s1025" type="#_x0000_t202" style="position:absolute;margin-left:509.25pt;margin-top:794.45pt;width:18.05pt;height:13.15pt;z-index:-16292352;mso-position-horizontal-relative:page;mso-position-vertical-relative:page" filled="f" stroked="f">
          <v:textbox inset="0,0,0,0">
            <w:txbxContent>
              <w:p w14:paraId="7FBD33FF" w14:textId="77777777" w:rsidR="000B3179" w:rsidRDefault="000B3179">
                <w:pPr>
                  <w:spacing w:before="12"/>
                  <w:ind w:left="60"/>
                  <w:rPr>
                    <w:rFonts w:ascii="Arial"/>
                    <w:sz w:val="20"/>
                  </w:rPr>
                </w:pPr>
                <w:r>
                  <w:fldChar w:fldCharType="begin"/>
                </w:r>
                <w:r>
                  <w:rPr>
                    <w:rFonts w:ascii="Arial"/>
                    <w:sz w:val="20"/>
                  </w:rPr>
                  <w:instrText xml:space="preserve"> PAGE </w:instrText>
                </w:r>
                <w:r>
                  <w:fldChar w:fldCharType="separate"/>
                </w:r>
                <w:r>
                  <w:t>10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ED6A3BC" w14:textId="77777777" w:rsidR="000B3179" w:rsidRDefault="000B3179">
      <w:r>
        <w:separator/>
      </w:r>
    </w:p>
  </w:footnote>
  <w:footnote w:type="continuationSeparator" w:id="0">
    <w:p w14:paraId="77058F8E" w14:textId="77777777" w:rsidR="000B3179" w:rsidRDefault="000B317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TableGrid"/>
      <w:tblW w:w="0" w:type="auto"/>
      <w:tblInd w:w="254" w:type="dxa"/>
      <w:shd w:val="clear" w:color="auto" w:fill="E4F2E0"/>
      <w:tblLook w:val="04A0" w:firstRow="1" w:lastRow="0" w:firstColumn="1" w:lastColumn="0" w:noHBand="0" w:noVBand="1"/>
    </w:tblPr>
    <w:tblGrid>
      <w:gridCol w:w="8720"/>
    </w:tblGrid>
    <w:tr w:rsidR="000B3179" w14:paraId="74983CAE" w14:textId="77777777" w:rsidTr="00F14B37">
      <w:tc>
        <w:tcPr>
          <w:tcW w:w="8720" w:type="dxa"/>
          <w:shd w:val="clear" w:color="auto" w:fill="E4F2E0"/>
        </w:tcPr>
        <w:p w14:paraId="56E39A03" w14:textId="77777777" w:rsidR="000B3179" w:rsidRPr="008F2302" w:rsidRDefault="000B3179" w:rsidP="00F14B37">
          <w:pPr>
            <w:rPr>
              <w:sz w:val="18"/>
              <w:szCs w:val="18"/>
            </w:rPr>
          </w:pPr>
          <w:r w:rsidRPr="008F2302">
            <w:rPr>
              <w:b/>
              <w:sz w:val="18"/>
              <w:szCs w:val="18"/>
            </w:rPr>
            <w:t xml:space="preserve">Attachment 1: Product information for </w:t>
          </w:r>
          <w:proofErr w:type="spellStart"/>
          <w:r w:rsidRPr="008F2302">
            <w:rPr>
              <w:b/>
              <w:sz w:val="18"/>
              <w:szCs w:val="18"/>
            </w:rPr>
            <w:t>AusPAR</w:t>
          </w:r>
          <w:proofErr w:type="spellEnd"/>
          <w:r w:rsidRPr="008F2302">
            <w:rPr>
              <w:b/>
              <w:sz w:val="18"/>
              <w:szCs w:val="18"/>
            </w:rPr>
            <w:t xml:space="preserve"> - </w:t>
          </w:r>
          <w:proofErr w:type="spellStart"/>
          <w:r w:rsidRPr="008F2302">
            <w:rPr>
              <w:b/>
              <w:sz w:val="18"/>
              <w:szCs w:val="18"/>
            </w:rPr>
            <w:t>Vasodrine</w:t>
          </w:r>
          <w:proofErr w:type="spellEnd"/>
          <w:r w:rsidRPr="008F2302">
            <w:rPr>
              <w:b/>
              <w:sz w:val="18"/>
              <w:szCs w:val="18"/>
            </w:rPr>
            <w:t xml:space="preserve"> / Midodrine SCP / Midodrine ANS - Midodrine hydrochloride - Southern Cross Pharma Pty Ltd - PM-2018-02754-1-3 final 16 July 2021. This is the Product Information that was approved with the submission described in this </w:t>
          </w:r>
          <w:proofErr w:type="spellStart"/>
          <w:r w:rsidRPr="008F2302">
            <w:rPr>
              <w:b/>
              <w:sz w:val="18"/>
              <w:szCs w:val="18"/>
            </w:rPr>
            <w:t>AusPAR</w:t>
          </w:r>
          <w:proofErr w:type="spellEnd"/>
          <w:r w:rsidRPr="008F2302">
            <w:rPr>
              <w:b/>
              <w:sz w:val="18"/>
              <w:szCs w:val="18"/>
            </w:rPr>
            <w:t>. It may have been superseded. For the most recent PI, please refer to the TGA website at &lt;</w:t>
          </w:r>
          <w:hyperlink r:id="rId1" w:history="1">
            <w:r w:rsidRPr="008F2302">
              <w:rPr>
                <w:rStyle w:val="Hyperlink"/>
                <w:sz w:val="18"/>
                <w:szCs w:val="18"/>
              </w:rPr>
              <w:t>https://www.tga.gov.au/product-information-pi</w:t>
            </w:r>
          </w:hyperlink>
          <w:r w:rsidRPr="008F2302">
            <w:rPr>
              <w:rStyle w:val="Hyperlink"/>
              <w:i/>
              <w:iCs/>
              <w:color w:val="auto"/>
              <w:sz w:val="18"/>
              <w:szCs w:val="18"/>
              <w:u w:val="none"/>
            </w:rPr>
            <w:t>&gt;</w:t>
          </w:r>
        </w:p>
      </w:tc>
    </w:tr>
  </w:tbl>
  <w:p w14:paraId="29F87A99" w14:textId="0B96DCCA" w:rsidR="000B3179" w:rsidRDefault="000B3179">
    <w:pPr>
      <w:pStyle w:val="BodyText"/>
      <w:spacing w:line="14" w:lineRule="auto"/>
      <w:rPr>
        <w:sz w:val="20"/>
      </w:rPr>
    </w:pPr>
    <w:r>
      <w:pict w14:anchorId="2CA2770D">
        <v:shapetype id="_x0000_t202" coordsize="21600,21600" o:spt="202" path="m,l,21600r21600,l21600,xe">
          <v:stroke joinstyle="miter"/>
          <v:path gradientshapeok="t" o:connecttype="rect"/>
        </v:shapetype>
        <v:shape id="docshape2" o:spid="_x0000_s1026" type="#_x0000_t202" style="position:absolute;margin-left:74.35pt;margin-top:50.65pt;width:281.25pt;height:13.15pt;z-index:-16292864;mso-position-horizontal-relative:page;mso-position-vertical-relative:page" filled="f" stroked="f">
          <v:textbox inset="0,0,0,0">
            <w:txbxContent>
              <w:p w14:paraId="46F31FAB" w14:textId="77777777" w:rsidR="000B3179" w:rsidRDefault="000B3179">
                <w:pPr>
                  <w:spacing w:before="12"/>
                  <w:ind w:left="20"/>
                  <w:rPr>
                    <w:rFonts w:ascii="Arial" w:hAnsi="Arial"/>
                    <w:sz w:val="20"/>
                  </w:rPr>
                </w:pPr>
                <w:r>
                  <w:rPr>
                    <w:rFonts w:ascii="Arial" w:hAnsi="Arial"/>
                    <w:sz w:val="20"/>
                  </w:rPr>
                  <w:t>MIDODRINE</w:t>
                </w:r>
                <w:r>
                  <w:rPr>
                    <w:rFonts w:ascii="Arial" w:hAnsi="Arial"/>
                    <w:spacing w:val="-5"/>
                    <w:sz w:val="20"/>
                  </w:rPr>
                  <w:t xml:space="preserve"> </w:t>
                </w:r>
                <w:r>
                  <w:rPr>
                    <w:rFonts w:ascii="Arial" w:hAnsi="Arial"/>
                    <w:sz w:val="20"/>
                  </w:rPr>
                  <w:t>SCP</w:t>
                </w:r>
                <w:r>
                  <w:rPr>
                    <w:rFonts w:ascii="Arial" w:hAnsi="Arial"/>
                    <w:spacing w:val="-5"/>
                    <w:sz w:val="20"/>
                  </w:rPr>
                  <w:t xml:space="preserve"> </w:t>
                </w:r>
                <w:r>
                  <w:rPr>
                    <w:rFonts w:ascii="Arial" w:hAnsi="Arial"/>
                    <w:sz w:val="20"/>
                  </w:rPr>
                  <w:t>–</w:t>
                </w:r>
                <w:r>
                  <w:rPr>
                    <w:rFonts w:ascii="Arial" w:hAnsi="Arial"/>
                    <w:spacing w:val="-4"/>
                    <w:sz w:val="20"/>
                  </w:rPr>
                  <w:t xml:space="preserve"> </w:t>
                </w:r>
                <w:r>
                  <w:rPr>
                    <w:rFonts w:ascii="Arial" w:hAnsi="Arial"/>
                    <w:sz w:val="20"/>
                  </w:rPr>
                  <w:t>AUSTRALIAN</w:t>
                </w:r>
                <w:r>
                  <w:rPr>
                    <w:rFonts w:ascii="Arial" w:hAnsi="Arial"/>
                    <w:spacing w:val="-5"/>
                    <w:sz w:val="20"/>
                  </w:rPr>
                  <w:t xml:space="preserve"> </w:t>
                </w:r>
                <w:r>
                  <w:rPr>
                    <w:rFonts w:ascii="Arial" w:hAnsi="Arial"/>
                    <w:sz w:val="20"/>
                  </w:rPr>
                  <w:t>PRODUCT</w:t>
                </w:r>
                <w:r>
                  <w:rPr>
                    <w:rFonts w:ascii="Arial" w:hAnsi="Arial"/>
                    <w:spacing w:val="-4"/>
                    <w:sz w:val="20"/>
                  </w:rPr>
                  <w:t xml:space="preserve"> </w:t>
                </w:r>
                <w:r>
                  <w:rPr>
                    <w:rFonts w:ascii="Arial" w:hAnsi="Arial"/>
                    <w:sz w:val="20"/>
                  </w:rPr>
                  <w:t>INFORMATION</w:t>
                </w:r>
              </w:p>
            </w:txbxContent>
          </v:textbox>
          <w10:wrap anchorx="page" anchory="page"/>
        </v:shape>
      </w:pict>
    </w:r>
    <w:r>
      <w:pict w14:anchorId="3735F91C">
        <v:rect id="docshape1" o:spid="_x0000_s1027" style="position:absolute;margin-left:71.95pt;margin-top:65.45pt;width:454.25pt;height:1.45pt;z-index:-16293376;mso-position-horizontal-relative:page;mso-position-vertical-relative:page" fillcolor="black" stroked="f">
          <w10:wrap anchorx="page" anchory="page"/>
        </v:rect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2A62161"/>
    <w:multiLevelType w:val="multilevel"/>
    <w:tmpl w:val="8E7CD880"/>
    <w:lvl w:ilvl="0">
      <w:start w:val="4"/>
      <w:numFmt w:val="decimal"/>
      <w:lvlText w:val="%1"/>
      <w:lvlJc w:val="left"/>
      <w:pPr>
        <w:ind w:left="779" w:hanging="680"/>
      </w:pPr>
      <w:rPr>
        <w:rFonts w:hint="default"/>
        <w:lang w:val="en-AU" w:eastAsia="en-US" w:bidi="ar-SA"/>
      </w:rPr>
    </w:lvl>
    <w:lvl w:ilvl="1">
      <w:start w:val="5"/>
      <w:numFmt w:val="decimal"/>
      <w:lvlText w:val="%1.%2"/>
      <w:lvlJc w:val="left"/>
      <w:pPr>
        <w:ind w:left="779" w:hanging="680"/>
      </w:pPr>
      <w:rPr>
        <w:rFonts w:ascii="Arial" w:eastAsia="Arial" w:hAnsi="Arial" w:cs="Arial" w:hint="default"/>
        <w:b/>
        <w:bCs/>
        <w:i w:val="0"/>
        <w:iCs w:val="0"/>
        <w:spacing w:val="-1"/>
        <w:w w:val="100"/>
        <w:sz w:val="22"/>
        <w:szCs w:val="22"/>
        <w:lang w:val="en-AU" w:eastAsia="en-US" w:bidi="ar-SA"/>
      </w:rPr>
    </w:lvl>
    <w:lvl w:ilvl="2">
      <w:numFmt w:val="bullet"/>
      <w:lvlText w:val="•"/>
      <w:lvlJc w:val="left"/>
      <w:pPr>
        <w:ind w:left="2489" w:hanging="680"/>
      </w:pPr>
      <w:rPr>
        <w:rFonts w:hint="default"/>
        <w:lang w:val="en-AU" w:eastAsia="en-US" w:bidi="ar-SA"/>
      </w:rPr>
    </w:lvl>
    <w:lvl w:ilvl="3">
      <w:numFmt w:val="bullet"/>
      <w:lvlText w:val="•"/>
      <w:lvlJc w:val="left"/>
      <w:pPr>
        <w:ind w:left="3343" w:hanging="680"/>
      </w:pPr>
      <w:rPr>
        <w:rFonts w:hint="default"/>
        <w:lang w:val="en-AU" w:eastAsia="en-US" w:bidi="ar-SA"/>
      </w:rPr>
    </w:lvl>
    <w:lvl w:ilvl="4">
      <w:numFmt w:val="bullet"/>
      <w:lvlText w:val="•"/>
      <w:lvlJc w:val="left"/>
      <w:pPr>
        <w:ind w:left="4198" w:hanging="680"/>
      </w:pPr>
      <w:rPr>
        <w:rFonts w:hint="default"/>
        <w:lang w:val="en-AU" w:eastAsia="en-US" w:bidi="ar-SA"/>
      </w:rPr>
    </w:lvl>
    <w:lvl w:ilvl="5">
      <w:numFmt w:val="bullet"/>
      <w:lvlText w:val="•"/>
      <w:lvlJc w:val="left"/>
      <w:pPr>
        <w:ind w:left="5053" w:hanging="680"/>
      </w:pPr>
      <w:rPr>
        <w:rFonts w:hint="default"/>
        <w:lang w:val="en-AU" w:eastAsia="en-US" w:bidi="ar-SA"/>
      </w:rPr>
    </w:lvl>
    <w:lvl w:ilvl="6">
      <w:numFmt w:val="bullet"/>
      <w:lvlText w:val="•"/>
      <w:lvlJc w:val="left"/>
      <w:pPr>
        <w:ind w:left="5907" w:hanging="680"/>
      </w:pPr>
      <w:rPr>
        <w:rFonts w:hint="default"/>
        <w:lang w:val="en-AU" w:eastAsia="en-US" w:bidi="ar-SA"/>
      </w:rPr>
    </w:lvl>
    <w:lvl w:ilvl="7">
      <w:numFmt w:val="bullet"/>
      <w:lvlText w:val="•"/>
      <w:lvlJc w:val="left"/>
      <w:pPr>
        <w:ind w:left="6762" w:hanging="680"/>
      </w:pPr>
      <w:rPr>
        <w:rFonts w:hint="default"/>
        <w:lang w:val="en-AU" w:eastAsia="en-US" w:bidi="ar-SA"/>
      </w:rPr>
    </w:lvl>
    <w:lvl w:ilvl="8">
      <w:numFmt w:val="bullet"/>
      <w:lvlText w:val="•"/>
      <w:lvlJc w:val="left"/>
      <w:pPr>
        <w:ind w:left="7617" w:hanging="680"/>
      </w:pPr>
      <w:rPr>
        <w:rFonts w:hint="default"/>
        <w:lang w:val="en-AU" w:eastAsia="en-US" w:bidi="ar-SA"/>
      </w:rPr>
    </w:lvl>
  </w:abstractNum>
  <w:abstractNum w:abstractNumId="1" w15:restartNumberingAfterBreak="0">
    <w:nsid w:val="2EFE08FA"/>
    <w:multiLevelType w:val="multilevel"/>
    <w:tmpl w:val="5F468E34"/>
    <w:lvl w:ilvl="0">
      <w:start w:val="1"/>
      <w:numFmt w:val="decimal"/>
      <w:lvlText w:val="%1"/>
      <w:lvlJc w:val="left"/>
      <w:pPr>
        <w:ind w:left="779" w:hanging="680"/>
      </w:pPr>
      <w:rPr>
        <w:rFonts w:ascii="Arial" w:eastAsia="Arial" w:hAnsi="Arial" w:cs="Arial" w:hint="default"/>
        <w:b/>
        <w:bCs/>
        <w:i w:val="0"/>
        <w:iCs w:val="0"/>
        <w:w w:val="100"/>
        <w:sz w:val="28"/>
        <w:szCs w:val="28"/>
        <w:lang w:val="en-AU" w:eastAsia="en-US" w:bidi="ar-SA"/>
      </w:rPr>
    </w:lvl>
    <w:lvl w:ilvl="1">
      <w:start w:val="1"/>
      <w:numFmt w:val="decimal"/>
      <w:lvlText w:val="%1.%2"/>
      <w:lvlJc w:val="left"/>
      <w:pPr>
        <w:ind w:left="779" w:hanging="680"/>
      </w:pPr>
      <w:rPr>
        <w:rFonts w:ascii="Arial" w:eastAsia="Arial" w:hAnsi="Arial" w:cs="Arial" w:hint="default"/>
        <w:b/>
        <w:bCs/>
        <w:i w:val="0"/>
        <w:iCs w:val="0"/>
        <w:spacing w:val="-1"/>
        <w:w w:val="100"/>
        <w:sz w:val="22"/>
        <w:szCs w:val="22"/>
        <w:lang w:val="en-AU" w:eastAsia="en-US" w:bidi="ar-SA"/>
      </w:rPr>
    </w:lvl>
    <w:lvl w:ilvl="2">
      <w:numFmt w:val="bullet"/>
      <w:lvlText w:val=""/>
      <w:lvlJc w:val="left"/>
      <w:pPr>
        <w:ind w:left="820" w:hanging="358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4"/>
        <w:szCs w:val="24"/>
        <w:lang w:val="en-AU" w:eastAsia="en-US" w:bidi="ar-SA"/>
      </w:rPr>
    </w:lvl>
    <w:lvl w:ilvl="3">
      <w:numFmt w:val="bullet"/>
      <w:lvlText w:val="•"/>
      <w:lvlJc w:val="left"/>
      <w:pPr>
        <w:ind w:left="1883" w:hanging="358"/>
      </w:pPr>
      <w:rPr>
        <w:rFonts w:hint="default"/>
        <w:lang w:val="en-AU" w:eastAsia="en-US" w:bidi="ar-SA"/>
      </w:rPr>
    </w:lvl>
    <w:lvl w:ilvl="4">
      <w:numFmt w:val="bullet"/>
      <w:lvlText w:val="•"/>
      <w:lvlJc w:val="left"/>
      <w:pPr>
        <w:ind w:left="2946" w:hanging="358"/>
      </w:pPr>
      <w:rPr>
        <w:rFonts w:hint="default"/>
        <w:lang w:val="en-AU" w:eastAsia="en-US" w:bidi="ar-SA"/>
      </w:rPr>
    </w:lvl>
    <w:lvl w:ilvl="5">
      <w:numFmt w:val="bullet"/>
      <w:lvlText w:val="•"/>
      <w:lvlJc w:val="left"/>
      <w:pPr>
        <w:ind w:left="4009" w:hanging="358"/>
      </w:pPr>
      <w:rPr>
        <w:rFonts w:hint="default"/>
        <w:lang w:val="en-AU" w:eastAsia="en-US" w:bidi="ar-SA"/>
      </w:rPr>
    </w:lvl>
    <w:lvl w:ilvl="6">
      <w:numFmt w:val="bullet"/>
      <w:lvlText w:val="•"/>
      <w:lvlJc w:val="left"/>
      <w:pPr>
        <w:ind w:left="5073" w:hanging="358"/>
      </w:pPr>
      <w:rPr>
        <w:rFonts w:hint="default"/>
        <w:lang w:val="en-AU" w:eastAsia="en-US" w:bidi="ar-SA"/>
      </w:rPr>
    </w:lvl>
    <w:lvl w:ilvl="7">
      <w:numFmt w:val="bullet"/>
      <w:lvlText w:val="•"/>
      <w:lvlJc w:val="left"/>
      <w:pPr>
        <w:ind w:left="6136" w:hanging="358"/>
      </w:pPr>
      <w:rPr>
        <w:rFonts w:hint="default"/>
        <w:lang w:val="en-AU" w:eastAsia="en-US" w:bidi="ar-SA"/>
      </w:rPr>
    </w:lvl>
    <w:lvl w:ilvl="8">
      <w:numFmt w:val="bullet"/>
      <w:lvlText w:val="•"/>
      <w:lvlJc w:val="left"/>
      <w:pPr>
        <w:ind w:left="7199" w:hanging="358"/>
      </w:pPr>
      <w:rPr>
        <w:rFonts w:hint="default"/>
        <w:lang w:val="en-AU" w:eastAsia="en-US" w:bidi="ar-SA"/>
      </w:rPr>
    </w:lvl>
  </w:abstractNum>
  <w:abstractNum w:abstractNumId="2" w15:restartNumberingAfterBreak="0">
    <w:nsid w:val="613C0391"/>
    <w:multiLevelType w:val="hybridMultilevel"/>
    <w:tmpl w:val="078E4DDA"/>
    <w:lvl w:ilvl="0" w:tplc="FD789DE0">
      <w:start w:val="7"/>
      <w:numFmt w:val="decimal"/>
      <w:lvlText w:val="%1"/>
      <w:lvlJc w:val="left"/>
      <w:pPr>
        <w:ind w:left="779" w:hanging="680"/>
      </w:pPr>
      <w:rPr>
        <w:rFonts w:ascii="Arial" w:eastAsia="Arial" w:hAnsi="Arial" w:cs="Arial" w:hint="default"/>
        <w:b/>
        <w:bCs/>
        <w:i w:val="0"/>
        <w:iCs w:val="0"/>
        <w:w w:val="100"/>
        <w:sz w:val="28"/>
        <w:szCs w:val="28"/>
        <w:lang w:val="en-AU" w:eastAsia="en-US" w:bidi="ar-SA"/>
      </w:rPr>
    </w:lvl>
    <w:lvl w:ilvl="1" w:tplc="4216B53A">
      <w:numFmt w:val="bullet"/>
      <w:lvlText w:val="•"/>
      <w:lvlJc w:val="left"/>
      <w:pPr>
        <w:ind w:left="1634" w:hanging="680"/>
      </w:pPr>
      <w:rPr>
        <w:rFonts w:hint="default"/>
        <w:lang w:val="en-AU" w:eastAsia="en-US" w:bidi="ar-SA"/>
      </w:rPr>
    </w:lvl>
    <w:lvl w:ilvl="2" w:tplc="ED7EA200">
      <w:numFmt w:val="bullet"/>
      <w:lvlText w:val="•"/>
      <w:lvlJc w:val="left"/>
      <w:pPr>
        <w:ind w:left="2489" w:hanging="680"/>
      </w:pPr>
      <w:rPr>
        <w:rFonts w:hint="default"/>
        <w:lang w:val="en-AU" w:eastAsia="en-US" w:bidi="ar-SA"/>
      </w:rPr>
    </w:lvl>
    <w:lvl w:ilvl="3" w:tplc="618A5A48">
      <w:numFmt w:val="bullet"/>
      <w:lvlText w:val="•"/>
      <w:lvlJc w:val="left"/>
      <w:pPr>
        <w:ind w:left="3343" w:hanging="680"/>
      </w:pPr>
      <w:rPr>
        <w:rFonts w:hint="default"/>
        <w:lang w:val="en-AU" w:eastAsia="en-US" w:bidi="ar-SA"/>
      </w:rPr>
    </w:lvl>
    <w:lvl w:ilvl="4" w:tplc="0324E7EA">
      <w:numFmt w:val="bullet"/>
      <w:lvlText w:val="•"/>
      <w:lvlJc w:val="left"/>
      <w:pPr>
        <w:ind w:left="4198" w:hanging="680"/>
      </w:pPr>
      <w:rPr>
        <w:rFonts w:hint="default"/>
        <w:lang w:val="en-AU" w:eastAsia="en-US" w:bidi="ar-SA"/>
      </w:rPr>
    </w:lvl>
    <w:lvl w:ilvl="5" w:tplc="9F64260C">
      <w:numFmt w:val="bullet"/>
      <w:lvlText w:val="•"/>
      <w:lvlJc w:val="left"/>
      <w:pPr>
        <w:ind w:left="5053" w:hanging="680"/>
      </w:pPr>
      <w:rPr>
        <w:rFonts w:hint="default"/>
        <w:lang w:val="en-AU" w:eastAsia="en-US" w:bidi="ar-SA"/>
      </w:rPr>
    </w:lvl>
    <w:lvl w:ilvl="6" w:tplc="EAB25074">
      <w:numFmt w:val="bullet"/>
      <w:lvlText w:val="•"/>
      <w:lvlJc w:val="left"/>
      <w:pPr>
        <w:ind w:left="5907" w:hanging="680"/>
      </w:pPr>
      <w:rPr>
        <w:rFonts w:hint="default"/>
        <w:lang w:val="en-AU" w:eastAsia="en-US" w:bidi="ar-SA"/>
      </w:rPr>
    </w:lvl>
    <w:lvl w:ilvl="7" w:tplc="023C11E6">
      <w:numFmt w:val="bullet"/>
      <w:lvlText w:val="•"/>
      <w:lvlJc w:val="left"/>
      <w:pPr>
        <w:ind w:left="6762" w:hanging="680"/>
      </w:pPr>
      <w:rPr>
        <w:rFonts w:hint="default"/>
        <w:lang w:val="en-AU" w:eastAsia="en-US" w:bidi="ar-SA"/>
      </w:rPr>
    </w:lvl>
    <w:lvl w:ilvl="8" w:tplc="05D882B6">
      <w:numFmt w:val="bullet"/>
      <w:lvlText w:val="•"/>
      <w:lvlJc w:val="left"/>
      <w:pPr>
        <w:ind w:left="7617" w:hanging="680"/>
      </w:pPr>
      <w:rPr>
        <w:rFonts w:hint="default"/>
        <w:lang w:val="en-AU" w:eastAsia="en-US" w:bidi="ar-SA"/>
      </w:rPr>
    </w:lvl>
  </w:abstractNum>
  <w:abstractNum w:abstractNumId="3" w15:restartNumberingAfterBreak="0">
    <w:nsid w:val="7F8D0D3C"/>
    <w:multiLevelType w:val="multilevel"/>
    <w:tmpl w:val="D1F2C08E"/>
    <w:lvl w:ilvl="0">
      <w:start w:val="6"/>
      <w:numFmt w:val="decimal"/>
      <w:lvlText w:val="%1"/>
      <w:lvlJc w:val="left"/>
      <w:pPr>
        <w:ind w:left="842" w:hanging="742"/>
      </w:pPr>
      <w:rPr>
        <w:rFonts w:hint="default"/>
        <w:lang w:val="en-AU" w:eastAsia="en-US" w:bidi="ar-SA"/>
      </w:rPr>
    </w:lvl>
    <w:lvl w:ilvl="1">
      <w:start w:val="6"/>
      <w:numFmt w:val="decimal"/>
      <w:lvlText w:val="%1.%2"/>
      <w:lvlJc w:val="left"/>
      <w:pPr>
        <w:ind w:left="842" w:hanging="742"/>
      </w:pPr>
      <w:rPr>
        <w:rFonts w:ascii="Arial" w:eastAsia="Arial" w:hAnsi="Arial" w:cs="Arial" w:hint="default"/>
        <w:b/>
        <w:bCs/>
        <w:i w:val="0"/>
        <w:iCs w:val="0"/>
        <w:spacing w:val="-1"/>
        <w:w w:val="100"/>
        <w:sz w:val="22"/>
        <w:szCs w:val="22"/>
        <w:lang w:val="en-AU" w:eastAsia="en-US" w:bidi="ar-SA"/>
      </w:rPr>
    </w:lvl>
    <w:lvl w:ilvl="2">
      <w:numFmt w:val="bullet"/>
      <w:lvlText w:val="•"/>
      <w:lvlJc w:val="left"/>
      <w:pPr>
        <w:ind w:left="2537" w:hanging="742"/>
      </w:pPr>
      <w:rPr>
        <w:rFonts w:hint="default"/>
        <w:lang w:val="en-AU" w:eastAsia="en-US" w:bidi="ar-SA"/>
      </w:rPr>
    </w:lvl>
    <w:lvl w:ilvl="3">
      <w:numFmt w:val="bullet"/>
      <w:lvlText w:val="•"/>
      <w:lvlJc w:val="left"/>
      <w:pPr>
        <w:ind w:left="3385" w:hanging="742"/>
      </w:pPr>
      <w:rPr>
        <w:rFonts w:hint="default"/>
        <w:lang w:val="en-AU" w:eastAsia="en-US" w:bidi="ar-SA"/>
      </w:rPr>
    </w:lvl>
    <w:lvl w:ilvl="4">
      <w:numFmt w:val="bullet"/>
      <w:lvlText w:val="•"/>
      <w:lvlJc w:val="left"/>
      <w:pPr>
        <w:ind w:left="4234" w:hanging="742"/>
      </w:pPr>
      <w:rPr>
        <w:rFonts w:hint="default"/>
        <w:lang w:val="en-AU" w:eastAsia="en-US" w:bidi="ar-SA"/>
      </w:rPr>
    </w:lvl>
    <w:lvl w:ilvl="5">
      <w:numFmt w:val="bullet"/>
      <w:lvlText w:val="•"/>
      <w:lvlJc w:val="left"/>
      <w:pPr>
        <w:ind w:left="5083" w:hanging="742"/>
      </w:pPr>
      <w:rPr>
        <w:rFonts w:hint="default"/>
        <w:lang w:val="en-AU" w:eastAsia="en-US" w:bidi="ar-SA"/>
      </w:rPr>
    </w:lvl>
    <w:lvl w:ilvl="6">
      <w:numFmt w:val="bullet"/>
      <w:lvlText w:val="•"/>
      <w:lvlJc w:val="left"/>
      <w:pPr>
        <w:ind w:left="5931" w:hanging="742"/>
      </w:pPr>
      <w:rPr>
        <w:rFonts w:hint="default"/>
        <w:lang w:val="en-AU" w:eastAsia="en-US" w:bidi="ar-SA"/>
      </w:rPr>
    </w:lvl>
    <w:lvl w:ilvl="7">
      <w:numFmt w:val="bullet"/>
      <w:lvlText w:val="•"/>
      <w:lvlJc w:val="left"/>
      <w:pPr>
        <w:ind w:left="6780" w:hanging="742"/>
      </w:pPr>
      <w:rPr>
        <w:rFonts w:hint="default"/>
        <w:lang w:val="en-AU" w:eastAsia="en-US" w:bidi="ar-SA"/>
      </w:rPr>
    </w:lvl>
    <w:lvl w:ilvl="8">
      <w:numFmt w:val="bullet"/>
      <w:lvlText w:val="•"/>
      <w:lvlJc w:val="left"/>
      <w:pPr>
        <w:ind w:left="7629" w:hanging="742"/>
      </w:pPr>
      <w:rPr>
        <w:rFonts w:hint="default"/>
        <w:lang w:val="en-AU" w:eastAsia="en-US" w:bidi="ar-SA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52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5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E80455"/>
    <w:rsid w:val="000B3179"/>
    <w:rsid w:val="004E577B"/>
    <w:rsid w:val="00CC3D64"/>
    <w:rsid w:val="00E80455"/>
    <w:rsid w:val="00F14B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5"/>
    <o:shapelayout v:ext="edit">
      <o:idmap v:ext="edit" data="2"/>
    </o:shapelayout>
  </w:shapeDefaults>
  <w:decimalSymbol w:val="."/>
  <w:listSeparator w:val=","/>
  <w14:docId w14:val="0B27D5E7"/>
  <w15:docId w15:val="{E141987B-DBF8-427A-9A4D-B404578193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en-AU"/>
    </w:rPr>
  </w:style>
  <w:style w:type="paragraph" w:styleId="Heading1">
    <w:name w:val="heading 1"/>
    <w:basedOn w:val="Normal"/>
    <w:uiPriority w:val="9"/>
    <w:qFormat/>
    <w:pPr>
      <w:spacing w:before="181"/>
      <w:ind w:left="779" w:hanging="680"/>
      <w:outlineLvl w:val="0"/>
    </w:pPr>
    <w:rPr>
      <w:rFonts w:ascii="Arial" w:eastAsia="Arial" w:hAnsi="Arial" w:cs="Arial"/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1"/>
    <w:qFormat/>
    <w:pPr>
      <w:spacing w:before="119"/>
      <w:ind w:left="779" w:hanging="680"/>
    </w:pPr>
    <w:rPr>
      <w:rFonts w:ascii="Arial" w:eastAsia="Arial" w:hAnsi="Arial" w:cs="Arial"/>
    </w:rPr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F14B37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14B37"/>
    <w:rPr>
      <w:rFonts w:ascii="Times New Roman" w:eastAsia="Times New Roman" w:hAnsi="Times New Roman" w:cs="Times New Roman"/>
      <w:lang w:val="en-AU"/>
    </w:rPr>
  </w:style>
  <w:style w:type="paragraph" w:styleId="Footer">
    <w:name w:val="footer"/>
    <w:basedOn w:val="Normal"/>
    <w:link w:val="FooterChar"/>
    <w:uiPriority w:val="99"/>
    <w:unhideWhenUsed/>
    <w:rsid w:val="00F14B37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14B37"/>
    <w:rPr>
      <w:rFonts w:ascii="Times New Roman" w:eastAsia="Times New Roman" w:hAnsi="Times New Roman" w:cs="Times New Roman"/>
      <w:lang w:val="en-AU"/>
    </w:rPr>
  </w:style>
  <w:style w:type="character" w:styleId="Hyperlink">
    <w:name w:val="Hyperlink"/>
    <w:basedOn w:val="DefaultParagraphFont"/>
    <w:uiPriority w:val="99"/>
    <w:unhideWhenUsed/>
    <w:rsid w:val="00F14B37"/>
    <w:rPr>
      <w:color w:val="0000FF"/>
      <w:u w:val="single"/>
    </w:rPr>
  </w:style>
  <w:style w:type="table" w:styleId="TableGrid">
    <w:name w:val="Table Grid"/>
    <w:basedOn w:val="TableNormal"/>
    <w:uiPriority w:val="59"/>
    <w:rsid w:val="00F14B37"/>
    <w:pPr>
      <w:widowControl/>
      <w:autoSpaceDE/>
      <w:autoSpaceDN/>
    </w:pPr>
    <w:rPr>
      <w:rFonts w:eastAsia="Cambria"/>
      <w:lang w:val="en-A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yperlink" Target="mailto:info@southernxp.com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tga.gov.au/reporting-problems" TargetMode="External"/><Relationship Id="rId12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1.jpeg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http://www.tga.gov.au/reporting-problems" TargetMode="Externa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tga.gov.au/product-information-p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17</Pages>
  <Words>4728</Words>
  <Characters>26951</Characters>
  <Application>Microsoft Office Word</Application>
  <DocSecurity>0</DocSecurity>
  <Lines>224</Lines>
  <Paragraphs>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Attachment: Product Information: Midodrine Hydrochloride</vt:lpstr>
    </vt:vector>
  </TitlesOfParts>
  <Company/>
  <LinksUpToDate>false</LinksUpToDate>
  <CharactersWithSpaces>31616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Attachment: Product Information: Midodrine Hydrochloride</dc:title>
  <dc:subject>AusPARs</dc:subject>
  <dc:creator>Southern Cross Pharma Pty Ltd </dc:creator>
  <cp:lastModifiedBy>SHEPPARD, Fran</cp:lastModifiedBy>
  <cp:revision>3</cp:revision>
  <dcterms:created xsi:type="dcterms:W3CDTF">2021-07-15T11:42:00Z</dcterms:created>
  <dcterms:modified xsi:type="dcterms:W3CDTF">2021-08-15T13:40:00Z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2019-12-20T00:00:00Z</vt:filetime>
  </property>
  <property fmtid="{D5CDD505-2E9C-101B-9397-08002B2CF9AE}" pid="3" name="Creator">
    <vt:lpwstr>Microsoft® Word for Office 365</vt:lpwstr>
  </property>
  <property fmtid="{D5CDD505-2E9C-101B-9397-08002B2CF9AE}" pid="4" name="LastSaved">
    <vt:filetime>2021-07-15T00:00:00Z</vt:filetime>
  </property>
</Properties>
</file>