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FFC88" w14:textId="7A90DCF3" w:rsidR="00AF47BF" w:rsidRPr="004407DC" w:rsidRDefault="001C1B9A" w:rsidP="00AF47BF">
      <w:pPr>
        <w:tabs>
          <w:tab w:val="left" w:pos="284"/>
        </w:tabs>
        <w:spacing w:after="480" w:line="240" w:lineRule="auto"/>
        <w:rPr>
          <w:rFonts w:ascii="Arial" w:hAnsi="Arial" w:cs="Arial"/>
        </w:rPr>
      </w:pPr>
      <w:r>
        <w:rPr>
          <w:noProof/>
          <w:lang w:eastAsia="en-AU"/>
        </w:rPr>
        <mc:AlternateContent>
          <mc:Choice Requires="wps">
            <w:drawing>
              <wp:inline distT="0" distB="0" distL="0" distR="0" wp14:anchorId="2279519D" wp14:editId="233CA6EA">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96CD5" w14:textId="77777777" w:rsidR="001C1B9A" w:rsidRPr="00BE2A26" w:rsidRDefault="001C1B9A" w:rsidP="001C1B9A">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279519D"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0EB96CD5" w14:textId="77777777" w:rsidR="001C1B9A" w:rsidRPr="00BE2A26" w:rsidRDefault="001C1B9A" w:rsidP="001C1B9A">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AF47BF" w:rsidRPr="004407DC">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0" w:history="1">
        <w:r w:rsidR="00AF47BF" w:rsidRPr="004407DC">
          <w:rPr>
            <w:rStyle w:val="Hyperlink"/>
            <w:rFonts w:ascii="Arial" w:hAnsi="Arial" w:cs="Arial"/>
          </w:rPr>
          <w:t>www.tga.gov.au/reporting-problems</w:t>
        </w:r>
      </w:hyperlink>
      <w:r w:rsidR="00AF47BF" w:rsidRPr="004407DC">
        <w:rPr>
          <w:rFonts w:ascii="Arial" w:hAnsi="Arial" w:cs="Arial"/>
        </w:rPr>
        <w:t>.</w:t>
      </w:r>
    </w:p>
    <w:p w14:paraId="5DFA7D23" w14:textId="520363BD" w:rsidR="006018AE" w:rsidRPr="004407DC" w:rsidRDefault="001E0A09" w:rsidP="001E0A09">
      <w:pPr>
        <w:pStyle w:val="Heading1"/>
        <w:numPr>
          <w:ilvl w:val="0"/>
          <w:numId w:val="0"/>
        </w:numPr>
        <w:spacing w:after="240"/>
        <w:rPr>
          <w:rFonts w:ascii="Arial" w:eastAsia="SimSun" w:hAnsi="Arial" w:cs="Arial"/>
          <w:sz w:val="22"/>
          <w:szCs w:val="22"/>
        </w:rPr>
      </w:pPr>
      <w:r w:rsidRPr="004407DC">
        <w:rPr>
          <w:rFonts w:ascii="Arial" w:eastAsia="SimSun" w:hAnsi="Arial" w:cs="Arial"/>
          <w:sz w:val="22"/>
          <w:szCs w:val="22"/>
        </w:rPr>
        <w:t>AUSTRALIAN PRODUCT INFORMATION – UVADEX</w:t>
      </w:r>
      <w:r w:rsidR="00224E16" w:rsidRPr="00224E16">
        <w:rPr>
          <w:rFonts w:ascii="Arial" w:eastAsia="SimSun" w:hAnsi="Arial" w:cs="Arial"/>
          <w:sz w:val="22"/>
          <w:szCs w:val="22"/>
          <w:vertAlign w:val="superscript"/>
        </w:rPr>
        <w:t>®</w:t>
      </w:r>
      <w:r w:rsidRPr="004407DC">
        <w:rPr>
          <w:rFonts w:ascii="Arial" w:eastAsia="SimSun" w:hAnsi="Arial" w:cs="Arial"/>
          <w:sz w:val="22"/>
          <w:szCs w:val="22"/>
        </w:rPr>
        <w:t xml:space="preserve"> (methoxsalen) concentrated injection</w:t>
      </w:r>
    </w:p>
    <w:p w14:paraId="6D9F8FDD" w14:textId="77777777" w:rsidR="001A3992" w:rsidRPr="00224E16" w:rsidRDefault="001A3992" w:rsidP="001A3992">
      <w:pPr>
        <w:pStyle w:val="Heading1"/>
        <w:spacing w:before="0" w:after="120"/>
        <w:rPr>
          <w:rFonts w:ascii="Arial" w:hAnsi="Arial" w:cs="Arial"/>
          <w:sz w:val="22"/>
          <w:szCs w:val="22"/>
        </w:rPr>
      </w:pPr>
      <w:r w:rsidRPr="00224E16">
        <w:rPr>
          <w:rFonts w:ascii="Arial" w:hAnsi="Arial" w:cs="Arial"/>
          <w:sz w:val="22"/>
          <w:szCs w:val="22"/>
        </w:rPr>
        <w:t>Name of the medicine</w:t>
      </w:r>
    </w:p>
    <w:p w14:paraId="1D5EFD8F" w14:textId="77777777" w:rsidR="007313E5" w:rsidRPr="004407DC" w:rsidRDefault="007313E5" w:rsidP="007313E5">
      <w:pPr>
        <w:rPr>
          <w:rFonts w:ascii="Arial" w:hAnsi="Arial" w:cs="Arial"/>
        </w:rPr>
      </w:pPr>
      <w:proofErr w:type="spellStart"/>
      <w:r w:rsidRPr="004407DC">
        <w:rPr>
          <w:rFonts w:ascii="Arial" w:hAnsi="Arial" w:cs="Arial"/>
        </w:rPr>
        <w:t>Methoxsalen</w:t>
      </w:r>
      <w:proofErr w:type="spellEnd"/>
    </w:p>
    <w:p w14:paraId="60321C8E" w14:textId="77777777" w:rsidR="001A3992" w:rsidRPr="004407DC" w:rsidRDefault="001A3992" w:rsidP="001A3992">
      <w:pPr>
        <w:pStyle w:val="Heading1"/>
        <w:spacing w:before="0" w:after="120"/>
        <w:rPr>
          <w:rFonts w:ascii="Arial" w:hAnsi="Arial" w:cs="Arial"/>
          <w:sz w:val="22"/>
          <w:szCs w:val="22"/>
        </w:rPr>
      </w:pPr>
      <w:r w:rsidRPr="004407DC">
        <w:rPr>
          <w:rFonts w:ascii="Arial" w:hAnsi="Arial" w:cs="Arial"/>
          <w:sz w:val="22"/>
          <w:szCs w:val="22"/>
        </w:rPr>
        <w:t>Qualitative and quantitative composition</w:t>
      </w:r>
    </w:p>
    <w:p w14:paraId="7D7E69F8" w14:textId="32D553A7" w:rsidR="007313E5" w:rsidRPr="004407DC" w:rsidRDefault="007313E5" w:rsidP="005B2812">
      <w:pPr>
        <w:rPr>
          <w:rFonts w:ascii="Arial" w:hAnsi="Arial" w:cs="Arial"/>
          <w:lang w:val="en"/>
        </w:rPr>
      </w:pPr>
      <w:r w:rsidRPr="004407DC">
        <w:rPr>
          <w:rFonts w:ascii="Arial" w:hAnsi="Arial" w:cs="Arial"/>
        </w:rPr>
        <w:t xml:space="preserve">UVADEX </w:t>
      </w:r>
      <w:proofErr w:type="spellStart"/>
      <w:r w:rsidRPr="004407DC">
        <w:rPr>
          <w:rFonts w:ascii="Arial" w:hAnsi="Arial" w:cs="Arial"/>
        </w:rPr>
        <w:t>methoxsalen</w:t>
      </w:r>
      <w:proofErr w:type="spellEnd"/>
      <w:r w:rsidRPr="004407DC">
        <w:rPr>
          <w:rFonts w:ascii="Arial" w:hAnsi="Arial" w:cs="Arial"/>
        </w:rPr>
        <w:t xml:space="preserve"> concentrated injection is a sterile, clear, colourless to pale yellow liquid containing 200 </w:t>
      </w:r>
      <w:proofErr w:type="gramStart"/>
      <w:r w:rsidRPr="004407DC">
        <w:rPr>
          <w:rFonts w:ascii="Arial" w:hAnsi="Arial" w:cs="Arial"/>
        </w:rPr>
        <w:t>microgram</w:t>
      </w:r>
      <w:proofErr w:type="gramEnd"/>
      <w:r w:rsidRPr="004407DC">
        <w:rPr>
          <w:rFonts w:ascii="Arial" w:hAnsi="Arial" w:cs="Arial"/>
        </w:rPr>
        <w:t xml:space="preserve"> of </w:t>
      </w:r>
      <w:proofErr w:type="spellStart"/>
      <w:r w:rsidRPr="004407DC">
        <w:rPr>
          <w:rFonts w:ascii="Arial" w:hAnsi="Arial" w:cs="Arial"/>
        </w:rPr>
        <w:t>methoxsalen</w:t>
      </w:r>
      <w:proofErr w:type="spellEnd"/>
      <w:r w:rsidRPr="004407DC">
        <w:rPr>
          <w:rFonts w:ascii="Arial" w:hAnsi="Arial" w:cs="Arial"/>
        </w:rPr>
        <w:t xml:space="preserve"> per 10 mL vial, which is equivalent to 20 microgram of </w:t>
      </w:r>
      <w:proofErr w:type="spellStart"/>
      <w:r w:rsidRPr="004407DC">
        <w:rPr>
          <w:rFonts w:ascii="Arial" w:hAnsi="Arial" w:cs="Arial"/>
        </w:rPr>
        <w:t>methoxsalen</w:t>
      </w:r>
      <w:proofErr w:type="spellEnd"/>
      <w:r w:rsidRPr="004407DC">
        <w:rPr>
          <w:rFonts w:ascii="Arial" w:hAnsi="Arial" w:cs="Arial"/>
        </w:rPr>
        <w:t xml:space="preserve"> per </w:t>
      </w:r>
      <w:proofErr w:type="spellStart"/>
      <w:r w:rsidRPr="004407DC">
        <w:rPr>
          <w:rFonts w:ascii="Arial" w:hAnsi="Arial" w:cs="Arial"/>
        </w:rPr>
        <w:t>mL.</w:t>
      </w:r>
      <w:proofErr w:type="spellEnd"/>
      <w:r w:rsidR="00520BA7">
        <w:rPr>
          <w:rFonts w:ascii="Arial" w:hAnsi="Arial" w:cs="Arial"/>
        </w:rPr>
        <w:t xml:space="preserve"> For the full list of excipients, see Section 6.1 List of Excipients.</w:t>
      </w:r>
    </w:p>
    <w:p w14:paraId="214768E0" w14:textId="77777777" w:rsidR="001A3992" w:rsidRPr="004407DC" w:rsidRDefault="001A3992" w:rsidP="001A3992">
      <w:pPr>
        <w:pStyle w:val="Heading1"/>
        <w:spacing w:before="0" w:after="120"/>
        <w:rPr>
          <w:rFonts w:ascii="Arial" w:hAnsi="Arial" w:cs="Arial"/>
          <w:sz w:val="22"/>
          <w:szCs w:val="22"/>
        </w:rPr>
      </w:pPr>
      <w:r w:rsidRPr="004407DC">
        <w:rPr>
          <w:rFonts w:ascii="Arial" w:hAnsi="Arial" w:cs="Arial"/>
          <w:sz w:val="22"/>
          <w:szCs w:val="22"/>
        </w:rPr>
        <w:t>Pharmaceutical form</w:t>
      </w:r>
    </w:p>
    <w:p w14:paraId="4B8F23EE" w14:textId="77777777" w:rsidR="007313E5" w:rsidRPr="00224E16" w:rsidRDefault="007313E5" w:rsidP="007313E5">
      <w:pPr>
        <w:rPr>
          <w:rFonts w:ascii="Arial" w:hAnsi="Arial" w:cs="Arial"/>
          <w:lang w:val="en"/>
        </w:rPr>
      </w:pPr>
      <w:r w:rsidRPr="004407DC">
        <w:rPr>
          <w:rFonts w:ascii="Arial" w:hAnsi="Arial" w:cs="Arial"/>
          <w:lang w:val="en"/>
        </w:rPr>
        <w:t xml:space="preserve">UVADEX is supplied as a sterile concentrated injection for extracorporeal circulation via </w:t>
      </w:r>
      <w:proofErr w:type="spellStart"/>
      <w:r w:rsidRPr="004407DC">
        <w:rPr>
          <w:rFonts w:ascii="Arial" w:hAnsi="Arial" w:cs="Arial"/>
          <w:lang w:val="en"/>
        </w:rPr>
        <w:t>photopheresis</w:t>
      </w:r>
      <w:proofErr w:type="spellEnd"/>
      <w:r w:rsidRPr="004407DC">
        <w:rPr>
          <w:rFonts w:ascii="Arial" w:hAnsi="Arial" w:cs="Arial"/>
          <w:lang w:val="en"/>
        </w:rPr>
        <w:t xml:space="preserve"> in single-use amber glass vials. UVADEX is used in combination with the THERAKOS</w:t>
      </w:r>
      <w:r w:rsidRPr="00F832A6">
        <w:rPr>
          <w:rFonts w:ascii="Arial" w:hAnsi="Arial" w:cs="Arial"/>
          <w:vertAlign w:val="superscript"/>
          <w:lang w:val="en"/>
        </w:rPr>
        <w:t>®</w:t>
      </w:r>
      <w:r w:rsidRPr="00224E16">
        <w:rPr>
          <w:rFonts w:ascii="Arial" w:hAnsi="Arial" w:cs="Arial"/>
          <w:lang w:val="en"/>
        </w:rPr>
        <w:t xml:space="preserve"> CELLEX</w:t>
      </w:r>
      <w:r w:rsidRPr="00F832A6">
        <w:rPr>
          <w:rFonts w:ascii="Arial" w:hAnsi="Arial" w:cs="Arial"/>
          <w:vertAlign w:val="superscript"/>
          <w:lang w:val="en"/>
        </w:rPr>
        <w:t>®</w:t>
      </w:r>
      <w:r w:rsidRPr="00224E16">
        <w:rPr>
          <w:rFonts w:ascii="Arial" w:hAnsi="Arial" w:cs="Arial"/>
          <w:lang w:val="en"/>
        </w:rPr>
        <w:t xml:space="preserve"> </w:t>
      </w:r>
      <w:proofErr w:type="spellStart"/>
      <w:r w:rsidRPr="00224E16">
        <w:rPr>
          <w:rFonts w:ascii="Arial" w:hAnsi="Arial" w:cs="Arial"/>
          <w:lang w:val="en"/>
        </w:rPr>
        <w:t>Photopheresis</w:t>
      </w:r>
      <w:proofErr w:type="spellEnd"/>
      <w:r w:rsidRPr="00224E16">
        <w:rPr>
          <w:rFonts w:ascii="Arial" w:hAnsi="Arial" w:cs="Arial"/>
          <w:lang w:val="en"/>
        </w:rPr>
        <w:t xml:space="preserve"> System to </w:t>
      </w:r>
      <w:proofErr w:type="spellStart"/>
      <w:r w:rsidRPr="00224E16">
        <w:rPr>
          <w:rFonts w:ascii="Arial" w:hAnsi="Arial" w:cs="Arial"/>
          <w:lang w:val="en"/>
        </w:rPr>
        <w:t>extracorporeally</w:t>
      </w:r>
      <w:proofErr w:type="spellEnd"/>
      <w:r w:rsidRPr="00224E16">
        <w:rPr>
          <w:rFonts w:ascii="Arial" w:hAnsi="Arial" w:cs="Arial"/>
          <w:lang w:val="en"/>
        </w:rPr>
        <w:t xml:space="preserve"> treat leukocyte enriched buffy coat.</w:t>
      </w:r>
    </w:p>
    <w:p w14:paraId="4D623109" w14:textId="2ECD6DAA" w:rsidR="001A3992" w:rsidRPr="004407DC" w:rsidRDefault="005937C4" w:rsidP="001A3992">
      <w:pPr>
        <w:pStyle w:val="Heading1"/>
        <w:spacing w:before="0" w:after="120"/>
        <w:rPr>
          <w:rFonts w:ascii="Arial" w:hAnsi="Arial" w:cs="Arial"/>
          <w:sz w:val="22"/>
          <w:szCs w:val="22"/>
        </w:rPr>
      </w:pPr>
      <w:r w:rsidRPr="004407DC">
        <w:rPr>
          <w:rFonts w:ascii="Arial" w:hAnsi="Arial" w:cs="Arial"/>
          <w:caps w:val="0"/>
          <w:sz w:val="22"/>
          <w:szCs w:val="22"/>
        </w:rPr>
        <w:t>CLINICAL PARTICULARS</w:t>
      </w:r>
    </w:p>
    <w:p w14:paraId="4AFFFC5D" w14:textId="60CCE1CB" w:rsidR="001A3992" w:rsidRPr="004407DC" w:rsidRDefault="005937C4" w:rsidP="001A3992">
      <w:pPr>
        <w:pStyle w:val="Heading2"/>
        <w:spacing w:before="0" w:after="120"/>
        <w:rPr>
          <w:rFonts w:ascii="Arial" w:hAnsi="Arial" w:cs="Arial"/>
          <w:sz w:val="22"/>
        </w:rPr>
      </w:pPr>
      <w:r w:rsidRPr="004407DC">
        <w:rPr>
          <w:rFonts w:ascii="Arial" w:hAnsi="Arial" w:cs="Arial"/>
          <w:sz w:val="22"/>
        </w:rPr>
        <w:t>THERAPEUTIC INDICATIONS</w:t>
      </w:r>
    </w:p>
    <w:p w14:paraId="59814A4F" w14:textId="6FA804D4" w:rsidR="007313E5" w:rsidRPr="004407DC" w:rsidRDefault="007313E5" w:rsidP="007313E5">
      <w:pPr>
        <w:rPr>
          <w:rFonts w:ascii="Arial" w:hAnsi="Arial" w:cs="Arial"/>
        </w:rPr>
      </w:pPr>
      <w:r w:rsidRPr="004407DC">
        <w:rPr>
          <w:rFonts w:ascii="Arial" w:hAnsi="Arial" w:cs="Arial"/>
        </w:rPr>
        <w:t>UVADEX (</w:t>
      </w:r>
      <w:proofErr w:type="spellStart"/>
      <w:r w:rsidRPr="004407DC">
        <w:rPr>
          <w:rFonts w:ascii="Arial" w:hAnsi="Arial" w:cs="Arial"/>
        </w:rPr>
        <w:t>methoxsalen</w:t>
      </w:r>
      <w:proofErr w:type="spellEnd"/>
      <w:r w:rsidRPr="004407DC">
        <w:rPr>
          <w:rFonts w:ascii="Arial" w:hAnsi="Arial" w:cs="Arial"/>
        </w:rPr>
        <w:t xml:space="preserve">) is indicated for extracorporeal administration with the THERAKOS CELLEX </w:t>
      </w:r>
      <w:proofErr w:type="spellStart"/>
      <w:r w:rsidRPr="004407DC">
        <w:rPr>
          <w:rFonts w:ascii="Arial" w:hAnsi="Arial" w:cs="Arial"/>
        </w:rPr>
        <w:t>Photopheresis</w:t>
      </w:r>
      <w:proofErr w:type="spellEnd"/>
      <w:r w:rsidRPr="004407DC">
        <w:rPr>
          <w:rFonts w:ascii="Arial" w:hAnsi="Arial" w:cs="Arial"/>
        </w:rPr>
        <w:t xml:space="preserve"> Sys</w:t>
      </w:r>
      <w:r w:rsidR="00C054AF">
        <w:rPr>
          <w:rFonts w:ascii="Arial" w:hAnsi="Arial" w:cs="Arial"/>
        </w:rPr>
        <w:t>tem for the treatment of steroid</w:t>
      </w:r>
      <w:r w:rsidR="00C054AF">
        <w:rPr>
          <w:rFonts w:ascii="Arial" w:hAnsi="Arial" w:cs="Arial"/>
        </w:rPr>
        <w:noBreakHyphen/>
      </w:r>
      <w:r w:rsidRPr="004407DC">
        <w:rPr>
          <w:rFonts w:ascii="Arial" w:hAnsi="Arial" w:cs="Arial"/>
        </w:rPr>
        <w:t xml:space="preserve">refractory </w:t>
      </w:r>
      <w:r w:rsidR="008A6F19" w:rsidRPr="004407DC">
        <w:rPr>
          <w:rFonts w:ascii="Arial" w:hAnsi="Arial" w:cs="Arial"/>
        </w:rPr>
        <w:t>and steroid</w:t>
      </w:r>
      <w:r w:rsidR="007D7DD7">
        <w:rPr>
          <w:rFonts w:ascii="Arial" w:hAnsi="Arial" w:cs="Arial"/>
        </w:rPr>
        <w:noBreakHyphen/>
      </w:r>
      <w:r w:rsidR="008A6F19" w:rsidRPr="004407DC">
        <w:rPr>
          <w:rFonts w:ascii="Arial" w:hAnsi="Arial" w:cs="Arial"/>
        </w:rPr>
        <w:t xml:space="preserve">intolerant </w:t>
      </w:r>
      <w:r w:rsidR="009E1290">
        <w:rPr>
          <w:rFonts w:ascii="Arial" w:hAnsi="Arial" w:cs="Arial"/>
        </w:rPr>
        <w:t xml:space="preserve">chronic </w:t>
      </w:r>
      <w:r w:rsidRPr="004407DC">
        <w:rPr>
          <w:rFonts w:ascii="Arial" w:hAnsi="Arial" w:cs="Arial"/>
        </w:rPr>
        <w:t>graft versus host disease (</w:t>
      </w:r>
      <w:proofErr w:type="spellStart"/>
      <w:r w:rsidR="009E1290">
        <w:rPr>
          <w:rFonts w:ascii="Arial" w:hAnsi="Arial" w:cs="Arial"/>
        </w:rPr>
        <w:t>c</w:t>
      </w:r>
      <w:r w:rsidRPr="004407DC">
        <w:rPr>
          <w:rFonts w:ascii="Arial" w:hAnsi="Arial" w:cs="Arial"/>
        </w:rPr>
        <w:t>GVHD</w:t>
      </w:r>
      <w:proofErr w:type="spellEnd"/>
      <w:r w:rsidRPr="004407DC">
        <w:rPr>
          <w:rFonts w:ascii="Arial" w:hAnsi="Arial" w:cs="Arial"/>
        </w:rPr>
        <w:t xml:space="preserve">) </w:t>
      </w:r>
      <w:r w:rsidR="0073018A">
        <w:rPr>
          <w:rFonts w:ascii="Arial" w:hAnsi="Arial" w:cs="Arial"/>
        </w:rPr>
        <w:t xml:space="preserve">in adults </w:t>
      </w:r>
      <w:r w:rsidRPr="004407DC">
        <w:rPr>
          <w:rFonts w:ascii="Arial" w:hAnsi="Arial" w:cs="Arial"/>
        </w:rPr>
        <w:t>following allogeneic HSC transplantation.</w:t>
      </w:r>
    </w:p>
    <w:p w14:paraId="500CA053" w14:textId="49FB8C10" w:rsidR="001A3992" w:rsidRPr="004407DC" w:rsidRDefault="00D13044" w:rsidP="001A3992">
      <w:pPr>
        <w:pStyle w:val="Heading2"/>
        <w:spacing w:before="0" w:after="120"/>
        <w:rPr>
          <w:rFonts w:ascii="Arial" w:hAnsi="Arial" w:cs="Arial"/>
          <w:sz w:val="22"/>
        </w:rPr>
      </w:pPr>
      <w:r w:rsidRPr="004407DC">
        <w:rPr>
          <w:rFonts w:ascii="Arial" w:hAnsi="Arial" w:cs="Arial"/>
          <w:sz w:val="22"/>
        </w:rPr>
        <w:t>DOSE AND METHOD OF ADMINISTRATION</w:t>
      </w:r>
    </w:p>
    <w:p w14:paraId="0F6F7203" w14:textId="77777777" w:rsidR="007313E5" w:rsidRPr="004407DC" w:rsidRDefault="007313E5" w:rsidP="007313E5">
      <w:pPr>
        <w:rPr>
          <w:rFonts w:ascii="Arial" w:hAnsi="Arial" w:cs="Arial"/>
          <w:b/>
        </w:rPr>
      </w:pPr>
      <w:r w:rsidRPr="004407DC">
        <w:rPr>
          <w:rFonts w:ascii="Arial" w:hAnsi="Arial" w:cs="Arial"/>
          <w:b/>
        </w:rPr>
        <w:t>Do not inject directly into patients. Product is for single use in one patient only. Discard any residue.</w:t>
      </w:r>
    </w:p>
    <w:p w14:paraId="4175991C" w14:textId="77777777" w:rsidR="007313E5" w:rsidRPr="00224E16" w:rsidRDefault="007313E5" w:rsidP="007313E5">
      <w:pPr>
        <w:rPr>
          <w:rFonts w:ascii="Arial" w:hAnsi="Arial" w:cs="Arial"/>
        </w:rPr>
      </w:pPr>
      <w:proofErr w:type="spellStart"/>
      <w:r w:rsidRPr="004407DC">
        <w:rPr>
          <w:rFonts w:ascii="Arial" w:hAnsi="Arial" w:cs="Arial"/>
        </w:rPr>
        <w:t>Photopheresis</w:t>
      </w:r>
      <w:proofErr w:type="spellEnd"/>
      <w:r w:rsidRPr="004407DC">
        <w:rPr>
          <w:rFonts w:ascii="Arial" w:hAnsi="Arial" w:cs="Arial"/>
        </w:rPr>
        <w:t xml:space="preserve"> treatments should always be performed in locations where standard medical emergency equipment is available. Volume replacement fluids and/or volume expanders should be readily available throughout the procedure. Please refer to the THERAKOS CELLEX Operator’s Manual for additional warnings and precautions.</w:t>
      </w:r>
    </w:p>
    <w:p w14:paraId="577F8D9A" w14:textId="5E705E3F" w:rsidR="007313E5" w:rsidRPr="004407DC" w:rsidRDefault="007313E5" w:rsidP="007313E5">
      <w:pPr>
        <w:rPr>
          <w:rFonts w:ascii="Arial" w:hAnsi="Arial" w:cs="Arial"/>
        </w:rPr>
      </w:pPr>
      <w:r w:rsidRPr="004407DC">
        <w:rPr>
          <w:rFonts w:ascii="Arial" w:hAnsi="Arial" w:cs="Arial"/>
        </w:rPr>
        <w:t xml:space="preserve">In the </w:t>
      </w:r>
      <w:proofErr w:type="spellStart"/>
      <w:r w:rsidRPr="004407DC">
        <w:rPr>
          <w:rFonts w:ascii="Arial" w:hAnsi="Arial" w:cs="Arial"/>
        </w:rPr>
        <w:t>photopheresis</w:t>
      </w:r>
      <w:proofErr w:type="spellEnd"/>
      <w:r w:rsidRPr="004407DC">
        <w:rPr>
          <w:rFonts w:ascii="Arial" w:hAnsi="Arial" w:cs="Arial"/>
        </w:rPr>
        <w:t xml:space="preserve"> process, the patient is connected to the THERAKOS CELLEX </w:t>
      </w:r>
      <w:proofErr w:type="spellStart"/>
      <w:r w:rsidRPr="004407DC">
        <w:rPr>
          <w:rFonts w:ascii="Arial" w:hAnsi="Arial" w:cs="Arial"/>
        </w:rPr>
        <w:t>Photopheresis</w:t>
      </w:r>
      <w:proofErr w:type="spellEnd"/>
      <w:r w:rsidRPr="004407DC">
        <w:rPr>
          <w:rFonts w:ascii="Arial" w:hAnsi="Arial" w:cs="Arial"/>
        </w:rPr>
        <w:t xml:space="preserve"> System via a catheter interface. Red blood cells are separated from the white blood cells and plasma in the centrifuge bowl. The red blood cells and excess plasma are returned to the patient while the buffy coat (leukocyte enriched blood) and some plasma are collected into the </w:t>
      </w:r>
      <w:proofErr w:type="spellStart"/>
      <w:r w:rsidRPr="004407DC">
        <w:rPr>
          <w:rFonts w:ascii="Arial" w:hAnsi="Arial" w:cs="Arial"/>
        </w:rPr>
        <w:t>photoactivation</w:t>
      </w:r>
      <w:proofErr w:type="spellEnd"/>
      <w:r w:rsidRPr="004407DC">
        <w:rPr>
          <w:rFonts w:ascii="Arial" w:hAnsi="Arial" w:cs="Arial"/>
        </w:rPr>
        <w:t xml:space="preserve"> bag located on the side of the instrument.</w:t>
      </w:r>
    </w:p>
    <w:p w14:paraId="53684342" w14:textId="77777777" w:rsidR="007313E5" w:rsidRPr="004407DC" w:rsidRDefault="007313E5" w:rsidP="000F27A9">
      <w:pPr>
        <w:keepNext/>
        <w:keepLines/>
        <w:rPr>
          <w:rFonts w:ascii="Arial" w:hAnsi="Arial" w:cs="Arial"/>
        </w:rPr>
      </w:pPr>
      <w:r w:rsidRPr="004407DC">
        <w:rPr>
          <w:rFonts w:ascii="Arial" w:hAnsi="Arial" w:cs="Arial"/>
        </w:rPr>
        <w:lastRenderedPageBreak/>
        <w:t xml:space="preserve">During each </w:t>
      </w:r>
      <w:proofErr w:type="spellStart"/>
      <w:r w:rsidRPr="004407DC">
        <w:rPr>
          <w:rFonts w:ascii="Arial" w:hAnsi="Arial" w:cs="Arial"/>
        </w:rPr>
        <w:t>photopheresis</w:t>
      </w:r>
      <w:proofErr w:type="spellEnd"/>
      <w:r w:rsidRPr="004407DC">
        <w:rPr>
          <w:rFonts w:ascii="Arial" w:hAnsi="Arial" w:cs="Arial"/>
        </w:rPr>
        <w:t xml:space="preserve"> treatment with UVADEX, the dosage of UVADEX is calculated according to the treatment volume (which is displayed on the display panel of the instrument) using the formula:</w:t>
      </w:r>
    </w:p>
    <w:p w14:paraId="61E90D8C" w14:textId="77777777" w:rsidR="007313E5" w:rsidRPr="004407DC" w:rsidRDefault="007313E5" w:rsidP="000F27A9">
      <w:pPr>
        <w:keepNext/>
        <w:keepLines/>
        <w:spacing w:after="0" w:line="240" w:lineRule="auto"/>
        <w:rPr>
          <w:rFonts w:ascii="Arial" w:hAnsi="Arial" w:cs="Arial"/>
        </w:rPr>
      </w:pPr>
      <w:r w:rsidRPr="004407DC">
        <w:rPr>
          <w:rFonts w:ascii="Arial" w:hAnsi="Arial" w:cs="Arial"/>
        </w:rPr>
        <w:t>Treatment volume x 0.017 mL of UVADEX for each treatment</w:t>
      </w:r>
    </w:p>
    <w:p w14:paraId="44B99424" w14:textId="77777777" w:rsidR="007313E5" w:rsidRPr="004407DC" w:rsidRDefault="007313E5" w:rsidP="000F27A9">
      <w:pPr>
        <w:keepNext/>
        <w:keepLines/>
        <w:rPr>
          <w:rFonts w:ascii="Arial" w:hAnsi="Arial" w:cs="Arial"/>
        </w:rPr>
      </w:pPr>
      <w:r w:rsidRPr="004407DC">
        <w:rPr>
          <w:rFonts w:ascii="Arial" w:hAnsi="Arial" w:cs="Arial"/>
        </w:rPr>
        <w:t>For example: Treatment volume = 240 mL x 0.017 = 4.1 mL of UVADEX</w:t>
      </w:r>
    </w:p>
    <w:p w14:paraId="1E751294" w14:textId="56747961" w:rsidR="007313E5" w:rsidRPr="00224E16" w:rsidRDefault="007313E5" w:rsidP="007313E5">
      <w:pPr>
        <w:rPr>
          <w:rFonts w:ascii="Arial" w:hAnsi="Arial" w:cs="Arial"/>
        </w:rPr>
      </w:pPr>
      <w:r w:rsidRPr="004407DC">
        <w:rPr>
          <w:rFonts w:ascii="Arial" w:hAnsi="Arial" w:cs="Arial"/>
        </w:rPr>
        <w:t xml:space="preserve">The prescribed amount of UVADEX is injected into the </w:t>
      </w:r>
      <w:proofErr w:type="spellStart"/>
      <w:r w:rsidRPr="004407DC">
        <w:rPr>
          <w:rFonts w:ascii="Arial" w:hAnsi="Arial" w:cs="Arial"/>
        </w:rPr>
        <w:t>photoactivation</w:t>
      </w:r>
      <w:proofErr w:type="spellEnd"/>
      <w:r w:rsidRPr="004407DC">
        <w:rPr>
          <w:rFonts w:ascii="Arial" w:hAnsi="Arial" w:cs="Arial"/>
        </w:rPr>
        <w:t xml:space="preserve"> bag prior to the </w:t>
      </w:r>
      <w:proofErr w:type="spellStart"/>
      <w:r w:rsidRPr="004407DC">
        <w:rPr>
          <w:rFonts w:ascii="Arial" w:hAnsi="Arial" w:cs="Arial"/>
        </w:rPr>
        <w:t>photoactivation</w:t>
      </w:r>
      <w:proofErr w:type="spellEnd"/>
      <w:r w:rsidRPr="004407DC">
        <w:rPr>
          <w:rFonts w:ascii="Arial" w:hAnsi="Arial" w:cs="Arial"/>
        </w:rPr>
        <w:t xml:space="preserve"> phase. During </w:t>
      </w:r>
      <w:proofErr w:type="spellStart"/>
      <w:r w:rsidRPr="004407DC">
        <w:rPr>
          <w:rFonts w:ascii="Arial" w:hAnsi="Arial" w:cs="Arial"/>
        </w:rPr>
        <w:t>photoactivation</w:t>
      </w:r>
      <w:proofErr w:type="spellEnd"/>
      <w:r w:rsidRPr="004407DC">
        <w:rPr>
          <w:rFonts w:ascii="Arial" w:hAnsi="Arial" w:cs="Arial"/>
        </w:rPr>
        <w:t xml:space="preserve"> the leukocyte enriched blood is continually circulated through the </w:t>
      </w:r>
      <w:proofErr w:type="spellStart"/>
      <w:r w:rsidRPr="004407DC">
        <w:rPr>
          <w:rFonts w:ascii="Arial" w:hAnsi="Arial" w:cs="Arial"/>
        </w:rPr>
        <w:t>photoactivation</w:t>
      </w:r>
      <w:proofErr w:type="spellEnd"/>
      <w:r w:rsidRPr="004407DC">
        <w:rPr>
          <w:rFonts w:ascii="Arial" w:hAnsi="Arial" w:cs="Arial"/>
        </w:rPr>
        <w:t xml:space="preserve"> module for </w:t>
      </w:r>
      <w:r w:rsidR="00520BA7">
        <w:rPr>
          <w:rFonts w:ascii="Arial" w:hAnsi="Arial" w:cs="Arial"/>
        </w:rPr>
        <w:t xml:space="preserve">the time specified by the device, to </w:t>
      </w:r>
      <w:r w:rsidRPr="004407DC">
        <w:rPr>
          <w:rFonts w:ascii="Arial" w:hAnsi="Arial" w:cs="Arial"/>
        </w:rPr>
        <w:t>a maximum of 90 minutes whilst being exposed to UVA light.</w:t>
      </w:r>
    </w:p>
    <w:p w14:paraId="0C568804" w14:textId="58B1CA0E" w:rsidR="007313E5" w:rsidRPr="004407DC" w:rsidRDefault="007313E5" w:rsidP="007313E5">
      <w:pPr>
        <w:rPr>
          <w:rFonts w:ascii="Arial" w:hAnsi="Arial" w:cs="Arial"/>
        </w:rPr>
      </w:pPr>
      <w:r w:rsidRPr="004407DC">
        <w:rPr>
          <w:rFonts w:ascii="Arial" w:hAnsi="Arial" w:cs="Arial"/>
        </w:rPr>
        <w:t xml:space="preserve">At the end of the </w:t>
      </w:r>
      <w:proofErr w:type="spellStart"/>
      <w:r w:rsidRPr="004407DC">
        <w:rPr>
          <w:rFonts w:ascii="Arial" w:hAnsi="Arial" w:cs="Arial"/>
        </w:rPr>
        <w:t>photoactivation</w:t>
      </w:r>
      <w:proofErr w:type="spellEnd"/>
      <w:r w:rsidRPr="004407DC">
        <w:rPr>
          <w:rFonts w:ascii="Arial" w:hAnsi="Arial" w:cs="Arial"/>
        </w:rPr>
        <w:t xml:space="preserve"> cycle, the </w:t>
      </w:r>
      <w:proofErr w:type="spellStart"/>
      <w:r w:rsidRPr="004407DC">
        <w:rPr>
          <w:rFonts w:ascii="Arial" w:hAnsi="Arial" w:cs="Arial"/>
        </w:rPr>
        <w:t>photoactivated</w:t>
      </w:r>
      <w:proofErr w:type="spellEnd"/>
      <w:r w:rsidRPr="004407DC">
        <w:rPr>
          <w:rFonts w:ascii="Arial" w:hAnsi="Arial" w:cs="Arial"/>
        </w:rPr>
        <w:t xml:space="preserve"> cells are then reinfused into the patient; the recommended reinfusion time is 15 </w:t>
      </w:r>
      <w:r w:rsidR="004754E0">
        <w:rPr>
          <w:rFonts w:ascii="Arial" w:hAnsi="Arial" w:cs="Arial"/>
        </w:rPr>
        <w:t xml:space="preserve">to </w:t>
      </w:r>
      <w:r w:rsidRPr="004407DC">
        <w:rPr>
          <w:rFonts w:ascii="Arial" w:hAnsi="Arial" w:cs="Arial"/>
        </w:rPr>
        <w:t xml:space="preserve">20 minutes. The complete </w:t>
      </w:r>
      <w:proofErr w:type="spellStart"/>
      <w:r w:rsidRPr="004407DC">
        <w:rPr>
          <w:rFonts w:ascii="Arial" w:hAnsi="Arial" w:cs="Arial"/>
        </w:rPr>
        <w:t>photopheresis</w:t>
      </w:r>
      <w:proofErr w:type="spellEnd"/>
      <w:r w:rsidRPr="004407DC">
        <w:rPr>
          <w:rFonts w:ascii="Arial" w:hAnsi="Arial" w:cs="Arial"/>
        </w:rPr>
        <w:t xml:space="preserve"> procedure is up to 3 hours in duration.</w:t>
      </w:r>
    </w:p>
    <w:p w14:paraId="6EACC988" w14:textId="2AA42D35" w:rsidR="007313E5" w:rsidRPr="004407DC" w:rsidRDefault="00A91513" w:rsidP="00C93617">
      <w:pPr>
        <w:pStyle w:val="Heading4"/>
      </w:pPr>
      <w:r>
        <w:t>C</w:t>
      </w:r>
      <w:r w:rsidR="009E1290">
        <w:t xml:space="preserve">hronic </w:t>
      </w:r>
      <w:r w:rsidR="007313E5" w:rsidRPr="004407DC">
        <w:t>Graft versus Host Disease</w:t>
      </w:r>
    </w:p>
    <w:p w14:paraId="563811BF" w14:textId="5AF3B7DB" w:rsidR="007313E5" w:rsidRPr="00224E16" w:rsidRDefault="007313E5" w:rsidP="007313E5">
      <w:pPr>
        <w:rPr>
          <w:rFonts w:ascii="Arial" w:hAnsi="Arial" w:cs="Arial"/>
        </w:rPr>
      </w:pPr>
      <w:r w:rsidRPr="004407DC">
        <w:rPr>
          <w:rFonts w:ascii="Arial" w:hAnsi="Arial" w:cs="Arial"/>
        </w:rPr>
        <w:t xml:space="preserve">Three ECP treatments in the first week then two ECP treatments per week </w:t>
      </w:r>
      <w:r w:rsidR="00DF2BB5">
        <w:rPr>
          <w:rFonts w:ascii="Arial" w:hAnsi="Arial" w:cs="Arial"/>
        </w:rPr>
        <w:t>for at least</w:t>
      </w:r>
      <w:r w:rsidRPr="004407DC">
        <w:rPr>
          <w:rFonts w:ascii="Arial" w:hAnsi="Arial" w:cs="Arial"/>
        </w:rPr>
        <w:t xml:space="preserve"> 12 weeks</w:t>
      </w:r>
      <w:r w:rsidR="00483E9D">
        <w:rPr>
          <w:rFonts w:ascii="Arial" w:hAnsi="Arial" w:cs="Arial"/>
        </w:rPr>
        <w:t>, or as clinically indicated</w:t>
      </w:r>
      <w:r w:rsidRPr="004407DC">
        <w:rPr>
          <w:rFonts w:ascii="Arial" w:hAnsi="Arial" w:cs="Arial"/>
        </w:rPr>
        <w:t xml:space="preserve">. </w:t>
      </w:r>
    </w:p>
    <w:p w14:paraId="400DBBF5" w14:textId="77777777" w:rsidR="007313E5" w:rsidRPr="00881522" w:rsidRDefault="007313E5" w:rsidP="00881522">
      <w:pPr>
        <w:pStyle w:val="Heading3"/>
      </w:pPr>
      <w:r w:rsidRPr="00881522">
        <w:t>Dosage in special populations</w:t>
      </w:r>
    </w:p>
    <w:p w14:paraId="69F06B3C" w14:textId="77777777" w:rsidR="007313E5" w:rsidRPr="004407DC" w:rsidRDefault="007313E5" w:rsidP="007313E5">
      <w:pPr>
        <w:rPr>
          <w:rFonts w:ascii="Arial" w:hAnsi="Arial" w:cs="Arial"/>
        </w:rPr>
      </w:pPr>
      <w:r w:rsidRPr="004407DC">
        <w:rPr>
          <w:rFonts w:ascii="Arial" w:hAnsi="Arial" w:cs="Arial"/>
        </w:rPr>
        <w:t>UVADEX has not been clinically evaluated in patients with renal or hepatic impairment (</w:t>
      </w:r>
      <w:r w:rsidRPr="004407DC">
        <w:rPr>
          <w:rFonts w:ascii="Arial" w:hAnsi="Arial" w:cs="Arial"/>
          <w:i/>
        </w:rPr>
        <w:t>see Section 4.4: Special Warnings and Precautions for Use</w:t>
      </w:r>
      <w:r w:rsidRPr="004407DC">
        <w:rPr>
          <w:rFonts w:ascii="Arial" w:hAnsi="Arial" w:cs="Arial"/>
        </w:rPr>
        <w:t>).</w:t>
      </w:r>
    </w:p>
    <w:p w14:paraId="474ED6B5" w14:textId="77777777" w:rsidR="007313E5" w:rsidRPr="00881522" w:rsidRDefault="007313E5" w:rsidP="00881522">
      <w:pPr>
        <w:pStyle w:val="Heading3"/>
      </w:pPr>
      <w:r w:rsidRPr="00881522">
        <w:t>Instructions for use / handling</w:t>
      </w:r>
    </w:p>
    <w:p w14:paraId="368FA589" w14:textId="77777777" w:rsidR="007313E5" w:rsidRPr="004407DC" w:rsidRDefault="007313E5" w:rsidP="007313E5">
      <w:pPr>
        <w:rPr>
          <w:rFonts w:ascii="Arial" w:hAnsi="Arial" w:cs="Arial"/>
        </w:rPr>
      </w:pPr>
      <w:r w:rsidRPr="004407DC">
        <w:rPr>
          <w:rFonts w:ascii="Arial" w:hAnsi="Arial" w:cs="Arial"/>
        </w:rPr>
        <w:t>Do not inject directly into patients.</w:t>
      </w:r>
    </w:p>
    <w:p w14:paraId="3FCE530F" w14:textId="20A24FF8" w:rsidR="007313E5" w:rsidRPr="00224E16" w:rsidRDefault="007313E5" w:rsidP="007313E5">
      <w:pPr>
        <w:rPr>
          <w:rFonts w:ascii="Arial" w:hAnsi="Arial" w:cs="Arial"/>
        </w:rPr>
      </w:pPr>
      <w:r w:rsidRPr="00224E16">
        <w:rPr>
          <w:rFonts w:ascii="Arial" w:hAnsi="Arial" w:cs="Arial"/>
        </w:rPr>
        <w:t xml:space="preserve">UVADEX should not be diluted. The calculated dosage of the vial contents should be injected into the THERAKOS CELLEX </w:t>
      </w:r>
      <w:proofErr w:type="spellStart"/>
      <w:r w:rsidRPr="00224E16">
        <w:rPr>
          <w:rFonts w:ascii="Arial" w:hAnsi="Arial" w:cs="Arial"/>
        </w:rPr>
        <w:t>Photopheresis</w:t>
      </w:r>
      <w:proofErr w:type="spellEnd"/>
      <w:r w:rsidRPr="00224E16">
        <w:rPr>
          <w:rFonts w:ascii="Arial" w:hAnsi="Arial" w:cs="Arial"/>
        </w:rPr>
        <w:t xml:space="preserve"> System immediately after be</w:t>
      </w:r>
      <w:r w:rsidR="004407DC">
        <w:rPr>
          <w:rFonts w:ascii="Arial" w:hAnsi="Arial" w:cs="Arial"/>
        </w:rPr>
        <w:t>ing drawn up into a syringe.</w:t>
      </w:r>
    </w:p>
    <w:p w14:paraId="69553B91" w14:textId="77777777" w:rsidR="007313E5" w:rsidRPr="004407DC" w:rsidRDefault="007313E5" w:rsidP="007313E5">
      <w:pPr>
        <w:rPr>
          <w:rFonts w:ascii="Arial" w:hAnsi="Arial" w:cs="Arial"/>
        </w:rPr>
      </w:pPr>
      <w:r w:rsidRPr="004407DC">
        <w:rPr>
          <w:rFonts w:ascii="Arial" w:hAnsi="Arial" w:cs="Arial"/>
        </w:rPr>
        <w:t xml:space="preserve">The THERAKOS CELLEX </w:t>
      </w:r>
      <w:proofErr w:type="spellStart"/>
      <w:r w:rsidRPr="004407DC">
        <w:rPr>
          <w:rFonts w:ascii="Arial" w:hAnsi="Arial" w:cs="Arial"/>
        </w:rPr>
        <w:t>Photopheresis</w:t>
      </w:r>
      <w:proofErr w:type="spellEnd"/>
      <w:r w:rsidRPr="004407DC">
        <w:rPr>
          <w:rFonts w:ascii="Arial" w:hAnsi="Arial" w:cs="Arial"/>
        </w:rPr>
        <w:t xml:space="preserve"> System Operator’s Manual should be consulted before using this medicinal product.</w:t>
      </w:r>
    </w:p>
    <w:p w14:paraId="05DB10B5" w14:textId="77777777" w:rsidR="007313E5" w:rsidRPr="004407DC" w:rsidRDefault="007313E5" w:rsidP="007313E5">
      <w:pPr>
        <w:rPr>
          <w:rFonts w:ascii="Arial" w:hAnsi="Arial" w:cs="Arial"/>
        </w:rPr>
      </w:pPr>
      <w:r w:rsidRPr="004407DC">
        <w:rPr>
          <w:rFonts w:ascii="Arial" w:hAnsi="Arial" w:cs="Arial"/>
        </w:rPr>
        <w:t>UVADEX held in a syringe for more than one hour should be discarded.</w:t>
      </w:r>
    </w:p>
    <w:p w14:paraId="401C99DD" w14:textId="4A2F1C2B" w:rsidR="001A3992" w:rsidRPr="004407DC" w:rsidRDefault="00D13044" w:rsidP="001A3992">
      <w:pPr>
        <w:pStyle w:val="Heading2"/>
        <w:spacing w:before="0" w:after="120"/>
        <w:rPr>
          <w:rFonts w:ascii="Arial" w:hAnsi="Arial" w:cs="Arial"/>
          <w:sz w:val="22"/>
        </w:rPr>
      </w:pPr>
      <w:r w:rsidRPr="004407DC">
        <w:rPr>
          <w:rFonts w:ascii="Arial" w:hAnsi="Arial" w:cs="Arial"/>
          <w:sz w:val="22"/>
        </w:rPr>
        <w:t>CONTRAINDICATIONS</w:t>
      </w:r>
    </w:p>
    <w:p w14:paraId="24479046" w14:textId="77777777" w:rsidR="007313E5" w:rsidRPr="00224E16" w:rsidRDefault="007313E5" w:rsidP="007313E5">
      <w:pPr>
        <w:pStyle w:val="Pa1"/>
        <w:numPr>
          <w:ilvl w:val="0"/>
          <w:numId w:val="11"/>
        </w:numPr>
        <w:spacing w:line="240" w:lineRule="auto"/>
        <w:rPr>
          <w:rFonts w:ascii="Arial" w:hAnsi="Arial" w:cs="Arial"/>
          <w:color w:val="211D1E"/>
          <w:sz w:val="22"/>
          <w:szCs w:val="22"/>
          <w:lang w:val="en-AU"/>
        </w:rPr>
      </w:pPr>
      <w:r w:rsidRPr="004407DC">
        <w:rPr>
          <w:rFonts w:ascii="Arial" w:hAnsi="Arial" w:cs="Arial"/>
          <w:color w:val="211D1E"/>
          <w:sz w:val="22"/>
          <w:szCs w:val="22"/>
          <w:lang w:val="en-AU"/>
        </w:rPr>
        <w:t xml:space="preserve">History of idiosyncratic or hypersensitivity reaction to </w:t>
      </w:r>
      <w:proofErr w:type="spellStart"/>
      <w:r w:rsidRPr="004407DC">
        <w:rPr>
          <w:rFonts w:ascii="Arial" w:hAnsi="Arial" w:cs="Arial"/>
          <w:color w:val="211D1E"/>
          <w:sz w:val="22"/>
          <w:szCs w:val="22"/>
          <w:lang w:val="en-AU"/>
        </w:rPr>
        <w:t>methoxsalen</w:t>
      </w:r>
      <w:proofErr w:type="spellEnd"/>
      <w:r w:rsidRPr="004407DC">
        <w:rPr>
          <w:rFonts w:ascii="Arial" w:hAnsi="Arial" w:cs="Arial"/>
          <w:color w:val="211D1E"/>
          <w:sz w:val="22"/>
          <w:szCs w:val="22"/>
          <w:lang w:val="en-AU"/>
        </w:rPr>
        <w:t>, psoralen compounds or any of the excipients</w:t>
      </w:r>
      <w:r w:rsidRPr="00224E16">
        <w:rPr>
          <w:rFonts w:ascii="Arial" w:hAnsi="Arial" w:cs="Arial"/>
          <w:color w:val="211D1E"/>
          <w:sz w:val="22"/>
          <w:szCs w:val="22"/>
          <w:lang w:val="en-AU"/>
        </w:rPr>
        <w:t xml:space="preserve"> of UVADEX</w:t>
      </w:r>
    </w:p>
    <w:p w14:paraId="687690DD" w14:textId="77777777" w:rsidR="007313E5" w:rsidRPr="00126A96" w:rsidRDefault="007313E5" w:rsidP="007313E5">
      <w:pPr>
        <w:pStyle w:val="Pa1"/>
        <w:numPr>
          <w:ilvl w:val="0"/>
          <w:numId w:val="11"/>
        </w:numPr>
        <w:spacing w:line="240" w:lineRule="auto"/>
        <w:rPr>
          <w:rFonts w:ascii="Arial" w:hAnsi="Arial" w:cs="Arial"/>
          <w:color w:val="211D1E"/>
          <w:sz w:val="22"/>
          <w:szCs w:val="22"/>
          <w:lang w:val="en-AU"/>
        </w:rPr>
      </w:pPr>
      <w:r w:rsidRPr="00126A96">
        <w:rPr>
          <w:rFonts w:ascii="Arial" w:hAnsi="Arial" w:cs="Arial"/>
          <w:color w:val="211D1E"/>
          <w:sz w:val="22"/>
          <w:szCs w:val="22"/>
          <w:lang w:val="en-AU"/>
        </w:rPr>
        <w:t>Co</w:t>
      </w:r>
      <w:r w:rsidRPr="00126A96">
        <w:rPr>
          <w:rFonts w:ascii="Arial" w:hAnsi="Arial" w:cs="Arial"/>
          <w:color w:val="211D1E"/>
          <w:sz w:val="22"/>
          <w:szCs w:val="22"/>
          <w:lang w:val="en-AU"/>
        </w:rPr>
        <w:noBreakHyphen/>
        <w:t>existing melanoma, basal cell or squamous cell skin carcinoma</w:t>
      </w:r>
    </w:p>
    <w:p w14:paraId="27A05A69" w14:textId="77777777" w:rsidR="007313E5" w:rsidRPr="00F832A6" w:rsidRDefault="007313E5" w:rsidP="007313E5">
      <w:pPr>
        <w:pStyle w:val="Pa1"/>
        <w:numPr>
          <w:ilvl w:val="0"/>
          <w:numId w:val="11"/>
        </w:numPr>
        <w:spacing w:line="240" w:lineRule="auto"/>
        <w:rPr>
          <w:rFonts w:ascii="Arial" w:hAnsi="Arial" w:cs="Arial"/>
          <w:color w:val="211D1E"/>
          <w:sz w:val="22"/>
          <w:szCs w:val="22"/>
          <w:lang w:val="en-AU"/>
        </w:rPr>
      </w:pPr>
      <w:r w:rsidRPr="00F832A6">
        <w:rPr>
          <w:rFonts w:ascii="Arial" w:hAnsi="Arial" w:cs="Arial"/>
          <w:color w:val="211D1E"/>
          <w:sz w:val="22"/>
          <w:szCs w:val="22"/>
          <w:lang w:val="en-AU"/>
        </w:rPr>
        <w:t>Use by sexually active men and women of childbearing potential unless adequate contraception is used during treatment (</w:t>
      </w:r>
      <w:r w:rsidRPr="00F832A6">
        <w:rPr>
          <w:rFonts w:ascii="Arial" w:hAnsi="Arial" w:cs="Arial"/>
          <w:i/>
          <w:iCs/>
          <w:color w:val="211D1E"/>
          <w:sz w:val="22"/>
          <w:szCs w:val="22"/>
          <w:lang w:val="en-AU"/>
        </w:rPr>
        <w:t>see Section 4.4: Special Warnings and Precautions for Use</w:t>
      </w:r>
      <w:r w:rsidRPr="00F832A6">
        <w:rPr>
          <w:rFonts w:ascii="Arial" w:hAnsi="Arial" w:cs="Arial"/>
          <w:color w:val="211D1E"/>
          <w:sz w:val="22"/>
          <w:szCs w:val="22"/>
          <w:lang w:val="en-AU"/>
        </w:rPr>
        <w:t>)</w:t>
      </w:r>
    </w:p>
    <w:p w14:paraId="4DB925BE" w14:textId="77777777" w:rsidR="007313E5" w:rsidRPr="00A04806" w:rsidRDefault="007313E5" w:rsidP="007313E5">
      <w:pPr>
        <w:pStyle w:val="Pa1"/>
        <w:numPr>
          <w:ilvl w:val="0"/>
          <w:numId w:val="11"/>
        </w:numPr>
        <w:spacing w:line="240" w:lineRule="auto"/>
        <w:rPr>
          <w:rFonts w:ascii="Arial" w:hAnsi="Arial" w:cs="Arial"/>
          <w:color w:val="211D1E"/>
          <w:sz w:val="22"/>
          <w:szCs w:val="22"/>
          <w:lang w:val="en-AU"/>
        </w:rPr>
      </w:pPr>
      <w:r w:rsidRPr="00A04806">
        <w:rPr>
          <w:rFonts w:ascii="Arial" w:hAnsi="Arial" w:cs="Arial"/>
          <w:color w:val="211D1E"/>
          <w:sz w:val="22"/>
          <w:szCs w:val="22"/>
          <w:lang w:val="en-AU"/>
        </w:rPr>
        <w:t>Pregnancy and lactation</w:t>
      </w:r>
    </w:p>
    <w:p w14:paraId="52E9BB52" w14:textId="77777777" w:rsidR="007313E5" w:rsidRPr="002D3A58" w:rsidRDefault="007313E5" w:rsidP="007313E5">
      <w:pPr>
        <w:pStyle w:val="Pa1"/>
        <w:numPr>
          <w:ilvl w:val="0"/>
          <w:numId w:val="11"/>
        </w:numPr>
        <w:spacing w:line="240" w:lineRule="auto"/>
        <w:rPr>
          <w:rFonts w:ascii="Arial" w:hAnsi="Arial" w:cs="Arial"/>
          <w:color w:val="211D1E"/>
          <w:sz w:val="22"/>
          <w:szCs w:val="22"/>
          <w:lang w:val="en-AU"/>
        </w:rPr>
      </w:pPr>
      <w:proofErr w:type="spellStart"/>
      <w:r w:rsidRPr="002D3A58">
        <w:rPr>
          <w:rFonts w:ascii="Arial" w:hAnsi="Arial" w:cs="Arial"/>
          <w:color w:val="211D1E"/>
          <w:sz w:val="22"/>
          <w:szCs w:val="22"/>
          <w:lang w:val="en-AU"/>
        </w:rPr>
        <w:t>Aphakia</w:t>
      </w:r>
      <w:proofErr w:type="spellEnd"/>
    </w:p>
    <w:p w14:paraId="5C8156DB" w14:textId="5CE2BF74" w:rsidR="007313E5" w:rsidRPr="004407DC" w:rsidRDefault="007313E5" w:rsidP="00C02348">
      <w:pPr>
        <w:pStyle w:val="Pa1"/>
        <w:pageBreakBefore/>
        <w:spacing w:before="240" w:after="180" w:line="240" w:lineRule="auto"/>
        <w:ind w:left="357"/>
        <w:rPr>
          <w:rFonts w:ascii="Arial" w:hAnsi="Arial" w:cs="Arial"/>
          <w:color w:val="211D1E"/>
          <w:sz w:val="22"/>
          <w:szCs w:val="22"/>
          <w:lang w:val="en-AU"/>
        </w:rPr>
      </w:pPr>
      <w:r w:rsidRPr="004407DC">
        <w:rPr>
          <w:rFonts w:ascii="Arial" w:hAnsi="Arial" w:cs="Arial"/>
          <w:color w:val="211D1E"/>
          <w:sz w:val="22"/>
          <w:szCs w:val="22"/>
          <w:lang w:val="en-AU"/>
        </w:rPr>
        <w:lastRenderedPageBreak/>
        <w:t xml:space="preserve">Contraindications to the </w:t>
      </w:r>
      <w:proofErr w:type="spellStart"/>
      <w:r w:rsidRPr="004407DC">
        <w:rPr>
          <w:rFonts w:ascii="Arial" w:hAnsi="Arial" w:cs="Arial"/>
          <w:color w:val="211D1E"/>
          <w:sz w:val="22"/>
          <w:szCs w:val="22"/>
          <w:lang w:val="en-AU"/>
        </w:rPr>
        <w:t>photopheresis</w:t>
      </w:r>
      <w:proofErr w:type="spellEnd"/>
      <w:r w:rsidRPr="004407DC">
        <w:rPr>
          <w:rFonts w:ascii="Arial" w:hAnsi="Arial" w:cs="Arial"/>
          <w:color w:val="211D1E"/>
          <w:sz w:val="22"/>
          <w:szCs w:val="22"/>
          <w:lang w:val="en-AU"/>
        </w:rPr>
        <w:t xml:space="preserve"> procedure:</w:t>
      </w:r>
    </w:p>
    <w:p w14:paraId="68EDFFE0" w14:textId="310AB36A" w:rsidR="007313E5" w:rsidRPr="00224E16" w:rsidRDefault="004407DC" w:rsidP="007313E5">
      <w:pPr>
        <w:pStyle w:val="Pa1"/>
        <w:numPr>
          <w:ilvl w:val="0"/>
          <w:numId w:val="11"/>
        </w:numPr>
        <w:spacing w:line="240" w:lineRule="auto"/>
        <w:rPr>
          <w:rFonts w:ascii="Arial" w:hAnsi="Arial" w:cs="Arial"/>
          <w:color w:val="211D1E"/>
          <w:sz w:val="22"/>
          <w:szCs w:val="22"/>
          <w:lang w:val="en-AU"/>
        </w:rPr>
      </w:pPr>
      <w:r>
        <w:rPr>
          <w:rFonts w:ascii="Arial" w:hAnsi="Arial" w:cs="Arial"/>
          <w:color w:val="211D1E"/>
          <w:sz w:val="22"/>
          <w:szCs w:val="22"/>
          <w:lang w:val="en-AU"/>
        </w:rPr>
        <w:t>Photosensitive disease</w:t>
      </w:r>
    </w:p>
    <w:p w14:paraId="0D7E18EF" w14:textId="77777777" w:rsidR="007313E5" w:rsidRPr="00F832A6" w:rsidRDefault="007313E5" w:rsidP="007313E5">
      <w:pPr>
        <w:pStyle w:val="Pa1"/>
        <w:numPr>
          <w:ilvl w:val="0"/>
          <w:numId w:val="11"/>
        </w:numPr>
        <w:spacing w:line="240" w:lineRule="auto"/>
        <w:rPr>
          <w:rFonts w:ascii="Arial" w:hAnsi="Arial" w:cs="Arial"/>
          <w:color w:val="211D1E"/>
          <w:sz w:val="22"/>
          <w:szCs w:val="22"/>
          <w:lang w:val="en-AU"/>
        </w:rPr>
      </w:pPr>
      <w:r w:rsidRPr="00126A96">
        <w:rPr>
          <w:rFonts w:ascii="Arial" w:hAnsi="Arial" w:cs="Arial"/>
          <w:color w:val="211D1E"/>
          <w:sz w:val="22"/>
          <w:szCs w:val="22"/>
          <w:lang w:val="en-AU"/>
        </w:rPr>
        <w:t>Inability to tolerate extracorporeal volume loss (e.g. due to severe cardiac disease, severe anaemia, etc.)</w:t>
      </w:r>
    </w:p>
    <w:p w14:paraId="398F3329" w14:textId="77777777" w:rsidR="007313E5" w:rsidRPr="00F832A6" w:rsidRDefault="007313E5" w:rsidP="007313E5">
      <w:pPr>
        <w:pStyle w:val="Pa1"/>
        <w:numPr>
          <w:ilvl w:val="0"/>
          <w:numId w:val="11"/>
        </w:numPr>
        <w:spacing w:line="240" w:lineRule="auto"/>
        <w:rPr>
          <w:rFonts w:ascii="Arial" w:hAnsi="Arial" w:cs="Arial"/>
          <w:color w:val="211D1E"/>
          <w:sz w:val="22"/>
          <w:szCs w:val="22"/>
          <w:lang w:val="en-AU"/>
        </w:rPr>
      </w:pPr>
      <w:r w:rsidRPr="00F832A6">
        <w:rPr>
          <w:rFonts w:ascii="Arial" w:hAnsi="Arial" w:cs="Arial"/>
          <w:color w:val="211D1E"/>
          <w:sz w:val="22"/>
          <w:szCs w:val="22"/>
          <w:lang w:val="en-AU"/>
        </w:rPr>
        <w:t xml:space="preserve">White blood cell </w:t>
      </w:r>
      <w:proofErr w:type="gramStart"/>
      <w:r w:rsidRPr="00F832A6">
        <w:rPr>
          <w:rFonts w:ascii="Arial" w:hAnsi="Arial" w:cs="Arial"/>
          <w:color w:val="211D1E"/>
          <w:sz w:val="22"/>
          <w:szCs w:val="22"/>
          <w:lang w:val="en-AU"/>
        </w:rPr>
        <w:t>count</w:t>
      </w:r>
      <w:proofErr w:type="gramEnd"/>
      <w:r w:rsidRPr="00F832A6">
        <w:rPr>
          <w:rFonts w:ascii="Arial" w:hAnsi="Arial" w:cs="Arial"/>
          <w:color w:val="211D1E"/>
          <w:sz w:val="22"/>
          <w:szCs w:val="22"/>
          <w:lang w:val="en-AU"/>
        </w:rPr>
        <w:t xml:space="preserve"> greater than 25,000 mm</w:t>
      </w:r>
      <w:r w:rsidRPr="00F832A6">
        <w:rPr>
          <w:rFonts w:ascii="Arial" w:hAnsi="Arial" w:cs="Arial"/>
          <w:color w:val="211D1E"/>
          <w:sz w:val="22"/>
          <w:szCs w:val="22"/>
          <w:vertAlign w:val="superscript"/>
          <w:lang w:val="en-AU"/>
        </w:rPr>
        <w:t>3</w:t>
      </w:r>
    </w:p>
    <w:p w14:paraId="45AA776C" w14:textId="77777777" w:rsidR="007313E5" w:rsidRPr="00A04806" w:rsidRDefault="007313E5" w:rsidP="007313E5">
      <w:pPr>
        <w:pStyle w:val="Pa1"/>
        <w:numPr>
          <w:ilvl w:val="0"/>
          <w:numId w:val="11"/>
        </w:numPr>
        <w:spacing w:line="240" w:lineRule="auto"/>
        <w:rPr>
          <w:rFonts w:ascii="Arial" w:hAnsi="Arial" w:cs="Arial"/>
          <w:color w:val="211D1E"/>
          <w:sz w:val="22"/>
          <w:szCs w:val="22"/>
          <w:lang w:val="en-AU"/>
        </w:rPr>
      </w:pPr>
      <w:r w:rsidRPr="00A04806">
        <w:rPr>
          <w:rFonts w:ascii="Arial" w:hAnsi="Arial" w:cs="Arial"/>
          <w:color w:val="211D1E"/>
          <w:sz w:val="22"/>
          <w:szCs w:val="22"/>
          <w:lang w:val="en-AU"/>
        </w:rPr>
        <w:t>Previous splenectomy</w:t>
      </w:r>
    </w:p>
    <w:p w14:paraId="37B447AC" w14:textId="3B1EE2FB" w:rsidR="007313E5" w:rsidRPr="00881522" w:rsidRDefault="007313E5" w:rsidP="00881522">
      <w:pPr>
        <w:pStyle w:val="Pa1"/>
        <w:numPr>
          <w:ilvl w:val="0"/>
          <w:numId w:val="11"/>
        </w:numPr>
        <w:spacing w:line="240" w:lineRule="auto"/>
        <w:rPr>
          <w:rFonts w:ascii="Arial" w:hAnsi="Arial" w:cs="Arial"/>
          <w:color w:val="211D1E"/>
          <w:sz w:val="22"/>
          <w:szCs w:val="22"/>
          <w:lang w:val="en-AU"/>
        </w:rPr>
      </w:pPr>
      <w:r w:rsidRPr="00881522">
        <w:rPr>
          <w:rFonts w:ascii="Arial" w:hAnsi="Arial" w:cs="Arial"/>
          <w:color w:val="211D1E"/>
          <w:sz w:val="22"/>
          <w:szCs w:val="22"/>
          <w:lang w:val="en-AU"/>
        </w:rPr>
        <w:t>Coagulation disorders</w:t>
      </w:r>
    </w:p>
    <w:p w14:paraId="7F00E18A" w14:textId="5214537C" w:rsidR="001A3992" w:rsidRPr="004407DC" w:rsidRDefault="00D13044" w:rsidP="00C02348">
      <w:pPr>
        <w:pStyle w:val="Heading2"/>
        <w:spacing w:after="120"/>
        <w:ind w:left="578" w:hanging="578"/>
        <w:rPr>
          <w:rFonts w:ascii="Arial" w:hAnsi="Arial" w:cs="Arial"/>
          <w:sz w:val="22"/>
        </w:rPr>
      </w:pPr>
      <w:r w:rsidRPr="004407DC">
        <w:rPr>
          <w:rFonts w:ascii="Arial" w:hAnsi="Arial" w:cs="Arial"/>
          <w:sz w:val="22"/>
        </w:rPr>
        <w:t>SPECIAL WARNINGS AND PRECAUTIONS FOR USE</w:t>
      </w:r>
    </w:p>
    <w:p w14:paraId="5FD971B4" w14:textId="73987A7E" w:rsidR="007313E5" w:rsidRPr="00F832A6" w:rsidRDefault="007313E5" w:rsidP="007313E5">
      <w:pPr>
        <w:widowControl w:val="0"/>
        <w:autoSpaceDE w:val="0"/>
        <w:autoSpaceDN w:val="0"/>
        <w:adjustRightInd w:val="0"/>
        <w:spacing w:line="201" w:lineRule="atLeast"/>
        <w:jc w:val="both"/>
        <w:rPr>
          <w:rFonts w:ascii="Arial" w:hAnsi="Arial" w:cs="Arial"/>
          <w:color w:val="211D1E"/>
        </w:rPr>
      </w:pPr>
      <w:r w:rsidRPr="00224E16">
        <w:rPr>
          <w:rFonts w:ascii="Arial" w:hAnsi="Arial" w:cs="Arial"/>
          <w:color w:val="211D1E"/>
        </w:rPr>
        <w:t xml:space="preserve">Only physicians who have special competence in the diagnosis and treatment of </w:t>
      </w:r>
      <w:proofErr w:type="spellStart"/>
      <w:r w:rsidR="00322865">
        <w:rPr>
          <w:rFonts w:ascii="Arial" w:hAnsi="Arial" w:cs="Arial"/>
          <w:color w:val="211D1E"/>
        </w:rPr>
        <w:t>c</w:t>
      </w:r>
      <w:r w:rsidRPr="00224E16">
        <w:rPr>
          <w:rFonts w:ascii="Arial" w:hAnsi="Arial" w:cs="Arial"/>
          <w:color w:val="211D1E"/>
        </w:rPr>
        <w:t>GVHD</w:t>
      </w:r>
      <w:proofErr w:type="spellEnd"/>
      <w:r w:rsidRPr="00224E16">
        <w:rPr>
          <w:rFonts w:ascii="Arial" w:hAnsi="Arial" w:cs="Arial"/>
          <w:color w:val="211D1E"/>
        </w:rPr>
        <w:t xml:space="preserve"> and who have special training and experience with the THERAKOS CELLEX </w:t>
      </w:r>
      <w:proofErr w:type="spellStart"/>
      <w:r w:rsidRPr="00224E16">
        <w:rPr>
          <w:rFonts w:ascii="Arial" w:hAnsi="Arial" w:cs="Arial"/>
          <w:color w:val="211D1E"/>
        </w:rPr>
        <w:t>Photopheresis</w:t>
      </w:r>
      <w:proofErr w:type="spellEnd"/>
      <w:r w:rsidRPr="00224E16">
        <w:rPr>
          <w:rFonts w:ascii="Arial" w:hAnsi="Arial" w:cs="Arial"/>
          <w:color w:val="211D1E"/>
        </w:rPr>
        <w:t xml:space="preserve"> System should use UVADEX. Psoralen and ultraviolet radiation therapy should be under constant supervision of such a physician. Because of the possibilities of ocular damag</w:t>
      </w:r>
      <w:r w:rsidRPr="00126A96">
        <w:rPr>
          <w:rFonts w:ascii="Arial" w:hAnsi="Arial" w:cs="Arial"/>
          <w:color w:val="211D1E"/>
        </w:rPr>
        <w:t xml:space="preserve">e, the patient should be fully informed by the physician of the risks inherent in this therapy. UVADEX should only be used </w:t>
      </w:r>
      <w:r w:rsidRPr="00126A96">
        <w:rPr>
          <w:rFonts w:ascii="Arial" w:hAnsi="Arial" w:cs="Arial"/>
          <w:i/>
          <w:iCs/>
          <w:color w:val="211D1E"/>
        </w:rPr>
        <w:t xml:space="preserve">ex vivo </w:t>
      </w:r>
      <w:r w:rsidRPr="00F832A6">
        <w:rPr>
          <w:rFonts w:ascii="Arial" w:hAnsi="Arial" w:cs="Arial"/>
          <w:iCs/>
          <w:color w:val="211D1E"/>
        </w:rPr>
        <w:t>and</w:t>
      </w:r>
      <w:r w:rsidRPr="00F832A6">
        <w:rPr>
          <w:rFonts w:ascii="Arial" w:hAnsi="Arial" w:cs="Arial"/>
          <w:i/>
          <w:iCs/>
          <w:color w:val="211D1E"/>
        </w:rPr>
        <w:t xml:space="preserve"> </w:t>
      </w:r>
      <w:r w:rsidRPr="00F832A6">
        <w:rPr>
          <w:rFonts w:ascii="Arial" w:hAnsi="Arial" w:cs="Arial"/>
          <w:color w:val="211D1E"/>
        </w:rPr>
        <w:t xml:space="preserve">administered directly into the </w:t>
      </w:r>
      <w:proofErr w:type="spellStart"/>
      <w:r w:rsidRPr="00F832A6">
        <w:rPr>
          <w:rFonts w:ascii="Arial" w:hAnsi="Arial" w:cs="Arial"/>
          <w:color w:val="211D1E"/>
        </w:rPr>
        <w:t>photoactivation</w:t>
      </w:r>
      <w:proofErr w:type="spellEnd"/>
      <w:r w:rsidRPr="00F832A6">
        <w:rPr>
          <w:rFonts w:ascii="Arial" w:hAnsi="Arial" w:cs="Arial"/>
          <w:color w:val="211D1E"/>
        </w:rPr>
        <w:t xml:space="preserve"> bag. </w:t>
      </w:r>
      <w:r w:rsidR="00516F8B">
        <w:rPr>
          <w:rFonts w:ascii="Arial" w:hAnsi="Arial" w:cs="Arial"/>
          <w:color w:val="211D1E"/>
        </w:rPr>
        <w:t xml:space="preserve">Visually inspect for haemolysis. </w:t>
      </w:r>
      <w:r w:rsidRPr="00F832A6">
        <w:rPr>
          <w:rFonts w:ascii="Arial" w:hAnsi="Arial" w:cs="Arial"/>
          <w:color w:val="211D1E"/>
        </w:rPr>
        <w:t xml:space="preserve">In the event of unscheduled damage to the blood during the </w:t>
      </w:r>
      <w:proofErr w:type="spellStart"/>
      <w:r w:rsidRPr="00F832A6">
        <w:rPr>
          <w:rFonts w:ascii="Arial" w:hAnsi="Arial" w:cs="Arial"/>
          <w:color w:val="211D1E"/>
        </w:rPr>
        <w:t>photopheresis</w:t>
      </w:r>
      <w:proofErr w:type="spellEnd"/>
      <w:r w:rsidRPr="00F832A6">
        <w:rPr>
          <w:rFonts w:ascii="Arial" w:hAnsi="Arial" w:cs="Arial"/>
          <w:color w:val="211D1E"/>
        </w:rPr>
        <w:t xml:space="preserve"> procedure (e.g. &gt;43ºC alarm sounding), the fractionated blood should only be reinfused into the patient if haemolysis has not occurred.</w:t>
      </w:r>
    </w:p>
    <w:p w14:paraId="7C537A1A" w14:textId="25A17B8F" w:rsidR="007313E5" w:rsidRPr="00A04806" w:rsidRDefault="00B8611B" w:rsidP="00CA213D">
      <w:pPr>
        <w:widowControl w:val="0"/>
        <w:autoSpaceDE w:val="0"/>
        <w:autoSpaceDN w:val="0"/>
        <w:adjustRightInd w:val="0"/>
        <w:spacing w:line="201" w:lineRule="atLeast"/>
        <w:jc w:val="both"/>
        <w:rPr>
          <w:rFonts w:ascii="Arial" w:hAnsi="Arial" w:cs="Arial"/>
          <w:color w:val="211D1E"/>
        </w:rPr>
      </w:pPr>
      <w:r w:rsidRPr="00F832A6">
        <w:rPr>
          <w:rFonts w:ascii="Arial" w:hAnsi="Arial" w:cs="Arial"/>
          <w:i/>
          <w:color w:val="211D1E"/>
        </w:rPr>
        <w:t>Contraceptive precautions</w:t>
      </w:r>
      <w:r w:rsidR="00D13044" w:rsidRPr="00F832A6">
        <w:rPr>
          <w:rFonts w:ascii="Arial" w:hAnsi="Arial" w:cs="Arial"/>
          <w:i/>
          <w:color w:val="211D1E"/>
        </w:rPr>
        <w:t xml:space="preserve">: </w:t>
      </w:r>
      <w:r w:rsidR="007313E5" w:rsidRPr="00F832A6">
        <w:rPr>
          <w:rFonts w:ascii="Arial" w:hAnsi="Arial" w:cs="Arial"/>
          <w:color w:val="211D1E"/>
        </w:rPr>
        <w:t xml:space="preserve">Both men and women who are being treated with UVADEX should take adequate contraceptive precautions both during and after completion of </w:t>
      </w:r>
      <w:proofErr w:type="spellStart"/>
      <w:r w:rsidR="007313E5" w:rsidRPr="00F832A6">
        <w:rPr>
          <w:rFonts w:ascii="Arial" w:hAnsi="Arial" w:cs="Arial"/>
          <w:color w:val="211D1E"/>
        </w:rPr>
        <w:t>photopheresis</w:t>
      </w:r>
      <w:proofErr w:type="spellEnd"/>
      <w:r w:rsidR="007313E5" w:rsidRPr="00F832A6">
        <w:rPr>
          <w:rFonts w:ascii="Arial" w:hAnsi="Arial" w:cs="Arial"/>
          <w:color w:val="211D1E"/>
        </w:rPr>
        <w:t xml:space="preserve"> treatment.</w:t>
      </w:r>
    </w:p>
    <w:p w14:paraId="342C0C59" w14:textId="4273C117" w:rsidR="007313E5" w:rsidRPr="004F527F" w:rsidRDefault="00B8611B" w:rsidP="00CA213D">
      <w:pPr>
        <w:widowControl w:val="0"/>
        <w:autoSpaceDE w:val="0"/>
        <w:autoSpaceDN w:val="0"/>
        <w:adjustRightInd w:val="0"/>
        <w:spacing w:line="201" w:lineRule="atLeast"/>
        <w:jc w:val="both"/>
        <w:rPr>
          <w:rFonts w:ascii="Arial" w:hAnsi="Arial" w:cs="Arial"/>
          <w:color w:val="211D1E"/>
        </w:rPr>
      </w:pPr>
      <w:proofErr w:type="spellStart"/>
      <w:r w:rsidRPr="002D3A58">
        <w:rPr>
          <w:rFonts w:ascii="Arial" w:hAnsi="Arial" w:cs="Arial"/>
          <w:i/>
          <w:color w:val="211D1E"/>
        </w:rPr>
        <w:t>Cataractogenicity</w:t>
      </w:r>
      <w:proofErr w:type="spellEnd"/>
      <w:r w:rsidR="00D13044" w:rsidRPr="002D3A58">
        <w:rPr>
          <w:rFonts w:ascii="Arial" w:hAnsi="Arial" w:cs="Arial"/>
          <w:i/>
          <w:color w:val="211D1E"/>
        </w:rPr>
        <w:t xml:space="preserve">: </w:t>
      </w:r>
      <w:r w:rsidR="007313E5" w:rsidRPr="002D3A58">
        <w:rPr>
          <w:rFonts w:ascii="Arial" w:hAnsi="Arial" w:cs="Arial"/>
          <w:color w:val="211D1E"/>
        </w:rPr>
        <w:t xml:space="preserve">Exposure to large doses of UVA causes cataracts in animals, an effect enhanced by the administration of oral </w:t>
      </w:r>
      <w:proofErr w:type="spellStart"/>
      <w:r w:rsidR="007313E5" w:rsidRPr="002D3A58">
        <w:rPr>
          <w:rFonts w:ascii="Arial" w:hAnsi="Arial" w:cs="Arial"/>
          <w:color w:val="211D1E"/>
        </w:rPr>
        <w:t>methoxsalen</w:t>
      </w:r>
      <w:proofErr w:type="spellEnd"/>
      <w:r w:rsidR="007313E5" w:rsidRPr="002D3A58">
        <w:rPr>
          <w:rFonts w:ascii="Arial" w:hAnsi="Arial" w:cs="Arial"/>
          <w:color w:val="211D1E"/>
        </w:rPr>
        <w:t xml:space="preserve">. As the concentration of </w:t>
      </w:r>
      <w:proofErr w:type="spellStart"/>
      <w:r w:rsidR="007313E5" w:rsidRPr="002D3A58">
        <w:rPr>
          <w:rFonts w:ascii="Arial" w:hAnsi="Arial" w:cs="Arial"/>
          <w:color w:val="211D1E"/>
        </w:rPr>
        <w:t>methoxsalen</w:t>
      </w:r>
      <w:proofErr w:type="spellEnd"/>
      <w:r w:rsidR="007313E5" w:rsidRPr="002D3A58">
        <w:rPr>
          <w:rFonts w:ascii="Arial" w:hAnsi="Arial" w:cs="Arial"/>
          <w:color w:val="211D1E"/>
        </w:rPr>
        <w:t xml:space="preserve"> in the human lens is proportional to the serum level, the concentration will be substantially lowe</w:t>
      </w:r>
      <w:r w:rsidR="007313E5" w:rsidRPr="00CA2C6B">
        <w:rPr>
          <w:rFonts w:ascii="Arial" w:hAnsi="Arial" w:cs="Arial"/>
          <w:color w:val="211D1E"/>
        </w:rPr>
        <w:t xml:space="preserve">r following ex vivo </w:t>
      </w:r>
      <w:proofErr w:type="spellStart"/>
      <w:r w:rsidR="007313E5" w:rsidRPr="00CA2C6B">
        <w:rPr>
          <w:rFonts w:ascii="Arial" w:hAnsi="Arial" w:cs="Arial"/>
          <w:color w:val="211D1E"/>
        </w:rPr>
        <w:t>methoxsalen</w:t>
      </w:r>
      <w:proofErr w:type="spellEnd"/>
      <w:r w:rsidR="007313E5" w:rsidRPr="00CA2C6B">
        <w:rPr>
          <w:rFonts w:ascii="Arial" w:hAnsi="Arial" w:cs="Arial"/>
          <w:color w:val="211D1E"/>
        </w:rPr>
        <w:t xml:space="preserve"> treatment (with UVADEX) compared to that seen following oral administration. Nonetheless, if the lens is exposed to UVA during the time </w:t>
      </w:r>
      <w:proofErr w:type="spellStart"/>
      <w:r w:rsidR="007313E5" w:rsidRPr="00CA2C6B">
        <w:rPr>
          <w:rFonts w:ascii="Arial" w:hAnsi="Arial" w:cs="Arial"/>
          <w:color w:val="211D1E"/>
        </w:rPr>
        <w:t>methoxsalen</w:t>
      </w:r>
      <w:proofErr w:type="spellEnd"/>
      <w:r w:rsidR="007313E5" w:rsidRPr="00CA2C6B">
        <w:rPr>
          <w:rFonts w:ascii="Arial" w:hAnsi="Arial" w:cs="Arial"/>
          <w:color w:val="211D1E"/>
        </w:rPr>
        <w:t xml:space="preserve"> is present in the lens, photochemical action may lead to an irreversible binding of </w:t>
      </w:r>
      <w:proofErr w:type="spellStart"/>
      <w:r w:rsidR="007313E5" w:rsidRPr="00CA2C6B">
        <w:rPr>
          <w:rFonts w:ascii="Arial" w:hAnsi="Arial" w:cs="Arial"/>
          <w:color w:val="211D1E"/>
        </w:rPr>
        <w:t>methoxsalen</w:t>
      </w:r>
      <w:proofErr w:type="spellEnd"/>
      <w:r w:rsidR="007313E5" w:rsidRPr="00CA2C6B">
        <w:rPr>
          <w:rFonts w:ascii="Arial" w:hAnsi="Arial" w:cs="Arial"/>
          <w:color w:val="211D1E"/>
        </w:rPr>
        <w:t xml:space="preserve"> to protein and DNA components of the lens. For this </w:t>
      </w:r>
      <w:proofErr w:type="gramStart"/>
      <w:r w:rsidR="007313E5" w:rsidRPr="00CA2C6B">
        <w:rPr>
          <w:rFonts w:ascii="Arial" w:hAnsi="Arial" w:cs="Arial"/>
          <w:color w:val="211D1E"/>
        </w:rPr>
        <w:t>reason</w:t>
      </w:r>
      <w:proofErr w:type="gramEnd"/>
      <w:r w:rsidR="007313E5" w:rsidRPr="00CA2C6B">
        <w:rPr>
          <w:rFonts w:ascii="Arial" w:hAnsi="Arial" w:cs="Arial"/>
          <w:color w:val="211D1E"/>
        </w:rPr>
        <w:t xml:space="preserve"> the patient’s eyes should be protected from UVA light by wearing wrap</w:t>
      </w:r>
      <w:r w:rsidR="007313E5" w:rsidRPr="00CA2C6B">
        <w:rPr>
          <w:rFonts w:ascii="Arial" w:hAnsi="Arial" w:cs="Arial"/>
          <w:color w:val="211D1E"/>
        </w:rPr>
        <w:noBreakHyphen/>
        <w:t>around, UVA</w:t>
      </w:r>
      <w:r w:rsidR="007313E5" w:rsidRPr="00CA2C6B">
        <w:rPr>
          <w:rFonts w:ascii="Arial" w:hAnsi="Arial" w:cs="Arial"/>
          <w:color w:val="211D1E"/>
        </w:rPr>
        <w:noBreakHyphen/>
        <w:t>opaque sunglasses during the treatment cycle and during the fol</w:t>
      </w:r>
      <w:r w:rsidR="007313E5" w:rsidRPr="004F527F">
        <w:rPr>
          <w:rFonts w:ascii="Arial" w:hAnsi="Arial" w:cs="Arial"/>
          <w:color w:val="211D1E"/>
        </w:rPr>
        <w:t>lowing 24 hours.</w:t>
      </w:r>
    </w:p>
    <w:p w14:paraId="471C9AAA" w14:textId="319E4E6A" w:rsidR="007313E5" w:rsidRPr="00B9413A" w:rsidRDefault="00B8611B" w:rsidP="00CA213D">
      <w:pPr>
        <w:widowControl w:val="0"/>
        <w:autoSpaceDE w:val="0"/>
        <w:autoSpaceDN w:val="0"/>
        <w:adjustRightInd w:val="0"/>
        <w:spacing w:line="201" w:lineRule="atLeast"/>
        <w:jc w:val="both"/>
        <w:rPr>
          <w:rFonts w:ascii="Arial" w:hAnsi="Arial" w:cs="Arial"/>
          <w:color w:val="211D1E"/>
        </w:rPr>
      </w:pPr>
      <w:r w:rsidRPr="00F2419A">
        <w:rPr>
          <w:rFonts w:ascii="Arial" w:hAnsi="Arial" w:cs="Arial"/>
          <w:i/>
          <w:color w:val="211D1E"/>
        </w:rPr>
        <w:t>Adverse effects on the skin</w:t>
      </w:r>
      <w:r w:rsidR="00D13044" w:rsidRPr="00F2419A">
        <w:rPr>
          <w:rFonts w:ascii="Arial" w:hAnsi="Arial" w:cs="Arial"/>
          <w:i/>
          <w:color w:val="211D1E"/>
        </w:rPr>
        <w:t xml:space="preserve">: </w:t>
      </w:r>
      <w:r w:rsidR="007313E5" w:rsidRPr="00F2419A">
        <w:rPr>
          <w:rFonts w:ascii="Arial" w:hAnsi="Arial" w:cs="Arial"/>
          <w:color w:val="211D1E"/>
        </w:rPr>
        <w:t>Following oral administration of psoralen, where serum concentrations may exceed 200 ng/mL, exposure to sunlight or ultraviolet radiatio</w:t>
      </w:r>
      <w:r w:rsidR="007313E5" w:rsidRPr="00D752CD">
        <w:rPr>
          <w:rFonts w:ascii="Arial" w:hAnsi="Arial" w:cs="Arial"/>
          <w:color w:val="211D1E"/>
        </w:rPr>
        <w:t>n (even through window glass) may result in serious burns and, in the long</w:t>
      </w:r>
      <w:r w:rsidR="007313E5" w:rsidRPr="00D752CD">
        <w:rPr>
          <w:rFonts w:ascii="Arial" w:hAnsi="Arial" w:cs="Arial"/>
          <w:color w:val="211D1E"/>
        </w:rPr>
        <w:noBreakHyphen/>
        <w:t xml:space="preserve">term, “premature aging” of the skin. </w:t>
      </w:r>
      <w:r w:rsidR="00E3681E" w:rsidRPr="00044A73">
        <w:rPr>
          <w:rFonts w:ascii="Arial" w:hAnsi="Arial" w:cs="Univers 55"/>
          <w:color w:val="211D1E"/>
        </w:rPr>
        <w:t xml:space="preserve">Oral psoralens may increase the risk of skin cancer. </w:t>
      </w:r>
      <w:r w:rsidR="007313E5" w:rsidRPr="00D752CD">
        <w:rPr>
          <w:rFonts w:ascii="Arial" w:hAnsi="Arial" w:cs="Arial"/>
          <w:color w:val="211D1E"/>
        </w:rPr>
        <w:t xml:space="preserve">Extracorporeal use of UVADEX is associated with much lower systemic exposure than from oral </w:t>
      </w:r>
      <w:proofErr w:type="spellStart"/>
      <w:r w:rsidR="007313E5" w:rsidRPr="00D752CD">
        <w:rPr>
          <w:rFonts w:ascii="Arial" w:hAnsi="Arial" w:cs="Arial"/>
          <w:color w:val="211D1E"/>
        </w:rPr>
        <w:t>methoxsalen</w:t>
      </w:r>
      <w:proofErr w:type="spellEnd"/>
      <w:r w:rsidR="007313E5" w:rsidRPr="00D752CD">
        <w:rPr>
          <w:rFonts w:ascii="Arial" w:hAnsi="Arial" w:cs="Arial"/>
          <w:color w:val="211D1E"/>
        </w:rPr>
        <w:t xml:space="preserve">. The </w:t>
      </w:r>
      <w:proofErr w:type="spellStart"/>
      <w:r w:rsidR="007313E5" w:rsidRPr="00D752CD">
        <w:rPr>
          <w:rFonts w:ascii="Arial" w:hAnsi="Arial" w:cs="Arial"/>
          <w:color w:val="211D1E"/>
        </w:rPr>
        <w:t>phototoxicity</w:t>
      </w:r>
      <w:proofErr w:type="spellEnd"/>
      <w:r w:rsidR="007313E5" w:rsidRPr="00D752CD">
        <w:rPr>
          <w:rFonts w:ascii="Arial" w:hAnsi="Arial" w:cs="Arial"/>
          <w:color w:val="211D1E"/>
        </w:rPr>
        <w:t xml:space="preserve"> of UVADEX has not been characterised; as </w:t>
      </w:r>
      <w:proofErr w:type="gramStart"/>
      <w:r w:rsidR="007313E5" w:rsidRPr="00D752CD">
        <w:rPr>
          <w:rFonts w:ascii="Arial" w:hAnsi="Arial" w:cs="Arial"/>
          <w:color w:val="211D1E"/>
        </w:rPr>
        <w:t>a precaution patients</w:t>
      </w:r>
      <w:proofErr w:type="gramEnd"/>
      <w:r w:rsidR="007313E5" w:rsidRPr="00D752CD">
        <w:rPr>
          <w:rFonts w:ascii="Arial" w:hAnsi="Arial" w:cs="Arial"/>
          <w:color w:val="211D1E"/>
        </w:rPr>
        <w:t xml:space="preserve"> should avoid exposure to sunligh</w:t>
      </w:r>
      <w:r w:rsidR="007313E5" w:rsidRPr="00B9413A">
        <w:rPr>
          <w:rFonts w:ascii="Arial" w:hAnsi="Arial" w:cs="Arial"/>
          <w:color w:val="211D1E"/>
        </w:rPr>
        <w:t xml:space="preserve">t during the 24 hours following </w:t>
      </w:r>
      <w:proofErr w:type="spellStart"/>
      <w:r w:rsidR="007313E5" w:rsidRPr="00B9413A">
        <w:rPr>
          <w:rFonts w:ascii="Arial" w:hAnsi="Arial" w:cs="Arial"/>
          <w:color w:val="211D1E"/>
        </w:rPr>
        <w:t>photopheresis</w:t>
      </w:r>
      <w:proofErr w:type="spellEnd"/>
      <w:r w:rsidR="007313E5" w:rsidRPr="00B9413A">
        <w:rPr>
          <w:rFonts w:ascii="Arial" w:hAnsi="Arial" w:cs="Arial"/>
          <w:color w:val="211D1E"/>
        </w:rPr>
        <w:t xml:space="preserve"> treatment.</w:t>
      </w:r>
    </w:p>
    <w:p w14:paraId="0695F4FD" w14:textId="25C3E39D" w:rsidR="00831A8F" w:rsidRPr="00224E16" w:rsidRDefault="000F27A9" w:rsidP="00CA213D">
      <w:pPr>
        <w:widowControl w:val="0"/>
        <w:autoSpaceDE w:val="0"/>
        <w:autoSpaceDN w:val="0"/>
        <w:adjustRightInd w:val="0"/>
        <w:spacing w:line="201" w:lineRule="atLeast"/>
        <w:jc w:val="both"/>
        <w:rPr>
          <w:rFonts w:ascii="Arial" w:hAnsi="Arial" w:cs="Univers 55"/>
          <w:color w:val="211D1E"/>
        </w:rPr>
      </w:pPr>
      <w:r>
        <w:rPr>
          <w:rFonts w:ascii="Arial" w:hAnsi="Arial" w:cs="Univers 55"/>
          <w:i/>
          <w:color w:val="211D1E"/>
        </w:rPr>
        <w:t>V</w:t>
      </w:r>
      <w:r w:rsidR="00D13044" w:rsidRPr="000F27A9">
        <w:rPr>
          <w:rFonts w:ascii="Arial" w:hAnsi="Arial" w:cs="Univers 55"/>
          <w:i/>
          <w:color w:val="211D1E"/>
        </w:rPr>
        <w:t>enous and arterial thromboembolism</w:t>
      </w:r>
      <w:r w:rsidR="00831A8F" w:rsidRPr="000F27A9">
        <w:rPr>
          <w:rFonts w:ascii="Arial" w:hAnsi="Arial" w:cs="Univers 55"/>
          <w:color w:val="211D1E"/>
        </w:rPr>
        <w:t>:</w:t>
      </w:r>
      <w:r w:rsidR="00D13044" w:rsidRPr="000F27A9">
        <w:rPr>
          <w:rFonts w:ascii="Arial" w:hAnsi="Arial" w:cs="Univers 55"/>
          <w:color w:val="211D1E"/>
        </w:rPr>
        <w:t xml:space="preserve"> </w:t>
      </w:r>
      <w:r w:rsidR="00831A8F" w:rsidRPr="000F27A9">
        <w:rPr>
          <w:rFonts w:ascii="Arial" w:hAnsi="Arial" w:cs="Univers 55"/>
          <w:color w:val="211D1E"/>
        </w:rPr>
        <w:t xml:space="preserve">Thromboembolic events, such as pulmonary embolism and deep vein thrombosis, have been reported with UVADEX administration through </w:t>
      </w:r>
      <w:proofErr w:type="spellStart"/>
      <w:r w:rsidR="00831A8F" w:rsidRPr="000F27A9">
        <w:rPr>
          <w:rFonts w:ascii="Arial" w:hAnsi="Arial" w:cs="Univers 55"/>
          <w:color w:val="211D1E"/>
        </w:rPr>
        <w:t>photopheresis</w:t>
      </w:r>
      <w:proofErr w:type="spellEnd"/>
      <w:r w:rsidR="00831A8F" w:rsidRPr="000F27A9">
        <w:rPr>
          <w:rFonts w:ascii="Arial" w:hAnsi="Arial" w:cs="Univers 55"/>
          <w:color w:val="211D1E"/>
        </w:rPr>
        <w:t xml:space="preserve"> systems for treatment of patients with graft</w:t>
      </w:r>
      <w:r w:rsidR="004D5640">
        <w:rPr>
          <w:rFonts w:ascii="Arial" w:hAnsi="Arial" w:cs="Univers 55"/>
          <w:color w:val="211D1E"/>
        </w:rPr>
        <w:t xml:space="preserve"> </w:t>
      </w:r>
      <w:r w:rsidR="00831A8F" w:rsidRPr="000F27A9">
        <w:rPr>
          <w:rFonts w:ascii="Arial" w:hAnsi="Arial" w:cs="Univers 55"/>
          <w:color w:val="211D1E"/>
        </w:rPr>
        <w:t>versus</w:t>
      </w:r>
      <w:r w:rsidR="004D5640">
        <w:rPr>
          <w:rFonts w:ascii="Arial" w:hAnsi="Arial" w:cs="Univers 55"/>
          <w:color w:val="211D1E"/>
        </w:rPr>
        <w:t xml:space="preserve"> </w:t>
      </w:r>
      <w:r w:rsidR="00831A8F" w:rsidRPr="000F27A9">
        <w:rPr>
          <w:rFonts w:ascii="Arial" w:hAnsi="Arial" w:cs="Univers 55"/>
          <w:color w:val="211D1E"/>
        </w:rPr>
        <w:t>host disease.</w:t>
      </w:r>
    </w:p>
    <w:p w14:paraId="6C96512A" w14:textId="66FFB794" w:rsidR="007313E5"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i/>
          <w:color w:val="211D1E"/>
        </w:rPr>
        <w:t>Alcohol content</w:t>
      </w:r>
      <w:r w:rsidR="00D13044" w:rsidRPr="000F27A9">
        <w:rPr>
          <w:rFonts w:ascii="Arial" w:hAnsi="Arial" w:cs="Univers 55"/>
          <w:i/>
          <w:color w:val="211D1E"/>
        </w:rPr>
        <w:t xml:space="preserve">: </w:t>
      </w:r>
      <w:r w:rsidR="007313E5" w:rsidRPr="000F27A9">
        <w:rPr>
          <w:rFonts w:ascii="Arial" w:hAnsi="Arial" w:cs="Univers 55"/>
          <w:color w:val="211D1E"/>
        </w:rPr>
        <w:t xml:space="preserve">The product contains 4.1% w/v ethanol and each 1 mL of UVADEX contains </w:t>
      </w:r>
      <w:r w:rsidR="003D622C">
        <w:rPr>
          <w:rFonts w:ascii="Arial" w:hAnsi="Arial" w:cs="Univers 55"/>
          <w:color w:val="211D1E"/>
        </w:rPr>
        <w:t>40.55 m</w:t>
      </w:r>
      <w:r w:rsidR="007313E5" w:rsidRPr="000F27A9">
        <w:rPr>
          <w:rFonts w:ascii="Arial" w:hAnsi="Arial" w:cs="Univers 55"/>
          <w:color w:val="211D1E"/>
        </w:rPr>
        <w:t xml:space="preserve">g of ethanol. With extracorporeal administration, systemic exposure is expected to be low and clinical effect has not been evident; </w:t>
      </w:r>
      <w:proofErr w:type="gramStart"/>
      <w:r w:rsidR="007313E5" w:rsidRPr="000F27A9">
        <w:rPr>
          <w:rFonts w:ascii="Arial" w:hAnsi="Arial" w:cs="Univers 55"/>
          <w:color w:val="211D1E"/>
        </w:rPr>
        <w:t>however</w:t>
      </w:r>
      <w:proofErr w:type="gramEnd"/>
      <w:r w:rsidR="007313E5" w:rsidRPr="000F27A9">
        <w:rPr>
          <w:rFonts w:ascii="Arial" w:hAnsi="Arial" w:cs="Univers 55"/>
          <w:color w:val="211D1E"/>
        </w:rPr>
        <w:t xml:space="preserve"> prescribers should be aware of the potential effect on other medicines and caution is advised in liver disease, alcoholism, epilepsy, brain injury or disease.</w:t>
      </w:r>
    </w:p>
    <w:p w14:paraId="7943568B" w14:textId="77777777" w:rsidR="00B8611B" w:rsidRPr="000F27A9" w:rsidRDefault="001A3992" w:rsidP="00881522">
      <w:pPr>
        <w:pStyle w:val="Heading3"/>
      </w:pPr>
      <w:r w:rsidRPr="000F27A9">
        <w:lastRenderedPageBreak/>
        <w:t>Use in hepatic impairment</w:t>
      </w:r>
    </w:p>
    <w:p w14:paraId="275BFDA5" w14:textId="040EE083" w:rsidR="001A3992"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No specific information is available on the use of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using UVADEX in patients with hepatic impairment. Since hepatic biotransformation is necessary for urinary excretion</w:t>
      </w:r>
      <w:r w:rsidR="00BB7407">
        <w:rPr>
          <w:rFonts w:ascii="Arial" w:hAnsi="Arial" w:cs="Univers 55"/>
          <w:color w:val="211D1E"/>
        </w:rPr>
        <w:t xml:space="preserve"> </w:t>
      </w:r>
      <w:r w:rsidRPr="000F27A9">
        <w:rPr>
          <w:rFonts w:ascii="Arial" w:hAnsi="Arial" w:cs="Univers 55"/>
          <w:color w:val="211D1E"/>
        </w:rPr>
        <w:t xml:space="preserve">this may lead to prolonged photosensitivity requiring continued precautions against exposure to sunlight beyond 24 hours following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treatment. The potential benefits of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treatment should be weighed against any possible risk before embarking on the procedure.</w:t>
      </w:r>
    </w:p>
    <w:p w14:paraId="0F1E7331" w14:textId="77777777" w:rsidR="00B8611B" w:rsidRPr="000F27A9" w:rsidRDefault="001A3992" w:rsidP="00881522">
      <w:pPr>
        <w:pStyle w:val="Heading3"/>
      </w:pPr>
      <w:r w:rsidRPr="000F27A9">
        <w:t>Use in renal impairment</w:t>
      </w:r>
    </w:p>
    <w:p w14:paraId="1E35E6E2" w14:textId="77777777" w:rsidR="001A3992"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Little information is available on the use of UVADEX in patients with renal impairment. No extra precautions, such as reduction of dose or prolongation of protection from UV light, were taken in the few renal transplant recipients who have undergone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treatment.</w:t>
      </w:r>
    </w:p>
    <w:p w14:paraId="14E73BE7" w14:textId="77777777" w:rsidR="00B8611B" w:rsidRPr="000F27A9" w:rsidRDefault="001A3992" w:rsidP="00881522">
      <w:pPr>
        <w:pStyle w:val="Heading3"/>
      </w:pPr>
      <w:r w:rsidRPr="000F27A9">
        <w:t>Use in the elderly</w:t>
      </w:r>
    </w:p>
    <w:p w14:paraId="05F1D18E" w14:textId="77777777" w:rsidR="001A3992"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There is no evidence of a requirement for reduction in frequency or duration of treatment with UVADEX in elderly patients (</w:t>
      </w:r>
      <w:r w:rsidRPr="000F27A9">
        <w:rPr>
          <w:rFonts w:ascii="Arial" w:hAnsi="Arial" w:cs="Univers 55"/>
          <w:i/>
          <w:color w:val="211D1E"/>
        </w:rPr>
        <w:t>see Section 4.2: Dose and Method of Administration</w:t>
      </w:r>
      <w:r w:rsidRPr="000F27A9">
        <w:rPr>
          <w:rFonts w:ascii="Arial" w:hAnsi="Arial" w:cs="Univers 55"/>
          <w:color w:val="211D1E"/>
        </w:rPr>
        <w:t>).</w:t>
      </w:r>
    </w:p>
    <w:p w14:paraId="2900F6C0" w14:textId="77777777" w:rsidR="001A3992" w:rsidRPr="000F27A9" w:rsidRDefault="001A3992" w:rsidP="00881522">
      <w:pPr>
        <w:pStyle w:val="Heading3"/>
      </w:pPr>
      <w:r w:rsidRPr="000F27A9">
        <w:t>Paediatric use</w:t>
      </w:r>
    </w:p>
    <w:p w14:paraId="2506E623" w14:textId="0F406439" w:rsidR="00B8611B" w:rsidRPr="000F27A9" w:rsidRDefault="0073018A" w:rsidP="00CA213D">
      <w:pPr>
        <w:widowControl w:val="0"/>
        <w:autoSpaceDE w:val="0"/>
        <w:autoSpaceDN w:val="0"/>
        <w:adjustRightInd w:val="0"/>
        <w:spacing w:line="201" w:lineRule="atLeast"/>
        <w:jc w:val="both"/>
        <w:rPr>
          <w:rFonts w:ascii="Arial" w:hAnsi="Arial" w:cs="Univers 55"/>
          <w:color w:val="211D1E"/>
        </w:rPr>
      </w:pPr>
      <w:r>
        <w:rPr>
          <w:rFonts w:ascii="Arial" w:hAnsi="Arial" w:cs="Univers 55"/>
          <w:color w:val="211D1E"/>
        </w:rPr>
        <w:t>The safety and efficacy of UVADEX ha</w:t>
      </w:r>
      <w:r w:rsidR="00C463CF">
        <w:rPr>
          <w:rFonts w:ascii="Arial" w:hAnsi="Arial" w:cs="Univers 55"/>
          <w:color w:val="211D1E"/>
        </w:rPr>
        <w:t>ve</w:t>
      </w:r>
      <w:r>
        <w:rPr>
          <w:rFonts w:ascii="Arial" w:hAnsi="Arial" w:cs="Univers 55"/>
          <w:color w:val="211D1E"/>
        </w:rPr>
        <w:t xml:space="preserve"> not been established in children</w:t>
      </w:r>
      <w:r w:rsidR="00B8611B" w:rsidRPr="000F27A9">
        <w:rPr>
          <w:rFonts w:ascii="Arial" w:hAnsi="Arial" w:cs="Univers 55"/>
          <w:color w:val="211D1E"/>
        </w:rPr>
        <w:t>.</w:t>
      </w:r>
    </w:p>
    <w:p w14:paraId="14B7A402" w14:textId="77777777" w:rsidR="001A3992" w:rsidRPr="000F27A9" w:rsidRDefault="001A3992" w:rsidP="00881522">
      <w:pPr>
        <w:pStyle w:val="Heading3"/>
      </w:pPr>
      <w:r w:rsidRPr="000F27A9">
        <w:t>Effects on laboratory tests</w:t>
      </w:r>
    </w:p>
    <w:p w14:paraId="641BABA7" w14:textId="5EA924DF" w:rsidR="00B8611B" w:rsidRPr="000F27A9" w:rsidRDefault="00520BA7" w:rsidP="00CA213D">
      <w:pPr>
        <w:widowControl w:val="0"/>
        <w:autoSpaceDE w:val="0"/>
        <w:autoSpaceDN w:val="0"/>
        <w:adjustRightInd w:val="0"/>
        <w:spacing w:line="201" w:lineRule="atLeast"/>
        <w:jc w:val="both"/>
        <w:rPr>
          <w:rFonts w:ascii="Arial" w:hAnsi="Arial" w:cs="Univers 55"/>
          <w:color w:val="211D1E"/>
        </w:rPr>
      </w:pPr>
      <w:r w:rsidRPr="00520BA7">
        <w:rPr>
          <w:rFonts w:ascii="Arial" w:hAnsi="Arial" w:cs="Univers 55"/>
          <w:color w:val="211D1E"/>
          <w:lang w:val="en-US"/>
        </w:rPr>
        <w:t xml:space="preserve">Small, but statistically significant changes occurred in the following laboratory parameters: albumin, calcium, </w:t>
      </w:r>
      <w:proofErr w:type="spellStart"/>
      <w:r w:rsidRPr="00520BA7">
        <w:rPr>
          <w:rFonts w:ascii="Arial" w:hAnsi="Arial" w:cs="Univers 55"/>
          <w:color w:val="211D1E"/>
          <w:lang w:val="en-US"/>
        </w:rPr>
        <w:t>haematocrit</w:t>
      </w:r>
      <w:proofErr w:type="spellEnd"/>
      <w:r w:rsidRPr="00520BA7">
        <w:rPr>
          <w:rFonts w:ascii="Arial" w:hAnsi="Arial" w:cs="Univers 55"/>
          <w:color w:val="211D1E"/>
          <w:lang w:val="en-US"/>
        </w:rPr>
        <w:t xml:space="preserve">, </w:t>
      </w:r>
      <w:proofErr w:type="spellStart"/>
      <w:r w:rsidRPr="00520BA7">
        <w:rPr>
          <w:rFonts w:ascii="Arial" w:hAnsi="Arial" w:cs="Univers 55"/>
          <w:color w:val="211D1E"/>
          <w:lang w:val="en-US"/>
        </w:rPr>
        <w:t>haemoglobin</w:t>
      </w:r>
      <w:proofErr w:type="spellEnd"/>
      <w:r w:rsidRPr="00520BA7">
        <w:rPr>
          <w:rFonts w:ascii="Arial" w:hAnsi="Arial" w:cs="Univers 55"/>
          <w:color w:val="211D1E"/>
          <w:lang w:val="en-US"/>
        </w:rPr>
        <w:t xml:space="preserve">, potassium and RBC. Routine laboratory monitoring should be performed. Data are not available to determine if any observed effects on laboratory parameters are due to UVADEX or the </w:t>
      </w:r>
      <w:proofErr w:type="spellStart"/>
      <w:r w:rsidRPr="00520BA7">
        <w:rPr>
          <w:rFonts w:ascii="Arial" w:hAnsi="Arial" w:cs="Univers 55"/>
          <w:color w:val="211D1E"/>
          <w:lang w:val="en-US"/>
        </w:rPr>
        <w:t>photopheresis</w:t>
      </w:r>
      <w:proofErr w:type="spellEnd"/>
      <w:r w:rsidRPr="00520BA7">
        <w:rPr>
          <w:rFonts w:ascii="Arial" w:hAnsi="Arial" w:cs="Univers 55"/>
          <w:color w:val="211D1E"/>
          <w:lang w:val="en-US"/>
        </w:rPr>
        <w:t xml:space="preserve"> procedure.</w:t>
      </w:r>
    </w:p>
    <w:p w14:paraId="14951816" w14:textId="1920C1DB" w:rsidR="001A3992" w:rsidRPr="000F27A9" w:rsidRDefault="008A4571" w:rsidP="001A3992">
      <w:pPr>
        <w:pStyle w:val="Heading2"/>
        <w:keepNext/>
        <w:keepLines/>
        <w:spacing w:before="0" w:after="120"/>
        <w:rPr>
          <w:rFonts w:ascii="Arial" w:hAnsi="Arial" w:cs="Arial"/>
          <w:sz w:val="22"/>
        </w:rPr>
      </w:pPr>
      <w:r w:rsidRPr="000F27A9">
        <w:rPr>
          <w:rFonts w:ascii="Arial" w:hAnsi="Arial" w:cs="Arial"/>
          <w:sz w:val="22"/>
        </w:rPr>
        <w:t>INTERACTIONS WITH OTHER MEDICINES AND OTHER FORMS OF INTERACTIONS</w:t>
      </w:r>
    </w:p>
    <w:p w14:paraId="36C9C57B" w14:textId="77777777"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Although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has been shown to be capable of both induction and inhibition of hepatic enzymes, in humans it appears to act primarily as a potent inhibitor of hepatic microsomal oxidative metabolic processes, including, but not limited to, CYP1A2, 2A6 and 2B1. Thus, it is to be expected that interactions will occur between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and other medicinal products whose metabolism involves the hepatic cytochrome P450 system. The clearance of caffeine has been shown to be markedly reduced after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treatment.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decreases the metabolic activation of paracetamol in animals and humans, probably as a consequence of </w:t>
      </w:r>
      <w:proofErr w:type="spellStart"/>
      <w:r w:rsidRPr="000F27A9">
        <w:rPr>
          <w:rFonts w:ascii="Arial" w:hAnsi="Arial" w:cs="Univers 55"/>
          <w:color w:val="211D1E"/>
        </w:rPr>
        <w:t>methoxsalen</w:t>
      </w:r>
      <w:proofErr w:type="spellEnd"/>
      <w:r w:rsidRPr="000F27A9">
        <w:rPr>
          <w:rFonts w:ascii="Arial" w:hAnsi="Arial" w:cs="Univers 55"/>
          <w:color w:val="211D1E"/>
        </w:rPr>
        <w:t>-associated inhibition of hepatic cytochrome P450 oxidative transformation of paracetamol.</w:t>
      </w:r>
    </w:p>
    <w:p w14:paraId="0EA08BA6" w14:textId="0765FD3D"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proofErr w:type="spellStart"/>
      <w:r w:rsidRPr="000F27A9">
        <w:rPr>
          <w:rFonts w:ascii="Arial" w:hAnsi="Arial" w:cs="Univers 55"/>
          <w:color w:val="211D1E"/>
        </w:rPr>
        <w:t>Methoxsalen</w:t>
      </w:r>
      <w:proofErr w:type="spellEnd"/>
      <w:r w:rsidRPr="000F27A9">
        <w:rPr>
          <w:rFonts w:ascii="Arial" w:hAnsi="Arial" w:cs="Univers 55"/>
          <w:color w:val="211D1E"/>
        </w:rPr>
        <w:t xml:space="preserve"> is metabolically cleared. Therefore, consumption of other P450 substrates and P450 inhibitors</w:t>
      </w:r>
      <w:r w:rsidR="00A62DB5" w:rsidRPr="000F27A9">
        <w:rPr>
          <w:rFonts w:ascii="Arial" w:hAnsi="Arial" w:cs="Univers 55"/>
          <w:color w:val="211D1E"/>
        </w:rPr>
        <w:t xml:space="preserve"> may result in an extended half</w:t>
      </w:r>
      <w:r w:rsidR="00A62DB5" w:rsidRPr="000F27A9">
        <w:rPr>
          <w:rFonts w:ascii="Arial" w:hAnsi="Arial" w:cs="Univers 55"/>
          <w:color w:val="211D1E"/>
        </w:rPr>
        <w:noBreakHyphen/>
      </w:r>
      <w:r w:rsidRPr="000F27A9">
        <w:rPr>
          <w:rFonts w:ascii="Arial" w:hAnsi="Arial" w:cs="Univers 55"/>
          <w:color w:val="211D1E"/>
        </w:rPr>
        <w:t xml:space="preserve">life of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and consequently lead to prolonged photosensitivity requiring continued precautions against exposure to sunlight beyond 24 hours following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treatment.</w:t>
      </w:r>
    </w:p>
    <w:p w14:paraId="401A26DD" w14:textId="77777777"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One report describes a patient with psoriasis and epilepsy in whom phenytoin administration induced increased metabolism of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leading to low levels of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and failure of PUVA therapy. Substitution of valproate for phenytoin resulted in a three to </w:t>
      </w:r>
      <w:proofErr w:type="gramStart"/>
      <w:r w:rsidRPr="000F27A9">
        <w:rPr>
          <w:rFonts w:ascii="Arial" w:hAnsi="Arial" w:cs="Univers 55"/>
          <w:color w:val="211D1E"/>
        </w:rPr>
        <w:t>four fold</w:t>
      </w:r>
      <w:proofErr w:type="gramEnd"/>
      <w:r w:rsidRPr="000F27A9">
        <w:rPr>
          <w:rFonts w:ascii="Arial" w:hAnsi="Arial" w:cs="Univers 55"/>
          <w:color w:val="211D1E"/>
        </w:rPr>
        <w:t xml:space="preserve"> increase in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levels to within the putative therapeutic range.</w:t>
      </w:r>
    </w:p>
    <w:p w14:paraId="4651B1AB" w14:textId="77777777"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proofErr w:type="spellStart"/>
      <w:r w:rsidRPr="000F27A9">
        <w:rPr>
          <w:rFonts w:ascii="Arial" w:hAnsi="Arial" w:cs="Univers 55"/>
          <w:color w:val="211D1E"/>
        </w:rPr>
        <w:lastRenderedPageBreak/>
        <w:t>Methoxsalen</w:t>
      </w:r>
      <w:proofErr w:type="spellEnd"/>
      <w:r w:rsidRPr="000F27A9">
        <w:rPr>
          <w:rFonts w:ascii="Arial" w:hAnsi="Arial" w:cs="Univers 55"/>
          <w:color w:val="211D1E"/>
        </w:rPr>
        <w:t xml:space="preserve"> is normally moderately bound to albumin but can be displaced by a number of medicinal products such as </w:t>
      </w:r>
      <w:proofErr w:type="spellStart"/>
      <w:r w:rsidRPr="000F27A9">
        <w:rPr>
          <w:rFonts w:ascii="Arial" w:hAnsi="Arial" w:cs="Univers 55"/>
          <w:color w:val="211D1E"/>
        </w:rPr>
        <w:t>dicoumarol</w:t>
      </w:r>
      <w:proofErr w:type="spellEnd"/>
      <w:r w:rsidRPr="000F27A9">
        <w:rPr>
          <w:rFonts w:ascii="Arial" w:hAnsi="Arial" w:cs="Univers 55"/>
          <w:color w:val="211D1E"/>
        </w:rPr>
        <w:t xml:space="preserve">, promethazine and </w:t>
      </w:r>
      <w:proofErr w:type="spellStart"/>
      <w:r w:rsidRPr="000F27A9">
        <w:rPr>
          <w:rFonts w:ascii="Arial" w:hAnsi="Arial" w:cs="Univers 55"/>
          <w:color w:val="211D1E"/>
        </w:rPr>
        <w:t>tolbutamide</w:t>
      </w:r>
      <w:proofErr w:type="spellEnd"/>
      <w:r w:rsidRPr="000F27A9">
        <w:rPr>
          <w:rFonts w:ascii="Arial" w:hAnsi="Arial" w:cs="Univers 55"/>
          <w:color w:val="211D1E"/>
        </w:rPr>
        <w:t xml:space="preserve">. As a </w:t>
      </w:r>
      <w:proofErr w:type="spellStart"/>
      <w:r w:rsidRPr="000F27A9">
        <w:rPr>
          <w:rFonts w:ascii="Arial" w:hAnsi="Arial" w:cs="Univers 55"/>
          <w:color w:val="211D1E"/>
        </w:rPr>
        <w:t>coumarin</w:t>
      </w:r>
      <w:proofErr w:type="spellEnd"/>
      <w:r w:rsidRPr="000F27A9">
        <w:rPr>
          <w:rFonts w:ascii="Arial" w:hAnsi="Arial" w:cs="Univers 55"/>
          <w:color w:val="211D1E"/>
        </w:rPr>
        <w:t xml:space="preserve"> derivative, it is conceivable that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binds to the warfarin site of albumin, which could be of clinical significance when the two medicinal products are co-administered. However, of the medicinal products studied, only </w:t>
      </w:r>
      <w:proofErr w:type="spellStart"/>
      <w:r w:rsidRPr="000F27A9">
        <w:rPr>
          <w:rFonts w:ascii="Arial" w:hAnsi="Arial" w:cs="Univers 55"/>
          <w:color w:val="211D1E"/>
        </w:rPr>
        <w:t>tolbutamide</w:t>
      </w:r>
      <w:proofErr w:type="spellEnd"/>
      <w:r w:rsidRPr="000F27A9">
        <w:rPr>
          <w:rFonts w:ascii="Arial" w:hAnsi="Arial" w:cs="Univers 55"/>
          <w:color w:val="211D1E"/>
        </w:rPr>
        <w:t xml:space="preserve"> at therapeutic concentrations displaces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from its binding site to a clinically relevant extent. Concomitant use of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and </w:t>
      </w:r>
      <w:proofErr w:type="spellStart"/>
      <w:r w:rsidRPr="000F27A9">
        <w:rPr>
          <w:rFonts w:ascii="Arial" w:hAnsi="Arial" w:cs="Univers 55"/>
          <w:color w:val="211D1E"/>
        </w:rPr>
        <w:t>tolbutamide</w:t>
      </w:r>
      <w:proofErr w:type="spellEnd"/>
      <w:r w:rsidRPr="000F27A9">
        <w:rPr>
          <w:rFonts w:ascii="Arial" w:hAnsi="Arial" w:cs="Univers 55"/>
          <w:color w:val="211D1E"/>
        </w:rPr>
        <w:t xml:space="preserve"> may therefore lead to enhanced photosensitivity.</w:t>
      </w:r>
    </w:p>
    <w:p w14:paraId="4719CE9A" w14:textId="77777777"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Special care should be exercised in treating patients who are receiving concomitant therapy (either topically or systemically) with known photosensitising agents.</w:t>
      </w:r>
    </w:p>
    <w:p w14:paraId="4417CFD9" w14:textId="52F7C1AF" w:rsidR="001A3992" w:rsidRPr="000F27A9" w:rsidRDefault="00A62DB5" w:rsidP="00C93617">
      <w:pPr>
        <w:pStyle w:val="Heading2"/>
        <w:keepNext/>
        <w:keepLines/>
        <w:spacing w:before="0" w:after="120"/>
        <w:rPr>
          <w:rFonts w:ascii="Arial" w:hAnsi="Arial" w:cs="Arial"/>
          <w:sz w:val="22"/>
        </w:rPr>
      </w:pPr>
      <w:r w:rsidRPr="000F27A9">
        <w:rPr>
          <w:rFonts w:ascii="Arial" w:hAnsi="Arial" w:cs="Arial"/>
          <w:sz w:val="22"/>
        </w:rPr>
        <w:t xml:space="preserve">FERTILITY, PREGNANCY AND LACTATION </w:t>
      </w:r>
    </w:p>
    <w:p w14:paraId="608D92DE" w14:textId="77777777" w:rsidR="00B8611B" w:rsidRPr="000F27A9" w:rsidRDefault="001A3992" w:rsidP="00C93617">
      <w:pPr>
        <w:pStyle w:val="Heading3"/>
        <w:spacing w:before="0" w:after="120"/>
        <w:rPr>
          <w:rFonts w:cs="Arial"/>
        </w:rPr>
      </w:pPr>
      <w:r w:rsidRPr="000F27A9">
        <w:rPr>
          <w:rFonts w:cs="Arial"/>
        </w:rPr>
        <w:t>Effects on fertility</w:t>
      </w:r>
    </w:p>
    <w:p w14:paraId="32484317" w14:textId="77777777" w:rsidR="00B8611B" w:rsidRPr="000F27A9" w:rsidRDefault="00B8611B" w:rsidP="00C93617">
      <w:pPr>
        <w:keepNext/>
        <w:keepLines/>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Effects on fertility have not been adequately investigated in animal studies.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caused adverse effects on male and female reproductive organs at high oral and intraperitoneal doses (≥20 mg/kg/day, 900x the clinical ECP dose adjusted for body surface area) that induced systemic toxicity in mice and rats with or without UV radiation. In female animals, effects included decreased uterine weight, 17β-oestradiol levels, and follicular damage of the ovary. In male animals, effects included atrophy of seminal vesicles, prostate and testes, and reduced sperm count, seminiferous tubule size and number of </w:t>
      </w:r>
      <w:proofErr w:type="spellStart"/>
      <w:r w:rsidRPr="000F27A9">
        <w:rPr>
          <w:rFonts w:ascii="Arial" w:hAnsi="Arial" w:cs="Univers 55"/>
          <w:color w:val="211D1E"/>
        </w:rPr>
        <w:t>spermatogonia</w:t>
      </w:r>
      <w:proofErr w:type="spellEnd"/>
      <w:r w:rsidRPr="000F27A9">
        <w:rPr>
          <w:rFonts w:ascii="Arial" w:hAnsi="Arial" w:cs="Univers 55"/>
          <w:color w:val="211D1E"/>
        </w:rPr>
        <w:t xml:space="preserve"> and spermatids.</w:t>
      </w:r>
    </w:p>
    <w:p w14:paraId="1942872D" w14:textId="77777777" w:rsidR="001A3992" w:rsidRPr="000F27A9" w:rsidRDefault="001A3992" w:rsidP="00A62DB5">
      <w:pPr>
        <w:pStyle w:val="Heading3"/>
        <w:spacing w:before="0" w:after="120"/>
        <w:rPr>
          <w:rFonts w:cs="Arial"/>
        </w:rPr>
      </w:pPr>
      <w:r w:rsidRPr="000F27A9">
        <w:rPr>
          <w:rFonts w:cs="Arial"/>
        </w:rPr>
        <w:t xml:space="preserve">Use in pregnancy </w:t>
      </w:r>
      <w:r w:rsidR="005B2812" w:rsidRPr="000F27A9">
        <w:rPr>
          <w:rFonts w:cs="Arial"/>
        </w:rPr>
        <w:t>– Pre</w:t>
      </w:r>
      <w:r w:rsidR="00B8611B" w:rsidRPr="000F27A9">
        <w:rPr>
          <w:rFonts w:cs="Arial"/>
        </w:rPr>
        <w:t>gnancy Category D</w:t>
      </w:r>
    </w:p>
    <w:p w14:paraId="28487735" w14:textId="476F6CD5"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There is no human experience of the use of UVADEX during pregnancy. Animal data suggest that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may cause </w:t>
      </w:r>
      <w:proofErr w:type="spellStart"/>
      <w:r w:rsidR="0044516C">
        <w:rPr>
          <w:rFonts w:ascii="Arial" w:hAnsi="Arial" w:cs="Univers 55"/>
          <w:color w:val="211D1E"/>
        </w:rPr>
        <w:t>fetal</w:t>
      </w:r>
      <w:proofErr w:type="spellEnd"/>
      <w:r w:rsidRPr="000F27A9">
        <w:rPr>
          <w:rFonts w:ascii="Arial" w:hAnsi="Arial" w:cs="Univers 55"/>
          <w:color w:val="211D1E"/>
        </w:rPr>
        <w:t xml:space="preserve"> harm when administered to a pregnant woman. Therefore, UVADEX is contraindicated in women who are or may become pregnant (</w:t>
      </w:r>
      <w:r w:rsidRPr="000F27A9">
        <w:rPr>
          <w:rFonts w:ascii="Arial" w:hAnsi="Arial" w:cs="Univers 55"/>
          <w:i/>
          <w:color w:val="211D1E"/>
        </w:rPr>
        <w:t>see Section 4.3: Contraindications</w:t>
      </w:r>
      <w:r w:rsidRPr="000F27A9">
        <w:rPr>
          <w:rFonts w:ascii="Arial" w:hAnsi="Arial" w:cs="Univers 55"/>
          <w:color w:val="211D1E"/>
        </w:rPr>
        <w:t>).</w:t>
      </w:r>
    </w:p>
    <w:p w14:paraId="6CB24FBD" w14:textId="142CD929"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In an </w:t>
      </w:r>
      <w:proofErr w:type="spellStart"/>
      <w:r w:rsidRPr="000F27A9">
        <w:rPr>
          <w:rFonts w:ascii="Arial" w:hAnsi="Arial" w:cs="Univers 55"/>
          <w:color w:val="211D1E"/>
        </w:rPr>
        <w:t>embryo</w:t>
      </w:r>
      <w:r w:rsidR="0044516C">
        <w:rPr>
          <w:rFonts w:ascii="Arial" w:hAnsi="Arial" w:cs="Univers 55"/>
          <w:color w:val="211D1E"/>
        </w:rPr>
        <w:t>fetal</w:t>
      </w:r>
      <w:proofErr w:type="spellEnd"/>
      <w:r w:rsidRPr="000F27A9">
        <w:rPr>
          <w:rFonts w:ascii="Arial" w:hAnsi="Arial" w:cs="Univers 55"/>
          <w:color w:val="211D1E"/>
        </w:rPr>
        <w:t xml:space="preserve"> development study in rats, increased resorptions, reduced live foetuses, decreased </w:t>
      </w:r>
      <w:proofErr w:type="spellStart"/>
      <w:r w:rsidR="0044516C">
        <w:rPr>
          <w:rFonts w:ascii="Arial" w:hAnsi="Arial" w:cs="Univers 55"/>
          <w:color w:val="211D1E"/>
        </w:rPr>
        <w:t>fetal</w:t>
      </w:r>
      <w:proofErr w:type="spellEnd"/>
      <w:r w:rsidRPr="000F27A9">
        <w:rPr>
          <w:rFonts w:ascii="Arial" w:hAnsi="Arial" w:cs="Univers 55"/>
          <w:color w:val="211D1E"/>
        </w:rPr>
        <w:t xml:space="preserve"> bodyweights and increased </w:t>
      </w:r>
      <w:proofErr w:type="spellStart"/>
      <w:r w:rsidR="0044516C">
        <w:rPr>
          <w:rFonts w:ascii="Arial" w:hAnsi="Arial" w:cs="Univers 55"/>
          <w:color w:val="211D1E"/>
        </w:rPr>
        <w:t>fetal</w:t>
      </w:r>
      <w:proofErr w:type="spellEnd"/>
      <w:r w:rsidRPr="000F27A9">
        <w:rPr>
          <w:rFonts w:ascii="Arial" w:hAnsi="Arial" w:cs="Univers 55"/>
          <w:color w:val="211D1E"/>
        </w:rPr>
        <w:t xml:space="preserve"> variations and malformations (including enlarged lateral ventricles of the brain) were observed at</w:t>
      </w:r>
      <w:r w:rsidR="00BA2132" w:rsidRPr="000F27A9">
        <w:rPr>
          <w:rFonts w:ascii="Arial" w:hAnsi="Arial" w:cs="Univers 55"/>
          <w:color w:val="211D1E"/>
        </w:rPr>
        <w:t xml:space="preserve"> oral doses of</w:t>
      </w:r>
      <w:r w:rsidRPr="000F27A9">
        <w:rPr>
          <w:rFonts w:ascii="Arial" w:hAnsi="Arial" w:cs="Univers 55"/>
          <w:color w:val="211D1E"/>
        </w:rPr>
        <w:t xml:space="preserve"> ≥120 mg/kg/day (&gt;5000x the clinical ECP dose adjusted for body surface area), which also caused significant maternal toxicity. No </w:t>
      </w:r>
      <w:proofErr w:type="spellStart"/>
      <w:r w:rsidRPr="000F27A9">
        <w:rPr>
          <w:rFonts w:ascii="Arial" w:hAnsi="Arial" w:cs="Univers 55"/>
          <w:color w:val="211D1E"/>
        </w:rPr>
        <w:t>embryo</w:t>
      </w:r>
      <w:r w:rsidR="0044516C">
        <w:rPr>
          <w:rFonts w:ascii="Arial" w:hAnsi="Arial" w:cs="Univers 55"/>
          <w:color w:val="211D1E"/>
        </w:rPr>
        <w:t>fetal</w:t>
      </w:r>
      <w:proofErr w:type="spellEnd"/>
      <w:r w:rsidRPr="000F27A9">
        <w:rPr>
          <w:rFonts w:ascii="Arial" w:hAnsi="Arial" w:cs="Univers 55"/>
          <w:color w:val="211D1E"/>
        </w:rPr>
        <w:t xml:space="preserve"> toxicity was observed in rabbits at oral doses up to 105</w:t>
      </w:r>
      <w:r w:rsidR="00BA2132" w:rsidRPr="000F27A9">
        <w:rPr>
          <w:rFonts w:ascii="Arial" w:hAnsi="Arial" w:cs="Univers 55"/>
          <w:color w:val="211D1E"/>
        </w:rPr>
        <w:t> </w:t>
      </w:r>
      <w:r w:rsidRPr="000F27A9">
        <w:rPr>
          <w:rFonts w:ascii="Arial" w:hAnsi="Arial" w:cs="Univers 55"/>
          <w:color w:val="211D1E"/>
        </w:rPr>
        <w:t>mg/kg/day (&gt;</w:t>
      </w:r>
      <w:r w:rsidR="00374110">
        <w:rPr>
          <w:rFonts w:ascii="Arial" w:hAnsi="Arial" w:cs="Univers 55"/>
          <w:color w:val="211D1E"/>
        </w:rPr>
        <w:t>1260</w:t>
      </w:r>
      <w:r w:rsidRPr="000F27A9">
        <w:rPr>
          <w:rFonts w:ascii="Arial" w:hAnsi="Arial" w:cs="Univers 55"/>
          <w:color w:val="211D1E"/>
        </w:rPr>
        <w:t>x the clinical ECP dose adjusted for body surface area).</w:t>
      </w:r>
    </w:p>
    <w:p w14:paraId="0FAA04AB" w14:textId="77777777" w:rsidR="001A3992" w:rsidRPr="000F27A9" w:rsidRDefault="001A3992" w:rsidP="00BA2132">
      <w:pPr>
        <w:pStyle w:val="Heading3"/>
        <w:spacing w:before="0" w:after="120"/>
        <w:rPr>
          <w:rFonts w:cs="Arial"/>
        </w:rPr>
      </w:pPr>
      <w:r w:rsidRPr="000F27A9">
        <w:rPr>
          <w:rFonts w:cs="Arial"/>
        </w:rPr>
        <w:t>Use in</w:t>
      </w:r>
      <w:r w:rsidR="00B8611B" w:rsidRPr="000F27A9">
        <w:rPr>
          <w:rFonts w:cs="Arial"/>
        </w:rPr>
        <w:t xml:space="preserve"> lactation</w:t>
      </w:r>
    </w:p>
    <w:p w14:paraId="0881C31B" w14:textId="77777777" w:rsidR="00B8611B" w:rsidRPr="000F27A9"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It is not known whether </w:t>
      </w:r>
      <w:proofErr w:type="spellStart"/>
      <w:r w:rsidRPr="000F27A9">
        <w:rPr>
          <w:rFonts w:ascii="Arial" w:hAnsi="Arial" w:cs="Univers 55"/>
          <w:color w:val="211D1E"/>
        </w:rPr>
        <w:t>methoxsalen</w:t>
      </w:r>
      <w:proofErr w:type="spellEnd"/>
      <w:r w:rsidRPr="000F27A9">
        <w:rPr>
          <w:rFonts w:ascii="Arial" w:hAnsi="Arial" w:cs="Univers 55"/>
          <w:color w:val="211D1E"/>
        </w:rPr>
        <w:t xml:space="preserve"> is excreted in human milk. Because of the </w:t>
      </w:r>
      <w:proofErr w:type="spellStart"/>
      <w:r w:rsidRPr="000F27A9">
        <w:rPr>
          <w:rFonts w:ascii="Arial" w:hAnsi="Arial" w:cs="Univers 55"/>
          <w:color w:val="211D1E"/>
        </w:rPr>
        <w:t>pharmacodynamic</w:t>
      </w:r>
      <w:proofErr w:type="spellEnd"/>
      <w:r w:rsidRPr="000F27A9">
        <w:rPr>
          <w:rFonts w:ascii="Arial" w:hAnsi="Arial" w:cs="Univers 55"/>
          <w:color w:val="211D1E"/>
        </w:rPr>
        <w:t xml:space="preserve"> properties of UVADEX, lactation is a contraindication.</w:t>
      </w:r>
    </w:p>
    <w:p w14:paraId="63BC6790" w14:textId="38F60FD0" w:rsidR="001A3992" w:rsidRPr="00224E16" w:rsidRDefault="00BA2132" w:rsidP="001A3992">
      <w:pPr>
        <w:pStyle w:val="Heading2"/>
        <w:spacing w:before="0" w:after="120"/>
        <w:rPr>
          <w:rFonts w:ascii="Arial" w:hAnsi="Arial" w:cs="Arial"/>
          <w:sz w:val="22"/>
        </w:rPr>
      </w:pPr>
      <w:r w:rsidRPr="000F27A9">
        <w:rPr>
          <w:rFonts w:ascii="Arial" w:hAnsi="Arial" w:cs="Arial"/>
          <w:sz w:val="22"/>
        </w:rPr>
        <w:t>EFFECTS ON AB</w:t>
      </w:r>
      <w:r w:rsidR="00AC2048">
        <w:rPr>
          <w:rFonts w:ascii="Arial" w:hAnsi="Arial" w:cs="Arial"/>
          <w:sz w:val="22"/>
        </w:rPr>
        <w:t>ILITY TO DRIVE AND USE MACHINES</w:t>
      </w:r>
    </w:p>
    <w:p w14:paraId="4DDDDD7F" w14:textId="2D378F31" w:rsidR="005B2812" w:rsidRDefault="00B8611B"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Patients should not drive or operate machinery immediately following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because of the possibility of transient cardiovascular instability and the recommendation that following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patients wear sunglasses. </w:t>
      </w:r>
      <w:proofErr w:type="spellStart"/>
      <w:r w:rsidRPr="000F27A9">
        <w:rPr>
          <w:rFonts w:ascii="Arial" w:hAnsi="Arial" w:cs="Univers 55"/>
          <w:color w:val="211D1E"/>
        </w:rPr>
        <w:t>Photopheresis</w:t>
      </w:r>
      <w:proofErr w:type="spellEnd"/>
      <w:r w:rsidRPr="000F27A9">
        <w:rPr>
          <w:rFonts w:ascii="Arial" w:hAnsi="Arial" w:cs="Univers 55"/>
          <w:color w:val="211D1E"/>
        </w:rPr>
        <w:t xml:space="preserve"> treatment using UVADEX is likely to produce minor or moderate undesirable effects.</w:t>
      </w:r>
    </w:p>
    <w:p w14:paraId="489C9221" w14:textId="11C883CF" w:rsidR="00B9413A" w:rsidRPr="000F27A9" w:rsidRDefault="00B9413A" w:rsidP="00B9413A">
      <w:pPr>
        <w:pStyle w:val="Heading2"/>
        <w:keepNext/>
        <w:keepLines/>
        <w:spacing w:before="0" w:after="120"/>
        <w:rPr>
          <w:rFonts w:ascii="Arial" w:hAnsi="Arial" w:cs="Arial"/>
          <w:sz w:val="22"/>
        </w:rPr>
      </w:pPr>
      <w:r w:rsidRPr="000F27A9">
        <w:rPr>
          <w:rFonts w:ascii="Arial" w:hAnsi="Arial" w:cs="Arial"/>
          <w:sz w:val="22"/>
        </w:rPr>
        <w:t>ADVERSE EFFECTS (UNDESIRABLE EFFECTS)</w:t>
      </w:r>
    </w:p>
    <w:p w14:paraId="399EE75C" w14:textId="77777777" w:rsidR="00B9413A" w:rsidRPr="000F27A9" w:rsidRDefault="00B9413A" w:rsidP="00B9413A">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color w:val="211D1E"/>
        </w:rPr>
        <w:t xml:space="preserve">In the clinical trials, published information and </w:t>
      </w:r>
      <w:proofErr w:type="spellStart"/>
      <w:r w:rsidRPr="000F27A9">
        <w:rPr>
          <w:rFonts w:ascii="Arial" w:hAnsi="Arial" w:cs="Univers 55"/>
          <w:color w:val="211D1E"/>
        </w:rPr>
        <w:t>postmarketing</w:t>
      </w:r>
      <w:proofErr w:type="spellEnd"/>
      <w:r w:rsidRPr="000F27A9">
        <w:rPr>
          <w:rFonts w:ascii="Arial" w:hAnsi="Arial" w:cs="Univers 55"/>
          <w:color w:val="211D1E"/>
        </w:rPr>
        <w:t xml:space="preserve"> surveillance of UVADEX/ECP, adverse events were usually mild and transient and in most cases, related to the underlying pathology.</w:t>
      </w:r>
    </w:p>
    <w:p w14:paraId="4F65AEAD" w14:textId="44A63550" w:rsidR="00CA2C6B" w:rsidRPr="00F832A6" w:rsidRDefault="00CA2C6B" w:rsidP="00CA2C6B">
      <w:pPr>
        <w:rPr>
          <w:rFonts w:ascii="Arial" w:hAnsi="Arial" w:cs="Arial"/>
        </w:rPr>
      </w:pPr>
      <w:r>
        <w:rPr>
          <w:rFonts w:ascii="Arial" w:hAnsi="Arial" w:cs="Arial"/>
        </w:rPr>
        <w:lastRenderedPageBreak/>
        <w:t>Table 1</w:t>
      </w:r>
      <w:r w:rsidR="000938F6">
        <w:rPr>
          <w:rFonts w:ascii="Arial" w:hAnsi="Arial" w:cs="Arial"/>
        </w:rPr>
        <w:t xml:space="preserve"> summarises all adverse events that occurred in at least three UVADEX/ECP-treated patients and more frequent than standard of care in a sponsor-initiated study in chronic GVHD</w:t>
      </w:r>
      <w:r>
        <w:rPr>
          <w:rFonts w:ascii="Arial" w:hAnsi="Arial" w:cs="Arial"/>
        </w:rPr>
        <w:t>.</w:t>
      </w:r>
    </w:p>
    <w:p w14:paraId="0AEB0681" w14:textId="6D6EAEA1" w:rsidR="00CA2C6B" w:rsidRDefault="00CA2C6B" w:rsidP="0010496C">
      <w:pPr>
        <w:keepNext/>
        <w:keepLines/>
        <w:tabs>
          <w:tab w:val="left" w:pos="720"/>
        </w:tabs>
        <w:spacing w:after="0" w:line="240" w:lineRule="auto"/>
        <w:ind w:left="720" w:hanging="720"/>
        <w:rPr>
          <w:rFonts w:ascii="Arial Narrow" w:eastAsia="Calibri" w:hAnsi="Arial Narrow" w:cs="Times New Roman"/>
          <w:b/>
          <w:bCs/>
          <w:sz w:val="20"/>
          <w:szCs w:val="20"/>
          <w:lang w:val="en-US"/>
        </w:rPr>
      </w:pPr>
      <w:r>
        <w:rPr>
          <w:rFonts w:ascii="Arial Narrow" w:eastAsia="Calibri" w:hAnsi="Arial Narrow" w:cs="Times New Roman"/>
          <w:b/>
          <w:bCs/>
          <w:sz w:val="20"/>
          <w:szCs w:val="20"/>
          <w:lang w:val="en-US"/>
        </w:rPr>
        <w:t>Table 1</w:t>
      </w:r>
      <w:r w:rsidRPr="00F832A6">
        <w:rPr>
          <w:rFonts w:ascii="Arial Narrow" w:eastAsia="Calibri" w:hAnsi="Arial Narrow" w:cs="Times New Roman"/>
          <w:b/>
          <w:bCs/>
          <w:sz w:val="20"/>
          <w:szCs w:val="20"/>
          <w:lang w:val="en-US"/>
        </w:rPr>
        <w:t>:</w:t>
      </w:r>
      <w:r w:rsidR="006C45F5">
        <w:rPr>
          <w:rFonts w:ascii="Arial Narrow" w:eastAsia="Calibri" w:hAnsi="Arial Narrow" w:cs="Times New Roman"/>
          <w:b/>
          <w:bCs/>
          <w:sz w:val="20"/>
          <w:szCs w:val="20"/>
          <w:lang w:val="en-US"/>
        </w:rPr>
        <w:tab/>
        <w:t xml:space="preserve">Adverse Events in </w:t>
      </w:r>
      <w:r w:rsidR="00A13AFF">
        <w:rPr>
          <w:rFonts w:ascii="Arial Narrow" w:eastAsia="Calibri" w:hAnsi="Arial Narrow" w:cs="Times New Roman"/>
          <w:b/>
          <w:bCs/>
          <w:sz w:val="20"/>
          <w:szCs w:val="20"/>
          <w:lang w:val="en-US"/>
        </w:rPr>
        <w:t>≥</w:t>
      </w:r>
      <w:bookmarkStart w:id="0" w:name="_GoBack"/>
      <w:bookmarkEnd w:id="0"/>
      <w:r w:rsidR="006C45F5">
        <w:rPr>
          <w:rFonts w:ascii="Arial Narrow" w:eastAsia="Calibri" w:hAnsi="Arial Narrow" w:cs="Times New Roman"/>
          <w:b/>
          <w:bCs/>
          <w:sz w:val="20"/>
          <w:szCs w:val="20"/>
          <w:lang w:val="en-US"/>
        </w:rPr>
        <w:t>3</w:t>
      </w:r>
      <w:r w:rsidRPr="00F832A6">
        <w:rPr>
          <w:rFonts w:ascii="Arial Narrow" w:eastAsia="Calibri" w:hAnsi="Arial Narrow" w:cs="Times New Roman"/>
          <w:b/>
          <w:bCs/>
          <w:sz w:val="20"/>
          <w:szCs w:val="20"/>
          <w:lang w:val="en-US"/>
        </w:rPr>
        <w:t xml:space="preserve"> Patients </w:t>
      </w:r>
      <w:r w:rsidR="006C45F5">
        <w:rPr>
          <w:rFonts w:ascii="Arial Narrow" w:eastAsia="Calibri" w:hAnsi="Arial Narrow" w:cs="Times New Roman"/>
          <w:b/>
          <w:bCs/>
          <w:sz w:val="20"/>
          <w:szCs w:val="20"/>
          <w:lang w:val="en-US"/>
        </w:rPr>
        <w:t>and Occurring More Frequently in the ECP Group</w:t>
      </w:r>
      <w:r w:rsidRPr="00F832A6">
        <w:rPr>
          <w:rFonts w:ascii="Arial Narrow" w:eastAsia="Calibri" w:hAnsi="Arial Narrow" w:cs="Times New Roman"/>
          <w:b/>
          <w:bCs/>
          <w:sz w:val="20"/>
          <w:szCs w:val="20"/>
          <w:lang w:val="en-US"/>
        </w:rPr>
        <w:t xml:space="preserve"> (Study GVHD-SK1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340"/>
        <w:gridCol w:w="1350"/>
        <w:gridCol w:w="1481"/>
      </w:tblGrid>
      <w:tr w:rsidR="00B934F6" w:rsidRPr="00B934F6" w14:paraId="74CB95E8" w14:textId="77777777" w:rsidTr="00563942">
        <w:trPr>
          <w:tblHeader/>
        </w:trPr>
        <w:tc>
          <w:tcPr>
            <w:tcW w:w="3685" w:type="dxa"/>
            <w:vMerge w:val="restart"/>
          </w:tcPr>
          <w:p w14:paraId="119BE4FB" w14:textId="03EB44E2" w:rsidR="00B934F6" w:rsidRPr="00B934F6" w:rsidRDefault="00B934F6" w:rsidP="00A13AFF">
            <w:pPr>
              <w:keepNext/>
              <w:keepLines/>
              <w:spacing w:after="0" w:line="240" w:lineRule="auto"/>
              <w:jc w:val="both"/>
              <w:rPr>
                <w:rFonts w:ascii="Arial Narrow" w:eastAsia="Calibri" w:hAnsi="Arial Narrow" w:cs="Times New Roman"/>
                <w:b/>
                <w:bCs/>
                <w:lang w:val="en-US"/>
              </w:rPr>
            </w:pPr>
            <w:r w:rsidRPr="00B934F6">
              <w:rPr>
                <w:rFonts w:ascii="Arial Narrow" w:eastAsia="Calibri" w:hAnsi="Arial Narrow" w:cs="Times New Roman"/>
                <w:b/>
                <w:bCs/>
                <w:lang w:val="en-US"/>
              </w:rPr>
              <w:t>System Organ Class</w:t>
            </w:r>
          </w:p>
        </w:tc>
        <w:tc>
          <w:tcPr>
            <w:tcW w:w="2340" w:type="dxa"/>
            <w:vMerge w:val="restart"/>
          </w:tcPr>
          <w:p w14:paraId="24AC251C" w14:textId="77777777" w:rsidR="00B934F6" w:rsidRPr="00B934F6" w:rsidRDefault="00B934F6" w:rsidP="0010496C">
            <w:pPr>
              <w:keepNext/>
              <w:keepLines/>
              <w:spacing w:after="0" w:line="240" w:lineRule="auto"/>
              <w:rPr>
                <w:rFonts w:ascii="Arial Narrow" w:eastAsia="Calibri" w:hAnsi="Arial Narrow" w:cs="Times New Roman"/>
                <w:b/>
                <w:bCs/>
                <w:lang w:val="en-US"/>
              </w:rPr>
            </w:pPr>
            <w:r w:rsidRPr="00B934F6">
              <w:rPr>
                <w:rFonts w:ascii="Arial Narrow" w:eastAsia="Calibri" w:hAnsi="Arial Narrow" w:cs="Times New Roman"/>
                <w:b/>
                <w:bCs/>
                <w:lang w:val="en-US"/>
              </w:rPr>
              <w:t>Preferred Term</w:t>
            </w:r>
          </w:p>
        </w:tc>
        <w:tc>
          <w:tcPr>
            <w:tcW w:w="2831" w:type="dxa"/>
            <w:gridSpan w:val="2"/>
            <w:tcBorders>
              <w:bottom w:val="single" w:sz="4" w:space="0" w:color="auto"/>
            </w:tcBorders>
          </w:tcPr>
          <w:p w14:paraId="7B18784A"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GVHD-SK1</w:t>
            </w:r>
          </w:p>
        </w:tc>
      </w:tr>
      <w:tr w:rsidR="00B934F6" w:rsidRPr="00B934F6" w14:paraId="2D2A8B62" w14:textId="77777777" w:rsidTr="00563942">
        <w:trPr>
          <w:tblHeader/>
        </w:trPr>
        <w:tc>
          <w:tcPr>
            <w:tcW w:w="3685" w:type="dxa"/>
            <w:vMerge/>
          </w:tcPr>
          <w:p w14:paraId="4142DC31" w14:textId="77777777" w:rsidR="00B934F6" w:rsidRPr="00B934F6" w:rsidRDefault="00B934F6" w:rsidP="0010496C">
            <w:pPr>
              <w:keepNext/>
              <w:keepLines/>
              <w:spacing w:after="0" w:line="240" w:lineRule="auto"/>
              <w:jc w:val="both"/>
              <w:rPr>
                <w:rFonts w:ascii="Arial Narrow" w:eastAsia="Calibri" w:hAnsi="Arial Narrow" w:cs="Times New Roman"/>
                <w:b/>
                <w:bCs/>
                <w:lang w:val="en-US"/>
              </w:rPr>
            </w:pPr>
          </w:p>
        </w:tc>
        <w:tc>
          <w:tcPr>
            <w:tcW w:w="2340" w:type="dxa"/>
            <w:vMerge/>
          </w:tcPr>
          <w:p w14:paraId="3D0627D5"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p>
        </w:tc>
        <w:tc>
          <w:tcPr>
            <w:tcW w:w="1350" w:type="dxa"/>
            <w:tcBorders>
              <w:bottom w:val="nil"/>
            </w:tcBorders>
          </w:tcPr>
          <w:p w14:paraId="3032DCAA"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ECP</w:t>
            </w:r>
          </w:p>
        </w:tc>
        <w:tc>
          <w:tcPr>
            <w:tcW w:w="1481" w:type="dxa"/>
            <w:tcBorders>
              <w:bottom w:val="nil"/>
            </w:tcBorders>
          </w:tcPr>
          <w:p w14:paraId="2A4827C5"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Standard of Care</w:t>
            </w:r>
          </w:p>
        </w:tc>
      </w:tr>
      <w:tr w:rsidR="00B934F6" w:rsidRPr="00B934F6" w14:paraId="5AEF67F0" w14:textId="77777777" w:rsidTr="00563942">
        <w:trPr>
          <w:tblHeader/>
        </w:trPr>
        <w:tc>
          <w:tcPr>
            <w:tcW w:w="3685" w:type="dxa"/>
            <w:vMerge/>
          </w:tcPr>
          <w:p w14:paraId="5431E7C5" w14:textId="77777777" w:rsidR="00B934F6" w:rsidRPr="00B934F6" w:rsidRDefault="00B934F6" w:rsidP="0010496C">
            <w:pPr>
              <w:keepNext/>
              <w:keepLines/>
              <w:spacing w:after="0" w:line="240" w:lineRule="auto"/>
              <w:jc w:val="both"/>
              <w:rPr>
                <w:rFonts w:ascii="Arial Narrow" w:eastAsia="Calibri" w:hAnsi="Arial Narrow" w:cs="Times New Roman"/>
                <w:b/>
                <w:bCs/>
                <w:lang w:val="en-US"/>
              </w:rPr>
            </w:pPr>
          </w:p>
        </w:tc>
        <w:tc>
          <w:tcPr>
            <w:tcW w:w="2340" w:type="dxa"/>
            <w:vMerge/>
          </w:tcPr>
          <w:p w14:paraId="1995611D"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p>
        </w:tc>
        <w:tc>
          <w:tcPr>
            <w:tcW w:w="1350" w:type="dxa"/>
            <w:tcBorders>
              <w:top w:val="nil"/>
            </w:tcBorders>
          </w:tcPr>
          <w:p w14:paraId="12BB4245"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(N=49)</w:t>
            </w:r>
          </w:p>
          <w:p w14:paraId="34EA1567"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n (%)</w:t>
            </w:r>
          </w:p>
        </w:tc>
        <w:tc>
          <w:tcPr>
            <w:tcW w:w="1481" w:type="dxa"/>
            <w:tcBorders>
              <w:top w:val="nil"/>
            </w:tcBorders>
          </w:tcPr>
          <w:p w14:paraId="1343DD13"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(N=50)</w:t>
            </w:r>
          </w:p>
          <w:p w14:paraId="2D84CE69" w14:textId="77777777" w:rsidR="00B934F6" w:rsidRPr="00B934F6" w:rsidRDefault="00B934F6" w:rsidP="0010496C">
            <w:pPr>
              <w:keepNext/>
              <w:keepLines/>
              <w:spacing w:after="0" w:line="240" w:lineRule="auto"/>
              <w:jc w:val="center"/>
              <w:rPr>
                <w:rFonts w:ascii="Arial Narrow" w:eastAsia="Calibri" w:hAnsi="Arial Narrow" w:cs="Times New Roman"/>
                <w:b/>
                <w:bCs/>
                <w:lang w:val="en-US"/>
              </w:rPr>
            </w:pPr>
            <w:r w:rsidRPr="00B934F6">
              <w:rPr>
                <w:rFonts w:ascii="Arial Narrow" w:eastAsia="Calibri" w:hAnsi="Arial Narrow" w:cs="Times New Roman"/>
                <w:b/>
                <w:bCs/>
                <w:lang w:val="en-US"/>
              </w:rPr>
              <w:t>n (%)</w:t>
            </w:r>
          </w:p>
        </w:tc>
      </w:tr>
      <w:tr w:rsidR="00B934F6" w:rsidRPr="00B934F6" w14:paraId="7C05E05A" w14:textId="77777777" w:rsidTr="00563942">
        <w:tc>
          <w:tcPr>
            <w:tcW w:w="3685" w:type="dxa"/>
          </w:tcPr>
          <w:p w14:paraId="2D733B34" w14:textId="77777777" w:rsidR="00B934F6" w:rsidRPr="00B934F6" w:rsidRDefault="00B934F6" w:rsidP="0010496C">
            <w:pPr>
              <w:keepNext/>
              <w:keepLines/>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Blood and lymphatic system disorders</w:t>
            </w:r>
          </w:p>
        </w:tc>
        <w:tc>
          <w:tcPr>
            <w:tcW w:w="2340" w:type="dxa"/>
          </w:tcPr>
          <w:p w14:paraId="38B30BA3" w14:textId="77777777" w:rsidR="00B934F6" w:rsidRPr="00B934F6" w:rsidRDefault="00B934F6" w:rsidP="0010496C">
            <w:pPr>
              <w:keepNext/>
              <w:keepLines/>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Anaemia</w:t>
            </w:r>
            <w:proofErr w:type="spellEnd"/>
          </w:p>
        </w:tc>
        <w:tc>
          <w:tcPr>
            <w:tcW w:w="1350" w:type="dxa"/>
          </w:tcPr>
          <w:p w14:paraId="47D24C93" w14:textId="77777777" w:rsidR="00B934F6" w:rsidRPr="00B934F6" w:rsidRDefault="00B934F6" w:rsidP="0010496C">
            <w:pPr>
              <w:keepNext/>
              <w:keepLines/>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13 (26.5)</w:t>
            </w:r>
          </w:p>
        </w:tc>
        <w:tc>
          <w:tcPr>
            <w:tcW w:w="1481" w:type="dxa"/>
          </w:tcPr>
          <w:p w14:paraId="69D06D81" w14:textId="77777777" w:rsidR="00B934F6" w:rsidRPr="00B934F6" w:rsidRDefault="00B934F6" w:rsidP="0010496C">
            <w:pPr>
              <w:keepNext/>
              <w:keepLines/>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(6.0)</w:t>
            </w:r>
          </w:p>
        </w:tc>
      </w:tr>
      <w:tr w:rsidR="00B934F6" w:rsidRPr="00B934F6" w14:paraId="6C6E5311" w14:textId="77777777" w:rsidTr="00563942">
        <w:tc>
          <w:tcPr>
            <w:tcW w:w="3685" w:type="dxa"/>
          </w:tcPr>
          <w:p w14:paraId="087CCB85"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Cardiac disorders</w:t>
            </w:r>
          </w:p>
        </w:tc>
        <w:tc>
          <w:tcPr>
            <w:tcW w:w="2340" w:type="dxa"/>
          </w:tcPr>
          <w:p w14:paraId="3698534E"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Tachycardia</w:t>
            </w:r>
          </w:p>
        </w:tc>
        <w:tc>
          <w:tcPr>
            <w:tcW w:w="1350" w:type="dxa"/>
          </w:tcPr>
          <w:p w14:paraId="0CC0B4B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57E0F6F1"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2 (4.0)</w:t>
            </w:r>
          </w:p>
        </w:tc>
      </w:tr>
      <w:tr w:rsidR="00B934F6" w:rsidRPr="00B934F6" w14:paraId="7318A8AF" w14:textId="77777777" w:rsidTr="00563942">
        <w:tc>
          <w:tcPr>
            <w:tcW w:w="3685" w:type="dxa"/>
          </w:tcPr>
          <w:p w14:paraId="5F759302"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Endocrine disorders</w:t>
            </w:r>
          </w:p>
        </w:tc>
        <w:tc>
          <w:tcPr>
            <w:tcW w:w="2340" w:type="dxa"/>
          </w:tcPr>
          <w:p w14:paraId="3C9599DB"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Cushingoid</w:t>
            </w:r>
            <w:proofErr w:type="spellEnd"/>
          </w:p>
        </w:tc>
        <w:tc>
          <w:tcPr>
            <w:tcW w:w="1350" w:type="dxa"/>
          </w:tcPr>
          <w:p w14:paraId="523C302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6 (12.2)</w:t>
            </w:r>
          </w:p>
        </w:tc>
        <w:tc>
          <w:tcPr>
            <w:tcW w:w="1481" w:type="dxa"/>
          </w:tcPr>
          <w:p w14:paraId="6A0F96C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 (2.0)</w:t>
            </w:r>
          </w:p>
        </w:tc>
      </w:tr>
      <w:tr w:rsidR="00B934F6" w:rsidRPr="00B934F6" w14:paraId="1CC3ABAA" w14:textId="77777777" w:rsidTr="00563942">
        <w:tc>
          <w:tcPr>
            <w:tcW w:w="3685" w:type="dxa"/>
            <w:vMerge w:val="restart"/>
          </w:tcPr>
          <w:p w14:paraId="140C3198"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Eye disorders</w:t>
            </w:r>
          </w:p>
        </w:tc>
        <w:tc>
          <w:tcPr>
            <w:tcW w:w="2340" w:type="dxa"/>
          </w:tcPr>
          <w:p w14:paraId="32D75CFA"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Dry eye</w:t>
            </w:r>
          </w:p>
        </w:tc>
        <w:tc>
          <w:tcPr>
            <w:tcW w:w="1350" w:type="dxa"/>
          </w:tcPr>
          <w:p w14:paraId="0B16A49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6 (12.2)</w:t>
            </w:r>
          </w:p>
        </w:tc>
        <w:tc>
          <w:tcPr>
            <w:tcW w:w="1481" w:type="dxa"/>
          </w:tcPr>
          <w:p w14:paraId="7EB5BA94"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(8.0)</w:t>
            </w:r>
          </w:p>
        </w:tc>
      </w:tr>
      <w:tr w:rsidR="00B934F6" w:rsidRPr="00B934F6" w14:paraId="0DDDF9F5" w14:textId="77777777" w:rsidTr="00563942">
        <w:tc>
          <w:tcPr>
            <w:tcW w:w="3685" w:type="dxa"/>
            <w:vMerge/>
          </w:tcPr>
          <w:p w14:paraId="199D61D1"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45BE4639"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Photophobia</w:t>
            </w:r>
          </w:p>
        </w:tc>
        <w:tc>
          <w:tcPr>
            <w:tcW w:w="1350" w:type="dxa"/>
          </w:tcPr>
          <w:p w14:paraId="2F98D47F"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5 (10.2)</w:t>
            </w:r>
          </w:p>
        </w:tc>
        <w:tc>
          <w:tcPr>
            <w:tcW w:w="1481" w:type="dxa"/>
          </w:tcPr>
          <w:p w14:paraId="151CD32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3C0A36E4" w14:textId="77777777" w:rsidTr="00563942">
        <w:tc>
          <w:tcPr>
            <w:tcW w:w="3685" w:type="dxa"/>
            <w:vMerge/>
          </w:tcPr>
          <w:p w14:paraId="17CADD9C"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5CA46696"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Lacrimation increased</w:t>
            </w:r>
          </w:p>
        </w:tc>
        <w:tc>
          <w:tcPr>
            <w:tcW w:w="1350" w:type="dxa"/>
          </w:tcPr>
          <w:p w14:paraId="2A007C2F"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(8.2)</w:t>
            </w:r>
          </w:p>
        </w:tc>
        <w:tc>
          <w:tcPr>
            <w:tcW w:w="1481" w:type="dxa"/>
          </w:tcPr>
          <w:p w14:paraId="6FA8DBEE"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43C1E63D" w14:textId="77777777" w:rsidTr="00563942">
        <w:tc>
          <w:tcPr>
            <w:tcW w:w="3685" w:type="dxa"/>
            <w:vMerge/>
          </w:tcPr>
          <w:p w14:paraId="6EE8A55D"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6E1CC722"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Conjunctivitis</w:t>
            </w:r>
          </w:p>
        </w:tc>
        <w:tc>
          <w:tcPr>
            <w:tcW w:w="1350" w:type="dxa"/>
          </w:tcPr>
          <w:p w14:paraId="61106859"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4D80080E"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2 (4.0)</w:t>
            </w:r>
          </w:p>
        </w:tc>
      </w:tr>
      <w:tr w:rsidR="00B934F6" w:rsidRPr="00B934F6" w14:paraId="24BA6170" w14:textId="77777777" w:rsidTr="00563942">
        <w:tc>
          <w:tcPr>
            <w:tcW w:w="3685" w:type="dxa"/>
            <w:vMerge/>
          </w:tcPr>
          <w:p w14:paraId="00AA943F"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2B05DF73"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Eye pain</w:t>
            </w:r>
          </w:p>
        </w:tc>
        <w:tc>
          <w:tcPr>
            <w:tcW w:w="1350" w:type="dxa"/>
          </w:tcPr>
          <w:p w14:paraId="1B59F8D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65AC7967"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 (2.0)</w:t>
            </w:r>
          </w:p>
        </w:tc>
      </w:tr>
      <w:tr w:rsidR="00B934F6" w:rsidRPr="00B934F6" w14:paraId="01383072" w14:textId="77777777" w:rsidTr="00563942">
        <w:tc>
          <w:tcPr>
            <w:tcW w:w="3685" w:type="dxa"/>
            <w:vMerge/>
          </w:tcPr>
          <w:p w14:paraId="1D38CEF8"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2768CC4C"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Visual acuity reduced</w:t>
            </w:r>
          </w:p>
        </w:tc>
        <w:tc>
          <w:tcPr>
            <w:tcW w:w="1350" w:type="dxa"/>
          </w:tcPr>
          <w:p w14:paraId="7A724F08"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0E4ED46E"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4264A8B5" w14:textId="77777777" w:rsidTr="00563942">
        <w:tc>
          <w:tcPr>
            <w:tcW w:w="3685" w:type="dxa"/>
            <w:vMerge w:val="restart"/>
          </w:tcPr>
          <w:p w14:paraId="63A72688"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Gastrointestinal disorders</w:t>
            </w:r>
          </w:p>
        </w:tc>
        <w:tc>
          <w:tcPr>
            <w:tcW w:w="2340" w:type="dxa"/>
          </w:tcPr>
          <w:p w14:paraId="1E7E1430"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Diarrhoea</w:t>
            </w:r>
            <w:proofErr w:type="spellEnd"/>
          </w:p>
        </w:tc>
        <w:tc>
          <w:tcPr>
            <w:tcW w:w="1350" w:type="dxa"/>
          </w:tcPr>
          <w:p w14:paraId="65D94024"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14 (28.6)</w:t>
            </w:r>
          </w:p>
        </w:tc>
        <w:tc>
          <w:tcPr>
            <w:tcW w:w="1481" w:type="dxa"/>
          </w:tcPr>
          <w:p w14:paraId="5A7E8296"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12 (24.0)</w:t>
            </w:r>
          </w:p>
        </w:tc>
      </w:tr>
      <w:tr w:rsidR="00B934F6" w:rsidRPr="00B934F6" w14:paraId="0C5C24C4" w14:textId="77777777" w:rsidTr="00563942">
        <w:tc>
          <w:tcPr>
            <w:tcW w:w="3685" w:type="dxa"/>
            <w:vMerge/>
          </w:tcPr>
          <w:p w14:paraId="2AA8F708"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2F19A820"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Nausea</w:t>
            </w:r>
          </w:p>
        </w:tc>
        <w:tc>
          <w:tcPr>
            <w:tcW w:w="1350" w:type="dxa"/>
          </w:tcPr>
          <w:p w14:paraId="0653B2A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10 (20.4)</w:t>
            </w:r>
          </w:p>
        </w:tc>
        <w:tc>
          <w:tcPr>
            <w:tcW w:w="1481" w:type="dxa"/>
          </w:tcPr>
          <w:p w14:paraId="53F8D6F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6 (12.0)</w:t>
            </w:r>
          </w:p>
        </w:tc>
      </w:tr>
      <w:tr w:rsidR="00B934F6" w:rsidRPr="00B934F6" w14:paraId="370EBCDD" w14:textId="77777777" w:rsidTr="00563942">
        <w:tc>
          <w:tcPr>
            <w:tcW w:w="3685" w:type="dxa"/>
            <w:vMerge/>
          </w:tcPr>
          <w:p w14:paraId="45FB34EA"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5129DA4F"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Toothache</w:t>
            </w:r>
          </w:p>
        </w:tc>
        <w:tc>
          <w:tcPr>
            <w:tcW w:w="1350" w:type="dxa"/>
          </w:tcPr>
          <w:p w14:paraId="4DA8F8B7"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5 (10.2)</w:t>
            </w:r>
          </w:p>
        </w:tc>
        <w:tc>
          <w:tcPr>
            <w:tcW w:w="1481" w:type="dxa"/>
          </w:tcPr>
          <w:p w14:paraId="665A7386"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7FD349F7" w14:textId="77777777" w:rsidTr="00563942">
        <w:tc>
          <w:tcPr>
            <w:tcW w:w="3685" w:type="dxa"/>
            <w:vMerge/>
          </w:tcPr>
          <w:p w14:paraId="4B703450"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2A93CC96"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Abdominal pain</w:t>
            </w:r>
          </w:p>
        </w:tc>
        <w:tc>
          <w:tcPr>
            <w:tcW w:w="1350" w:type="dxa"/>
          </w:tcPr>
          <w:p w14:paraId="031C631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(8.2)</w:t>
            </w:r>
          </w:p>
        </w:tc>
        <w:tc>
          <w:tcPr>
            <w:tcW w:w="1481" w:type="dxa"/>
          </w:tcPr>
          <w:p w14:paraId="73117570"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(6.0)</w:t>
            </w:r>
          </w:p>
        </w:tc>
      </w:tr>
      <w:tr w:rsidR="00B934F6" w:rsidRPr="00B934F6" w14:paraId="40687DD8" w14:textId="77777777" w:rsidTr="00563942">
        <w:tc>
          <w:tcPr>
            <w:tcW w:w="3685" w:type="dxa"/>
            <w:vMerge/>
          </w:tcPr>
          <w:p w14:paraId="67C97872"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371EA706"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Dysphagia</w:t>
            </w:r>
          </w:p>
        </w:tc>
        <w:tc>
          <w:tcPr>
            <w:tcW w:w="1350" w:type="dxa"/>
          </w:tcPr>
          <w:p w14:paraId="2DFA6374"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79C61D8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 (2.0)</w:t>
            </w:r>
          </w:p>
        </w:tc>
      </w:tr>
      <w:tr w:rsidR="00B934F6" w:rsidRPr="00B934F6" w14:paraId="18D24696" w14:textId="77777777" w:rsidTr="00563942">
        <w:tc>
          <w:tcPr>
            <w:tcW w:w="3685" w:type="dxa"/>
            <w:vMerge w:val="restart"/>
          </w:tcPr>
          <w:p w14:paraId="03B09639"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General disorders and administration site conditions</w:t>
            </w:r>
          </w:p>
        </w:tc>
        <w:tc>
          <w:tcPr>
            <w:tcW w:w="2340" w:type="dxa"/>
          </w:tcPr>
          <w:p w14:paraId="287FB883"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Fatigue</w:t>
            </w:r>
          </w:p>
        </w:tc>
        <w:tc>
          <w:tcPr>
            <w:tcW w:w="1350" w:type="dxa"/>
          </w:tcPr>
          <w:p w14:paraId="46D64F15"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8 (16.3)</w:t>
            </w:r>
          </w:p>
        </w:tc>
        <w:tc>
          <w:tcPr>
            <w:tcW w:w="1481" w:type="dxa"/>
          </w:tcPr>
          <w:p w14:paraId="26A4BC2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(6.0)</w:t>
            </w:r>
          </w:p>
        </w:tc>
      </w:tr>
      <w:tr w:rsidR="00B934F6" w:rsidRPr="00B934F6" w14:paraId="20B6C9E4" w14:textId="77777777" w:rsidTr="00563942">
        <w:tc>
          <w:tcPr>
            <w:tcW w:w="3685" w:type="dxa"/>
            <w:vMerge/>
          </w:tcPr>
          <w:p w14:paraId="55EAA0FD"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252EE21A"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Pyrexia</w:t>
            </w:r>
          </w:p>
        </w:tc>
        <w:tc>
          <w:tcPr>
            <w:tcW w:w="1350" w:type="dxa"/>
          </w:tcPr>
          <w:p w14:paraId="12A4D145"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7 (14.3)</w:t>
            </w:r>
          </w:p>
        </w:tc>
        <w:tc>
          <w:tcPr>
            <w:tcW w:w="1481" w:type="dxa"/>
          </w:tcPr>
          <w:p w14:paraId="57FD0507"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(6.0)</w:t>
            </w:r>
          </w:p>
        </w:tc>
      </w:tr>
      <w:tr w:rsidR="00B934F6" w:rsidRPr="00B934F6" w14:paraId="3676409F" w14:textId="77777777" w:rsidTr="00563942">
        <w:tc>
          <w:tcPr>
            <w:tcW w:w="3685" w:type="dxa"/>
            <w:vMerge/>
          </w:tcPr>
          <w:p w14:paraId="1F6BFC55"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0CBC0DD1"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Chills</w:t>
            </w:r>
          </w:p>
        </w:tc>
        <w:tc>
          <w:tcPr>
            <w:tcW w:w="1350" w:type="dxa"/>
          </w:tcPr>
          <w:p w14:paraId="256AC299"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0BB83FD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68A7D270" w14:textId="77777777" w:rsidTr="00563942">
        <w:tc>
          <w:tcPr>
            <w:tcW w:w="3685" w:type="dxa"/>
            <w:vMerge/>
          </w:tcPr>
          <w:p w14:paraId="7199F6F7"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3AA44E74"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Mucosal inflammation</w:t>
            </w:r>
          </w:p>
        </w:tc>
        <w:tc>
          <w:tcPr>
            <w:tcW w:w="1350" w:type="dxa"/>
          </w:tcPr>
          <w:p w14:paraId="4C628132"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7A0338D2"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2 (4.0)</w:t>
            </w:r>
          </w:p>
        </w:tc>
      </w:tr>
      <w:tr w:rsidR="00B934F6" w:rsidRPr="00B934F6" w14:paraId="127C2498" w14:textId="77777777" w:rsidTr="00563942">
        <w:tc>
          <w:tcPr>
            <w:tcW w:w="3685" w:type="dxa"/>
            <w:vMerge w:val="restart"/>
          </w:tcPr>
          <w:p w14:paraId="09410029"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Infections and infestations</w:t>
            </w:r>
          </w:p>
        </w:tc>
        <w:tc>
          <w:tcPr>
            <w:tcW w:w="2340" w:type="dxa"/>
          </w:tcPr>
          <w:p w14:paraId="1DAFE6D5"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Sinusitis</w:t>
            </w:r>
          </w:p>
        </w:tc>
        <w:tc>
          <w:tcPr>
            <w:tcW w:w="1350" w:type="dxa"/>
          </w:tcPr>
          <w:p w14:paraId="00374D3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9 (18.4)</w:t>
            </w:r>
          </w:p>
        </w:tc>
        <w:tc>
          <w:tcPr>
            <w:tcW w:w="1481" w:type="dxa"/>
          </w:tcPr>
          <w:p w14:paraId="649A675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(6.0)</w:t>
            </w:r>
          </w:p>
        </w:tc>
      </w:tr>
      <w:tr w:rsidR="00B934F6" w:rsidRPr="00B934F6" w14:paraId="08E3C601" w14:textId="77777777" w:rsidTr="00563942">
        <w:tc>
          <w:tcPr>
            <w:tcW w:w="3685" w:type="dxa"/>
            <w:vMerge/>
          </w:tcPr>
          <w:p w14:paraId="3F9499DC"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42DF6111"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Upper respiratory tract infection</w:t>
            </w:r>
          </w:p>
        </w:tc>
        <w:tc>
          <w:tcPr>
            <w:tcW w:w="1350" w:type="dxa"/>
          </w:tcPr>
          <w:p w14:paraId="0E9BA258"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9 (18.4)</w:t>
            </w:r>
          </w:p>
        </w:tc>
        <w:tc>
          <w:tcPr>
            <w:tcW w:w="1481" w:type="dxa"/>
          </w:tcPr>
          <w:p w14:paraId="03AFC34B"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2 (4.0)</w:t>
            </w:r>
          </w:p>
        </w:tc>
      </w:tr>
      <w:tr w:rsidR="00B934F6" w:rsidRPr="00B934F6" w14:paraId="1675B46E" w14:textId="77777777" w:rsidTr="00563942">
        <w:tc>
          <w:tcPr>
            <w:tcW w:w="3685" w:type="dxa"/>
            <w:vMerge/>
          </w:tcPr>
          <w:p w14:paraId="252FB8DB" w14:textId="77777777" w:rsidR="00B934F6" w:rsidRPr="00B934F6" w:rsidRDefault="00B934F6" w:rsidP="00B934F6">
            <w:pPr>
              <w:spacing w:after="0" w:line="240" w:lineRule="auto"/>
              <w:ind w:firstLine="567"/>
              <w:rPr>
                <w:rFonts w:ascii="Arial Narrow" w:eastAsia="Calibri" w:hAnsi="Arial Narrow" w:cs="Times New Roman"/>
                <w:bCs/>
                <w:lang w:val="en-US"/>
              </w:rPr>
            </w:pPr>
          </w:p>
        </w:tc>
        <w:tc>
          <w:tcPr>
            <w:tcW w:w="2340" w:type="dxa"/>
          </w:tcPr>
          <w:p w14:paraId="32D36EA5"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Nasopharyngitis</w:t>
            </w:r>
            <w:proofErr w:type="spellEnd"/>
          </w:p>
        </w:tc>
        <w:tc>
          <w:tcPr>
            <w:tcW w:w="1350" w:type="dxa"/>
          </w:tcPr>
          <w:p w14:paraId="7448758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1AD27240"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 (2.0)</w:t>
            </w:r>
          </w:p>
        </w:tc>
      </w:tr>
      <w:tr w:rsidR="00B934F6" w:rsidRPr="00B934F6" w14:paraId="07DFD194" w14:textId="77777777" w:rsidTr="00563942">
        <w:tc>
          <w:tcPr>
            <w:tcW w:w="3685" w:type="dxa"/>
          </w:tcPr>
          <w:p w14:paraId="3C9795C3"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Injury, poisoning, procedural complications</w:t>
            </w:r>
          </w:p>
        </w:tc>
        <w:tc>
          <w:tcPr>
            <w:tcW w:w="2340" w:type="dxa"/>
          </w:tcPr>
          <w:p w14:paraId="1E591D5A"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Contusion</w:t>
            </w:r>
          </w:p>
        </w:tc>
        <w:tc>
          <w:tcPr>
            <w:tcW w:w="1350" w:type="dxa"/>
          </w:tcPr>
          <w:p w14:paraId="5BC7D26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1BE0531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751C74F8" w14:textId="77777777" w:rsidTr="00563942">
        <w:tc>
          <w:tcPr>
            <w:tcW w:w="3685" w:type="dxa"/>
            <w:vMerge w:val="restart"/>
          </w:tcPr>
          <w:p w14:paraId="3077CDCB" w14:textId="77777777" w:rsidR="00B934F6" w:rsidRPr="00B934F6" w:rsidRDefault="00B934F6" w:rsidP="00B934F6">
            <w:pPr>
              <w:spacing w:after="0" w:line="240" w:lineRule="auto"/>
              <w:jc w:val="both"/>
              <w:rPr>
                <w:rFonts w:ascii="Arial Narrow" w:eastAsia="Calibri" w:hAnsi="Arial Narrow" w:cs="Times New Roman"/>
                <w:bCs/>
                <w:lang w:val="en-US"/>
              </w:rPr>
            </w:pPr>
            <w:r w:rsidRPr="00B934F6">
              <w:rPr>
                <w:rFonts w:ascii="Arial Narrow" w:eastAsia="Calibri" w:hAnsi="Arial Narrow" w:cs="Times New Roman"/>
                <w:b/>
                <w:bCs/>
                <w:lang w:val="en-US"/>
              </w:rPr>
              <w:t>Investigations</w:t>
            </w:r>
          </w:p>
        </w:tc>
        <w:tc>
          <w:tcPr>
            <w:tcW w:w="2340" w:type="dxa"/>
          </w:tcPr>
          <w:p w14:paraId="7F1EB2F8"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Blood pressure diastolic decreased</w:t>
            </w:r>
          </w:p>
        </w:tc>
        <w:tc>
          <w:tcPr>
            <w:tcW w:w="1350" w:type="dxa"/>
          </w:tcPr>
          <w:p w14:paraId="57C4C635"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32F4D1A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7B771E73" w14:textId="77777777" w:rsidTr="00563942">
        <w:tc>
          <w:tcPr>
            <w:tcW w:w="3685" w:type="dxa"/>
            <w:vMerge/>
          </w:tcPr>
          <w:p w14:paraId="5FC044DA"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6E1E5BA6"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Haemoglobin</w:t>
            </w:r>
            <w:proofErr w:type="spellEnd"/>
            <w:r w:rsidRPr="00B934F6">
              <w:rPr>
                <w:rFonts w:ascii="Arial Narrow" w:eastAsia="Calibri" w:hAnsi="Arial Narrow" w:cs="Times New Roman"/>
                <w:bCs/>
                <w:lang w:val="en-US"/>
              </w:rPr>
              <w:t xml:space="preserve"> decreased</w:t>
            </w:r>
          </w:p>
        </w:tc>
        <w:tc>
          <w:tcPr>
            <w:tcW w:w="1350" w:type="dxa"/>
          </w:tcPr>
          <w:p w14:paraId="1DAEE432"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5975136D"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154041E3" w14:textId="77777777" w:rsidTr="00563942">
        <w:tc>
          <w:tcPr>
            <w:tcW w:w="3685" w:type="dxa"/>
            <w:vMerge w:val="restart"/>
          </w:tcPr>
          <w:p w14:paraId="23D82A86" w14:textId="77777777" w:rsidR="00B934F6" w:rsidRPr="00B934F6" w:rsidRDefault="00B934F6" w:rsidP="00B934F6">
            <w:pPr>
              <w:spacing w:after="0" w:line="240" w:lineRule="auto"/>
              <w:jc w:val="both"/>
              <w:rPr>
                <w:rFonts w:ascii="Arial Narrow" w:eastAsia="Calibri" w:hAnsi="Arial Narrow" w:cs="Times New Roman"/>
                <w:bCs/>
                <w:lang w:val="en-US"/>
              </w:rPr>
            </w:pPr>
            <w:r w:rsidRPr="00B934F6">
              <w:rPr>
                <w:rFonts w:ascii="Arial Narrow" w:eastAsia="Calibri" w:hAnsi="Arial Narrow" w:cs="Times New Roman"/>
                <w:b/>
                <w:bCs/>
                <w:lang w:val="en-US"/>
              </w:rPr>
              <w:t>Metabolism and nutrition disorders</w:t>
            </w:r>
          </w:p>
        </w:tc>
        <w:tc>
          <w:tcPr>
            <w:tcW w:w="2340" w:type="dxa"/>
          </w:tcPr>
          <w:p w14:paraId="36E41D30"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Anorexia</w:t>
            </w:r>
          </w:p>
        </w:tc>
        <w:tc>
          <w:tcPr>
            <w:tcW w:w="1350" w:type="dxa"/>
          </w:tcPr>
          <w:p w14:paraId="6840915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5 (10.2)</w:t>
            </w:r>
          </w:p>
        </w:tc>
        <w:tc>
          <w:tcPr>
            <w:tcW w:w="1481" w:type="dxa"/>
          </w:tcPr>
          <w:p w14:paraId="10151E8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681AE83A" w14:textId="77777777" w:rsidTr="00563942">
        <w:tc>
          <w:tcPr>
            <w:tcW w:w="3685" w:type="dxa"/>
            <w:vMerge/>
          </w:tcPr>
          <w:p w14:paraId="5D2C6114"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0A951E47"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Hypokalaemia</w:t>
            </w:r>
            <w:proofErr w:type="spellEnd"/>
          </w:p>
        </w:tc>
        <w:tc>
          <w:tcPr>
            <w:tcW w:w="1350" w:type="dxa"/>
          </w:tcPr>
          <w:p w14:paraId="15B72D6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(8.2)</w:t>
            </w:r>
          </w:p>
        </w:tc>
        <w:tc>
          <w:tcPr>
            <w:tcW w:w="1481" w:type="dxa"/>
          </w:tcPr>
          <w:p w14:paraId="2F54ED28"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2 (4.0)</w:t>
            </w:r>
          </w:p>
        </w:tc>
      </w:tr>
      <w:tr w:rsidR="00B934F6" w:rsidRPr="00B934F6" w14:paraId="22ABB543" w14:textId="77777777" w:rsidTr="00563942">
        <w:tc>
          <w:tcPr>
            <w:tcW w:w="3685" w:type="dxa"/>
            <w:vMerge/>
          </w:tcPr>
          <w:p w14:paraId="6B4BEAF6"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5A81BCCD"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Hyperglycaemia</w:t>
            </w:r>
            <w:proofErr w:type="spellEnd"/>
          </w:p>
        </w:tc>
        <w:tc>
          <w:tcPr>
            <w:tcW w:w="1350" w:type="dxa"/>
          </w:tcPr>
          <w:p w14:paraId="3E34F1CB"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102CD31D"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 (2.0)</w:t>
            </w:r>
          </w:p>
        </w:tc>
      </w:tr>
      <w:tr w:rsidR="00B934F6" w:rsidRPr="00B934F6" w14:paraId="78CCB9F9" w14:textId="77777777" w:rsidTr="00563942">
        <w:tc>
          <w:tcPr>
            <w:tcW w:w="3685" w:type="dxa"/>
            <w:vMerge/>
          </w:tcPr>
          <w:p w14:paraId="305587E2"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5C4AB9F3"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Hypocalcaemia</w:t>
            </w:r>
          </w:p>
        </w:tc>
        <w:tc>
          <w:tcPr>
            <w:tcW w:w="1350" w:type="dxa"/>
          </w:tcPr>
          <w:p w14:paraId="39CC78BE"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7440E637"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1A1A0E33" w14:textId="77777777" w:rsidTr="00563942">
        <w:tc>
          <w:tcPr>
            <w:tcW w:w="3685" w:type="dxa"/>
          </w:tcPr>
          <w:p w14:paraId="6107782C"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Musculoskeletal and connective tissue disorders</w:t>
            </w:r>
          </w:p>
        </w:tc>
        <w:tc>
          <w:tcPr>
            <w:tcW w:w="2340" w:type="dxa"/>
          </w:tcPr>
          <w:p w14:paraId="769A0D6B"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Pain in extremity</w:t>
            </w:r>
          </w:p>
        </w:tc>
        <w:tc>
          <w:tcPr>
            <w:tcW w:w="1350" w:type="dxa"/>
          </w:tcPr>
          <w:p w14:paraId="0F01AF1F"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8 (16.3)</w:t>
            </w:r>
          </w:p>
        </w:tc>
        <w:tc>
          <w:tcPr>
            <w:tcW w:w="1481" w:type="dxa"/>
          </w:tcPr>
          <w:p w14:paraId="4EA7E571"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(8.0)</w:t>
            </w:r>
          </w:p>
        </w:tc>
      </w:tr>
      <w:tr w:rsidR="00B934F6" w:rsidRPr="00B934F6" w14:paraId="7C2490BA" w14:textId="77777777" w:rsidTr="00563942">
        <w:tc>
          <w:tcPr>
            <w:tcW w:w="3685" w:type="dxa"/>
            <w:vMerge w:val="restart"/>
          </w:tcPr>
          <w:p w14:paraId="749F6E73" w14:textId="77777777" w:rsidR="00B934F6" w:rsidRPr="00B934F6" w:rsidRDefault="00B934F6" w:rsidP="00B934F6">
            <w:pPr>
              <w:spacing w:after="0" w:line="240" w:lineRule="auto"/>
              <w:jc w:val="both"/>
              <w:rPr>
                <w:rFonts w:ascii="Arial Narrow" w:eastAsia="Calibri" w:hAnsi="Arial Narrow" w:cs="Times New Roman"/>
                <w:bCs/>
                <w:lang w:val="en-US"/>
              </w:rPr>
            </w:pPr>
            <w:r w:rsidRPr="00B934F6">
              <w:rPr>
                <w:rFonts w:ascii="Arial Narrow" w:eastAsia="Calibri" w:hAnsi="Arial Narrow" w:cs="Times New Roman"/>
                <w:b/>
                <w:bCs/>
                <w:lang w:val="en-US"/>
              </w:rPr>
              <w:t>Nervous system disorders</w:t>
            </w:r>
          </w:p>
        </w:tc>
        <w:tc>
          <w:tcPr>
            <w:tcW w:w="2340" w:type="dxa"/>
          </w:tcPr>
          <w:p w14:paraId="235D2D43"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Headache</w:t>
            </w:r>
          </w:p>
        </w:tc>
        <w:tc>
          <w:tcPr>
            <w:tcW w:w="1350" w:type="dxa"/>
          </w:tcPr>
          <w:p w14:paraId="489E2401"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10 (20.4)</w:t>
            </w:r>
          </w:p>
        </w:tc>
        <w:tc>
          <w:tcPr>
            <w:tcW w:w="1481" w:type="dxa"/>
          </w:tcPr>
          <w:p w14:paraId="75D80AD5"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6 (12.0)</w:t>
            </w:r>
          </w:p>
        </w:tc>
      </w:tr>
      <w:tr w:rsidR="00B934F6" w:rsidRPr="00B934F6" w14:paraId="1E2695AA" w14:textId="77777777" w:rsidTr="00563942">
        <w:tc>
          <w:tcPr>
            <w:tcW w:w="3685" w:type="dxa"/>
            <w:vMerge/>
          </w:tcPr>
          <w:p w14:paraId="21D11972"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6DC9F737"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Paraesthesia</w:t>
            </w:r>
            <w:proofErr w:type="spellEnd"/>
            <w:r w:rsidRPr="00B934F6">
              <w:rPr>
                <w:rFonts w:ascii="Arial Narrow" w:eastAsia="Calibri" w:hAnsi="Arial Narrow" w:cs="Times New Roman"/>
                <w:bCs/>
                <w:lang w:val="en-US"/>
              </w:rPr>
              <w:t xml:space="preserve"> oral</w:t>
            </w:r>
          </w:p>
        </w:tc>
        <w:tc>
          <w:tcPr>
            <w:tcW w:w="1350" w:type="dxa"/>
          </w:tcPr>
          <w:p w14:paraId="781DD9C9"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(8.2)</w:t>
            </w:r>
          </w:p>
        </w:tc>
        <w:tc>
          <w:tcPr>
            <w:tcW w:w="1481" w:type="dxa"/>
          </w:tcPr>
          <w:p w14:paraId="2C38E7EF"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00895B64" w14:textId="77777777" w:rsidTr="00563942">
        <w:tc>
          <w:tcPr>
            <w:tcW w:w="3685" w:type="dxa"/>
            <w:vMerge/>
          </w:tcPr>
          <w:p w14:paraId="49486C6E"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7A749159"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Neuropathy peripheral</w:t>
            </w:r>
          </w:p>
        </w:tc>
        <w:tc>
          <w:tcPr>
            <w:tcW w:w="1350" w:type="dxa"/>
          </w:tcPr>
          <w:p w14:paraId="64F8F7EB"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3E4BE47D"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5CB0F9B7" w14:textId="77777777" w:rsidTr="00563942">
        <w:tc>
          <w:tcPr>
            <w:tcW w:w="3685" w:type="dxa"/>
            <w:vMerge/>
          </w:tcPr>
          <w:p w14:paraId="3083C5D9"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4A49EA5A"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Tremor</w:t>
            </w:r>
          </w:p>
        </w:tc>
        <w:tc>
          <w:tcPr>
            <w:tcW w:w="1350" w:type="dxa"/>
          </w:tcPr>
          <w:p w14:paraId="10B05FD8"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595994DE"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 (2.0)</w:t>
            </w:r>
          </w:p>
        </w:tc>
      </w:tr>
      <w:tr w:rsidR="00B934F6" w:rsidRPr="00B934F6" w14:paraId="6D3C73B9" w14:textId="77777777" w:rsidTr="00563942">
        <w:tc>
          <w:tcPr>
            <w:tcW w:w="3685" w:type="dxa"/>
          </w:tcPr>
          <w:p w14:paraId="0C68BEFF" w14:textId="77777777" w:rsidR="00B934F6" w:rsidRPr="00B934F6" w:rsidRDefault="00B934F6" w:rsidP="00B934F6">
            <w:pPr>
              <w:spacing w:after="0" w:line="240" w:lineRule="auto"/>
              <w:jc w:val="both"/>
              <w:rPr>
                <w:rFonts w:ascii="Arial Narrow" w:eastAsia="Calibri" w:hAnsi="Arial Narrow" w:cs="Times New Roman"/>
                <w:bCs/>
                <w:lang w:val="en-US"/>
              </w:rPr>
            </w:pPr>
            <w:r w:rsidRPr="00B934F6">
              <w:rPr>
                <w:rFonts w:ascii="Arial Narrow" w:eastAsia="Calibri" w:hAnsi="Arial Narrow" w:cs="Times New Roman"/>
                <w:b/>
                <w:bCs/>
                <w:lang w:val="en-US"/>
              </w:rPr>
              <w:t>Psychiatric disorders</w:t>
            </w:r>
          </w:p>
        </w:tc>
        <w:tc>
          <w:tcPr>
            <w:tcW w:w="2340" w:type="dxa"/>
          </w:tcPr>
          <w:p w14:paraId="2973E420"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Depression</w:t>
            </w:r>
          </w:p>
        </w:tc>
        <w:tc>
          <w:tcPr>
            <w:tcW w:w="1350" w:type="dxa"/>
          </w:tcPr>
          <w:p w14:paraId="5E036EE6"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5 (10.2)</w:t>
            </w:r>
          </w:p>
        </w:tc>
        <w:tc>
          <w:tcPr>
            <w:tcW w:w="1481" w:type="dxa"/>
          </w:tcPr>
          <w:p w14:paraId="44C24E2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(8.0)</w:t>
            </w:r>
          </w:p>
        </w:tc>
      </w:tr>
      <w:tr w:rsidR="00B934F6" w:rsidRPr="00B934F6" w14:paraId="18DEEF37" w14:textId="77777777" w:rsidTr="00563942">
        <w:tc>
          <w:tcPr>
            <w:tcW w:w="3685" w:type="dxa"/>
            <w:vMerge w:val="restart"/>
          </w:tcPr>
          <w:p w14:paraId="43306656"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Respiratory, thoracic and mediastinal disorders</w:t>
            </w:r>
          </w:p>
        </w:tc>
        <w:tc>
          <w:tcPr>
            <w:tcW w:w="2340" w:type="dxa"/>
          </w:tcPr>
          <w:p w14:paraId="32D2BAE6"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Cough</w:t>
            </w:r>
          </w:p>
        </w:tc>
        <w:tc>
          <w:tcPr>
            <w:tcW w:w="1350" w:type="dxa"/>
          </w:tcPr>
          <w:p w14:paraId="5958D23C"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7 (14.3)</w:t>
            </w:r>
          </w:p>
        </w:tc>
        <w:tc>
          <w:tcPr>
            <w:tcW w:w="1481" w:type="dxa"/>
          </w:tcPr>
          <w:p w14:paraId="3F8628FB"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5 (10.0)</w:t>
            </w:r>
          </w:p>
        </w:tc>
      </w:tr>
      <w:tr w:rsidR="00B934F6" w:rsidRPr="00B934F6" w14:paraId="56E4302C" w14:textId="77777777" w:rsidTr="00563942">
        <w:tc>
          <w:tcPr>
            <w:tcW w:w="3685" w:type="dxa"/>
            <w:vMerge/>
          </w:tcPr>
          <w:p w14:paraId="3B8BD624"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7EA2EFA7"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Dyspnoea</w:t>
            </w:r>
            <w:proofErr w:type="spellEnd"/>
          </w:p>
        </w:tc>
        <w:tc>
          <w:tcPr>
            <w:tcW w:w="1350" w:type="dxa"/>
          </w:tcPr>
          <w:p w14:paraId="4BD0CBEF"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7 (14.3)</w:t>
            </w:r>
          </w:p>
        </w:tc>
        <w:tc>
          <w:tcPr>
            <w:tcW w:w="1481" w:type="dxa"/>
          </w:tcPr>
          <w:p w14:paraId="242C69D1"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2 (4.0)</w:t>
            </w:r>
          </w:p>
        </w:tc>
      </w:tr>
      <w:tr w:rsidR="00B934F6" w:rsidRPr="00B934F6" w14:paraId="1D7EFA29" w14:textId="77777777" w:rsidTr="00563942">
        <w:tc>
          <w:tcPr>
            <w:tcW w:w="3685" w:type="dxa"/>
            <w:vMerge/>
          </w:tcPr>
          <w:p w14:paraId="0B18D923"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534EBC53" w14:textId="77777777" w:rsidR="00B934F6" w:rsidRPr="00B934F6" w:rsidRDefault="00B934F6" w:rsidP="00B934F6">
            <w:pPr>
              <w:spacing w:after="0" w:line="240" w:lineRule="auto"/>
              <w:rPr>
                <w:rFonts w:ascii="Arial Narrow" w:eastAsia="Calibri" w:hAnsi="Arial Narrow" w:cs="Times New Roman"/>
                <w:bCs/>
                <w:lang w:val="en-US"/>
              </w:rPr>
            </w:pPr>
            <w:proofErr w:type="spellStart"/>
            <w:r w:rsidRPr="00B934F6">
              <w:rPr>
                <w:rFonts w:ascii="Arial Narrow" w:eastAsia="Calibri" w:hAnsi="Arial Narrow" w:cs="Times New Roman"/>
                <w:bCs/>
                <w:lang w:val="en-US"/>
              </w:rPr>
              <w:t>Pharyngolaryngeal</w:t>
            </w:r>
            <w:proofErr w:type="spellEnd"/>
            <w:r w:rsidRPr="00B934F6">
              <w:rPr>
                <w:rFonts w:ascii="Arial Narrow" w:eastAsia="Calibri" w:hAnsi="Arial Narrow" w:cs="Times New Roman"/>
                <w:bCs/>
                <w:lang w:val="en-US"/>
              </w:rPr>
              <w:t xml:space="preserve"> pain</w:t>
            </w:r>
          </w:p>
        </w:tc>
        <w:tc>
          <w:tcPr>
            <w:tcW w:w="1350" w:type="dxa"/>
          </w:tcPr>
          <w:p w14:paraId="0E9BA73A"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4 (8.2)</w:t>
            </w:r>
          </w:p>
        </w:tc>
        <w:tc>
          <w:tcPr>
            <w:tcW w:w="1481" w:type="dxa"/>
          </w:tcPr>
          <w:p w14:paraId="046B2534"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2D12398F" w14:textId="77777777" w:rsidTr="00563942">
        <w:tc>
          <w:tcPr>
            <w:tcW w:w="3685" w:type="dxa"/>
          </w:tcPr>
          <w:p w14:paraId="2B4FA833"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
                <w:bCs/>
                <w:lang w:val="en-US"/>
              </w:rPr>
              <w:t>Skin and subcutaneous tissue disorders</w:t>
            </w:r>
          </w:p>
        </w:tc>
        <w:tc>
          <w:tcPr>
            <w:tcW w:w="2340" w:type="dxa"/>
          </w:tcPr>
          <w:p w14:paraId="29F473F0"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Rash</w:t>
            </w:r>
          </w:p>
        </w:tc>
        <w:tc>
          <w:tcPr>
            <w:tcW w:w="1350" w:type="dxa"/>
          </w:tcPr>
          <w:p w14:paraId="221075A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6C7DB193"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r w:rsidR="00B934F6" w:rsidRPr="00B934F6" w14:paraId="5EDD7203" w14:textId="77777777" w:rsidTr="00563942">
        <w:tc>
          <w:tcPr>
            <w:tcW w:w="3685" w:type="dxa"/>
            <w:vMerge w:val="restart"/>
          </w:tcPr>
          <w:p w14:paraId="2F36DED1" w14:textId="77777777" w:rsidR="00B934F6" w:rsidRPr="00B934F6" w:rsidRDefault="00B934F6" w:rsidP="00B934F6">
            <w:pPr>
              <w:spacing w:after="0" w:line="240" w:lineRule="auto"/>
              <w:jc w:val="both"/>
              <w:rPr>
                <w:rFonts w:ascii="Arial Narrow" w:eastAsia="Calibri" w:hAnsi="Arial Narrow" w:cs="Times New Roman"/>
                <w:bCs/>
                <w:lang w:val="en-US"/>
              </w:rPr>
            </w:pPr>
            <w:r w:rsidRPr="00B934F6">
              <w:rPr>
                <w:rFonts w:ascii="Arial Narrow" w:eastAsia="Calibri" w:hAnsi="Arial Narrow" w:cs="Times New Roman"/>
                <w:b/>
                <w:bCs/>
                <w:lang w:val="en-US"/>
              </w:rPr>
              <w:t>Vascular disorders</w:t>
            </w:r>
          </w:p>
        </w:tc>
        <w:tc>
          <w:tcPr>
            <w:tcW w:w="2340" w:type="dxa"/>
          </w:tcPr>
          <w:p w14:paraId="670ED6C8"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Hypertension</w:t>
            </w:r>
          </w:p>
        </w:tc>
        <w:tc>
          <w:tcPr>
            <w:tcW w:w="1350" w:type="dxa"/>
          </w:tcPr>
          <w:p w14:paraId="3F52B536"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10 (20.4)</w:t>
            </w:r>
          </w:p>
        </w:tc>
        <w:tc>
          <w:tcPr>
            <w:tcW w:w="1481" w:type="dxa"/>
          </w:tcPr>
          <w:p w14:paraId="62FEAA70"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6 (12.0)</w:t>
            </w:r>
          </w:p>
        </w:tc>
      </w:tr>
      <w:tr w:rsidR="00B934F6" w:rsidRPr="00B934F6" w14:paraId="37177EE8" w14:textId="77777777" w:rsidTr="00563942">
        <w:tc>
          <w:tcPr>
            <w:tcW w:w="3685" w:type="dxa"/>
            <w:vMerge/>
          </w:tcPr>
          <w:p w14:paraId="706BC96F" w14:textId="77777777" w:rsidR="00B934F6" w:rsidRPr="00B934F6" w:rsidRDefault="00B934F6" w:rsidP="00B934F6">
            <w:pPr>
              <w:spacing w:after="0" w:line="240" w:lineRule="auto"/>
              <w:ind w:firstLine="567"/>
              <w:jc w:val="both"/>
              <w:rPr>
                <w:rFonts w:ascii="Arial Narrow" w:eastAsia="Calibri" w:hAnsi="Arial Narrow" w:cs="Times New Roman"/>
                <w:bCs/>
                <w:lang w:val="en-US"/>
              </w:rPr>
            </w:pPr>
          </w:p>
        </w:tc>
        <w:tc>
          <w:tcPr>
            <w:tcW w:w="2340" w:type="dxa"/>
          </w:tcPr>
          <w:p w14:paraId="721B9A30" w14:textId="77777777" w:rsidR="00B934F6" w:rsidRPr="00B934F6" w:rsidRDefault="00B934F6" w:rsidP="00B934F6">
            <w:pPr>
              <w:spacing w:after="0" w:line="240" w:lineRule="auto"/>
              <w:rPr>
                <w:rFonts w:ascii="Arial Narrow" w:eastAsia="Calibri" w:hAnsi="Arial Narrow" w:cs="Times New Roman"/>
                <w:bCs/>
                <w:lang w:val="en-US"/>
              </w:rPr>
            </w:pPr>
            <w:r w:rsidRPr="00B934F6">
              <w:rPr>
                <w:rFonts w:ascii="Arial Narrow" w:eastAsia="Calibri" w:hAnsi="Arial Narrow" w:cs="Times New Roman"/>
                <w:bCs/>
                <w:lang w:val="en-US"/>
              </w:rPr>
              <w:t>Hypotension</w:t>
            </w:r>
          </w:p>
        </w:tc>
        <w:tc>
          <w:tcPr>
            <w:tcW w:w="1350" w:type="dxa"/>
          </w:tcPr>
          <w:p w14:paraId="27F70ED0"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3 (6.1)</w:t>
            </w:r>
          </w:p>
        </w:tc>
        <w:tc>
          <w:tcPr>
            <w:tcW w:w="1481" w:type="dxa"/>
          </w:tcPr>
          <w:p w14:paraId="4C000047" w14:textId="77777777" w:rsidR="00B934F6" w:rsidRPr="00B934F6" w:rsidRDefault="00B934F6" w:rsidP="00B934F6">
            <w:pPr>
              <w:spacing w:after="0" w:line="240" w:lineRule="auto"/>
              <w:jc w:val="center"/>
              <w:rPr>
                <w:rFonts w:ascii="Arial Narrow" w:eastAsia="Calibri" w:hAnsi="Arial Narrow" w:cs="Times New Roman"/>
                <w:bCs/>
                <w:lang w:val="en-US"/>
              </w:rPr>
            </w:pPr>
            <w:r w:rsidRPr="00B934F6">
              <w:rPr>
                <w:rFonts w:ascii="Arial Narrow" w:eastAsia="Calibri" w:hAnsi="Arial Narrow" w:cs="Times New Roman"/>
                <w:bCs/>
                <w:lang w:val="en-US"/>
              </w:rPr>
              <w:t>0 (0.0)</w:t>
            </w:r>
          </w:p>
        </w:tc>
      </w:tr>
    </w:tbl>
    <w:p w14:paraId="516ADF85" w14:textId="1543D75E" w:rsidR="004754E0" w:rsidRDefault="00B8611B" w:rsidP="00C02348">
      <w:pPr>
        <w:widowControl w:val="0"/>
        <w:autoSpaceDE w:val="0"/>
        <w:autoSpaceDN w:val="0"/>
        <w:adjustRightInd w:val="0"/>
        <w:spacing w:before="240" w:line="201" w:lineRule="atLeast"/>
        <w:jc w:val="both"/>
        <w:rPr>
          <w:rFonts w:ascii="Arial" w:hAnsi="Arial" w:cs="Arial"/>
          <w:color w:val="211D1E"/>
        </w:rPr>
      </w:pPr>
      <w:r w:rsidRPr="004407DC">
        <w:rPr>
          <w:rFonts w:ascii="Arial" w:hAnsi="Arial" w:cs="Arial"/>
          <w:color w:val="211D1E"/>
        </w:rPr>
        <w:t xml:space="preserve">The following adverse reactions have been identified during post-marketing use of UVADEX with an incidence of &lt;1%: rash, </w:t>
      </w:r>
      <w:r w:rsidR="0010496C">
        <w:rPr>
          <w:rFonts w:ascii="Arial" w:hAnsi="Arial" w:cs="Arial"/>
          <w:color w:val="211D1E"/>
        </w:rPr>
        <w:t xml:space="preserve">anaphylactic reaction, </w:t>
      </w:r>
      <w:r w:rsidRPr="004407DC">
        <w:rPr>
          <w:rFonts w:ascii="Arial" w:hAnsi="Arial" w:cs="Arial"/>
          <w:color w:val="211D1E"/>
        </w:rPr>
        <w:t xml:space="preserve">allergic reaction, nausea, and </w:t>
      </w:r>
      <w:r w:rsidR="0010496C">
        <w:rPr>
          <w:rFonts w:ascii="Arial" w:hAnsi="Arial" w:cs="Arial"/>
          <w:color w:val="211D1E"/>
        </w:rPr>
        <w:t>vomiting</w:t>
      </w:r>
      <w:r w:rsidRPr="004407DC">
        <w:rPr>
          <w:rFonts w:ascii="Arial" w:hAnsi="Arial" w:cs="Arial"/>
          <w:color w:val="211D1E"/>
        </w:rPr>
        <w:t>.</w:t>
      </w:r>
    </w:p>
    <w:p w14:paraId="0C0DD14E" w14:textId="24BE74DC" w:rsidR="004754E0" w:rsidRPr="004407DC" w:rsidRDefault="004754E0" w:rsidP="00CA213D">
      <w:pPr>
        <w:widowControl w:val="0"/>
        <w:autoSpaceDE w:val="0"/>
        <w:autoSpaceDN w:val="0"/>
        <w:adjustRightInd w:val="0"/>
        <w:spacing w:line="201" w:lineRule="atLeast"/>
        <w:jc w:val="both"/>
        <w:rPr>
          <w:rFonts w:ascii="Arial" w:hAnsi="Arial" w:cs="Arial"/>
          <w:color w:val="211D1E"/>
        </w:rPr>
      </w:pPr>
      <w:r>
        <w:rPr>
          <w:rFonts w:ascii="Arial" w:hAnsi="Arial" w:cs="Arial"/>
          <w:color w:val="211D1E"/>
        </w:rPr>
        <w:t xml:space="preserve">Thromboembolism and severe allergic reactions have been reported </w:t>
      </w:r>
      <w:r w:rsidR="006F1B23">
        <w:rPr>
          <w:rFonts w:ascii="Arial" w:hAnsi="Arial" w:cs="Arial"/>
          <w:color w:val="211D1E"/>
        </w:rPr>
        <w:t xml:space="preserve">in association </w:t>
      </w:r>
      <w:r>
        <w:rPr>
          <w:rFonts w:ascii="Arial" w:hAnsi="Arial" w:cs="Arial"/>
          <w:color w:val="211D1E"/>
        </w:rPr>
        <w:t xml:space="preserve">with </w:t>
      </w:r>
      <w:r w:rsidR="00B415DD">
        <w:rPr>
          <w:rFonts w:ascii="Arial" w:hAnsi="Arial" w:cs="Arial"/>
          <w:color w:val="211D1E"/>
        </w:rPr>
        <w:t xml:space="preserve">the use of </w:t>
      </w:r>
      <w:r w:rsidR="00A91FC8">
        <w:rPr>
          <w:rFonts w:ascii="Arial" w:hAnsi="Arial" w:cs="Arial"/>
          <w:color w:val="211D1E"/>
        </w:rPr>
        <w:t>THERAKOS</w:t>
      </w:r>
      <w:r>
        <w:rPr>
          <w:rFonts w:ascii="Arial" w:hAnsi="Arial" w:cs="Arial"/>
          <w:color w:val="211D1E"/>
        </w:rPr>
        <w:t xml:space="preserve"> CELLEX.</w:t>
      </w:r>
    </w:p>
    <w:p w14:paraId="098F471F" w14:textId="77777777" w:rsidR="0021200F" w:rsidRPr="004407DC" w:rsidRDefault="0021200F" w:rsidP="00881522">
      <w:pPr>
        <w:pStyle w:val="Heading3"/>
      </w:pPr>
      <w:r w:rsidRPr="004407DC">
        <w:t>Reporting suspected adverse effects</w:t>
      </w:r>
    </w:p>
    <w:p w14:paraId="58A83160" w14:textId="77777777" w:rsidR="005B2812" w:rsidRPr="004407DC" w:rsidRDefault="005B2812" w:rsidP="00CA213D">
      <w:pPr>
        <w:widowControl w:val="0"/>
        <w:autoSpaceDE w:val="0"/>
        <w:autoSpaceDN w:val="0"/>
        <w:adjustRightInd w:val="0"/>
        <w:spacing w:line="201" w:lineRule="atLeast"/>
        <w:jc w:val="both"/>
        <w:rPr>
          <w:rFonts w:ascii="Arial" w:hAnsi="Arial" w:cs="Arial"/>
        </w:rPr>
      </w:pPr>
      <w:r w:rsidRPr="004407DC">
        <w:rPr>
          <w:rFonts w:ascii="Arial" w:hAnsi="Arial" w:cs="Arial"/>
          <w:color w:val="211D1E"/>
        </w:rPr>
        <w:t>Reporting suspected adverse reactions after registration of the medicinal product is important. It allows continued monitoring of the benefit-risk balance of the medicinal product. Healthcare professionals are asked to report any suspected adverse reactions at</w:t>
      </w:r>
      <w:r w:rsidRPr="004407DC">
        <w:rPr>
          <w:rFonts w:ascii="Arial" w:hAnsi="Arial" w:cs="Arial"/>
          <w:lang w:val="en"/>
        </w:rPr>
        <w:t xml:space="preserve"> </w:t>
      </w:r>
      <w:hyperlink r:id="rId11" w:history="1">
        <w:r w:rsidRPr="004407DC">
          <w:rPr>
            <w:rStyle w:val="Hyperlink"/>
            <w:rFonts w:ascii="Arial" w:hAnsi="Arial" w:cs="Arial"/>
            <w:lang w:val="en"/>
          </w:rPr>
          <w:t>www.tga.gov.au/reporting-problems</w:t>
        </w:r>
      </w:hyperlink>
      <w:r w:rsidRPr="004407DC">
        <w:rPr>
          <w:rFonts w:ascii="Arial" w:hAnsi="Arial" w:cs="Arial"/>
          <w:lang w:val="en"/>
        </w:rPr>
        <w:t>.</w:t>
      </w:r>
    </w:p>
    <w:p w14:paraId="477B03CB" w14:textId="71E9F8BA" w:rsidR="001A3992" w:rsidRPr="004407DC" w:rsidRDefault="004407DC" w:rsidP="001A3992">
      <w:pPr>
        <w:pStyle w:val="Heading2"/>
        <w:keepNext/>
        <w:keepLines/>
        <w:spacing w:before="0" w:after="120"/>
        <w:rPr>
          <w:rFonts w:ascii="Arial" w:hAnsi="Arial" w:cs="Arial"/>
          <w:sz w:val="22"/>
        </w:rPr>
      </w:pPr>
      <w:r w:rsidRPr="004407DC">
        <w:rPr>
          <w:rFonts w:ascii="Arial" w:hAnsi="Arial" w:cs="Arial"/>
          <w:sz w:val="22"/>
        </w:rPr>
        <w:t>OVERDOSE</w:t>
      </w:r>
    </w:p>
    <w:p w14:paraId="554D6D5E" w14:textId="77777777" w:rsidR="00B8611B" w:rsidRPr="00CA213D" w:rsidRDefault="00B8611B"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There is no human experience of overdose with UVADEX; animal data suggests a large margin of safety. In the event of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overdose, the patient should be kept in a darkened room for at least 24 hours.</w:t>
      </w:r>
    </w:p>
    <w:p w14:paraId="6C73A427" w14:textId="77777777" w:rsidR="00B8611B" w:rsidRPr="00CA213D" w:rsidRDefault="00B8611B"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If overdose is suspected or an incorrect dose of UVADEX is delivered into the </w:t>
      </w:r>
      <w:proofErr w:type="spellStart"/>
      <w:r w:rsidRPr="00CA213D">
        <w:rPr>
          <w:rFonts w:ascii="Arial" w:hAnsi="Arial" w:cs="Univers 55"/>
          <w:color w:val="211D1E"/>
        </w:rPr>
        <w:t>photoactivation</w:t>
      </w:r>
      <w:proofErr w:type="spellEnd"/>
      <w:r w:rsidRPr="00CA213D">
        <w:rPr>
          <w:rFonts w:ascii="Arial" w:hAnsi="Arial" w:cs="Univers 55"/>
          <w:color w:val="211D1E"/>
        </w:rPr>
        <w:t xml:space="preserve"> bag, immediately terminate treatment.</w:t>
      </w:r>
    </w:p>
    <w:p w14:paraId="1F39B1D1" w14:textId="77777777" w:rsidR="00B8611B" w:rsidRPr="00CA213D" w:rsidRDefault="00B8611B"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There is one case of </w:t>
      </w:r>
      <w:proofErr w:type="spellStart"/>
      <w:r w:rsidRPr="00CA213D">
        <w:rPr>
          <w:rFonts w:ascii="Arial" w:hAnsi="Arial" w:cs="Univers 55"/>
          <w:color w:val="211D1E"/>
        </w:rPr>
        <w:t>overdosage</w:t>
      </w:r>
      <w:proofErr w:type="spellEnd"/>
      <w:r w:rsidRPr="00CA213D">
        <w:rPr>
          <w:rFonts w:ascii="Arial" w:hAnsi="Arial" w:cs="Univers 55"/>
          <w:color w:val="211D1E"/>
        </w:rPr>
        <w:t xml:space="preserve"> with oral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recorded in the medical literature. A 25</w:t>
      </w:r>
      <w:r w:rsidRPr="00CA213D">
        <w:rPr>
          <w:rFonts w:ascii="Arial" w:hAnsi="Arial" w:cs="Univers 55"/>
          <w:color w:val="211D1E"/>
        </w:rPr>
        <w:noBreakHyphen/>
        <w:t>year</w:t>
      </w:r>
      <w:r w:rsidRPr="00CA213D">
        <w:rPr>
          <w:rFonts w:ascii="Arial" w:hAnsi="Arial" w:cs="Univers 55"/>
          <w:color w:val="211D1E"/>
        </w:rPr>
        <w:noBreakHyphen/>
        <w:t xml:space="preserve">old woman ingested a dose equivalent to about 85 mg/kg body weight (i.e. approximately 140 times the therapeutic dose of oral </w:t>
      </w:r>
      <w:proofErr w:type="spellStart"/>
      <w:r w:rsidRPr="00CA213D">
        <w:rPr>
          <w:rFonts w:ascii="Arial" w:hAnsi="Arial" w:cs="Univers 55"/>
          <w:color w:val="211D1E"/>
        </w:rPr>
        <w:t>methoxsalen</w:t>
      </w:r>
      <w:proofErr w:type="spellEnd"/>
      <w:r w:rsidRPr="00CA213D">
        <w:rPr>
          <w:rFonts w:ascii="Arial" w:hAnsi="Arial" w:cs="Univers 55"/>
          <w:color w:val="211D1E"/>
        </w:rPr>
        <w:t>). The major symptoms of intoxication were nausea, vomiting and dizziness. The patient was kept in a darkened room and her cardiovascular function was monitored. She recovered without sequelae and was released from hospital 36 hours after admission.</w:t>
      </w:r>
    </w:p>
    <w:p w14:paraId="03675EEB" w14:textId="77777777" w:rsidR="005B2812" w:rsidRPr="00CA213D" w:rsidRDefault="005B2812"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For information on the management of overdose, contact the Poisons Information Centre on 13 11 26 (Australia).</w:t>
      </w:r>
    </w:p>
    <w:p w14:paraId="2FB1157E" w14:textId="77777777" w:rsidR="001A3992" w:rsidRPr="00C602F6" w:rsidRDefault="001A3992" w:rsidP="001A3992">
      <w:pPr>
        <w:pStyle w:val="Heading1"/>
        <w:spacing w:before="0" w:after="120"/>
        <w:rPr>
          <w:rFonts w:ascii="Arial" w:hAnsi="Arial" w:cs="Arial"/>
          <w:sz w:val="22"/>
          <w:szCs w:val="22"/>
          <w:lang w:val="en-US"/>
        </w:rPr>
      </w:pPr>
      <w:r w:rsidRPr="00C602F6">
        <w:rPr>
          <w:rFonts w:ascii="Arial" w:hAnsi="Arial" w:cs="Arial"/>
          <w:sz w:val="22"/>
          <w:szCs w:val="22"/>
          <w:lang w:val="en-US"/>
        </w:rPr>
        <w:t>Pharmacological properties</w:t>
      </w:r>
    </w:p>
    <w:p w14:paraId="37925E7D" w14:textId="77777777" w:rsidR="00B8611B" w:rsidRPr="00CA213D" w:rsidRDefault="00B8611B" w:rsidP="00CA213D">
      <w:pPr>
        <w:widowControl w:val="0"/>
        <w:autoSpaceDE w:val="0"/>
        <w:autoSpaceDN w:val="0"/>
        <w:adjustRightInd w:val="0"/>
        <w:spacing w:line="201" w:lineRule="atLeast"/>
        <w:jc w:val="both"/>
        <w:rPr>
          <w:rFonts w:ascii="Arial" w:hAnsi="Arial" w:cs="Univers 55"/>
          <w:color w:val="211D1E"/>
        </w:rPr>
      </w:pPr>
      <w:proofErr w:type="spellStart"/>
      <w:r w:rsidRPr="00CA213D">
        <w:rPr>
          <w:rFonts w:ascii="Arial" w:hAnsi="Arial" w:cs="Univers 55"/>
          <w:color w:val="211D1E"/>
        </w:rPr>
        <w:t>Methoxsalen</w:t>
      </w:r>
      <w:proofErr w:type="spellEnd"/>
      <w:r w:rsidRPr="00CA213D">
        <w:rPr>
          <w:rFonts w:ascii="Arial" w:hAnsi="Arial" w:cs="Univers 55"/>
          <w:color w:val="211D1E"/>
        </w:rPr>
        <w:t xml:space="preserve"> is a naturally occurring photoactive substance found in the seeds of the </w:t>
      </w:r>
      <w:proofErr w:type="spellStart"/>
      <w:r w:rsidRPr="00CA213D">
        <w:rPr>
          <w:rFonts w:ascii="Arial" w:hAnsi="Arial" w:cs="Univers 55"/>
          <w:color w:val="211D1E"/>
        </w:rPr>
        <w:t>Ammi</w:t>
      </w:r>
      <w:proofErr w:type="spellEnd"/>
      <w:r w:rsidRPr="00CA213D">
        <w:rPr>
          <w:rFonts w:ascii="Arial" w:hAnsi="Arial" w:cs="Univers 55"/>
          <w:color w:val="211D1E"/>
        </w:rPr>
        <w:t xml:space="preserve"> </w:t>
      </w:r>
      <w:proofErr w:type="spellStart"/>
      <w:r w:rsidRPr="00CA213D">
        <w:rPr>
          <w:rFonts w:ascii="Arial" w:hAnsi="Arial" w:cs="Univers 55"/>
          <w:color w:val="211D1E"/>
        </w:rPr>
        <w:t>majus</w:t>
      </w:r>
      <w:proofErr w:type="spellEnd"/>
      <w:r w:rsidRPr="00CA213D">
        <w:rPr>
          <w:rFonts w:ascii="Arial" w:hAnsi="Arial" w:cs="Univers 55"/>
          <w:color w:val="211D1E"/>
        </w:rPr>
        <w:t xml:space="preserve"> (</w:t>
      </w:r>
      <w:proofErr w:type="spellStart"/>
      <w:r w:rsidRPr="00CA213D">
        <w:rPr>
          <w:rFonts w:ascii="Arial" w:hAnsi="Arial" w:cs="Univers 55"/>
          <w:color w:val="211D1E"/>
        </w:rPr>
        <w:t>Umbelliferae</w:t>
      </w:r>
      <w:proofErr w:type="spellEnd"/>
      <w:r w:rsidRPr="00CA213D">
        <w:rPr>
          <w:rFonts w:ascii="Arial" w:hAnsi="Arial" w:cs="Univers 55"/>
          <w:color w:val="211D1E"/>
        </w:rPr>
        <w:t xml:space="preserve">) plant. It belongs to a group of compounds known as psoralens or </w:t>
      </w:r>
      <w:proofErr w:type="spellStart"/>
      <w:r w:rsidRPr="00CA213D">
        <w:rPr>
          <w:rFonts w:ascii="Arial" w:hAnsi="Arial" w:cs="Univers 55"/>
          <w:color w:val="211D1E"/>
        </w:rPr>
        <w:t>furocoumarins</w:t>
      </w:r>
      <w:proofErr w:type="spellEnd"/>
      <w:r w:rsidRPr="00CA213D">
        <w:rPr>
          <w:rFonts w:ascii="Arial" w:hAnsi="Arial" w:cs="Univers 55"/>
          <w:color w:val="211D1E"/>
        </w:rPr>
        <w:t>.</w:t>
      </w:r>
    </w:p>
    <w:p w14:paraId="75228468" w14:textId="7F91D1C5" w:rsidR="001A3992" w:rsidRPr="00C602F6" w:rsidRDefault="00C602F6" w:rsidP="00C02348">
      <w:pPr>
        <w:pStyle w:val="Heading2"/>
        <w:pageBreakBefore/>
        <w:spacing w:after="120"/>
        <w:ind w:left="578" w:hanging="578"/>
        <w:rPr>
          <w:rFonts w:ascii="Arial" w:hAnsi="Arial" w:cs="Arial"/>
          <w:sz w:val="22"/>
          <w:lang w:val="en-US"/>
        </w:rPr>
      </w:pPr>
      <w:r w:rsidRPr="00C602F6">
        <w:rPr>
          <w:rFonts w:ascii="Arial" w:hAnsi="Arial" w:cs="Arial"/>
          <w:sz w:val="22"/>
          <w:lang w:val="en-US"/>
        </w:rPr>
        <w:lastRenderedPageBreak/>
        <w:t>PHARMACODYNAMIC PROPERTIES</w:t>
      </w:r>
    </w:p>
    <w:p w14:paraId="483E87BC" w14:textId="77777777" w:rsidR="001A3992" w:rsidRDefault="001A3992" w:rsidP="00C602F6">
      <w:pPr>
        <w:pStyle w:val="Heading3"/>
        <w:spacing w:before="0" w:after="120"/>
        <w:rPr>
          <w:rFonts w:cs="Arial"/>
        </w:rPr>
      </w:pPr>
      <w:r w:rsidRPr="007313E5">
        <w:rPr>
          <w:rFonts w:cs="Arial"/>
        </w:rPr>
        <w:t>Mechanism of action</w:t>
      </w:r>
    </w:p>
    <w:p w14:paraId="21EA1E2D" w14:textId="42F66E88" w:rsidR="00B8611B" w:rsidRDefault="00B8611B" w:rsidP="00CA213D">
      <w:pPr>
        <w:widowControl w:val="0"/>
        <w:autoSpaceDE w:val="0"/>
        <w:autoSpaceDN w:val="0"/>
        <w:adjustRightInd w:val="0"/>
        <w:spacing w:line="201" w:lineRule="atLeast"/>
        <w:jc w:val="both"/>
        <w:rPr>
          <w:rFonts w:ascii="Arial" w:hAnsi="Arial" w:cs="Univers 55"/>
          <w:color w:val="211D1E"/>
        </w:rPr>
      </w:pPr>
      <w:r w:rsidRPr="008C6404">
        <w:rPr>
          <w:rFonts w:ascii="Arial" w:hAnsi="Arial" w:cs="Univers 55"/>
          <w:color w:val="211D1E"/>
        </w:rPr>
        <w:t xml:space="preserve">Although </w:t>
      </w:r>
      <w:r>
        <w:rPr>
          <w:rFonts w:ascii="Arial" w:hAnsi="Arial" w:cs="Univers 55"/>
          <w:color w:val="211D1E"/>
        </w:rPr>
        <w:t>ECP</w:t>
      </w:r>
      <w:r w:rsidRPr="008C6404">
        <w:rPr>
          <w:rFonts w:ascii="Arial" w:hAnsi="Arial" w:cs="Univers 55"/>
          <w:color w:val="211D1E"/>
        </w:rPr>
        <w:t xml:space="preserve"> </w:t>
      </w:r>
      <w:r>
        <w:rPr>
          <w:rFonts w:ascii="Arial" w:hAnsi="Arial" w:cs="Univers 55"/>
          <w:color w:val="211D1E"/>
        </w:rPr>
        <w:t xml:space="preserve">with </w:t>
      </w:r>
      <w:proofErr w:type="spellStart"/>
      <w:r>
        <w:rPr>
          <w:rFonts w:ascii="Arial" w:hAnsi="Arial" w:cs="Univers 55"/>
          <w:color w:val="211D1E"/>
        </w:rPr>
        <w:t>methoxsalen</w:t>
      </w:r>
      <w:proofErr w:type="spellEnd"/>
      <w:r>
        <w:rPr>
          <w:rFonts w:ascii="Arial" w:hAnsi="Arial" w:cs="Univers 55"/>
          <w:color w:val="211D1E"/>
        </w:rPr>
        <w:t xml:space="preserve"> </w:t>
      </w:r>
      <w:r w:rsidRPr="008C6404">
        <w:rPr>
          <w:rFonts w:ascii="Arial" w:hAnsi="Arial" w:cs="Univers 55"/>
          <w:color w:val="211D1E"/>
        </w:rPr>
        <w:t xml:space="preserve">has been used clinically for many years, </w:t>
      </w:r>
      <w:r>
        <w:rPr>
          <w:rFonts w:ascii="Arial" w:hAnsi="Arial" w:cs="Univers 55"/>
          <w:color w:val="211D1E"/>
        </w:rPr>
        <w:t xml:space="preserve">knowledge regarding </w:t>
      </w:r>
      <w:r w:rsidRPr="008C6404">
        <w:rPr>
          <w:rFonts w:ascii="Arial" w:hAnsi="Arial" w:cs="Univers 55"/>
          <w:color w:val="211D1E"/>
        </w:rPr>
        <w:t xml:space="preserve">the </w:t>
      </w:r>
      <w:r>
        <w:rPr>
          <w:rFonts w:ascii="Arial" w:hAnsi="Arial" w:cs="Univers 55"/>
          <w:color w:val="211D1E"/>
        </w:rPr>
        <w:t xml:space="preserve">full </w:t>
      </w:r>
      <w:r w:rsidRPr="008C6404">
        <w:rPr>
          <w:rFonts w:ascii="Arial" w:hAnsi="Arial" w:cs="Univers 55"/>
          <w:color w:val="211D1E"/>
        </w:rPr>
        <w:t>mechanism</w:t>
      </w:r>
      <w:r>
        <w:rPr>
          <w:rFonts w:ascii="Arial" w:hAnsi="Arial" w:cs="Univers 55"/>
          <w:color w:val="211D1E"/>
        </w:rPr>
        <w:t xml:space="preserve"> underlying ECP</w:t>
      </w:r>
      <w:r w:rsidRPr="008C6404">
        <w:rPr>
          <w:rFonts w:ascii="Arial" w:hAnsi="Arial" w:cs="Univers 55"/>
          <w:color w:val="211D1E"/>
        </w:rPr>
        <w:t xml:space="preserve"> </w:t>
      </w:r>
      <w:r>
        <w:rPr>
          <w:rFonts w:ascii="Arial" w:hAnsi="Arial" w:cs="Univers 55"/>
          <w:color w:val="211D1E"/>
        </w:rPr>
        <w:t>has not been</w:t>
      </w:r>
      <w:r w:rsidRPr="008C6404">
        <w:rPr>
          <w:rFonts w:ascii="Arial" w:hAnsi="Arial" w:cs="Univers 55"/>
          <w:color w:val="211D1E"/>
        </w:rPr>
        <w:t xml:space="preserve"> fully elucidated. It is generally accepted that the molecular processes which lead to apoptotic cell death involve the intercalating of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into the double</w:t>
      </w:r>
      <w:r w:rsidRPr="008C6404">
        <w:rPr>
          <w:rFonts w:ascii="Arial" w:hAnsi="Arial" w:cs="Univers 55"/>
          <w:color w:val="211D1E"/>
        </w:rPr>
        <w:noBreakHyphen/>
        <w:t>stranded D</w:t>
      </w:r>
      <w:r>
        <w:rPr>
          <w:rFonts w:ascii="Arial" w:hAnsi="Arial" w:cs="Univers 55"/>
          <w:color w:val="211D1E"/>
        </w:rPr>
        <w:t>NA molecule within the nucleus.</w:t>
      </w:r>
    </w:p>
    <w:p w14:paraId="2D9466E3" w14:textId="03BE2334" w:rsidR="00B8611B" w:rsidRDefault="00B8611B" w:rsidP="00CA213D">
      <w:pPr>
        <w:widowControl w:val="0"/>
        <w:autoSpaceDE w:val="0"/>
        <w:autoSpaceDN w:val="0"/>
        <w:adjustRightInd w:val="0"/>
        <w:spacing w:line="201" w:lineRule="atLeast"/>
        <w:jc w:val="both"/>
        <w:rPr>
          <w:rFonts w:ascii="Arial" w:hAnsi="Arial" w:cs="Univers 55"/>
          <w:color w:val="211D1E"/>
        </w:rPr>
      </w:pPr>
      <w:r w:rsidRPr="008C6404">
        <w:rPr>
          <w:rFonts w:ascii="Arial" w:hAnsi="Arial" w:cs="Univers 55"/>
          <w:color w:val="211D1E"/>
        </w:rPr>
        <w:t xml:space="preserve">On activation by exposure to UVA light,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binds to the pyrimidine bases of the nucleic acid (thymine, cytosine and uracil) and forms covalent cross</w:t>
      </w:r>
      <w:r w:rsidRPr="008C6404">
        <w:rPr>
          <w:rFonts w:ascii="Arial" w:hAnsi="Arial" w:cs="Univers 55"/>
          <w:color w:val="211D1E"/>
        </w:rPr>
        <w:noBreakHyphen/>
        <w:t xml:space="preserve">links between the two DNA strands. The formation of these </w:t>
      </w:r>
      <w:proofErr w:type="spellStart"/>
      <w:r w:rsidRPr="008C6404">
        <w:rPr>
          <w:rFonts w:ascii="Arial" w:hAnsi="Arial" w:cs="Univers 55"/>
          <w:color w:val="211D1E"/>
        </w:rPr>
        <w:t>photoadducts</w:t>
      </w:r>
      <w:proofErr w:type="spellEnd"/>
      <w:r w:rsidRPr="008C6404">
        <w:rPr>
          <w:rFonts w:ascii="Arial" w:hAnsi="Arial" w:cs="Univers 55"/>
          <w:color w:val="211D1E"/>
        </w:rPr>
        <w:t xml:space="preserve"> results in the proliferative arrest and death of lymphocytes. In addition, studies have demonstrated that </w:t>
      </w:r>
      <w:proofErr w:type="spellStart"/>
      <w:r w:rsidRPr="008C6404">
        <w:rPr>
          <w:rFonts w:ascii="Arial" w:hAnsi="Arial" w:cs="Univers 55"/>
          <w:color w:val="211D1E"/>
        </w:rPr>
        <w:t>photopheresis</w:t>
      </w:r>
      <w:proofErr w:type="spellEnd"/>
      <w:r w:rsidRPr="008C6404">
        <w:rPr>
          <w:rFonts w:ascii="Arial" w:hAnsi="Arial" w:cs="Univers 55"/>
          <w:color w:val="211D1E"/>
        </w:rPr>
        <w:t xml:space="preserve"> may result in the induction of an </w:t>
      </w:r>
      <w:proofErr w:type="spellStart"/>
      <w:r w:rsidRPr="008C6404">
        <w:rPr>
          <w:rFonts w:ascii="Arial" w:hAnsi="Arial" w:cs="Univers 55"/>
          <w:color w:val="211D1E"/>
        </w:rPr>
        <w:t>autoregulatory</w:t>
      </w:r>
      <w:proofErr w:type="spellEnd"/>
      <w:r w:rsidRPr="008C6404">
        <w:rPr>
          <w:rFonts w:ascii="Arial" w:hAnsi="Arial" w:cs="Univers 55"/>
          <w:color w:val="211D1E"/>
        </w:rPr>
        <w:t xml:space="preserve"> host response which recognizes and specifically suppresses photo</w:t>
      </w:r>
      <w:r w:rsidR="00777D7A">
        <w:rPr>
          <w:rFonts w:ascii="Arial" w:hAnsi="Arial" w:cs="Univers 55"/>
          <w:color w:val="211D1E"/>
        </w:rPr>
        <w:t>-</w:t>
      </w:r>
      <w:r w:rsidRPr="008C6404">
        <w:rPr>
          <w:rFonts w:ascii="Arial" w:hAnsi="Arial" w:cs="Univers 55"/>
          <w:color w:val="211D1E"/>
        </w:rPr>
        <w:t>treated effector T-cell populations.</w:t>
      </w:r>
    </w:p>
    <w:p w14:paraId="313BD155" w14:textId="77777777" w:rsidR="001A3992" w:rsidRDefault="001A3992" w:rsidP="00C602F6">
      <w:pPr>
        <w:pStyle w:val="Heading3"/>
        <w:spacing w:before="0" w:after="120"/>
        <w:rPr>
          <w:rFonts w:cs="Arial"/>
          <w:lang w:val="en-US"/>
        </w:rPr>
      </w:pPr>
      <w:r w:rsidRPr="007313E5">
        <w:rPr>
          <w:rFonts w:cs="Arial"/>
        </w:rPr>
        <w:t>Clinical</w:t>
      </w:r>
      <w:r w:rsidRPr="007313E5">
        <w:rPr>
          <w:rFonts w:cs="Arial"/>
          <w:lang w:val="en-US"/>
        </w:rPr>
        <w:t xml:space="preserve"> trials</w:t>
      </w:r>
    </w:p>
    <w:p w14:paraId="34256F5B" w14:textId="709D5E30" w:rsidR="0073018A" w:rsidRPr="00CA213D" w:rsidRDefault="00B8611B"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The clinical data in support of the efficacy and safety of UVADEX and the THERAKOS CELLEX </w:t>
      </w:r>
      <w:proofErr w:type="spellStart"/>
      <w:r w:rsidRPr="00CA213D">
        <w:rPr>
          <w:rFonts w:ascii="Arial" w:hAnsi="Arial" w:cs="Univers 55"/>
          <w:color w:val="211D1E"/>
        </w:rPr>
        <w:t>Photopheresis</w:t>
      </w:r>
      <w:proofErr w:type="spellEnd"/>
      <w:r w:rsidRPr="00CA213D">
        <w:rPr>
          <w:rFonts w:ascii="Arial" w:hAnsi="Arial" w:cs="Univers 55"/>
          <w:color w:val="211D1E"/>
        </w:rPr>
        <w:t xml:space="preserve"> System for treatment of chronic GVHD consists of sponsor-initiated clinical trials and published clinical studies in adult populations. Given the rare incidence of </w:t>
      </w:r>
      <w:proofErr w:type="spellStart"/>
      <w:r w:rsidR="000D609B">
        <w:rPr>
          <w:rFonts w:ascii="Arial" w:hAnsi="Arial" w:cs="Univers 55"/>
          <w:color w:val="211D1E"/>
        </w:rPr>
        <w:t>c</w:t>
      </w:r>
      <w:r w:rsidRPr="00CA213D">
        <w:rPr>
          <w:rFonts w:ascii="Arial" w:hAnsi="Arial" w:cs="Univers 55"/>
          <w:color w:val="211D1E"/>
        </w:rPr>
        <w:t>GVHD</w:t>
      </w:r>
      <w:proofErr w:type="spellEnd"/>
      <w:r w:rsidRPr="00CA213D">
        <w:rPr>
          <w:rFonts w:ascii="Arial" w:hAnsi="Arial" w:cs="Univers 55"/>
          <w:color w:val="211D1E"/>
        </w:rPr>
        <w:t xml:space="preserve"> following allogeneic haematopoietic stem cell transplantation (HSCT), patient numbers in prospective studies are low; </w:t>
      </w:r>
      <w:proofErr w:type="gramStart"/>
      <w:r w:rsidRPr="00CA213D">
        <w:rPr>
          <w:rFonts w:ascii="Arial" w:hAnsi="Arial" w:cs="Univers 55"/>
          <w:color w:val="211D1E"/>
        </w:rPr>
        <w:t>however</w:t>
      </w:r>
      <w:proofErr w:type="gramEnd"/>
      <w:r w:rsidRPr="00CA213D">
        <w:rPr>
          <w:rFonts w:ascii="Arial" w:hAnsi="Arial" w:cs="Univers 55"/>
          <w:color w:val="211D1E"/>
        </w:rPr>
        <w:t xml:space="preserve"> many large retrospective analyses from local and international apheresis centres provide evidence of clinical benefit and safety of the therapy.</w:t>
      </w:r>
    </w:p>
    <w:p w14:paraId="5FA8FF62" w14:textId="7441CF2D" w:rsidR="00695BAC" w:rsidRDefault="00695BAC" w:rsidP="00C93617">
      <w:pPr>
        <w:pStyle w:val="Heading4"/>
      </w:pPr>
      <w:r>
        <w:t>Chronic GVHD:</w:t>
      </w:r>
    </w:p>
    <w:p w14:paraId="78BB757C" w14:textId="7A5BFE8C" w:rsidR="00B8611B" w:rsidRPr="00695BAC" w:rsidRDefault="00695BAC" w:rsidP="00C93617">
      <w:pPr>
        <w:pStyle w:val="Heading4"/>
      </w:pPr>
      <w:r w:rsidRPr="00695BAC">
        <w:t>Sponsor-initiated clinical study:</w:t>
      </w:r>
    </w:p>
    <w:p w14:paraId="3E19BCD6" w14:textId="77777777" w:rsidR="00695BAC" w:rsidRPr="00695BAC" w:rsidRDefault="00695BAC" w:rsidP="00695BAC">
      <w:pPr>
        <w:widowControl w:val="0"/>
        <w:autoSpaceDE w:val="0"/>
        <w:autoSpaceDN w:val="0"/>
        <w:adjustRightInd w:val="0"/>
        <w:spacing w:line="201" w:lineRule="atLeast"/>
        <w:jc w:val="both"/>
        <w:rPr>
          <w:rFonts w:ascii="Arial" w:hAnsi="Arial" w:cs="Univers 55"/>
          <w:b/>
          <w:color w:val="211D1E"/>
        </w:rPr>
      </w:pPr>
      <w:r w:rsidRPr="00695BAC">
        <w:rPr>
          <w:rFonts w:ascii="Arial" w:hAnsi="Arial" w:cs="Univers 55"/>
          <w:b/>
          <w:color w:val="211D1E"/>
        </w:rPr>
        <w:t>GVHD-SK1:</w:t>
      </w:r>
    </w:p>
    <w:p w14:paraId="7C6E31E2" w14:textId="103E3AF5" w:rsidR="00695BAC" w:rsidRPr="00695BAC" w:rsidRDefault="00695BAC" w:rsidP="00695BAC">
      <w:pPr>
        <w:widowControl w:val="0"/>
        <w:autoSpaceDE w:val="0"/>
        <w:autoSpaceDN w:val="0"/>
        <w:adjustRightInd w:val="0"/>
        <w:spacing w:line="201" w:lineRule="atLeast"/>
        <w:jc w:val="both"/>
        <w:rPr>
          <w:rFonts w:ascii="Arial" w:hAnsi="Arial" w:cs="Univers 55"/>
          <w:color w:val="211D1E"/>
        </w:rPr>
      </w:pPr>
      <w:r w:rsidRPr="00695BAC">
        <w:rPr>
          <w:rFonts w:ascii="Arial" w:hAnsi="Arial" w:cs="Univers 55"/>
          <w:color w:val="211D1E"/>
        </w:rPr>
        <w:t xml:space="preserve">In this sponsor-initiated study, 99 patients with corticosteroid-refractory, corticosteroid-dependent, or corticosteroid-intolerant </w:t>
      </w:r>
      <w:proofErr w:type="spellStart"/>
      <w:r w:rsidRPr="00695BAC">
        <w:rPr>
          <w:rFonts w:ascii="Arial" w:hAnsi="Arial" w:cs="Univers 55"/>
          <w:color w:val="211D1E"/>
        </w:rPr>
        <w:t>cG</w:t>
      </w:r>
      <w:r w:rsidR="00683916">
        <w:rPr>
          <w:rFonts w:ascii="Arial" w:hAnsi="Arial" w:cs="Univers 55"/>
          <w:color w:val="211D1E"/>
        </w:rPr>
        <w:t>V</w:t>
      </w:r>
      <w:r w:rsidRPr="00695BAC">
        <w:rPr>
          <w:rFonts w:ascii="Arial" w:hAnsi="Arial" w:cs="Univers 55"/>
          <w:color w:val="211D1E"/>
        </w:rPr>
        <w:t>HD</w:t>
      </w:r>
      <w:proofErr w:type="spellEnd"/>
      <w:r w:rsidRPr="00695BAC">
        <w:rPr>
          <w:rFonts w:ascii="Arial" w:hAnsi="Arial" w:cs="Univers 55"/>
          <w:color w:val="211D1E"/>
        </w:rPr>
        <w:t xml:space="preserve"> were treated with THERAKOS ECP using UVADEX in conjunction with standard therapy (ECP group) (n=49) or standard therapy alone (ST group) (n=50) for 24 weeks. Forty-four patients completed the study (36 ECP and 8 ST). The primary objective was the comparison of the percent change from baseline in the total skin score (TSS) at week 12.</w:t>
      </w:r>
    </w:p>
    <w:p w14:paraId="2A7CAAA2" w14:textId="77777777" w:rsidR="00695BAC" w:rsidRPr="00695BAC" w:rsidRDefault="00695BAC" w:rsidP="00695BAC">
      <w:pPr>
        <w:widowControl w:val="0"/>
        <w:autoSpaceDE w:val="0"/>
        <w:autoSpaceDN w:val="0"/>
        <w:adjustRightInd w:val="0"/>
        <w:spacing w:line="201" w:lineRule="atLeast"/>
        <w:jc w:val="both"/>
        <w:rPr>
          <w:rFonts w:ascii="Arial" w:hAnsi="Arial" w:cs="Univers 55"/>
          <w:color w:val="211D1E"/>
        </w:rPr>
      </w:pPr>
      <w:r w:rsidRPr="00695BAC">
        <w:rPr>
          <w:rFonts w:ascii="Arial" w:hAnsi="Arial" w:cs="Univers 55"/>
          <w:color w:val="211D1E"/>
        </w:rPr>
        <w:t xml:space="preserve">Patients who received ECP plus ST showed a greater improvement in TSS than the ST group at 12 and 24 weeks, however this difference did not reach statistical significance. During the study, 3 ECP patients and 1 ST patient achieved complete resolution (CR) of skin </w:t>
      </w:r>
      <w:proofErr w:type="spellStart"/>
      <w:r w:rsidRPr="00695BAC">
        <w:rPr>
          <w:rFonts w:ascii="Arial" w:hAnsi="Arial" w:cs="Univers 55"/>
          <w:color w:val="211D1E"/>
        </w:rPr>
        <w:t>cGVHD</w:t>
      </w:r>
      <w:proofErr w:type="spellEnd"/>
      <w:r w:rsidRPr="00695BAC">
        <w:rPr>
          <w:rFonts w:ascii="Arial" w:hAnsi="Arial" w:cs="Univers 55"/>
          <w:color w:val="211D1E"/>
        </w:rPr>
        <w:t xml:space="preserve">. Partial response (PR) of skin </w:t>
      </w:r>
      <w:proofErr w:type="spellStart"/>
      <w:r w:rsidRPr="00695BAC">
        <w:rPr>
          <w:rFonts w:ascii="Arial" w:hAnsi="Arial" w:cs="Univers 55"/>
          <w:color w:val="211D1E"/>
        </w:rPr>
        <w:t>cGVHD</w:t>
      </w:r>
      <w:proofErr w:type="spellEnd"/>
      <w:r w:rsidRPr="00695BAC">
        <w:rPr>
          <w:rFonts w:ascii="Arial" w:hAnsi="Arial" w:cs="Univers 55"/>
          <w:color w:val="211D1E"/>
        </w:rPr>
        <w:t>, as assessed by the investigator, was achieved at 12 weeks by 17 (39.5%) ECP patients and 4 (10.3%) ST patients and at 24 weeks by 16 (46%) ECP patients and 1 (8%) ST patient. These differences in CR and PR did not reach statistical significance.</w:t>
      </w:r>
    </w:p>
    <w:p w14:paraId="355DA113" w14:textId="2A85AA78" w:rsidR="000938F6" w:rsidRDefault="00695BAC" w:rsidP="00C93617">
      <w:pPr>
        <w:pStyle w:val="Heading4"/>
      </w:pPr>
      <w:r w:rsidRPr="00C602F6">
        <w:t>Published clinical studies</w:t>
      </w:r>
      <w:r w:rsidR="000938F6">
        <w:t>:</w:t>
      </w:r>
    </w:p>
    <w:p w14:paraId="12637EF3" w14:textId="77777777" w:rsidR="00D752CD" w:rsidRDefault="00D752CD" w:rsidP="00D752CD">
      <w:pPr>
        <w:spacing w:line="240" w:lineRule="auto"/>
        <w:rPr>
          <w:rFonts w:ascii="Arial" w:hAnsi="Arial" w:cs="Arial"/>
          <w:b/>
        </w:rPr>
      </w:pPr>
      <w:proofErr w:type="spellStart"/>
      <w:r w:rsidRPr="009C3630">
        <w:rPr>
          <w:rFonts w:ascii="Arial" w:hAnsi="Arial" w:cs="Arial"/>
          <w:b/>
        </w:rPr>
        <w:t>Dignan</w:t>
      </w:r>
      <w:proofErr w:type="spellEnd"/>
      <w:r w:rsidRPr="009C3630">
        <w:rPr>
          <w:rFonts w:ascii="Arial" w:hAnsi="Arial" w:cs="Arial"/>
          <w:b/>
        </w:rPr>
        <w:t xml:space="preserve"> 2014:</w:t>
      </w:r>
    </w:p>
    <w:p w14:paraId="0E09E5DB" w14:textId="1A349AE4" w:rsidR="00D752CD" w:rsidRPr="00D2087A" w:rsidRDefault="00D752CD" w:rsidP="00D2087A">
      <w:pPr>
        <w:widowControl w:val="0"/>
        <w:autoSpaceDE w:val="0"/>
        <w:autoSpaceDN w:val="0"/>
        <w:adjustRightInd w:val="0"/>
        <w:spacing w:line="201" w:lineRule="atLeast"/>
        <w:jc w:val="both"/>
        <w:rPr>
          <w:rFonts w:ascii="Arial" w:hAnsi="Arial" w:cs="Univers 55"/>
          <w:color w:val="211D1E"/>
        </w:rPr>
      </w:pPr>
      <w:r w:rsidRPr="00D2087A">
        <w:rPr>
          <w:rFonts w:ascii="Arial" w:hAnsi="Arial" w:cs="Univers 55"/>
          <w:color w:val="211D1E"/>
        </w:rPr>
        <w:t xml:space="preserve">This single centre prospective study enrolled 38 patients; 27 were evaluable for response after 6 months of THERAKOS ECP using UVADEX. Treatment was administered on 2 consecutive days every 2 weeks until a partial clinical response was achieved and then treatment was </w:t>
      </w:r>
      <w:r w:rsidRPr="00D2087A">
        <w:rPr>
          <w:rFonts w:ascii="Arial" w:hAnsi="Arial" w:cs="Univers 55"/>
          <w:color w:val="211D1E"/>
        </w:rPr>
        <w:lastRenderedPageBreak/>
        <w:t xml:space="preserve">reduced to a monthly schedule. Patients had steroid-refractory or steroid-dependent </w:t>
      </w:r>
      <w:proofErr w:type="spellStart"/>
      <w:r w:rsidRPr="00D2087A">
        <w:rPr>
          <w:rFonts w:ascii="Arial" w:hAnsi="Arial" w:cs="Univers 55"/>
          <w:color w:val="211D1E"/>
        </w:rPr>
        <w:t>cGVHD</w:t>
      </w:r>
      <w:proofErr w:type="spellEnd"/>
      <w:r w:rsidRPr="00D2087A">
        <w:rPr>
          <w:rFonts w:ascii="Arial" w:hAnsi="Arial" w:cs="Univers 55"/>
          <w:color w:val="211D1E"/>
        </w:rPr>
        <w:t xml:space="preserve"> or were intolerant of corticosteroids. Response was assessed after 6 months of treatment using reduction in immunosuppression and NIH scoring criteria i.e. complete overall response was defined as complete resolution of all symptoms and signs of </w:t>
      </w:r>
      <w:proofErr w:type="spellStart"/>
      <w:r w:rsidRPr="00D2087A">
        <w:rPr>
          <w:rFonts w:ascii="Arial" w:hAnsi="Arial" w:cs="Univers 55"/>
          <w:color w:val="211D1E"/>
        </w:rPr>
        <w:t>cGVHD</w:t>
      </w:r>
      <w:proofErr w:type="spellEnd"/>
      <w:r w:rsidRPr="00D2087A">
        <w:rPr>
          <w:rFonts w:ascii="Arial" w:hAnsi="Arial" w:cs="Univers 55"/>
          <w:color w:val="211D1E"/>
        </w:rPr>
        <w:t xml:space="preserve">; a partial overall clinical response was defined as a 50–99% improvement in one organ when compared with baseline and no evidence of </w:t>
      </w:r>
      <w:proofErr w:type="spellStart"/>
      <w:r w:rsidRPr="00D2087A">
        <w:rPr>
          <w:rFonts w:ascii="Arial" w:hAnsi="Arial" w:cs="Univers 55"/>
          <w:color w:val="211D1E"/>
        </w:rPr>
        <w:t>cGV</w:t>
      </w:r>
      <w:r w:rsidR="0084213F">
        <w:rPr>
          <w:rFonts w:ascii="Arial" w:hAnsi="Arial" w:cs="Univers 55"/>
          <w:color w:val="211D1E"/>
        </w:rPr>
        <w:t>HD</w:t>
      </w:r>
      <w:proofErr w:type="spellEnd"/>
      <w:r w:rsidR="0084213F">
        <w:rPr>
          <w:rFonts w:ascii="Arial" w:hAnsi="Arial" w:cs="Univers 55"/>
          <w:color w:val="211D1E"/>
        </w:rPr>
        <w:t xml:space="preserve"> progression in other organs.</w:t>
      </w:r>
    </w:p>
    <w:p w14:paraId="6A707158" w14:textId="77777777" w:rsidR="00D752CD" w:rsidRPr="00D2087A" w:rsidRDefault="00D752CD" w:rsidP="00D2087A">
      <w:pPr>
        <w:widowControl w:val="0"/>
        <w:autoSpaceDE w:val="0"/>
        <w:autoSpaceDN w:val="0"/>
        <w:adjustRightInd w:val="0"/>
        <w:spacing w:line="201" w:lineRule="atLeast"/>
        <w:jc w:val="both"/>
        <w:rPr>
          <w:rFonts w:ascii="Arial" w:hAnsi="Arial" w:cs="Univers 55"/>
          <w:color w:val="211D1E"/>
        </w:rPr>
      </w:pPr>
      <w:r w:rsidRPr="00D2087A">
        <w:rPr>
          <w:rFonts w:ascii="Arial" w:hAnsi="Arial" w:cs="Univers 55"/>
          <w:color w:val="211D1E"/>
        </w:rPr>
        <w:t xml:space="preserve">An intention-to-treat analysis showed that 19/38 (50%) of patients had a complete or partial improvement in symptoms and signs of </w:t>
      </w:r>
      <w:proofErr w:type="spellStart"/>
      <w:r w:rsidRPr="00D2087A">
        <w:rPr>
          <w:rFonts w:ascii="Arial" w:hAnsi="Arial" w:cs="Univers 55"/>
          <w:color w:val="211D1E"/>
        </w:rPr>
        <w:t>cGVHD</w:t>
      </w:r>
      <w:proofErr w:type="spellEnd"/>
      <w:r w:rsidRPr="00D2087A">
        <w:rPr>
          <w:rFonts w:ascii="Arial" w:hAnsi="Arial" w:cs="Univers 55"/>
          <w:color w:val="211D1E"/>
        </w:rPr>
        <w:t>. Nineteen out of 27 (70%) patients who completed 6 months of ECP showed an overall complete or partial response. Two patients had a complete improvement and seventeen had a partial improvement. Three patients had progressive disease, two had a minimal response and three had a mixed response. Twenty-two out of 27 (80%) patients who completed 6 months of ECP had a reduction in immunosuppression dose.</w:t>
      </w:r>
    </w:p>
    <w:p w14:paraId="2963FA4A" w14:textId="4CB62080" w:rsidR="00D752CD" w:rsidRPr="00D2087A" w:rsidRDefault="00D752CD" w:rsidP="00D2087A">
      <w:pPr>
        <w:widowControl w:val="0"/>
        <w:autoSpaceDE w:val="0"/>
        <w:autoSpaceDN w:val="0"/>
        <w:adjustRightInd w:val="0"/>
        <w:spacing w:line="201" w:lineRule="atLeast"/>
        <w:jc w:val="both"/>
        <w:rPr>
          <w:rFonts w:ascii="Arial" w:hAnsi="Arial" w:cs="Univers 55"/>
          <w:color w:val="211D1E"/>
        </w:rPr>
      </w:pPr>
      <w:r w:rsidRPr="00D2087A">
        <w:rPr>
          <w:rFonts w:ascii="Arial" w:hAnsi="Arial" w:cs="Univers 55"/>
          <w:color w:val="211D1E"/>
        </w:rPr>
        <w:t xml:space="preserve">Limitations of this study included failure to complete 6 </w:t>
      </w:r>
      <w:proofErr w:type="gramStart"/>
      <w:r w:rsidRPr="00D2087A">
        <w:rPr>
          <w:rFonts w:ascii="Arial" w:hAnsi="Arial" w:cs="Univers 55"/>
          <w:color w:val="211D1E"/>
        </w:rPr>
        <w:t>months</w:t>
      </w:r>
      <w:proofErr w:type="gramEnd"/>
      <w:r w:rsidRPr="00D2087A">
        <w:rPr>
          <w:rFonts w:ascii="Arial" w:hAnsi="Arial" w:cs="Univers 55"/>
          <w:color w:val="211D1E"/>
        </w:rPr>
        <w:t xml:space="preserve"> treatment in 29% of patients, reflecting the high morbidity and mortality rate in patients with steroid-refractory </w:t>
      </w:r>
      <w:proofErr w:type="spellStart"/>
      <w:r w:rsidR="00830F9E">
        <w:rPr>
          <w:rFonts w:ascii="Arial" w:hAnsi="Arial" w:cs="Univers 55"/>
          <w:color w:val="211D1E"/>
        </w:rPr>
        <w:t>c</w:t>
      </w:r>
      <w:r w:rsidRPr="00D2087A">
        <w:rPr>
          <w:rFonts w:ascii="Arial" w:hAnsi="Arial" w:cs="Univers 55"/>
          <w:color w:val="211D1E"/>
        </w:rPr>
        <w:t>GVHD</w:t>
      </w:r>
      <w:proofErr w:type="spellEnd"/>
      <w:r w:rsidRPr="00D2087A">
        <w:rPr>
          <w:rFonts w:ascii="Arial" w:hAnsi="Arial" w:cs="Univers 55"/>
          <w:color w:val="211D1E"/>
        </w:rPr>
        <w:t xml:space="preserve">. This study confirms that ECP can lead to objective clinical responses in </w:t>
      </w:r>
      <w:proofErr w:type="spellStart"/>
      <w:r w:rsidRPr="00D2087A">
        <w:rPr>
          <w:rFonts w:ascii="Arial" w:hAnsi="Arial" w:cs="Univers 55"/>
          <w:color w:val="211D1E"/>
        </w:rPr>
        <w:t>cGVHD</w:t>
      </w:r>
      <w:proofErr w:type="spellEnd"/>
      <w:r w:rsidRPr="00D2087A">
        <w:rPr>
          <w:rFonts w:ascii="Arial" w:hAnsi="Arial" w:cs="Univers 55"/>
          <w:color w:val="211D1E"/>
        </w:rPr>
        <w:t>.</w:t>
      </w:r>
    </w:p>
    <w:p w14:paraId="54FC4B58" w14:textId="77777777" w:rsidR="00D752CD" w:rsidRPr="005E1FC3" w:rsidRDefault="00D752CD" w:rsidP="00D752CD">
      <w:pPr>
        <w:spacing w:line="240" w:lineRule="auto"/>
        <w:rPr>
          <w:rFonts w:ascii="Arial" w:hAnsi="Arial" w:cs="Arial"/>
          <w:b/>
        </w:rPr>
      </w:pPr>
      <w:proofErr w:type="spellStart"/>
      <w:r w:rsidRPr="005E1FC3">
        <w:rPr>
          <w:rFonts w:ascii="Arial" w:hAnsi="Arial" w:cs="Arial"/>
          <w:b/>
        </w:rPr>
        <w:t>Gandelman</w:t>
      </w:r>
      <w:proofErr w:type="spellEnd"/>
      <w:r w:rsidRPr="005E1FC3">
        <w:rPr>
          <w:rFonts w:ascii="Arial" w:hAnsi="Arial" w:cs="Arial"/>
          <w:b/>
        </w:rPr>
        <w:t xml:space="preserve"> 2018:</w:t>
      </w:r>
    </w:p>
    <w:p w14:paraId="6DE35698" w14:textId="42DE1EA7" w:rsidR="00D752CD" w:rsidRPr="005E1FC3" w:rsidRDefault="00D752CD" w:rsidP="00D752CD">
      <w:pPr>
        <w:spacing w:line="240" w:lineRule="auto"/>
        <w:jc w:val="both"/>
        <w:rPr>
          <w:rFonts w:ascii="Arial" w:hAnsi="Arial" w:cs="Arial"/>
        </w:rPr>
      </w:pPr>
      <w:r w:rsidRPr="005E1FC3">
        <w:rPr>
          <w:rFonts w:ascii="Arial" w:hAnsi="Arial" w:cs="Arial"/>
        </w:rPr>
        <w:t xml:space="preserve">In </w:t>
      </w:r>
      <w:r>
        <w:rPr>
          <w:rFonts w:ascii="Arial" w:hAnsi="Arial" w:cs="Arial"/>
        </w:rPr>
        <w:t>this</w:t>
      </w:r>
      <w:r w:rsidRPr="005E1FC3">
        <w:rPr>
          <w:rFonts w:ascii="Arial" w:hAnsi="Arial" w:cs="Arial"/>
        </w:rPr>
        <w:t xml:space="preserve"> prospective, multi-</w:t>
      </w:r>
      <w:proofErr w:type="spellStart"/>
      <w:r w:rsidRPr="005E1FC3">
        <w:rPr>
          <w:rFonts w:ascii="Arial" w:hAnsi="Arial" w:cs="Arial"/>
        </w:rPr>
        <w:t>center</w:t>
      </w:r>
      <w:proofErr w:type="spellEnd"/>
      <w:r w:rsidRPr="005E1FC3">
        <w:rPr>
          <w:rFonts w:ascii="Arial" w:hAnsi="Arial" w:cs="Arial"/>
        </w:rPr>
        <w:t xml:space="preserve"> clinical trial, 83 patients with </w:t>
      </w:r>
      <w:proofErr w:type="spellStart"/>
      <w:r w:rsidRPr="005E1FC3">
        <w:rPr>
          <w:rFonts w:ascii="Arial" w:hAnsi="Arial" w:cs="Arial"/>
        </w:rPr>
        <w:t>cGVHD</w:t>
      </w:r>
      <w:proofErr w:type="spellEnd"/>
      <w:r w:rsidRPr="005E1FC3">
        <w:rPr>
          <w:rFonts w:ascii="Arial" w:hAnsi="Arial" w:cs="Arial"/>
        </w:rPr>
        <w:t xml:space="preserve"> were treated </w:t>
      </w:r>
      <w:r>
        <w:rPr>
          <w:rFonts w:ascii="Arial" w:hAnsi="Arial" w:cs="Arial"/>
        </w:rPr>
        <w:t xml:space="preserve">with THERAKOS ECP using UVADEX </w:t>
      </w:r>
      <w:r w:rsidRPr="005E1FC3">
        <w:rPr>
          <w:rFonts w:ascii="Arial" w:hAnsi="Arial" w:cs="Arial"/>
        </w:rPr>
        <w:t xml:space="preserve">twice a week for 4 weeks, then twice a week every 2 weeks for 8 weeks, </w:t>
      </w:r>
      <w:r>
        <w:rPr>
          <w:rFonts w:ascii="Arial" w:hAnsi="Arial" w:cs="Arial"/>
        </w:rPr>
        <w:t>then tapered at the discretion of the physician</w:t>
      </w:r>
      <w:r w:rsidRPr="005E1FC3">
        <w:rPr>
          <w:rFonts w:ascii="Arial" w:hAnsi="Arial" w:cs="Arial"/>
        </w:rPr>
        <w:t xml:space="preserve">. </w:t>
      </w:r>
      <w:r>
        <w:rPr>
          <w:rFonts w:ascii="Arial" w:hAnsi="Arial" w:cs="Arial"/>
        </w:rPr>
        <w:t xml:space="preserve">NIH </w:t>
      </w:r>
      <w:r w:rsidRPr="005E1FC3">
        <w:rPr>
          <w:rFonts w:ascii="Arial" w:hAnsi="Arial" w:cs="Arial"/>
        </w:rPr>
        <w:t xml:space="preserve">2005 </w:t>
      </w:r>
      <w:r>
        <w:rPr>
          <w:rFonts w:ascii="Arial" w:hAnsi="Arial" w:cs="Arial"/>
        </w:rPr>
        <w:t>Consensus Criteria</w:t>
      </w:r>
      <w:r w:rsidRPr="005E1FC3">
        <w:rPr>
          <w:rFonts w:ascii="Arial" w:hAnsi="Arial" w:cs="Arial"/>
        </w:rPr>
        <w:t xml:space="preserve"> w</w:t>
      </w:r>
      <w:r>
        <w:rPr>
          <w:rFonts w:ascii="Arial" w:hAnsi="Arial" w:cs="Arial"/>
        </w:rPr>
        <w:t>ere</w:t>
      </w:r>
      <w:r w:rsidRPr="005E1FC3">
        <w:rPr>
          <w:rFonts w:ascii="Arial" w:hAnsi="Arial" w:cs="Arial"/>
        </w:rPr>
        <w:t xml:space="preserve"> recorded at baseline and patient response recorded at 2, 4, and 6 months of treatment. Study endpoints were response deﬁned by the 2005 NIH response criteria and </w:t>
      </w:r>
      <w:r>
        <w:rPr>
          <w:rFonts w:ascii="Arial" w:hAnsi="Arial" w:cs="Arial"/>
        </w:rPr>
        <w:t>investigator</w:t>
      </w:r>
      <w:r w:rsidRPr="005E1FC3">
        <w:rPr>
          <w:rFonts w:ascii="Arial" w:hAnsi="Arial" w:cs="Arial"/>
        </w:rPr>
        <w:t>-assessed response, with overall response deﬁned by response at last visit.</w:t>
      </w:r>
      <w:r>
        <w:rPr>
          <w:rFonts w:ascii="Arial" w:hAnsi="Arial" w:cs="Arial"/>
        </w:rPr>
        <w:t xml:space="preserve"> </w:t>
      </w:r>
      <w:r w:rsidRPr="005E1FC3">
        <w:rPr>
          <w:rFonts w:ascii="Arial" w:hAnsi="Arial" w:cs="Arial"/>
        </w:rPr>
        <w:t xml:space="preserve">Most patients had classic </w:t>
      </w:r>
      <w:proofErr w:type="spellStart"/>
      <w:r w:rsidRPr="005E1FC3">
        <w:rPr>
          <w:rFonts w:ascii="Arial" w:hAnsi="Arial" w:cs="Arial"/>
        </w:rPr>
        <w:t>cGVHD</w:t>
      </w:r>
      <w:proofErr w:type="spellEnd"/>
      <w:r w:rsidRPr="005E1FC3">
        <w:rPr>
          <w:rFonts w:ascii="Arial" w:hAnsi="Arial" w:cs="Arial"/>
        </w:rPr>
        <w:t xml:space="preserve"> (n=62, 82%). The most commonly involved organ was skin, affecting 8</w:t>
      </w:r>
      <w:r>
        <w:rPr>
          <w:rFonts w:ascii="Arial" w:hAnsi="Arial" w:cs="Arial"/>
        </w:rPr>
        <w:t>9</w:t>
      </w:r>
      <w:r w:rsidRPr="005E1FC3">
        <w:rPr>
          <w:rFonts w:ascii="Arial" w:hAnsi="Arial" w:cs="Arial"/>
        </w:rPr>
        <w:t xml:space="preserve">% of patients. All patients enrolled had either moderate (n=37, 48%) or severe (n=40, 52%) </w:t>
      </w:r>
      <w:proofErr w:type="spellStart"/>
      <w:r w:rsidRPr="005E1FC3">
        <w:rPr>
          <w:rFonts w:ascii="Arial" w:hAnsi="Arial" w:cs="Arial"/>
        </w:rPr>
        <w:t>cGVHD</w:t>
      </w:r>
      <w:proofErr w:type="spellEnd"/>
      <w:r w:rsidRPr="005E1FC3">
        <w:rPr>
          <w:rFonts w:ascii="Arial" w:hAnsi="Arial" w:cs="Arial"/>
        </w:rPr>
        <w:t xml:space="preserve"> defined by NIH criteria.</w:t>
      </w:r>
    </w:p>
    <w:p w14:paraId="457DE713" w14:textId="77777777" w:rsidR="00D752CD" w:rsidRPr="005E1FC3" w:rsidRDefault="00D752CD" w:rsidP="00D752CD">
      <w:pPr>
        <w:spacing w:line="240" w:lineRule="auto"/>
        <w:jc w:val="both"/>
        <w:rPr>
          <w:rFonts w:ascii="Arial" w:hAnsi="Arial" w:cs="Arial"/>
        </w:rPr>
      </w:pPr>
      <w:r w:rsidRPr="005E1FC3">
        <w:rPr>
          <w:rFonts w:ascii="Arial" w:hAnsi="Arial" w:cs="Arial"/>
        </w:rPr>
        <w:t>Forty-eight patients (62.3%) completed the fu</w:t>
      </w:r>
      <w:r>
        <w:rPr>
          <w:rFonts w:ascii="Arial" w:hAnsi="Arial" w:cs="Arial"/>
        </w:rPr>
        <w:t>ll 6 months of the study</w:t>
      </w:r>
      <w:r w:rsidRPr="005E1FC3">
        <w:rPr>
          <w:rFonts w:ascii="Arial" w:hAnsi="Arial" w:cs="Arial"/>
        </w:rPr>
        <w:t>. Of the 29 patients</w:t>
      </w:r>
      <w:r>
        <w:rPr>
          <w:rFonts w:ascii="Arial" w:hAnsi="Arial" w:cs="Arial"/>
        </w:rPr>
        <w:t xml:space="preserve"> (37.7%)</w:t>
      </w:r>
      <w:r w:rsidRPr="005E1FC3">
        <w:rPr>
          <w:rFonts w:ascii="Arial" w:hAnsi="Arial" w:cs="Arial"/>
        </w:rPr>
        <w:t xml:space="preserve"> who discontinued treatment early, 6 discontinued </w:t>
      </w:r>
      <w:r>
        <w:rPr>
          <w:rFonts w:ascii="Arial" w:hAnsi="Arial" w:cs="Arial"/>
        </w:rPr>
        <w:t xml:space="preserve">because of progression of </w:t>
      </w:r>
      <w:proofErr w:type="spellStart"/>
      <w:r>
        <w:rPr>
          <w:rFonts w:ascii="Arial" w:hAnsi="Arial" w:cs="Arial"/>
        </w:rPr>
        <w:t>cGVHD</w:t>
      </w:r>
      <w:proofErr w:type="spellEnd"/>
      <w:r w:rsidRPr="005E1FC3">
        <w:rPr>
          <w:rFonts w:ascii="Arial" w:hAnsi="Arial" w:cs="Arial"/>
        </w:rPr>
        <w:t xml:space="preserve">; 2 patients died of GVHD-related causes; and 2 patients discontinued because of improvement of </w:t>
      </w:r>
      <w:proofErr w:type="spellStart"/>
      <w:r w:rsidRPr="005E1FC3">
        <w:rPr>
          <w:rFonts w:ascii="Arial" w:hAnsi="Arial" w:cs="Arial"/>
        </w:rPr>
        <w:t>cGVHD</w:t>
      </w:r>
      <w:proofErr w:type="spellEnd"/>
      <w:r w:rsidRPr="005E1FC3">
        <w:rPr>
          <w:rFonts w:ascii="Arial" w:hAnsi="Arial" w:cs="Arial"/>
        </w:rPr>
        <w:t>.</w:t>
      </w:r>
    </w:p>
    <w:p w14:paraId="0A16A670" w14:textId="77777777" w:rsidR="00D752CD" w:rsidRDefault="00D752CD" w:rsidP="00D752CD">
      <w:pPr>
        <w:spacing w:line="240" w:lineRule="auto"/>
        <w:jc w:val="both"/>
        <w:rPr>
          <w:rFonts w:ascii="Arial" w:hAnsi="Arial" w:cs="Arial"/>
        </w:rPr>
      </w:pPr>
      <w:r>
        <w:rPr>
          <w:rFonts w:ascii="Arial" w:hAnsi="Arial" w:cs="Arial"/>
        </w:rPr>
        <w:t>By investigator</w:t>
      </w:r>
      <w:r w:rsidRPr="005E1FC3">
        <w:rPr>
          <w:rFonts w:ascii="Arial" w:hAnsi="Arial" w:cs="Arial"/>
        </w:rPr>
        <w:t xml:space="preserve"> assessment, THERAKOS ECP treatment induced a</w:t>
      </w:r>
      <w:r>
        <w:rPr>
          <w:rFonts w:ascii="Arial" w:hAnsi="Arial" w:cs="Arial"/>
        </w:rPr>
        <w:t>n overall</w:t>
      </w:r>
      <w:r w:rsidRPr="005E1FC3">
        <w:rPr>
          <w:rFonts w:ascii="Arial" w:hAnsi="Arial" w:cs="Arial"/>
        </w:rPr>
        <w:t xml:space="preserve"> response rate of 62.3% (95% </w:t>
      </w:r>
      <w:r>
        <w:rPr>
          <w:rFonts w:ascii="Arial" w:hAnsi="Arial" w:cs="Arial"/>
        </w:rPr>
        <w:t>CI</w:t>
      </w:r>
      <w:r w:rsidRPr="005E1FC3">
        <w:rPr>
          <w:rFonts w:ascii="Arial" w:hAnsi="Arial" w:cs="Arial"/>
        </w:rPr>
        <w:t xml:space="preserve">, 51.5% to 73.1%). Speciﬁcally, </w:t>
      </w:r>
      <w:r>
        <w:rPr>
          <w:rFonts w:ascii="Arial" w:hAnsi="Arial" w:cs="Arial"/>
        </w:rPr>
        <w:t>CR: 14</w:t>
      </w:r>
      <w:r w:rsidRPr="005E1FC3">
        <w:rPr>
          <w:rFonts w:ascii="Arial" w:hAnsi="Arial" w:cs="Arial"/>
        </w:rPr>
        <w:t>%</w:t>
      </w:r>
      <w:r>
        <w:rPr>
          <w:rFonts w:ascii="Arial" w:hAnsi="Arial" w:cs="Arial"/>
        </w:rPr>
        <w:t xml:space="preserve">; PR: 48%; SD: </w:t>
      </w:r>
      <w:r w:rsidRPr="005E1FC3">
        <w:rPr>
          <w:rFonts w:ascii="Arial" w:hAnsi="Arial" w:cs="Arial"/>
        </w:rPr>
        <w:t>1</w:t>
      </w:r>
      <w:r>
        <w:rPr>
          <w:rFonts w:ascii="Arial" w:hAnsi="Arial" w:cs="Arial"/>
        </w:rPr>
        <w:t>9</w:t>
      </w:r>
      <w:r w:rsidRPr="005E1FC3">
        <w:rPr>
          <w:rFonts w:ascii="Arial" w:hAnsi="Arial" w:cs="Arial"/>
        </w:rPr>
        <w:t>%</w:t>
      </w:r>
      <w:r>
        <w:rPr>
          <w:rFonts w:ascii="Arial" w:hAnsi="Arial" w:cs="Arial"/>
        </w:rPr>
        <w:t>; PD: 14% and 4% did not follow-up.</w:t>
      </w:r>
    </w:p>
    <w:p w14:paraId="21FBC4B2" w14:textId="77777777" w:rsidR="00D752CD" w:rsidRPr="005E1FC3" w:rsidRDefault="00D752CD" w:rsidP="00D752CD">
      <w:pPr>
        <w:spacing w:line="240" w:lineRule="auto"/>
        <w:jc w:val="both"/>
        <w:rPr>
          <w:rFonts w:ascii="Arial" w:hAnsi="Arial" w:cs="Arial"/>
        </w:rPr>
      </w:pPr>
      <w:r w:rsidRPr="005E1FC3">
        <w:rPr>
          <w:rFonts w:ascii="Arial" w:hAnsi="Arial" w:cs="Arial"/>
        </w:rPr>
        <w:t>By assessment with NIH criteria, THERAKOS ECP treatment induced a</w:t>
      </w:r>
      <w:r>
        <w:rPr>
          <w:rFonts w:ascii="Arial" w:hAnsi="Arial" w:cs="Arial"/>
        </w:rPr>
        <w:t>n overall</w:t>
      </w:r>
      <w:r w:rsidRPr="005E1FC3">
        <w:rPr>
          <w:rFonts w:ascii="Arial" w:hAnsi="Arial" w:cs="Arial"/>
        </w:rPr>
        <w:t xml:space="preserve"> response rate of 43.5% (95% </w:t>
      </w:r>
      <w:r>
        <w:rPr>
          <w:rFonts w:ascii="Arial" w:hAnsi="Arial" w:cs="Arial"/>
        </w:rPr>
        <w:t>CI</w:t>
      </w:r>
      <w:r w:rsidRPr="005E1FC3">
        <w:rPr>
          <w:rFonts w:ascii="Arial" w:hAnsi="Arial" w:cs="Arial"/>
        </w:rPr>
        <w:t xml:space="preserve">, 31.8% to 55.2%) to ECP at last study visit. Speciﬁcally, </w:t>
      </w:r>
      <w:r>
        <w:rPr>
          <w:rFonts w:ascii="Arial" w:hAnsi="Arial" w:cs="Arial"/>
        </w:rPr>
        <w:t xml:space="preserve">CR: </w:t>
      </w:r>
      <w:r w:rsidRPr="005E1FC3">
        <w:rPr>
          <w:rFonts w:ascii="Arial" w:hAnsi="Arial" w:cs="Arial"/>
        </w:rPr>
        <w:t>6%</w:t>
      </w:r>
      <w:r>
        <w:rPr>
          <w:rFonts w:ascii="Arial" w:hAnsi="Arial" w:cs="Arial"/>
        </w:rPr>
        <w:t xml:space="preserve">; PR: 38%; SD: </w:t>
      </w:r>
      <w:r w:rsidRPr="005E1FC3">
        <w:rPr>
          <w:rFonts w:ascii="Arial" w:hAnsi="Arial" w:cs="Arial"/>
        </w:rPr>
        <w:t>15%</w:t>
      </w:r>
      <w:r>
        <w:rPr>
          <w:rFonts w:ascii="Arial" w:hAnsi="Arial" w:cs="Arial"/>
        </w:rPr>
        <w:t xml:space="preserve">; PD: 38% and 4% did not follow-up. </w:t>
      </w:r>
      <w:r w:rsidRPr="005E1FC3">
        <w:rPr>
          <w:rFonts w:ascii="Arial" w:hAnsi="Arial" w:cs="Arial"/>
        </w:rPr>
        <w:t>Eight patients did not have enough data to assess NIH response and were excluded from th</w:t>
      </w:r>
      <w:r>
        <w:rPr>
          <w:rFonts w:ascii="Arial" w:hAnsi="Arial" w:cs="Arial"/>
        </w:rPr>
        <w:t>e</w:t>
      </w:r>
      <w:r w:rsidRPr="005E1FC3">
        <w:rPr>
          <w:rFonts w:ascii="Arial" w:hAnsi="Arial" w:cs="Arial"/>
        </w:rPr>
        <w:t xml:space="preserve"> analysis.</w:t>
      </w:r>
    </w:p>
    <w:p w14:paraId="52B5A85F" w14:textId="4C5C2B3F" w:rsidR="00D752CD" w:rsidRDefault="00D752CD" w:rsidP="00D2087A">
      <w:pPr>
        <w:spacing w:line="240" w:lineRule="auto"/>
        <w:jc w:val="both"/>
        <w:rPr>
          <w:rFonts w:ascii="Arial" w:hAnsi="Arial" w:cs="Arial"/>
        </w:rPr>
      </w:pPr>
      <w:r w:rsidRPr="00382929">
        <w:rPr>
          <w:rFonts w:ascii="Arial" w:hAnsi="Arial" w:cs="Arial"/>
        </w:rPr>
        <w:t xml:space="preserve">In addition, ECP treatment was associated with a significant decrease in median prednisone </w:t>
      </w:r>
      <w:r>
        <w:rPr>
          <w:rFonts w:ascii="Arial" w:hAnsi="Arial" w:cs="Arial"/>
        </w:rPr>
        <w:t>dose (0.36 to 0.14 mg/kg, p&lt;</w:t>
      </w:r>
      <w:r w:rsidRPr="00382929">
        <w:rPr>
          <w:rFonts w:ascii="Arial" w:hAnsi="Arial" w:cs="Arial"/>
        </w:rPr>
        <w:t xml:space="preserve">0.001) as well as investigator-assessed global severity score (6.0 [4.0-7.0] decreasing to 3.0 [2.0-6.0] at last visit, </w:t>
      </w:r>
      <w:r w:rsidR="004973CD">
        <w:rPr>
          <w:rFonts w:ascii="Arial" w:hAnsi="Arial" w:cs="Arial"/>
        </w:rPr>
        <w:t>p</w:t>
      </w:r>
      <w:r>
        <w:rPr>
          <w:rFonts w:ascii="Arial" w:hAnsi="Arial" w:cs="Arial"/>
        </w:rPr>
        <w:t xml:space="preserve">&lt;0.001. The percent </w:t>
      </w:r>
      <w:r w:rsidRPr="00382929">
        <w:rPr>
          <w:rFonts w:ascii="Arial" w:hAnsi="Arial" w:cs="Arial"/>
        </w:rPr>
        <w:t>total body surface with erythematous rash</w:t>
      </w:r>
      <w:r>
        <w:rPr>
          <w:rFonts w:ascii="Arial" w:hAnsi="Arial" w:cs="Arial"/>
        </w:rPr>
        <w:t xml:space="preserve"> decreased from baseline to last visit </w:t>
      </w:r>
      <w:r w:rsidRPr="00382929">
        <w:rPr>
          <w:rFonts w:ascii="Arial" w:hAnsi="Arial" w:cs="Arial"/>
        </w:rPr>
        <w:t>(6.</w:t>
      </w:r>
      <w:r>
        <w:rPr>
          <w:rFonts w:ascii="Arial" w:hAnsi="Arial" w:cs="Arial"/>
        </w:rPr>
        <w:t>8</w:t>
      </w:r>
      <w:r w:rsidRPr="00382929">
        <w:rPr>
          <w:rFonts w:ascii="Arial" w:hAnsi="Arial" w:cs="Arial"/>
        </w:rPr>
        <w:t xml:space="preserve"> [</w:t>
      </w:r>
      <w:r>
        <w:rPr>
          <w:rFonts w:ascii="Arial" w:hAnsi="Arial" w:cs="Arial"/>
        </w:rPr>
        <w:t>0.9-15.4</w:t>
      </w:r>
      <w:r w:rsidRPr="00382929">
        <w:rPr>
          <w:rFonts w:ascii="Arial" w:hAnsi="Arial" w:cs="Arial"/>
        </w:rPr>
        <w:t xml:space="preserve">] decreasing to </w:t>
      </w:r>
      <w:r>
        <w:rPr>
          <w:rFonts w:ascii="Arial" w:hAnsi="Arial" w:cs="Arial"/>
        </w:rPr>
        <w:t>1.7 [0</w:t>
      </w:r>
      <w:r w:rsidRPr="00382929">
        <w:rPr>
          <w:rFonts w:ascii="Arial" w:hAnsi="Arial" w:cs="Arial"/>
        </w:rPr>
        <w:t>.0</w:t>
      </w:r>
      <w:r>
        <w:rPr>
          <w:rFonts w:ascii="Arial" w:hAnsi="Arial" w:cs="Arial"/>
        </w:rPr>
        <w:noBreakHyphen/>
        <w:t>7.2</w:t>
      </w:r>
      <w:r w:rsidRPr="00382929">
        <w:rPr>
          <w:rFonts w:ascii="Arial" w:hAnsi="Arial" w:cs="Arial"/>
        </w:rPr>
        <w:t xml:space="preserve">] at last visit, </w:t>
      </w:r>
      <w:r w:rsidR="004973CD">
        <w:rPr>
          <w:rFonts w:ascii="Arial" w:hAnsi="Arial" w:cs="Arial"/>
        </w:rPr>
        <w:t>p</w:t>
      </w:r>
      <w:r>
        <w:rPr>
          <w:rFonts w:ascii="Arial" w:hAnsi="Arial" w:cs="Arial"/>
        </w:rPr>
        <w:t>=0.01).</w:t>
      </w:r>
    </w:p>
    <w:p w14:paraId="5DE41F9E" w14:textId="77777777" w:rsidR="00D752CD" w:rsidRDefault="00D752CD" w:rsidP="00D752CD">
      <w:pPr>
        <w:spacing w:line="240" w:lineRule="auto"/>
        <w:jc w:val="both"/>
        <w:rPr>
          <w:rFonts w:ascii="Arial" w:hAnsi="Arial" w:cs="Arial"/>
        </w:rPr>
      </w:pPr>
      <w:r>
        <w:rPr>
          <w:rFonts w:ascii="Arial" w:hAnsi="Arial" w:cs="Arial"/>
        </w:rPr>
        <w:lastRenderedPageBreak/>
        <w:t xml:space="preserve">Within the context of this open label, uncontrolled study, ECP was able to deliver response using NIH response criteria in a highly pre-treated cohort with moderate and severe </w:t>
      </w:r>
      <w:proofErr w:type="spellStart"/>
      <w:r>
        <w:rPr>
          <w:rFonts w:ascii="Arial" w:hAnsi="Arial" w:cs="Arial"/>
        </w:rPr>
        <w:t>cGVHD</w:t>
      </w:r>
      <w:proofErr w:type="spellEnd"/>
      <w:r>
        <w:rPr>
          <w:rFonts w:ascii="Arial" w:hAnsi="Arial" w:cs="Arial"/>
        </w:rPr>
        <w:t xml:space="preserve"> independent of most previous risk factors for adverse outcomes of </w:t>
      </w:r>
      <w:proofErr w:type="spellStart"/>
      <w:r>
        <w:rPr>
          <w:rFonts w:ascii="Arial" w:hAnsi="Arial" w:cs="Arial"/>
        </w:rPr>
        <w:t>cGVHD</w:t>
      </w:r>
      <w:proofErr w:type="spellEnd"/>
      <w:r>
        <w:rPr>
          <w:rFonts w:ascii="Arial" w:hAnsi="Arial" w:cs="Arial"/>
        </w:rPr>
        <w:t>.</w:t>
      </w:r>
    </w:p>
    <w:p w14:paraId="01E1F9CC" w14:textId="71DD67EC" w:rsidR="001A3992" w:rsidRPr="008F4D59" w:rsidRDefault="008F4D59" w:rsidP="001A3992">
      <w:pPr>
        <w:pStyle w:val="Heading2"/>
        <w:keepNext/>
        <w:spacing w:before="0" w:after="120"/>
        <w:rPr>
          <w:rFonts w:ascii="Arial" w:hAnsi="Arial" w:cs="Arial"/>
          <w:sz w:val="22"/>
          <w:lang w:val="en-US"/>
        </w:rPr>
      </w:pPr>
      <w:r w:rsidRPr="008F4D59">
        <w:rPr>
          <w:rFonts w:ascii="Arial" w:hAnsi="Arial" w:cs="Arial"/>
          <w:sz w:val="22"/>
          <w:lang w:val="en-US"/>
        </w:rPr>
        <w:t>PHARMACOKINETIC PROPERTIES</w:t>
      </w:r>
    </w:p>
    <w:p w14:paraId="5538C00E"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8C6404">
        <w:rPr>
          <w:rFonts w:ascii="Arial" w:hAnsi="Arial" w:cs="Univers 55"/>
          <w:color w:val="211D1E"/>
        </w:rPr>
        <w:t xml:space="preserve">The pharmacokinetics of intravenously administered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have been studied in three groups of healthy volunteers who received 5, 10 or 15 mg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infused over 60 minutes. The pharmacokinetics of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were best described by a three</w:t>
      </w:r>
      <w:r w:rsidRPr="008C6404">
        <w:rPr>
          <w:rFonts w:ascii="Arial" w:hAnsi="Arial" w:cs="Univers 55"/>
          <w:color w:val="211D1E"/>
        </w:rPr>
        <w:noBreakHyphen/>
        <w:t xml:space="preserve">compartment, mammillary model in which the volumes and </w:t>
      </w:r>
      <w:r w:rsidRPr="0093190F">
        <w:rPr>
          <w:rFonts w:ascii="Arial" w:hAnsi="Arial" w:cs="Univers 55"/>
          <w:color w:val="211D1E"/>
        </w:rPr>
        <w:t xml:space="preserve">clearances were proportional to weight. The mean pharmacokinetic parameters are shown in Table </w:t>
      </w:r>
      <w:r>
        <w:rPr>
          <w:rFonts w:ascii="Arial" w:hAnsi="Arial" w:cs="Univers 55"/>
          <w:color w:val="211D1E"/>
        </w:rPr>
        <w:t>2</w:t>
      </w:r>
      <w:r w:rsidRPr="0093190F">
        <w:rPr>
          <w:rFonts w:ascii="Arial" w:hAnsi="Arial" w:cs="Univers 55"/>
          <w:color w:val="211D1E"/>
        </w:rPr>
        <w:t xml:space="preserve"> below.</w:t>
      </w:r>
    </w:p>
    <w:p w14:paraId="371E13AB" w14:textId="77777777" w:rsidR="00431E6A" w:rsidRPr="004407DC" w:rsidRDefault="00431E6A" w:rsidP="00431E6A">
      <w:pPr>
        <w:keepNext/>
        <w:keepLines/>
        <w:widowControl w:val="0"/>
        <w:autoSpaceDE w:val="0"/>
        <w:autoSpaceDN w:val="0"/>
        <w:adjustRightInd w:val="0"/>
        <w:spacing w:line="201" w:lineRule="atLeast"/>
        <w:rPr>
          <w:rFonts w:ascii="Arial" w:hAnsi="Arial" w:cs="Arial"/>
          <w:b/>
          <w:bCs/>
          <w:color w:val="211D1E"/>
        </w:rPr>
      </w:pPr>
      <w:r w:rsidRPr="004407DC">
        <w:rPr>
          <w:rFonts w:ascii="Arial" w:hAnsi="Arial" w:cs="Arial"/>
          <w:b/>
          <w:bCs/>
          <w:color w:val="211D1E"/>
        </w:rPr>
        <w:t xml:space="preserve">Table 2 Summary of Pharmacokinetic Parameters for IV </w:t>
      </w:r>
      <w:proofErr w:type="spellStart"/>
      <w:r w:rsidRPr="004407DC">
        <w:rPr>
          <w:rFonts w:ascii="Arial" w:hAnsi="Arial" w:cs="Arial"/>
          <w:b/>
          <w:bCs/>
          <w:color w:val="211D1E"/>
        </w:rPr>
        <w:t>Methoxsalen</w:t>
      </w:r>
      <w:proofErr w:type="spellEnd"/>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386"/>
        <w:gridCol w:w="1674"/>
        <w:gridCol w:w="1530"/>
        <w:gridCol w:w="1170"/>
        <w:gridCol w:w="1170"/>
      </w:tblGrid>
      <w:tr w:rsidR="00431E6A" w:rsidRPr="00AC2048" w14:paraId="5D2FD6AA" w14:textId="77777777" w:rsidTr="000F27A9">
        <w:trPr>
          <w:trHeight w:val="500"/>
        </w:trPr>
        <w:tc>
          <w:tcPr>
            <w:tcW w:w="2065" w:type="dxa"/>
          </w:tcPr>
          <w:p w14:paraId="56C84366" w14:textId="77777777" w:rsidR="00431E6A" w:rsidRPr="00AC2048" w:rsidRDefault="00431E6A" w:rsidP="00F832A6">
            <w:pPr>
              <w:keepNext/>
              <w:keepLines/>
              <w:widowControl w:val="0"/>
              <w:autoSpaceDE w:val="0"/>
              <w:autoSpaceDN w:val="0"/>
              <w:adjustRightInd w:val="0"/>
              <w:spacing w:after="240" w:line="201" w:lineRule="atLeast"/>
              <w:jc w:val="center"/>
              <w:rPr>
                <w:rFonts w:ascii="Arial" w:hAnsi="Arial" w:cs="Arial"/>
                <w:color w:val="211D1E"/>
                <w:sz w:val="20"/>
                <w:szCs w:val="20"/>
              </w:rPr>
            </w:pPr>
          </w:p>
        </w:tc>
        <w:tc>
          <w:tcPr>
            <w:tcW w:w="1386" w:type="dxa"/>
          </w:tcPr>
          <w:p w14:paraId="5BCE862E" w14:textId="77777777" w:rsidR="00431E6A" w:rsidRPr="00AC2048" w:rsidRDefault="00431E6A" w:rsidP="00F832A6">
            <w:pPr>
              <w:keepNext/>
              <w:keepLines/>
              <w:widowControl w:val="0"/>
              <w:autoSpaceDE w:val="0"/>
              <w:autoSpaceDN w:val="0"/>
              <w:adjustRightInd w:val="0"/>
              <w:spacing w:after="240" w:line="201" w:lineRule="atLeast"/>
              <w:jc w:val="center"/>
              <w:rPr>
                <w:rFonts w:ascii="Arial" w:hAnsi="Arial" w:cs="Arial"/>
                <w:color w:val="211D1E"/>
                <w:sz w:val="20"/>
                <w:szCs w:val="20"/>
              </w:rPr>
            </w:pPr>
            <w:proofErr w:type="spellStart"/>
            <w:r w:rsidRPr="00AC2048">
              <w:rPr>
                <w:rFonts w:ascii="Arial" w:hAnsi="Arial" w:cs="Arial"/>
                <w:b/>
                <w:bCs/>
                <w:color w:val="211D1E"/>
                <w:sz w:val="20"/>
                <w:szCs w:val="20"/>
              </w:rPr>
              <w:t>Cmax</w:t>
            </w:r>
            <w:proofErr w:type="spellEnd"/>
            <w:r w:rsidRPr="00AC2048">
              <w:rPr>
                <w:rFonts w:ascii="Arial" w:hAnsi="Arial" w:cs="Arial"/>
                <w:b/>
                <w:bCs/>
                <w:color w:val="211D1E"/>
                <w:sz w:val="20"/>
                <w:szCs w:val="20"/>
              </w:rPr>
              <w:br/>
              <w:t>(ng mL</w:t>
            </w:r>
            <w:r w:rsidRPr="00AC2048">
              <w:rPr>
                <w:rFonts w:ascii="Arial" w:hAnsi="Arial" w:cs="Arial"/>
                <w:b/>
                <w:bCs/>
                <w:color w:val="211D1E"/>
                <w:sz w:val="20"/>
                <w:szCs w:val="20"/>
                <w:vertAlign w:val="superscript"/>
              </w:rPr>
              <w:t>-1</w:t>
            </w:r>
            <w:r w:rsidRPr="00AC2048">
              <w:rPr>
                <w:rFonts w:ascii="Arial" w:hAnsi="Arial" w:cs="Arial"/>
                <w:b/>
                <w:bCs/>
                <w:color w:val="211D1E"/>
                <w:sz w:val="20"/>
                <w:szCs w:val="20"/>
              </w:rPr>
              <w:t>)</w:t>
            </w:r>
          </w:p>
        </w:tc>
        <w:tc>
          <w:tcPr>
            <w:tcW w:w="1674" w:type="dxa"/>
          </w:tcPr>
          <w:p w14:paraId="1CFE82A8" w14:textId="77777777" w:rsidR="00431E6A" w:rsidRPr="00AC2048" w:rsidRDefault="00431E6A" w:rsidP="00F832A6">
            <w:pPr>
              <w:keepNext/>
              <w:keepLines/>
              <w:widowControl w:val="0"/>
              <w:autoSpaceDE w:val="0"/>
              <w:autoSpaceDN w:val="0"/>
              <w:adjustRightInd w:val="0"/>
              <w:spacing w:after="240" w:line="201" w:lineRule="atLeast"/>
              <w:jc w:val="center"/>
              <w:rPr>
                <w:rFonts w:ascii="Arial" w:hAnsi="Arial" w:cs="Arial"/>
                <w:color w:val="211D1E"/>
                <w:sz w:val="20"/>
                <w:szCs w:val="20"/>
              </w:rPr>
            </w:pPr>
            <w:r w:rsidRPr="00AC2048">
              <w:rPr>
                <w:rFonts w:ascii="Arial" w:hAnsi="Arial" w:cs="Arial"/>
                <w:b/>
                <w:bCs/>
                <w:color w:val="211D1E"/>
                <w:sz w:val="20"/>
                <w:szCs w:val="20"/>
              </w:rPr>
              <w:t>AUC</w:t>
            </w:r>
            <w:r w:rsidRPr="00AC2048">
              <w:rPr>
                <w:rFonts w:ascii="Arial" w:hAnsi="Arial" w:cs="Arial"/>
                <w:b/>
                <w:bCs/>
                <w:color w:val="211D1E"/>
                <w:sz w:val="20"/>
                <w:szCs w:val="20"/>
              </w:rPr>
              <w:br/>
              <w:t>(ng mL</w:t>
            </w:r>
            <w:r w:rsidRPr="00AC2048">
              <w:rPr>
                <w:rFonts w:ascii="Arial" w:hAnsi="Arial" w:cs="Arial"/>
                <w:b/>
                <w:bCs/>
                <w:color w:val="211D1E"/>
                <w:sz w:val="20"/>
                <w:szCs w:val="20"/>
                <w:vertAlign w:val="superscript"/>
              </w:rPr>
              <w:t>-1</w:t>
            </w:r>
            <w:r w:rsidRPr="00AC2048">
              <w:rPr>
                <w:rFonts w:ascii="Arial" w:hAnsi="Arial" w:cs="Arial"/>
                <w:b/>
                <w:bCs/>
                <w:color w:val="211D1E"/>
                <w:sz w:val="20"/>
                <w:szCs w:val="20"/>
              </w:rPr>
              <w:t xml:space="preserve"> min)</w:t>
            </w:r>
          </w:p>
        </w:tc>
        <w:tc>
          <w:tcPr>
            <w:tcW w:w="1530" w:type="dxa"/>
          </w:tcPr>
          <w:p w14:paraId="6AE728BE" w14:textId="77777777" w:rsidR="00431E6A" w:rsidRPr="00AC2048" w:rsidRDefault="00431E6A" w:rsidP="00F832A6">
            <w:pPr>
              <w:keepNext/>
              <w:keepLines/>
              <w:widowControl w:val="0"/>
              <w:autoSpaceDE w:val="0"/>
              <w:autoSpaceDN w:val="0"/>
              <w:adjustRightInd w:val="0"/>
              <w:spacing w:after="240" w:line="201" w:lineRule="atLeast"/>
              <w:jc w:val="center"/>
              <w:rPr>
                <w:rFonts w:ascii="Arial" w:hAnsi="Arial" w:cs="Arial"/>
                <w:b/>
                <w:bCs/>
                <w:color w:val="211D1E"/>
                <w:sz w:val="20"/>
                <w:szCs w:val="20"/>
              </w:rPr>
            </w:pPr>
            <w:r w:rsidRPr="00AC2048">
              <w:rPr>
                <w:rFonts w:ascii="Arial" w:hAnsi="Arial" w:cs="Arial"/>
                <w:b/>
                <w:bCs/>
                <w:color w:val="211D1E"/>
                <w:sz w:val="20"/>
                <w:szCs w:val="20"/>
              </w:rPr>
              <w:t>Clearance</w:t>
            </w:r>
            <w:r w:rsidRPr="00AC2048">
              <w:rPr>
                <w:rFonts w:ascii="Arial" w:hAnsi="Arial" w:cs="Arial"/>
                <w:b/>
                <w:bCs/>
                <w:color w:val="211D1E"/>
                <w:sz w:val="20"/>
                <w:szCs w:val="20"/>
              </w:rPr>
              <w:br/>
              <w:t>(L kg</w:t>
            </w:r>
            <w:r w:rsidRPr="00AC2048">
              <w:rPr>
                <w:rFonts w:ascii="Arial" w:hAnsi="Arial" w:cs="Arial"/>
                <w:b/>
                <w:bCs/>
                <w:color w:val="211D1E"/>
                <w:sz w:val="20"/>
                <w:szCs w:val="20"/>
                <w:vertAlign w:val="superscript"/>
              </w:rPr>
              <w:t>-1</w:t>
            </w:r>
            <w:r w:rsidRPr="00AC2048">
              <w:rPr>
                <w:rFonts w:ascii="Arial" w:hAnsi="Arial" w:cs="Arial"/>
                <w:b/>
                <w:bCs/>
                <w:color w:val="211D1E"/>
                <w:sz w:val="20"/>
                <w:szCs w:val="20"/>
              </w:rPr>
              <w:t xml:space="preserve"> min</w:t>
            </w:r>
            <w:r w:rsidRPr="00AC2048">
              <w:rPr>
                <w:rFonts w:ascii="Arial" w:hAnsi="Arial" w:cs="Arial"/>
                <w:b/>
                <w:bCs/>
                <w:color w:val="211D1E"/>
                <w:sz w:val="20"/>
                <w:szCs w:val="20"/>
                <w:vertAlign w:val="superscript"/>
              </w:rPr>
              <w:t>-1</w:t>
            </w:r>
            <w:r w:rsidRPr="00AC2048">
              <w:rPr>
                <w:rFonts w:ascii="Arial" w:hAnsi="Arial" w:cs="Arial"/>
                <w:b/>
                <w:bCs/>
                <w:color w:val="211D1E"/>
                <w:sz w:val="20"/>
                <w:szCs w:val="20"/>
              </w:rPr>
              <w:t>)</w:t>
            </w:r>
          </w:p>
        </w:tc>
        <w:tc>
          <w:tcPr>
            <w:tcW w:w="1170" w:type="dxa"/>
          </w:tcPr>
          <w:p w14:paraId="4112E654" w14:textId="77777777" w:rsidR="00431E6A" w:rsidRPr="00AC2048" w:rsidRDefault="00431E6A" w:rsidP="00F832A6">
            <w:pPr>
              <w:keepNext/>
              <w:keepLines/>
              <w:widowControl w:val="0"/>
              <w:autoSpaceDE w:val="0"/>
              <w:autoSpaceDN w:val="0"/>
              <w:adjustRightInd w:val="0"/>
              <w:spacing w:after="240" w:line="201" w:lineRule="atLeast"/>
              <w:jc w:val="center"/>
              <w:rPr>
                <w:rFonts w:ascii="Arial" w:hAnsi="Arial" w:cs="Arial"/>
                <w:color w:val="211D1E"/>
                <w:sz w:val="20"/>
                <w:szCs w:val="20"/>
              </w:rPr>
            </w:pPr>
            <w:r w:rsidRPr="00AC2048">
              <w:rPr>
                <w:rFonts w:ascii="Arial" w:hAnsi="Arial" w:cs="Arial"/>
                <w:b/>
                <w:bCs/>
                <w:color w:val="211D1E"/>
                <w:sz w:val="20"/>
                <w:szCs w:val="20"/>
              </w:rPr>
              <w:t>MRT</w:t>
            </w:r>
            <w:r w:rsidRPr="00AC2048">
              <w:rPr>
                <w:rFonts w:ascii="Arial" w:hAnsi="Arial" w:cs="Arial"/>
                <w:b/>
                <w:bCs/>
                <w:color w:val="211D1E"/>
                <w:sz w:val="20"/>
                <w:szCs w:val="20"/>
              </w:rPr>
              <w:br/>
              <w:t>(min)</w:t>
            </w:r>
          </w:p>
        </w:tc>
        <w:tc>
          <w:tcPr>
            <w:tcW w:w="1170" w:type="dxa"/>
          </w:tcPr>
          <w:p w14:paraId="0D1AEE2C" w14:textId="77777777" w:rsidR="00431E6A" w:rsidRPr="00AC2048" w:rsidRDefault="00431E6A" w:rsidP="00F832A6">
            <w:pPr>
              <w:keepNext/>
              <w:keepLines/>
              <w:widowControl w:val="0"/>
              <w:autoSpaceDE w:val="0"/>
              <w:autoSpaceDN w:val="0"/>
              <w:adjustRightInd w:val="0"/>
              <w:spacing w:after="240" w:line="201" w:lineRule="atLeast"/>
              <w:jc w:val="center"/>
              <w:rPr>
                <w:rFonts w:ascii="Arial" w:hAnsi="Arial" w:cs="Arial"/>
                <w:color w:val="211D1E"/>
                <w:sz w:val="20"/>
                <w:szCs w:val="20"/>
              </w:rPr>
            </w:pPr>
            <w:proofErr w:type="spellStart"/>
            <w:r w:rsidRPr="00AC2048">
              <w:rPr>
                <w:rFonts w:ascii="Arial" w:hAnsi="Arial" w:cs="Arial"/>
                <w:b/>
                <w:bCs/>
                <w:color w:val="211D1E"/>
                <w:sz w:val="20"/>
                <w:szCs w:val="20"/>
              </w:rPr>
              <w:t>Vss</w:t>
            </w:r>
            <w:proofErr w:type="spellEnd"/>
            <w:r w:rsidRPr="00AC2048">
              <w:rPr>
                <w:rFonts w:ascii="Arial" w:hAnsi="Arial" w:cs="Arial"/>
                <w:b/>
                <w:bCs/>
                <w:color w:val="211D1E"/>
                <w:sz w:val="20"/>
                <w:szCs w:val="20"/>
              </w:rPr>
              <w:br/>
              <w:t>(L kg</w:t>
            </w:r>
            <w:r w:rsidRPr="00AC2048">
              <w:rPr>
                <w:rFonts w:ascii="Arial" w:hAnsi="Arial" w:cs="Arial"/>
                <w:b/>
                <w:bCs/>
                <w:color w:val="211D1E"/>
                <w:sz w:val="20"/>
                <w:szCs w:val="20"/>
                <w:vertAlign w:val="superscript"/>
              </w:rPr>
              <w:t>-1</w:t>
            </w:r>
            <w:r w:rsidRPr="00AC2048">
              <w:rPr>
                <w:rFonts w:ascii="Arial" w:hAnsi="Arial" w:cs="Arial"/>
                <w:b/>
                <w:bCs/>
                <w:color w:val="211D1E"/>
                <w:sz w:val="20"/>
                <w:szCs w:val="20"/>
              </w:rPr>
              <w:t>)</w:t>
            </w:r>
          </w:p>
        </w:tc>
      </w:tr>
      <w:tr w:rsidR="00431E6A" w:rsidRPr="00AC2048" w14:paraId="6786BAA1" w14:textId="77777777" w:rsidTr="000F27A9">
        <w:trPr>
          <w:trHeight w:val="286"/>
        </w:trPr>
        <w:tc>
          <w:tcPr>
            <w:tcW w:w="2065" w:type="dxa"/>
          </w:tcPr>
          <w:p w14:paraId="0F4B18F1"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r w:rsidRPr="00AC2048">
              <w:rPr>
                <w:rFonts w:ascii="Arial" w:hAnsi="Arial" w:cs="Arial"/>
                <w:i/>
                <w:iCs/>
                <w:color w:val="211D1E"/>
                <w:sz w:val="20"/>
                <w:szCs w:val="20"/>
              </w:rPr>
              <w:t>5 mg dose (n=6)</w:t>
            </w:r>
          </w:p>
          <w:p w14:paraId="4F089F94"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r w:rsidRPr="00AC2048">
              <w:rPr>
                <w:rFonts w:ascii="Arial" w:hAnsi="Arial" w:cs="Arial"/>
                <w:color w:val="211D1E"/>
                <w:sz w:val="20"/>
                <w:szCs w:val="20"/>
              </w:rPr>
              <w:t>Mean</w:t>
            </w:r>
          </w:p>
          <w:p w14:paraId="18DEDC4A"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proofErr w:type="spellStart"/>
            <w:r w:rsidRPr="00AC2048">
              <w:rPr>
                <w:rFonts w:ascii="Arial" w:hAnsi="Arial" w:cs="Arial"/>
                <w:color w:val="211D1E"/>
                <w:sz w:val="20"/>
                <w:szCs w:val="20"/>
              </w:rPr>
              <w:t>s.d.</w:t>
            </w:r>
            <w:proofErr w:type="spellEnd"/>
          </w:p>
        </w:tc>
        <w:tc>
          <w:tcPr>
            <w:tcW w:w="1386" w:type="dxa"/>
          </w:tcPr>
          <w:p w14:paraId="38B5CF76"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31E4ADC5"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60.2</w:t>
            </w:r>
          </w:p>
          <w:p w14:paraId="2CEB387B"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10.4</w:t>
            </w:r>
          </w:p>
        </w:tc>
        <w:tc>
          <w:tcPr>
            <w:tcW w:w="1674" w:type="dxa"/>
          </w:tcPr>
          <w:p w14:paraId="56E29F53"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4F07086C"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4756</w:t>
            </w:r>
          </w:p>
          <w:p w14:paraId="5BDAE5D5"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978</w:t>
            </w:r>
          </w:p>
        </w:tc>
        <w:tc>
          <w:tcPr>
            <w:tcW w:w="1530" w:type="dxa"/>
          </w:tcPr>
          <w:p w14:paraId="77B00AF8"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37A1D031"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0.012</w:t>
            </w:r>
          </w:p>
          <w:p w14:paraId="55BCCAA1"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0.0035</w:t>
            </w:r>
          </w:p>
        </w:tc>
        <w:tc>
          <w:tcPr>
            <w:tcW w:w="1170" w:type="dxa"/>
          </w:tcPr>
          <w:p w14:paraId="46B672BB"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605C4D84"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50.4</w:t>
            </w:r>
          </w:p>
          <w:p w14:paraId="5016BC22"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35.1</w:t>
            </w:r>
          </w:p>
        </w:tc>
        <w:tc>
          <w:tcPr>
            <w:tcW w:w="1170" w:type="dxa"/>
          </w:tcPr>
          <w:p w14:paraId="133C55DF"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0CB7069C"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0.52</w:t>
            </w:r>
          </w:p>
          <w:p w14:paraId="648543CB"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0.022</w:t>
            </w:r>
          </w:p>
        </w:tc>
      </w:tr>
      <w:tr w:rsidR="00431E6A" w:rsidRPr="00AC2048" w14:paraId="12C4EF9A" w14:textId="77777777" w:rsidTr="000F27A9">
        <w:trPr>
          <w:trHeight w:val="286"/>
        </w:trPr>
        <w:tc>
          <w:tcPr>
            <w:tcW w:w="2065" w:type="dxa"/>
          </w:tcPr>
          <w:p w14:paraId="36B2A44E"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r w:rsidRPr="00AC2048">
              <w:rPr>
                <w:rFonts w:ascii="Arial" w:hAnsi="Arial" w:cs="Arial"/>
                <w:i/>
                <w:iCs/>
                <w:color w:val="211D1E"/>
                <w:sz w:val="20"/>
                <w:szCs w:val="20"/>
              </w:rPr>
              <w:t>10 mg dose (n=6)</w:t>
            </w:r>
          </w:p>
          <w:p w14:paraId="7E561ACD"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r w:rsidRPr="00AC2048">
              <w:rPr>
                <w:rFonts w:ascii="Arial" w:hAnsi="Arial" w:cs="Arial"/>
                <w:color w:val="211D1E"/>
                <w:sz w:val="20"/>
                <w:szCs w:val="20"/>
              </w:rPr>
              <w:t>Mean</w:t>
            </w:r>
          </w:p>
          <w:p w14:paraId="484F1BD7"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proofErr w:type="spellStart"/>
            <w:r w:rsidRPr="00AC2048">
              <w:rPr>
                <w:rFonts w:ascii="Arial" w:hAnsi="Arial" w:cs="Arial"/>
                <w:color w:val="211D1E"/>
                <w:sz w:val="20"/>
                <w:szCs w:val="20"/>
              </w:rPr>
              <w:t>s.d.</w:t>
            </w:r>
            <w:proofErr w:type="spellEnd"/>
          </w:p>
        </w:tc>
        <w:tc>
          <w:tcPr>
            <w:tcW w:w="1386" w:type="dxa"/>
          </w:tcPr>
          <w:p w14:paraId="1DEBDA34"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7C1EC139"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138.7</w:t>
            </w:r>
          </w:p>
          <w:p w14:paraId="42E79AB9"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33.3</w:t>
            </w:r>
          </w:p>
        </w:tc>
        <w:tc>
          <w:tcPr>
            <w:tcW w:w="1674" w:type="dxa"/>
          </w:tcPr>
          <w:p w14:paraId="4A277E27"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681F7AED"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11626</w:t>
            </w:r>
          </w:p>
          <w:p w14:paraId="1ABBD15B"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3366</w:t>
            </w:r>
          </w:p>
        </w:tc>
        <w:tc>
          <w:tcPr>
            <w:tcW w:w="1530" w:type="dxa"/>
          </w:tcPr>
          <w:p w14:paraId="325B622E"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76D25B8B"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0.011</w:t>
            </w:r>
          </w:p>
          <w:p w14:paraId="7F0EE5B8"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0.0018</w:t>
            </w:r>
          </w:p>
        </w:tc>
        <w:tc>
          <w:tcPr>
            <w:tcW w:w="1170" w:type="dxa"/>
          </w:tcPr>
          <w:p w14:paraId="798FB85B"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19A06649"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56.8</w:t>
            </w:r>
          </w:p>
          <w:p w14:paraId="3980AF4C"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16.5</w:t>
            </w:r>
          </w:p>
        </w:tc>
        <w:tc>
          <w:tcPr>
            <w:tcW w:w="1170" w:type="dxa"/>
          </w:tcPr>
          <w:p w14:paraId="18D1D9F8"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45A3AD06"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0.61</w:t>
            </w:r>
          </w:p>
          <w:p w14:paraId="3331A648"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0.09</w:t>
            </w:r>
          </w:p>
        </w:tc>
      </w:tr>
      <w:tr w:rsidR="00431E6A" w:rsidRPr="00AC2048" w14:paraId="09FC0DF0" w14:textId="77777777" w:rsidTr="000F27A9">
        <w:trPr>
          <w:trHeight w:val="286"/>
        </w:trPr>
        <w:tc>
          <w:tcPr>
            <w:tcW w:w="2065" w:type="dxa"/>
          </w:tcPr>
          <w:p w14:paraId="28289973"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r w:rsidRPr="00AC2048">
              <w:rPr>
                <w:rFonts w:ascii="Arial" w:hAnsi="Arial" w:cs="Arial"/>
                <w:i/>
                <w:iCs/>
                <w:color w:val="211D1E"/>
                <w:sz w:val="20"/>
                <w:szCs w:val="20"/>
              </w:rPr>
              <w:t>15 mg dose (n=6)</w:t>
            </w:r>
          </w:p>
          <w:p w14:paraId="38939497"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r w:rsidRPr="00AC2048">
              <w:rPr>
                <w:rFonts w:ascii="Arial" w:hAnsi="Arial" w:cs="Arial"/>
                <w:color w:val="211D1E"/>
                <w:sz w:val="20"/>
                <w:szCs w:val="20"/>
              </w:rPr>
              <w:t>Mean</w:t>
            </w:r>
          </w:p>
          <w:p w14:paraId="10B82718" w14:textId="77777777" w:rsidR="00431E6A" w:rsidRPr="00AC2048" w:rsidRDefault="00431E6A" w:rsidP="000F27A9">
            <w:pPr>
              <w:keepNext/>
              <w:keepLines/>
              <w:widowControl w:val="0"/>
              <w:autoSpaceDE w:val="0"/>
              <w:autoSpaceDN w:val="0"/>
              <w:adjustRightInd w:val="0"/>
              <w:spacing w:after="0" w:line="240" w:lineRule="auto"/>
              <w:rPr>
                <w:rFonts w:ascii="Arial" w:hAnsi="Arial" w:cs="Arial"/>
                <w:color w:val="211D1E"/>
                <w:sz w:val="20"/>
                <w:szCs w:val="20"/>
              </w:rPr>
            </w:pPr>
            <w:proofErr w:type="spellStart"/>
            <w:r w:rsidRPr="00AC2048">
              <w:rPr>
                <w:rFonts w:ascii="Arial" w:hAnsi="Arial" w:cs="Arial"/>
                <w:color w:val="211D1E"/>
                <w:sz w:val="20"/>
                <w:szCs w:val="20"/>
              </w:rPr>
              <w:t>s.d.</w:t>
            </w:r>
            <w:proofErr w:type="spellEnd"/>
          </w:p>
        </w:tc>
        <w:tc>
          <w:tcPr>
            <w:tcW w:w="1386" w:type="dxa"/>
          </w:tcPr>
          <w:p w14:paraId="03C08D14"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0CF0E514"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195.8</w:t>
            </w:r>
          </w:p>
          <w:p w14:paraId="1090D535"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89.2</w:t>
            </w:r>
          </w:p>
        </w:tc>
        <w:tc>
          <w:tcPr>
            <w:tcW w:w="1674" w:type="dxa"/>
          </w:tcPr>
          <w:p w14:paraId="1F501AC9"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5F206443"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16340</w:t>
            </w:r>
          </w:p>
          <w:p w14:paraId="78B356F9"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8474</w:t>
            </w:r>
          </w:p>
        </w:tc>
        <w:tc>
          <w:tcPr>
            <w:tcW w:w="1530" w:type="dxa"/>
          </w:tcPr>
          <w:p w14:paraId="131C793C"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4663A021"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0.014</w:t>
            </w:r>
          </w:p>
          <w:p w14:paraId="7702E7B4"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0.0034</w:t>
            </w:r>
          </w:p>
        </w:tc>
        <w:tc>
          <w:tcPr>
            <w:tcW w:w="1170" w:type="dxa"/>
          </w:tcPr>
          <w:p w14:paraId="457FDCCD"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55467A6A"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58.5</w:t>
            </w:r>
          </w:p>
          <w:p w14:paraId="0BD31B76"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23.9</w:t>
            </w:r>
          </w:p>
        </w:tc>
        <w:tc>
          <w:tcPr>
            <w:tcW w:w="1170" w:type="dxa"/>
          </w:tcPr>
          <w:p w14:paraId="3CD1475F"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p>
          <w:p w14:paraId="43ABE89E"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0.81</w:t>
            </w:r>
          </w:p>
          <w:p w14:paraId="3507DED3" w14:textId="77777777" w:rsidR="00431E6A" w:rsidRPr="00AC2048" w:rsidRDefault="00431E6A" w:rsidP="000F27A9">
            <w:pPr>
              <w:keepNext/>
              <w:keepLines/>
              <w:widowControl w:val="0"/>
              <w:autoSpaceDE w:val="0"/>
              <w:autoSpaceDN w:val="0"/>
              <w:adjustRightInd w:val="0"/>
              <w:spacing w:after="0" w:line="240" w:lineRule="auto"/>
              <w:jc w:val="center"/>
              <w:rPr>
                <w:rFonts w:ascii="Arial" w:hAnsi="Arial" w:cs="Arial"/>
                <w:color w:val="211D1E"/>
                <w:sz w:val="20"/>
                <w:szCs w:val="20"/>
              </w:rPr>
            </w:pPr>
            <w:r w:rsidRPr="00AC2048">
              <w:rPr>
                <w:rFonts w:ascii="Arial" w:hAnsi="Arial" w:cs="Arial"/>
                <w:color w:val="211D1E"/>
                <w:sz w:val="20"/>
                <w:szCs w:val="20"/>
              </w:rPr>
              <w:t>0.34</w:t>
            </w:r>
          </w:p>
        </w:tc>
      </w:tr>
    </w:tbl>
    <w:p w14:paraId="528419F7" w14:textId="77777777" w:rsidR="00431E6A" w:rsidRPr="00CA213D" w:rsidRDefault="00431E6A" w:rsidP="0002156E">
      <w:pPr>
        <w:keepNext/>
        <w:keepLines/>
        <w:autoSpaceDE w:val="0"/>
        <w:autoSpaceDN w:val="0"/>
        <w:adjustRightInd w:val="0"/>
        <w:spacing w:before="240" w:line="201" w:lineRule="atLeast"/>
        <w:jc w:val="both"/>
        <w:rPr>
          <w:rFonts w:ascii="Arial" w:hAnsi="Arial" w:cs="Univers 55"/>
          <w:color w:val="211D1E"/>
        </w:rPr>
      </w:pPr>
      <w:r w:rsidRPr="00CA213D">
        <w:rPr>
          <w:rFonts w:ascii="Arial" w:hAnsi="Arial" w:cs="Univers 55"/>
          <w:color w:val="211D1E"/>
        </w:rPr>
        <w:t xml:space="preserve">In a clinical study conducted with UVADEX,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concentrations in plasma 30 minutes after reinfusion of the </w:t>
      </w:r>
      <w:proofErr w:type="spellStart"/>
      <w:r w:rsidRPr="00CA213D">
        <w:rPr>
          <w:rFonts w:ascii="Arial" w:hAnsi="Arial" w:cs="Univers 55"/>
          <w:color w:val="211D1E"/>
        </w:rPr>
        <w:t>photoactivated</w:t>
      </w:r>
      <w:proofErr w:type="spellEnd"/>
      <w:r w:rsidRPr="00CA213D">
        <w:rPr>
          <w:rFonts w:ascii="Arial" w:hAnsi="Arial" w:cs="Univers 55"/>
          <w:color w:val="211D1E"/>
        </w:rPr>
        <w:t xml:space="preserve"> cells were less than 10 ng/mL in 82% of the 754 samples measured. The mean plasma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level was approximately 25 ng/</w:t>
      </w:r>
      <w:proofErr w:type="spellStart"/>
      <w:r w:rsidRPr="00CA213D">
        <w:rPr>
          <w:rFonts w:ascii="Arial" w:hAnsi="Arial" w:cs="Univers 55"/>
          <w:color w:val="211D1E"/>
        </w:rPr>
        <w:t>mL.</w:t>
      </w:r>
      <w:proofErr w:type="spellEnd"/>
    </w:p>
    <w:p w14:paraId="7984F554"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i/>
          <w:color w:val="211D1E"/>
        </w:rPr>
        <w:t>Distribution:</w:t>
      </w:r>
      <w:r w:rsidRPr="00CA213D">
        <w:rPr>
          <w:rFonts w:ascii="Arial" w:hAnsi="Arial" w:cs="Univers 55"/>
          <w:color w:val="211D1E"/>
        </w:rPr>
        <w:t xml:space="preserve"> </w:t>
      </w:r>
      <w:r w:rsidRPr="008C6404">
        <w:rPr>
          <w:rFonts w:ascii="Arial" w:hAnsi="Arial" w:cs="Univers 55"/>
          <w:color w:val="211D1E"/>
        </w:rPr>
        <w:t xml:space="preserve">Results of </w:t>
      </w:r>
      <w:proofErr w:type="spellStart"/>
      <w:r w:rsidRPr="008C6404">
        <w:rPr>
          <w:rFonts w:ascii="Arial" w:hAnsi="Arial" w:cs="Univers 55"/>
          <w:color w:val="211D1E"/>
        </w:rPr>
        <w:t>autoradiographic</w:t>
      </w:r>
      <w:proofErr w:type="spellEnd"/>
      <w:r w:rsidRPr="008C6404">
        <w:rPr>
          <w:rFonts w:ascii="Arial" w:hAnsi="Arial" w:cs="Univers 55"/>
          <w:color w:val="211D1E"/>
        </w:rPr>
        <w:t xml:space="preserve"> studies show that in </w:t>
      </w:r>
      <w:proofErr w:type="gramStart"/>
      <w:r w:rsidRPr="008C6404">
        <w:rPr>
          <w:rFonts w:ascii="Arial" w:hAnsi="Arial" w:cs="Univers 55"/>
          <w:color w:val="211D1E"/>
        </w:rPr>
        <w:t>rats</w:t>
      </w:r>
      <w:proofErr w:type="gramEnd"/>
      <w:r w:rsidRPr="008C6404">
        <w:rPr>
          <w:rFonts w:ascii="Arial" w:hAnsi="Arial" w:cs="Univers 55"/>
          <w:color w:val="211D1E"/>
        </w:rPr>
        <w:t xml:space="preserve"> psoralens distribute into most organs, with the highest concentrations of active substance in the liver and kidneys. Binding to human albumin is high (80–90%). In humans following IV infusion of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over 60 minutes</w:t>
      </w:r>
      <w:r w:rsidRPr="001179BB">
        <w:rPr>
          <w:rFonts w:ascii="Arial" w:hAnsi="Arial" w:cs="Univers 55"/>
          <w:color w:val="211D1E"/>
        </w:rPr>
        <w:t xml:space="preserve">, the range of volume of distribution at steady state was </w:t>
      </w:r>
      <w:r w:rsidRPr="00CA213D">
        <w:rPr>
          <w:rFonts w:ascii="Arial" w:hAnsi="Arial" w:cs="Univers 55"/>
          <w:color w:val="211D1E"/>
        </w:rPr>
        <w:t>0.52 to 0.81 L/kg.</w:t>
      </w:r>
    </w:p>
    <w:p w14:paraId="42EFE06C"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i/>
          <w:color w:val="211D1E"/>
        </w:rPr>
        <w:t>Metabolism:</w:t>
      </w:r>
      <w:r w:rsidRPr="00CA213D">
        <w:rPr>
          <w:rFonts w:ascii="Arial" w:hAnsi="Arial" w:cs="Univers 55"/>
          <w:color w:val="211D1E"/>
        </w:rPr>
        <w:t xml:space="preserve"> In human,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undergoes nearly complete biotransformation with little or no unchanged active substance being found in the urine or faeces. Both conjugated and unconjugated metabolites have been identified. Few data are available regarding the activity of the metabolites. Following IV infusion of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over 60 minutes, mean systemic clearance ranged from 11 to 14 mL/min per kg.</w:t>
      </w:r>
    </w:p>
    <w:p w14:paraId="24E892A6"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0F27A9">
        <w:rPr>
          <w:rFonts w:ascii="Arial" w:hAnsi="Arial" w:cs="Univers 55"/>
          <w:i/>
          <w:color w:val="211D1E"/>
        </w:rPr>
        <w:t>Excretion:</w:t>
      </w:r>
      <w:r w:rsidRPr="00CA213D">
        <w:rPr>
          <w:rFonts w:ascii="Arial" w:hAnsi="Arial" w:cs="Univers 55"/>
          <w:color w:val="211D1E"/>
        </w:rPr>
        <w:t xml:space="preserve"> </w:t>
      </w:r>
      <w:r w:rsidRPr="008C6404">
        <w:rPr>
          <w:rFonts w:ascii="Arial" w:hAnsi="Arial" w:cs="Univers 55"/>
          <w:color w:val="211D1E"/>
        </w:rPr>
        <w:t xml:space="preserve">In </w:t>
      </w:r>
      <w:r>
        <w:rPr>
          <w:rFonts w:ascii="Arial" w:hAnsi="Arial" w:cs="Univers 55"/>
          <w:color w:val="211D1E"/>
        </w:rPr>
        <w:t>humans</w:t>
      </w:r>
      <w:r w:rsidRPr="008C6404">
        <w:rPr>
          <w:rFonts w:ascii="Arial" w:hAnsi="Arial" w:cs="Univers 55"/>
          <w:color w:val="211D1E"/>
        </w:rPr>
        <w:t xml:space="preserve">, virtually no unchanged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is recovered in the urine or faeces following oral administration. In radiolabelled studies, at 48 hours post-dosing, urinary excretion of radioactivity averaged 74%. Biliary excretion of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and its metabolites, as reflected by faecal recovery, was relatively minor at 14%.</w:t>
      </w:r>
    </w:p>
    <w:p w14:paraId="2D3D9753" w14:textId="3CC8750E" w:rsidR="001A3992" w:rsidRPr="00614FA8" w:rsidRDefault="00614FA8" w:rsidP="001A3992">
      <w:pPr>
        <w:pStyle w:val="Heading2"/>
        <w:spacing w:before="0" w:after="120"/>
        <w:rPr>
          <w:rFonts w:ascii="Arial" w:hAnsi="Arial" w:cs="Arial"/>
          <w:sz w:val="22"/>
          <w:lang w:val="en-US"/>
        </w:rPr>
      </w:pPr>
      <w:r w:rsidRPr="00614FA8">
        <w:rPr>
          <w:rFonts w:ascii="Arial" w:hAnsi="Arial" w:cs="Arial"/>
          <w:sz w:val="22"/>
          <w:lang w:val="en-US"/>
        </w:rPr>
        <w:t>PRECLINICAL SAFETY DATA</w:t>
      </w:r>
    </w:p>
    <w:p w14:paraId="2EE3042D"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Preclinical effects were observed only at exposures significantly in excess of the maximum human exposure indicating little relevance to clinical use except as described in other sections (</w:t>
      </w:r>
      <w:r w:rsidRPr="00614FA8">
        <w:rPr>
          <w:rFonts w:ascii="Arial" w:hAnsi="Arial" w:cs="Univers 55"/>
          <w:i/>
          <w:color w:val="211D1E"/>
        </w:rPr>
        <w:t>see Section 4.4: Special Warnings and Precautions for Use</w:t>
      </w:r>
      <w:r w:rsidRPr="00CA213D">
        <w:rPr>
          <w:rFonts w:ascii="Arial" w:hAnsi="Arial" w:cs="Univers 55"/>
          <w:color w:val="211D1E"/>
        </w:rPr>
        <w:t>).</w:t>
      </w:r>
    </w:p>
    <w:p w14:paraId="3B84F232"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No potential manifestations of toxicity were identified as a result of a </w:t>
      </w:r>
      <w:proofErr w:type="gramStart"/>
      <w:r w:rsidRPr="00CA213D">
        <w:rPr>
          <w:rFonts w:ascii="Arial" w:hAnsi="Arial" w:cs="Univers 55"/>
          <w:color w:val="211D1E"/>
        </w:rPr>
        <w:t>four week</w:t>
      </w:r>
      <w:proofErr w:type="gramEnd"/>
      <w:r w:rsidRPr="00CA213D">
        <w:rPr>
          <w:rFonts w:ascii="Arial" w:hAnsi="Arial" w:cs="Univers 55"/>
          <w:color w:val="211D1E"/>
        </w:rPr>
        <w:t xml:space="preserve"> simulation toxicity study in dogs subjected to extracorporeal </w:t>
      </w:r>
      <w:proofErr w:type="spellStart"/>
      <w:r w:rsidRPr="00CA213D">
        <w:rPr>
          <w:rFonts w:ascii="Arial" w:hAnsi="Arial" w:cs="Univers 55"/>
          <w:color w:val="211D1E"/>
        </w:rPr>
        <w:t>photopheresis</w:t>
      </w:r>
      <w:proofErr w:type="spellEnd"/>
      <w:r w:rsidRPr="00CA213D">
        <w:rPr>
          <w:rFonts w:ascii="Arial" w:hAnsi="Arial" w:cs="Univers 55"/>
          <w:color w:val="211D1E"/>
        </w:rPr>
        <w:t>, at 1–2 J/cm</w:t>
      </w:r>
      <w:r w:rsidRPr="00614FA8">
        <w:rPr>
          <w:rFonts w:ascii="Arial" w:hAnsi="Arial" w:cs="Univers 55"/>
          <w:color w:val="211D1E"/>
          <w:vertAlign w:val="superscript"/>
        </w:rPr>
        <w:t>2</w:t>
      </w:r>
      <w:r w:rsidRPr="00CA213D">
        <w:rPr>
          <w:rFonts w:ascii="Arial" w:hAnsi="Arial" w:cs="Univers 55"/>
          <w:color w:val="211D1E"/>
        </w:rPr>
        <w:t xml:space="preserve">, on a total of </w:t>
      </w:r>
      <w:r w:rsidRPr="00CA213D">
        <w:rPr>
          <w:rFonts w:ascii="Arial" w:hAnsi="Arial" w:cs="Univers 55"/>
          <w:color w:val="211D1E"/>
        </w:rPr>
        <w:lastRenderedPageBreak/>
        <w:t>eight occasions when UVADEX was added to the buffy coat at concentrations of 100 and 500 ng/</w:t>
      </w:r>
      <w:proofErr w:type="spellStart"/>
      <w:r w:rsidRPr="00CA213D">
        <w:rPr>
          <w:rFonts w:ascii="Arial" w:hAnsi="Arial" w:cs="Univers 55"/>
          <w:color w:val="211D1E"/>
        </w:rPr>
        <w:t>mL.</w:t>
      </w:r>
      <w:proofErr w:type="spellEnd"/>
    </w:p>
    <w:p w14:paraId="63373871"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The potential for </w:t>
      </w:r>
      <w:proofErr w:type="spellStart"/>
      <w:r w:rsidRPr="00CA213D">
        <w:rPr>
          <w:rFonts w:ascii="Arial" w:hAnsi="Arial" w:cs="Univers 55"/>
          <w:color w:val="211D1E"/>
        </w:rPr>
        <w:t>phototoxicity</w:t>
      </w:r>
      <w:proofErr w:type="spellEnd"/>
      <w:r w:rsidRPr="00CA213D">
        <w:rPr>
          <w:rFonts w:ascii="Arial" w:hAnsi="Arial" w:cs="Univers 55"/>
          <w:color w:val="211D1E"/>
        </w:rPr>
        <w:t xml:space="preserve"> has been extensively studied in animal models. Manifestations of phototoxic responses have been identified in the skin and eye after oral dosing and the liver after intraperitoneal dosing. Studies in humans have shown that phototoxic responses are unlikely to occur unless systemic exposures of at least 30 ng/mL are achieved. As plasma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concentrations following re-infusion of leukocyte enriched plasma after completion of extracorporeal </w:t>
      </w:r>
      <w:proofErr w:type="spellStart"/>
      <w:r w:rsidRPr="00CA213D">
        <w:rPr>
          <w:rFonts w:ascii="Arial" w:hAnsi="Arial" w:cs="Univers 55"/>
          <w:color w:val="211D1E"/>
        </w:rPr>
        <w:t>photopheresis</w:t>
      </w:r>
      <w:proofErr w:type="spellEnd"/>
      <w:r w:rsidRPr="00CA213D">
        <w:rPr>
          <w:rFonts w:ascii="Arial" w:hAnsi="Arial" w:cs="Univers 55"/>
          <w:color w:val="211D1E"/>
        </w:rPr>
        <w:t xml:space="preserve"> are consistently below the level of detection (10 ng/mL), the findings from the animal studies are of limited relevance in the context of the use of UVADEX.</w:t>
      </w:r>
    </w:p>
    <w:p w14:paraId="58882144" w14:textId="77777777" w:rsidR="001A3992" w:rsidRDefault="001A3992" w:rsidP="00614FA8">
      <w:pPr>
        <w:pStyle w:val="Heading3"/>
        <w:spacing w:before="0" w:after="120"/>
        <w:rPr>
          <w:rFonts w:cs="Arial"/>
        </w:rPr>
      </w:pPr>
      <w:proofErr w:type="spellStart"/>
      <w:r w:rsidRPr="007313E5">
        <w:rPr>
          <w:rFonts w:cs="Arial"/>
        </w:rPr>
        <w:t>Genotoxicity</w:t>
      </w:r>
      <w:proofErr w:type="spellEnd"/>
    </w:p>
    <w:p w14:paraId="797125CF" w14:textId="77777777" w:rsidR="00431E6A" w:rsidRPr="008C6404" w:rsidRDefault="00431E6A" w:rsidP="00CA213D">
      <w:pPr>
        <w:widowControl w:val="0"/>
        <w:autoSpaceDE w:val="0"/>
        <w:autoSpaceDN w:val="0"/>
        <w:adjustRightInd w:val="0"/>
        <w:spacing w:line="201" w:lineRule="atLeast"/>
        <w:jc w:val="both"/>
        <w:rPr>
          <w:rFonts w:ascii="Arial" w:hAnsi="Arial" w:cs="Univers 55"/>
          <w:color w:val="211D1E"/>
        </w:rPr>
      </w:pPr>
      <w:r w:rsidRPr="008C6404">
        <w:rPr>
          <w:rFonts w:ascii="Arial" w:hAnsi="Arial" w:cs="Univers 55"/>
          <w:color w:val="211D1E"/>
        </w:rPr>
        <w:t>Non</w:t>
      </w:r>
      <w:r w:rsidRPr="008C6404">
        <w:rPr>
          <w:rFonts w:ascii="Arial" w:hAnsi="Arial" w:cs="Univers 55"/>
          <w:color w:val="211D1E"/>
        </w:rPr>
        <w:noBreakHyphen/>
      </w:r>
      <w:proofErr w:type="spellStart"/>
      <w:r w:rsidRPr="008C6404">
        <w:rPr>
          <w:rFonts w:ascii="Arial" w:hAnsi="Arial" w:cs="Univers 55"/>
          <w:color w:val="211D1E"/>
        </w:rPr>
        <w:t>photoactivated</w:t>
      </w:r>
      <w:proofErr w:type="spellEnd"/>
      <w:r w:rsidRPr="008C6404">
        <w:rPr>
          <w:rFonts w:ascii="Arial" w:hAnsi="Arial" w:cs="Univers 55"/>
          <w:color w:val="211D1E"/>
        </w:rPr>
        <w:t xml:space="preserve">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has been shown to induce gene mutations in bacteria, and chromosomal aberrations and sister chromatid exchanges in cultured mammalian cells. In the presence of </w:t>
      </w:r>
      <w:proofErr w:type="spellStart"/>
      <w:r w:rsidRPr="008C6404">
        <w:rPr>
          <w:rFonts w:ascii="Arial" w:hAnsi="Arial" w:cs="Univers 55"/>
          <w:color w:val="211D1E"/>
        </w:rPr>
        <w:t>photoactivation</w:t>
      </w:r>
      <w:proofErr w:type="spellEnd"/>
      <w:r w:rsidRPr="008C6404">
        <w:rPr>
          <w:rFonts w:ascii="Arial" w:hAnsi="Arial" w:cs="Univers 55"/>
          <w:color w:val="211D1E"/>
        </w:rPr>
        <w:t xml:space="preserve">,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was mutagenic, and induced unscheduled DNA synthesis </w:t>
      </w:r>
      <w:r w:rsidRPr="00614FA8">
        <w:rPr>
          <w:rFonts w:ascii="Arial" w:hAnsi="Arial" w:cs="Univers 55"/>
          <w:i/>
          <w:color w:val="211D1E"/>
        </w:rPr>
        <w:t>in vivo</w:t>
      </w:r>
      <w:r w:rsidRPr="008C6404">
        <w:rPr>
          <w:rFonts w:ascii="Arial" w:hAnsi="Arial" w:cs="Univers 55"/>
          <w:color w:val="211D1E"/>
        </w:rPr>
        <w:t xml:space="preserve"> and </w:t>
      </w:r>
      <w:r w:rsidRPr="00614FA8">
        <w:rPr>
          <w:rFonts w:ascii="Arial" w:hAnsi="Arial" w:cs="Univers 55"/>
          <w:i/>
          <w:color w:val="211D1E"/>
        </w:rPr>
        <w:t>in vitro</w:t>
      </w:r>
      <w:r w:rsidRPr="008C6404">
        <w:rPr>
          <w:rFonts w:ascii="Arial" w:hAnsi="Arial" w:cs="Univers 55"/>
          <w:color w:val="211D1E"/>
        </w:rPr>
        <w:t xml:space="preserve"> and cross-links and mono</w:t>
      </w:r>
      <w:r w:rsidRPr="008C6404">
        <w:rPr>
          <w:rFonts w:ascii="Arial" w:hAnsi="Arial" w:cs="Univers 55"/>
          <w:color w:val="211D1E"/>
        </w:rPr>
        <w:noBreakHyphen/>
        <w:t xml:space="preserve">adduct formation </w:t>
      </w:r>
      <w:r w:rsidRPr="00614FA8">
        <w:rPr>
          <w:rFonts w:ascii="Arial" w:hAnsi="Arial" w:cs="Univers 55"/>
          <w:i/>
          <w:color w:val="211D1E"/>
        </w:rPr>
        <w:t>in vitro</w:t>
      </w:r>
      <w:r w:rsidRPr="008C6404">
        <w:rPr>
          <w:rFonts w:ascii="Arial" w:hAnsi="Arial" w:cs="Univers 55"/>
          <w:color w:val="211D1E"/>
        </w:rPr>
        <w:t>.</w:t>
      </w:r>
    </w:p>
    <w:p w14:paraId="00F933FE" w14:textId="77777777" w:rsidR="001A3992" w:rsidRPr="00614FA8" w:rsidRDefault="001A3992" w:rsidP="00881522">
      <w:pPr>
        <w:pStyle w:val="Heading3"/>
      </w:pPr>
      <w:r w:rsidRPr="00614FA8">
        <w:t>Carcinogenicity</w:t>
      </w:r>
    </w:p>
    <w:p w14:paraId="734C4AF9" w14:textId="77777777"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8C6404">
        <w:rPr>
          <w:rFonts w:ascii="Arial" w:hAnsi="Arial" w:cs="Univers 55"/>
          <w:color w:val="211D1E"/>
        </w:rPr>
        <w:t xml:space="preserve">Some experimental studies have indicated that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may increase susceptibility to skin carcinogenesis as a result of exposure to UV light. Studies in rats at oral doses of 37.5 and 75 mg/kg/day, 5 days per week for 103 weeks increased incidence of adenomas and adenocarcinomas of the tubular epithelium of the kidneys, carcinoma or squamous cell carcinoma of the </w:t>
      </w:r>
      <w:proofErr w:type="spellStart"/>
      <w:r w:rsidRPr="008C6404">
        <w:rPr>
          <w:rFonts w:ascii="Arial" w:hAnsi="Arial" w:cs="Univers 55"/>
          <w:color w:val="211D1E"/>
        </w:rPr>
        <w:t>Zymbal</w:t>
      </w:r>
      <w:proofErr w:type="spellEnd"/>
      <w:r w:rsidRPr="008C6404">
        <w:rPr>
          <w:rFonts w:ascii="Arial" w:hAnsi="Arial" w:cs="Univers 55"/>
          <w:color w:val="211D1E"/>
        </w:rPr>
        <w:t xml:space="preserve"> gland</w:t>
      </w:r>
      <w:r>
        <w:rPr>
          <w:rFonts w:ascii="Arial" w:hAnsi="Arial" w:cs="Univers 55"/>
          <w:color w:val="211D1E"/>
        </w:rPr>
        <w:t>,</w:t>
      </w:r>
      <w:r w:rsidRPr="008C6404">
        <w:rPr>
          <w:rFonts w:ascii="Arial" w:hAnsi="Arial" w:cs="Univers 55"/>
          <w:color w:val="211D1E"/>
        </w:rPr>
        <w:t xml:space="preserve"> alveolar or bronchiolar adenomas</w:t>
      </w:r>
      <w:r>
        <w:rPr>
          <w:rFonts w:ascii="Arial" w:hAnsi="Arial" w:cs="Univers 55"/>
          <w:color w:val="211D1E"/>
        </w:rPr>
        <w:t>, and fibromas in subcutaneous tissue</w:t>
      </w:r>
      <w:r w:rsidRPr="008C6404">
        <w:rPr>
          <w:rFonts w:ascii="Arial" w:hAnsi="Arial" w:cs="Univers 55"/>
          <w:color w:val="211D1E"/>
        </w:rPr>
        <w:t xml:space="preserve">. </w:t>
      </w:r>
      <w:proofErr w:type="spellStart"/>
      <w:r w:rsidRPr="008C6404">
        <w:rPr>
          <w:rFonts w:ascii="Arial" w:hAnsi="Arial" w:cs="Univers 55"/>
          <w:color w:val="211D1E"/>
        </w:rPr>
        <w:t>Methoxsalen</w:t>
      </w:r>
      <w:proofErr w:type="spellEnd"/>
      <w:r w:rsidRPr="008C6404">
        <w:rPr>
          <w:rFonts w:ascii="Arial" w:hAnsi="Arial" w:cs="Univers 55"/>
          <w:color w:val="211D1E"/>
        </w:rPr>
        <w:t xml:space="preserve"> by topical and intraperitoneal administration is a photo-carcinogen in mice.</w:t>
      </w:r>
    </w:p>
    <w:p w14:paraId="7FFE46E8" w14:textId="77777777" w:rsidR="001A3992" w:rsidRPr="00614FA8" w:rsidRDefault="001A3992" w:rsidP="001A3992">
      <w:pPr>
        <w:pStyle w:val="Heading1"/>
        <w:spacing w:before="0" w:after="120"/>
        <w:rPr>
          <w:rFonts w:ascii="Arial" w:hAnsi="Arial" w:cs="Arial"/>
          <w:sz w:val="22"/>
          <w:szCs w:val="22"/>
          <w:lang w:val="en-US"/>
        </w:rPr>
      </w:pPr>
      <w:r w:rsidRPr="00614FA8">
        <w:rPr>
          <w:rFonts w:ascii="Arial" w:hAnsi="Arial" w:cs="Arial"/>
          <w:sz w:val="22"/>
          <w:szCs w:val="22"/>
          <w:lang w:val="en-US"/>
        </w:rPr>
        <w:t>Pharmaceutical particulars</w:t>
      </w:r>
    </w:p>
    <w:p w14:paraId="58F32DE9" w14:textId="6EFBEC2C" w:rsidR="005B2812" w:rsidRPr="00614FA8" w:rsidRDefault="00614FA8" w:rsidP="005B2812">
      <w:pPr>
        <w:pStyle w:val="Heading2"/>
        <w:spacing w:before="0" w:after="120"/>
        <w:rPr>
          <w:rFonts w:ascii="Arial" w:hAnsi="Arial" w:cs="Arial"/>
          <w:sz w:val="22"/>
          <w:lang w:val="en-US"/>
        </w:rPr>
      </w:pPr>
      <w:r w:rsidRPr="00614FA8">
        <w:rPr>
          <w:rFonts w:ascii="Arial" w:hAnsi="Arial" w:cs="Arial"/>
          <w:sz w:val="22"/>
          <w:lang w:val="en-US"/>
        </w:rPr>
        <w:t xml:space="preserve">LIST </w:t>
      </w:r>
      <w:r w:rsidR="00AC2048">
        <w:rPr>
          <w:rFonts w:ascii="Arial" w:hAnsi="Arial" w:cs="Arial"/>
          <w:sz w:val="22"/>
          <w:lang w:val="en-US"/>
        </w:rPr>
        <w:t>OF EXCIPIENTS</w:t>
      </w:r>
    </w:p>
    <w:p w14:paraId="043538C3" w14:textId="24D909C0" w:rsidR="00431E6A" w:rsidRPr="00CA213D" w:rsidRDefault="00431E6A"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UVADEX contains the following excipients: ethanol; propylene glycol; glacial acetic acid; sodium acetate </w:t>
      </w:r>
      <w:proofErr w:type="spellStart"/>
      <w:r w:rsidRPr="00CA213D">
        <w:rPr>
          <w:rFonts w:ascii="Arial" w:hAnsi="Arial" w:cs="Univers 55"/>
          <w:color w:val="211D1E"/>
        </w:rPr>
        <w:t>trihydrate</w:t>
      </w:r>
      <w:proofErr w:type="spellEnd"/>
      <w:r w:rsidRPr="00CA213D">
        <w:rPr>
          <w:rFonts w:ascii="Arial" w:hAnsi="Arial" w:cs="Univers 55"/>
          <w:color w:val="211D1E"/>
        </w:rPr>
        <w:t xml:space="preserve">; sodium chloride; sodium hydroxide; water for injections. </w:t>
      </w:r>
      <w:r w:rsidRPr="008C6404">
        <w:rPr>
          <w:rFonts w:ascii="Arial" w:hAnsi="Arial" w:cs="Univers 55"/>
          <w:color w:val="211D1E"/>
        </w:rPr>
        <w:t>The drug product formulation contains 4.1% w/v ethanol and each 1 mL of UVADEX contains 40.55 mg of ethanol.</w:t>
      </w:r>
    </w:p>
    <w:p w14:paraId="11EFCF70" w14:textId="5D5AF0FE" w:rsidR="005B2812" w:rsidRPr="00614FA8" w:rsidRDefault="00AC2048" w:rsidP="005B2812">
      <w:pPr>
        <w:pStyle w:val="Heading2"/>
        <w:keepNext/>
        <w:keepLines/>
        <w:spacing w:before="0" w:after="120"/>
        <w:rPr>
          <w:rFonts w:ascii="Arial" w:hAnsi="Arial" w:cs="Arial"/>
          <w:sz w:val="22"/>
          <w:lang w:val="en-US"/>
        </w:rPr>
      </w:pPr>
      <w:r>
        <w:rPr>
          <w:rFonts w:ascii="Arial" w:hAnsi="Arial" w:cs="Arial"/>
          <w:sz w:val="22"/>
          <w:lang w:val="en-US"/>
        </w:rPr>
        <w:t>INCOMPATIBILITIES</w:t>
      </w:r>
    </w:p>
    <w:p w14:paraId="37F5B8D4" w14:textId="451D9F3F" w:rsidR="005B2812" w:rsidRPr="00FA4178" w:rsidRDefault="00431E6A" w:rsidP="00CA213D">
      <w:pPr>
        <w:widowControl w:val="0"/>
        <w:autoSpaceDE w:val="0"/>
        <w:autoSpaceDN w:val="0"/>
        <w:adjustRightInd w:val="0"/>
        <w:spacing w:line="201" w:lineRule="atLeast"/>
        <w:jc w:val="both"/>
        <w:rPr>
          <w:rFonts w:ascii="Arial" w:hAnsi="Arial" w:cs="Univers 55"/>
        </w:rPr>
      </w:pPr>
      <w:r>
        <w:rPr>
          <w:rFonts w:ascii="Arial" w:hAnsi="Arial" w:cs="Univers 55"/>
          <w:color w:val="211D1E"/>
        </w:rPr>
        <w:t>O</w:t>
      </w:r>
      <w:r w:rsidRPr="008C6404">
        <w:rPr>
          <w:rFonts w:ascii="Arial" w:hAnsi="Arial" w:cs="Univers 55"/>
          <w:color w:val="211D1E"/>
        </w:rPr>
        <w:t xml:space="preserve">nly the </w:t>
      </w:r>
      <w:proofErr w:type="spellStart"/>
      <w:r w:rsidRPr="008C6404">
        <w:rPr>
          <w:rFonts w:ascii="Arial" w:hAnsi="Arial" w:cs="Univers 55"/>
          <w:color w:val="211D1E"/>
        </w:rPr>
        <w:t>photopheresis</w:t>
      </w:r>
      <w:proofErr w:type="spellEnd"/>
      <w:r w:rsidRPr="008C6404">
        <w:rPr>
          <w:rFonts w:ascii="Arial" w:hAnsi="Arial" w:cs="Univers 55"/>
          <w:color w:val="211D1E"/>
        </w:rPr>
        <w:t xml:space="preserve"> procedural kits supplied for use with the </w:t>
      </w:r>
      <w:r>
        <w:rPr>
          <w:rFonts w:ascii="Arial" w:hAnsi="Arial" w:cs="Univers 55"/>
          <w:color w:val="211D1E"/>
        </w:rPr>
        <w:t xml:space="preserve">THERAKOS CELLEX </w:t>
      </w:r>
      <w:proofErr w:type="spellStart"/>
      <w:r>
        <w:rPr>
          <w:rFonts w:ascii="Arial" w:hAnsi="Arial" w:cs="Univers 55"/>
          <w:color w:val="211D1E"/>
        </w:rPr>
        <w:t>Photopheresis</w:t>
      </w:r>
      <w:proofErr w:type="spellEnd"/>
      <w:r>
        <w:rPr>
          <w:rFonts w:ascii="Arial" w:hAnsi="Arial" w:cs="Univers 55"/>
          <w:color w:val="211D1E"/>
        </w:rPr>
        <w:t xml:space="preserve"> System</w:t>
      </w:r>
      <w:r w:rsidRPr="008C6404">
        <w:rPr>
          <w:rFonts w:ascii="Arial" w:hAnsi="Arial" w:cs="Univers 55"/>
          <w:color w:val="211D1E"/>
        </w:rPr>
        <w:t xml:space="preserve"> should be used to administer this medicinal </w:t>
      </w:r>
      <w:r w:rsidRPr="00FA4178">
        <w:rPr>
          <w:rFonts w:ascii="Arial" w:hAnsi="Arial" w:cs="Univers 55"/>
        </w:rPr>
        <w:t xml:space="preserve">product. </w:t>
      </w:r>
      <w:r w:rsidR="00520BA7" w:rsidRPr="00FA4178">
        <w:rPr>
          <w:rFonts w:ascii="Arial" w:hAnsi="Arial" w:cs="Arial"/>
          <w:lang w:val="en-US"/>
        </w:rPr>
        <w:t xml:space="preserve">In-vitro studies indicate that typical </w:t>
      </w:r>
      <w:r w:rsidRPr="00FA4178">
        <w:rPr>
          <w:rFonts w:ascii="Arial" w:hAnsi="Arial" w:cs="Univers 55"/>
        </w:rPr>
        <w:t xml:space="preserve">sorption of UVADEX by plastics in the instrument’s </w:t>
      </w:r>
      <w:proofErr w:type="spellStart"/>
      <w:r w:rsidRPr="00FA4178">
        <w:rPr>
          <w:rFonts w:ascii="Arial" w:hAnsi="Arial" w:cs="Univers 55"/>
        </w:rPr>
        <w:t>photopheresis</w:t>
      </w:r>
      <w:proofErr w:type="spellEnd"/>
      <w:r w:rsidRPr="00FA4178">
        <w:rPr>
          <w:rFonts w:ascii="Arial" w:hAnsi="Arial" w:cs="Univers 55"/>
        </w:rPr>
        <w:t xml:space="preserve"> </w:t>
      </w:r>
      <w:proofErr w:type="spellStart"/>
      <w:r w:rsidRPr="00FA4178">
        <w:rPr>
          <w:rFonts w:ascii="Arial" w:hAnsi="Arial" w:cs="Univers 55"/>
        </w:rPr>
        <w:t>photoactivation</w:t>
      </w:r>
      <w:proofErr w:type="spellEnd"/>
      <w:r w:rsidRPr="00FA4178">
        <w:rPr>
          <w:rFonts w:ascii="Arial" w:hAnsi="Arial" w:cs="Univers 55"/>
        </w:rPr>
        <w:t xml:space="preserve"> circuit during a </w:t>
      </w:r>
      <w:proofErr w:type="spellStart"/>
      <w:r w:rsidRPr="00FA4178">
        <w:rPr>
          <w:rFonts w:ascii="Arial" w:hAnsi="Arial" w:cs="Univers 55"/>
        </w:rPr>
        <w:t>photopheresis</w:t>
      </w:r>
      <w:proofErr w:type="spellEnd"/>
      <w:r w:rsidRPr="00FA4178">
        <w:rPr>
          <w:rFonts w:ascii="Arial" w:hAnsi="Arial" w:cs="Univers 55"/>
        </w:rPr>
        <w:t xml:space="preserve"> treatment is approximately 30%</w:t>
      </w:r>
      <w:r w:rsidR="00520BA7" w:rsidRPr="00FA4178">
        <w:rPr>
          <w:rFonts w:ascii="Arial" w:hAnsi="Arial" w:cs="Univers 55"/>
        </w:rPr>
        <w:t xml:space="preserve">; </w:t>
      </w:r>
      <w:r w:rsidR="00520BA7" w:rsidRPr="00FA4178">
        <w:rPr>
          <w:rFonts w:ascii="Arial" w:hAnsi="Arial" w:cs="Arial"/>
          <w:lang w:val="en-US"/>
        </w:rPr>
        <w:t>however, sorption is significantly reduced once the product is diluted with plasma/buffy coat in clinical practice, resulting in no clinical impact</w:t>
      </w:r>
      <w:r w:rsidRPr="00FA4178">
        <w:rPr>
          <w:rFonts w:ascii="Arial" w:hAnsi="Arial" w:cs="Univers 55"/>
        </w:rPr>
        <w:t>.</w:t>
      </w:r>
    </w:p>
    <w:p w14:paraId="68C07F3F" w14:textId="6408FDD7" w:rsidR="005B2812" w:rsidRPr="004407DC" w:rsidRDefault="004407DC" w:rsidP="005B2812">
      <w:pPr>
        <w:pStyle w:val="Heading2"/>
        <w:spacing w:before="0" w:after="120"/>
        <w:rPr>
          <w:rFonts w:ascii="Arial" w:hAnsi="Arial" w:cs="Arial"/>
          <w:sz w:val="22"/>
          <w:lang w:val="en-US"/>
        </w:rPr>
      </w:pPr>
      <w:r w:rsidRPr="004407DC">
        <w:rPr>
          <w:rFonts w:ascii="Arial" w:hAnsi="Arial" w:cs="Arial"/>
          <w:sz w:val="22"/>
          <w:lang w:val="en-US"/>
        </w:rPr>
        <w:t>SHELF LIFE</w:t>
      </w:r>
    </w:p>
    <w:p w14:paraId="3BDE72BF" w14:textId="61F3FC51" w:rsidR="005B2812" w:rsidRPr="00CA213D" w:rsidRDefault="005B2812"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In Australia, information on the shelf life can be found on the public summary of the Australian Register of Therapeutic Goods (ARTG). The expiry date can be found on the pac</w:t>
      </w:r>
      <w:r w:rsidR="00614FA8">
        <w:rPr>
          <w:rFonts w:ascii="Arial" w:hAnsi="Arial" w:cs="Univers 55"/>
          <w:color w:val="211D1E"/>
        </w:rPr>
        <w:t>kaging.</w:t>
      </w:r>
    </w:p>
    <w:p w14:paraId="5FE4E193" w14:textId="72D463A9" w:rsidR="005B2812" w:rsidRPr="00614FA8" w:rsidRDefault="00614FA8" w:rsidP="005B2812">
      <w:pPr>
        <w:pStyle w:val="Heading2"/>
        <w:keepNext/>
        <w:keepLines/>
        <w:spacing w:before="0" w:after="120"/>
        <w:rPr>
          <w:rFonts w:ascii="Arial" w:hAnsi="Arial" w:cs="Arial"/>
          <w:sz w:val="22"/>
          <w:lang w:val="en-US"/>
        </w:rPr>
      </w:pPr>
      <w:r w:rsidRPr="00614FA8">
        <w:rPr>
          <w:rFonts w:ascii="Arial" w:hAnsi="Arial" w:cs="Arial"/>
          <w:sz w:val="22"/>
          <w:lang w:val="en-US"/>
        </w:rPr>
        <w:t>SPECIAL PRECAUTIONS FOR STORAGE</w:t>
      </w:r>
    </w:p>
    <w:p w14:paraId="6AAEBC96" w14:textId="77777777" w:rsidR="000C6A0A" w:rsidRPr="00CA213D" w:rsidRDefault="000C6A0A"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Store below 25</w:t>
      </w:r>
      <w:r w:rsidRPr="00CA213D">
        <w:rPr>
          <w:rFonts w:ascii="Arial" w:hAnsi="Arial" w:cs="Univers 55"/>
          <w:color w:val="211D1E"/>
        </w:rPr>
        <w:sym w:font="Symbol" w:char="F0B0"/>
      </w:r>
      <w:r w:rsidRPr="00CA213D">
        <w:rPr>
          <w:rFonts w:ascii="Arial" w:hAnsi="Arial" w:cs="Univers 55"/>
          <w:color w:val="211D1E"/>
        </w:rPr>
        <w:t>C.</w:t>
      </w:r>
    </w:p>
    <w:p w14:paraId="4C85ADD1" w14:textId="5E0F5517" w:rsidR="005B2812" w:rsidRPr="00614FA8" w:rsidRDefault="00614FA8" w:rsidP="005B2812">
      <w:pPr>
        <w:pStyle w:val="Heading2"/>
        <w:spacing w:before="0" w:after="120"/>
        <w:rPr>
          <w:rFonts w:ascii="Arial" w:hAnsi="Arial" w:cs="Arial"/>
          <w:sz w:val="22"/>
          <w:lang w:val="en-US"/>
        </w:rPr>
      </w:pPr>
      <w:r w:rsidRPr="00614FA8">
        <w:rPr>
          <w:rFonts w:ascii="Arial" w:hAnsi="Arial" w:cs="Arial"/>
          <w:sz w:val="22"/>
          <w:lang w:val="en-US"/>
        </w:rPr>
        <w:lastRenderedPageBreak/>
        <w:t>NATURE AND CONTENTS OF CONTAINER</w:t>
      </w:r>
    </w:p>
    <w:p w14:paraId="3F6A1746" w14:textId="2774A9A6" w:rsidR="000C6A0A" w:rsidRDefault="000C6A0A"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UVADEX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200 microgram/10 mL concentrated injection for extracorporeal circulation via </w:t>
      </w:r>
      <w:proofErr w:type="spellStart"/>
      <w:r w:rsidRPr="00CA213D">
        <w:rPr>
          <w:rFonts w:ascii="Arial" w:hAnsi="Arial" w:cs="Univers 55"/>
          <w:color w:val="211D1E"/>
        </w:rPr>
        <w:t>photopheresis</w:t>
      </w:r>
      <w:proofErr w:type="spellEnd"/>
      <w:r w:rsidRPr="00CA213D">
        <w:rPr>
          <w:rFonts w:ascii="Arial" w:hAnsi="Arial" w:cs="Univers 55"/>
          <w:color w:val="211D1E"/>
        </w:rPr>
        <w:t xml:space="preserve"> contains 200 </w:t>
      </w:r>
      <w:proofErr w:type="gramStart"/>
      <w:r w:rsidRPr="00CA213D">
        <w:rPr>
          <w:rFonts w:ascii="Arial" w:hAnsi="Arial" w:cs="Univers 55"/>
          <w:color w:val="211D1E"/>
        </w:rPr>
        <w:t>microgram</w:t>
      </w:r>
      <w:proofErr w:type="gramEnd"/>
      <w:r w:rsidRPr="00CA213D">
        <w:rPr>
          <w:rFonts w:ascii="Arial" w:hAnsi="Arial" w:cs="Univers 55"/>
          <w:color w:val="211D1E"/>
        </w:rPr>
        <w:t xml:space="preserve"> of </w:t>
      </w:r>
      <w:proofErr w:type="spellStart"/>
      <w:r w:rsidRPr="00CA213D">
        <w:rPr>
          <w:rFonts w:ascii="Arial" w:hAnsi="Arial" w:cs="Univers 55"/>
          <w:color w:val="211D1E"/>
        </w:rPr>
        <w:t>met</w:t>
      </w:r>
      <w:r w:rsidR="00614FA8">
        <w:rPr>
          <w:rFonts w:ascii="Arial" w:hAnsi="Arial" w:cs="Univers 55"/>
          <w:color w:val="211D1E"/>
        </w:rPr>
        <w:t>hoxsalen</w:t>
      </w:r>
      <w:proofErr w:type="spellEnd"/>
      <w:r w:rsidR="00614FA8">
        <w:rPr>
          <w:rFonts w:ascii="Arial" w:hAnsi="Arial" w:cs="Univers 55"/>
          <w:color w:val="211D1E"/>
        </w:rPr>
        <w:t xml:space="preserve"> (or 20 microgram per 1 </w:t>
      </w:r>
      <w:r w:rsidRPr="00CA213D">
        <w:rPr>
          <w:rFonts w:ascii="Arial" w:hAnsi="Arial" w:cs="Univers 55"/>
          <w:color w:val="211D1E"/>
        </w:rPr>
        <w:t xml:space="preserve">mL) and is available in single-use, </w:t>
      </w:r>
      <w:r w:rsidRPr="008C6404">
        <w:rPr>
          <w:rFonts w:ascii="Arial" w:hAnsi="Arial" w:cs="Univers 55"/>
          <w:color w:val="211D1E"/>
        </w:rPr>
        <w:t>amber glass Type 1 vials in a pack size of 12 x 10 mL vials.</w:t>
      </w:r>
    </w:p>
    <w:p w14:paraId="2DC329C2" w14:textId="1A57C162" w:rsidR="005B2812" w:rsidRPr="00614FA8" w:rsidRDefault="00614FA8" w:rsidP="00614FA8">
      <w:pPr>
        <w:pStyle w:val="Heading2"/>
        <w:spacing w:before="0" w:after="120"/>
        <w:ind w:left="578" w:hanging="578"/>
        <w:rPr>
          <w:rFonts w:ascii="Arial" w:hAnsi="Arial" w:cs="Arial"/>
          <w:sz w:val="22"/>
          <w:lang w:val="en-US"/>
        </w:rPr>
      </w:pPr>
      <w:r w:rsidRPr="00614FA8">
        <w:rPr>
          <w:rFonts w:ascii="Arial" w:hAnsi="Arial" w:cs="Arial"/>
          <w:sz w:val="22"/>
          <w:lang w:val="en-US"/>
        </w:rPr>
        <w:t>SP</w:t>
      </w:r>
      <w:r>
        <w:rPr>
          <w:rFonts w:ascii="Arial" w:hAnsi="Arial" w:cs="Arial"/>
          <w:sz w:val="22"/>
          <w:lang w:val="en-US"/>
        </w:rPr>
        <w:t>ECIAL PRECAUTIONS FOR DISPOSAL</w:t>
      </w:r>
    </w:p>
    <w:p w14:paraId="3325D583" w14:textId="1C4C0E78" w:rsidR="00CE23F5" w:rsidRPr="00CA213D" w:rsidRDefault="0021200F"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In Australia, any unused medicine or waste material should be disposed of by</w:t>
      </w:r>
      <w:r w:rsidR="00CA213D">
        <w:rPr>
          <w:rFonts w:ascii="Arial" w:hAnsi="Arial" w:cs="Univers 55"/>
          <w:color w:val="211D1E"/>
        </w:rPr>
        <w:t xml:space="preserve"> taking to your local pharmacy.</w:t>
      </w:r>
    </w:p>
    <w:p w14:paraId="4D7CDADB" w14:textId="1B6338FC" w:rsidR="001A3992" w:rsidRPr="00614FA8" w:rsidRDefault="00614FA8" w:rsidP="001A3992">
      <w:pPr>
        <w:pStyle w:val="Heading2"/>
        <w:spacing w:before="0" w:after="120"/>
        <w:rPr>
          <w:rFonts w:ascii="Arial" w:hAnsi="Arial" w:cs="Arial"/>
          <w:sz w:val="22"/>
          <w:lang w:val="en-US"/>
        </w:rPr>
      </w:pPr>
      <w:r w:rsidRPr="00614FA8">
        <w:rPr>
          <w:rFonts w:ascii="Arial" w:hAnsi="Arial" w:cs="Arial"/>
          <w:sz w:val="22"/>
          <w:lang w:val="en-US"/>
        </w:rPr>
        <w:t>PHYSICOCHEMICAL PROPERTIES</w:t>
      </w:r>
    </w:p>
    <w:p w14:paraId="49E4DC59" w14:textId="77777777" w:rsidR="001A3992" w:rsidRDefault="001A3992" w:rsidP="00614FA8">
      <w:pPr>
        <w:pStyle w:val="Heading3"/>
        <w:spacing w:before="0" w:after="120"/>
        <w:rPr>
          <w:rFonts w:cs="Arial"/>
          <w:lang w:val="en-US"/>
        </w:rPr>
      </w:pPr>
      <w:r w:rsidRPr="007313E5">
        <w:rPr>
          <w:rFonts w:cs="Arial"/>
          <w:lang w:val="en-US"/>
        </w:rPr>
        <w:t>Chemical structure</w:t>
      </w:r>
    </w:p>
    <w:p w14:paraId="773AE57D" w14:textId="77777777" w:rsidR="00CE23F5" w:rsidRPr="00CA213D" w:rsidRDefault="00CE23F5"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 xml:space="preserve">The chemical name of </w:t>
      </w:r>
      <w:proofErr w:type="spellStart"/>
      <w:r w:rsidRPr="00CA213D">
        <w:rPr>
          <w:rFonts w:ascii="Arial" w:hAnsi="Arial" w:cs="Univers 55"/>
          <w:color w:val="211D1E"/>
        </w:rPr>
        <w:t>methoxsalen</w:t>
      </w:r>
      <w:proofErr w:type="spellEnd"/>
      <w:r w:rsidRPr="00CA213D">
        <w:rPr>
          <w:rFonts w:ascii="Arial" w:hAnsi="Arial" w:cs="Univers 55"/>
          <w:color w:val="211D1E"/>
        </w:rPr>
        <w:t xml:space="preserve"> is 9-methoxy-7</w:t>
      </w:r>
      <w:r w:rsidRPr="00614FA8">
        <w:rPr>
          <w:rFonts w:ascii="Arial" w:hAnsi="Arial" w:cs="Univers 55"/>
          <w:i/>
          <w:color w:val="211D1E"/>
        </w:rPr>
        <w:t>H</w:t>
      </w:r>
      <w:r w:rsidRPr="00CA213D">
        <w:rPr>
          <w:rFonts w:ascii="Arial" w:hAnsi="Arial" w:cs="Univers 55"/>
          <w:color w:val="211D1E"/>
        </w:rPr>
        <w:t>-furo[3,2-</w:t>
      </w:r>
      <w:proofErr w:type="gramStart"/>
      <w:r w:rsidRPr="00CA213D">
        <w:rPr>
          <w:rFonts w:ascii="Arial" w:hAnsi="Arial" w:cs="Univers 55"/>
          <w:color w:val="211D1E"/>
        </w:rPr>
        <w:t>g][</w:t>
      </w:r>
      <w:proofErr w:type="gramEnd"/>
      <w:r w:rsidRPr="00CA213D">
        <w:rPr>
          <w:rFonts w:ascii="Arial" w:hAnsi="Arial" w:cs="Univers 55"/>
          <w:color w:val="211D1E"/>
        </w:rPr>
        <w:t>1]-benzopyran-7-one; it has the following structure:</w:t>
      </w:r>
    </w:p>
    <w:p w14:paraId="1C3831C1" w14:textId="77777777" w:rsidR="00CE23F5" w:rsidRPr="008C6404" w:rsidRDefault="00CE23F5" w:rsidP="00CE23F5">
      <w:pPr>
        <w:widowControl w:val="0"/>
        <w:autoSpaceDE w:val="0"/>
        <w:autoSpaceDN w:val="0"/>
        <w:adjustRightInd w:val="0"/>
        <w:rPr>
          <w:rFonts w:ascii="Arial" w:hAnsi="Arial" w:cs="Univers-Condensed"/>
          <w:szCs w:val="10"/>
        </w:rPr>
      </w:pPr>
      <w:r w:rsidRPr="008C6404">
        <w:rPr>
          <w:rFonts w:ascii="Arial" w:hAnsi="Arial" w:cs="Univers-Condensed"/>
          <w:noProof/>
          <w:szCs w:val="10"/>
          <w:lang w:eastAsia="en-AU"/>
        </w:rPr>
        <w:drawing>
          <wp:inline distT="0" distB="0" distL="0" distR="0" wp14:anchorId="3DA35D84" wp14:editId="3F476493">
            <wp:extent cx="2402840" cy="1392555"/>
            <wp:effectExtent l="0" t="0" r="10160" b="4445"/>
            <wp:docPr id="2" name="Picture 2" descr="mfcd00005009-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cd00005009-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2840" cy="1392555"/>
                    </a:xfrm>
                    <a:prstGeom prst="rect">
                      <a:avLst/>
                    </a:prstGeom>
                    <a:noFill/>
                    <a:ln>
                      <a:noFill/>
                    </a:ln>
                  </pic:spPr>
                </pic:pic>
              </a:graphicData>
            </a:graphic>
          </wp:inline>
        </w:drawing>
      </w:r>
    </w:p>
    <w:p w14:paraId="5B7DBF23" w14:textId="77777777" w:rsidR="00CE23F5" w:rsidRPr="008C6404" w:rsidRDefault="00CE23F5" w:rsidP="00CE23F5">
      <w:pPr>
        <w:widowControl w:val="0"/>
        <w:autoSpaceDE w:val="0"/>
        <w:autoSpaceDN w:val="0"/>
        <w:adjustRightInd w:val="0"/>
        <w:rPr>
          <w:rFonts w:ascii="Arial" w:hAnsi="Arial" w:cs="Univers-Condensed"/>
          <w:szCs w:val="10"/>
        </w:rPr>
      </w:pPr>
      <w:r w:rsidRPr="008C6404">
        <w:rPr>
          <w:rFonts w:ascii="Arial" w:hAnsi="Arial" w:cs="Univers-Condensed"/>
          <w:szCs w:val="10"/>
        </w:rPr>
        <w:t>Molecular formula: C</w:t>
      </w:r>
      <w:r w:rsidRPr="008C6404">
        <w:rPr>
          <w:rFonts w:ascii="Arial" w:hAnsi="Arial" w:cs="Univers-Condensed"/>
          <w:szCs w:val="10"/>
          <w:vertAlign w:val="subscript"/>
        </w:rPr>
        <w:t>12</w:t>
      </w:r>
      <w:r w:rsidRPr="008C6404">
        <w:rPr>
          <w:rFonts w:ascii="Arial" w:hAnsi="Arial" w:cs="Univers-Condensed"/>
          <w:szCs w:val="10"/>
        </w:rPr>
        <w:t>H</w:t>
      </w:r>
      <w:r w:rsidRPr="008C6404">
        <w:rPr>
          <w:rFonts w:ascii="Arial" w:hAnsi="Arial" w:cs="Univers-Condensed"/>
          <w:szCs w:val="10"/>
          <w:vertAlign w:val="subscript"/>
        </w:rPr>
        <w:t>8</w:t>
      </w:r>
      <w:r w:rsidRPr="008C6404">
        <w:rPr>
          <w:rFonts w:ascii="Arial" w:hAnsi="Arial" w:cs="Univers-Condensed"/>
          <w:szCs w:val="10"/>
        </w:rPr>
        <w:t>O</w:t>
      </w:r>
      <w:r w:rsidRPr="008C6404">
        <w:rPr>
          <w:rFonts w:ascii="Arial" w:hAnsi="Arial" w:cs="Univers-Condensed"/>
          <w:szCs w:val="10"/>
          <w:vertAlign w:val="subscript"/>
        </w:rPr>
        <w:t xml:space="preserve">4 </w:t>
      </w:r>
      <w:r w:rsidRPr="008C6404">
        <w:rPr>
          <w:rFonts w:ascii="Arial" w:hAnsi="Arial" w:cs="Univers-Condensed"/>
          <w:szCs w:val="10"/>
        </w:rPr>
        <w:t xml:space="preserve">  CAS No: 298-81-7</w:t>
      </w:r>
    </w:p>
    <w:p w14:paraId="021A836D" w14:textId="77777777" w:rsidR="00CE23F5" w:rsidRPr="00CA213D" w:rsidRDefault="00CE23F5" w:rsidP="00CA213D">
      <w:pPr>
        <w:widowControl w:val="0"/>
        <w:autoSpaceDE w:val="0"/>
        <w:autoSpaceDN w:val="0"/>
        <w:adjustRightInd w:val="0"/>
        <w:spacing w:line="201" w:lineRule="atLeast"/>
        <w:jc w:val="both"/>
        <w:rPr>
          <w:rFonts w:ascii="Arial" w:hAnsi="Arial" w:cs="Univers 55"/>
          <w:color w:val="211D1E"/>
        </w:rPr>
      </w:pPr>
      <w:proofErr w:type="spellStart"/>
      <w:r w:rsidRPr="00CA213D">
        <w:rPr>
          <w:rFonts w:ascii="Arial" w:hAnsi="Arial" w:cs="Univers 55"/>
          <w:color w:val="211D1E"/>
        </w:rPr>
        <w:t>Pharmacotherapeutic</w:t>
      </w:r>
      <w:proofErr w:type="spellEnd"/>
      <w:r w:rsidRPr="00CA213D">
        <w:rPr>
          <w:rFonts w:ascii="Arial" w:hAnsi="Arial" w:cs="Univers 55"/>
          <w:color w:val="211D1E"/>
        </w:rPr>
        <w:t xml:space="preserve"> group: Antineoplastic and </w:t>
      </w:r>
      <w:proofErr w:type="spellStart"/>
      <w:r w:rsidRPr="00CA213D">
        <w:rPr>
          <w:rFonts w:ascii="Arial" w:hAnsi="Arial" w:cs="Univers 55"/>
          <w:color w:val="211D1E"/>
        </w:rPr>
        <w:t>Immunomodulating</w:t>
      </w:r>
      <w:proofErr w:type="spellEnd"/>
      <w:r w:rsidRPr="00CA213D">
        <w:rPr>
          <w:rFonts w:ascii="Arial" w:hAnsi="Arial" w:cs="Univers 55"/>
          <w:color w:val="211D1E"/>
        </w:rPr>
        <w:t xml:space="preserve"> Agents</w:t>
      </w:r>
    </w:p>
    <w:p w14:paraId="4E309AAE" w14:textId="77777777" w:rsidR="00CE23F5" w:rsidRPr="00CA213D" w:rsidRDefault="00CE23F5"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ATC Code: LO3AX</w:t>
      </w:r>
    </w:p>
    <w:p w14:paraId="698F91AA" w14:textId="77777777" w:rsidR="001A3992" w:rsidRDefault="001A3992" w:rsidP="00614FA8">
      <w:pPr>
        <w:pStyle w:val="Heading3"/>
        <w:spacing w:before="0" w:after="120"/>
        <w:rPr>
          <w:rFonts w:cs="Arial"/>
          <w:lang w:val="en-US"/>
        </w:rPr>
      </w:pPr>
      <w:r w:rsidRPr="007313E5">
        <w:rPr>
          <w:rFonts w:cs="Arial"/>
          <w:lang w:val="en-US"/>
        </w:rPr>
        <w:t>CAS number</w:t>
      </w:r>
    </w:p>
    <w:p w14:paraId="43D41DAB" w14:textId="77777777" w:rsidR="00CE23F5" w:rsidRPr="00CA213D" w:rsidRDefault="00CE23F5"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298-81-7</w:t>
      </w:r>
    </w:p>
    <w:p w14:paraId="2D997795" w14:textId="77777777" w:rsidR="001A3992" w:rsidRPr="00614FA8" w:rsidRDefault="001A3992" w:rsidP="001A3992">
      <w:pPr>
        <w:pStyle w:val="Heading1"/>
        <w:spacing w:before="0" w:after="120"/>
        <w:rPr>
          <w:rFonts w:ascii="Arial" w:hAnsi="Arial" w:cs="Arial"/>
          <w:sz w:val="22"/>
          <w:szCs w:val="22"/>
          <w:lang w:val="en-US"/>
        </w:rPr>
      </w:pPr>
      <w:r w:rsidRPr="00614FA8">
        <w:rPr>
          <w:rFonts w:ascii="Arial" w:hAnsi="Arial" w:cs="Arial"/>
          <w:sz w:val="22"/>
          <w:szCs w:val="22"/>
          <w:lang w:val="en-US"/>
        </w:rPr>
        <w:t>Medicine schedule (Poisons Standard)</w:t>
      </w:r>
    </w:p>
    <w:p w14:paraId="738D5542" w14:textId="77777777" w:rsidR="00CE23F5" w:rsidRPr="00CA213D" w:rsidRDefault="00CE23F5" w:rsidP="00CA213D">
      <w:pPr>
        <w:widowControl w:val="0"/>
        <w:autoSpaceDE w:val="0"/>
        <w:autoSpaceDN w:val="0"/>
        <w:adjustRightInd w:val="0"/>
        <w:spacing w:line="201" w:lineRule="atLeast"/>
        <w:jc w:val="both"/>
        <w:rPr>
          <w:rFonts w:ascii="Arial" w:hAnsi="Arial" w:cs="Univers 55"/>
          <w:color w:val="211D1E"/>
        </w:rPr>
      </w:pPr>
      <w:r w:rsidRPr="00CA213D">
        <w:rPr>
          <w:rFonts w:ascii="Arial" w:hAnsi="Arial" w:cs="Univers 55"/>
          <w:color w:val="211D1E"/>
        </w:rPr>
        <w:t>Schedule 4 – Prescription only medicine</w:t>
      </w:r>
    </w:p>
    <w:p w14:paraId="550C466C" w14:textId="77777777" w:rsidR="00285173" w:rsidRPr="00614FA8" w:rsidRDefault="001A3992" w:rsidP="00285173">
      <w:pPr>
        <w:pStyle w:val="Heading1"/>
        <w:spacing w:before="0" w:after="120"/>
        <w:rPr>
          <w:rFonts w:ascii="Arial" w:hAnsi="Arial" w:cs="Arial"/>
          <w:sz w:val="22"/>
          <w:szCs w:val="22"/>
          <w:lang w:val="en-US"/>
        </w:rPr>
      </w:pPr>
      <w:r w:rsidRPr="00614FA8">
        <w:rPr>
          <w:rFonts w:ascii="Arial" w:hAnsi="Arial" w:cs="Arial"/>
          <w:sz w:val="22"/>
          <w:szCs w:val="22"/>
          <w:lang w:val="en-US"/>
        </w:rPr>
        <w:t>Sponsor</w:t>
      </w:r>
    </w:p>
    <w:p w14:paraId="52F682FC" w14:textId="77777777" w:rsidR="00CE23F5" w:rsidRPr="00CA213D" w:rsidRDefault="00CE23F5" w:rsidP="00CA213D">
      <w:pPr>
        <w:widowControl w:val="0"/>
        <w:autoSpaceDE w:val="0"/>
        <w:autoSpaceDN w:val="0"/>
        <w:adjustRightInd w:val="0"/>
        <w:spacing w:after="0" w:line="240" w:lineRule="auto"/>
        <w:jc w:val="both"/>
        <w:rPr>
          <w:rFonts w:ascii="Arial" w:hAnsi="Arial" w:cs="Univers 55"/>
          <w:color w:val="211D1E"/>
        </w:rPr>
      </w:pPr>
      <w:r w:rsidRPr="00CA213D">
        <w:rPr>
          <w:rFonts w:ascii="Arial" w:hAnsi="Arial" w:cs="Univers 55"/>
          <w:color w:val="211D1E"/>
        </w:rPr>
        <w:t>Terumo BCT Australia Pty Ltd</w:t>
      </w:r>
    </w:p>
    <w:p w14:paraId="560BF103" w14:textId="77777777" w:rsidR="00CE23F5" w:rsidRPr="00CA213D" w:rsidRDefault="00CE23F5" w:rsidP="00CA213D">
      <w:pPr>
        <w:widowControl w:val="0"/>
        <w:autoSpaceDE w:val="0"/>
        <w:autoSpaceDN w:val="0"/>
        <w:adjustRightInd w:val="0"/>
        <w:spacing w:after="0" w:line="240" w:lineRule="auto"/>
        <w:jc w:val="both"/>
        <w:rPr>
          <w:rFonts w:ascii="Arial" w:hAnsi="Arial" w:cs="Univers 55"/>
          <w:color w:val="211D1E"/>
        </w:rPr>
      </w:pPr>
      <w:r w:rsidRPr="00CA213D">
        <w:rPr>
          <w:rFonts w:ascii="Arial" w:hAnsi="Arial" w:cs="Univers 55"/>
          <w:color w:val="211D1E"/>
        </w:rPr>
        <w:t>PO Box 1424, Lane Cove NSW 1595</w:t>
      </w:r>
    </w:p>
    <w:p w14:paraId="2329D669" w14:textId="77777777" w:rsidR="00CE23F5" w:rsidRPr="00CA213D" w:rsidRDefault="00CE23F5" w:rsidP="00CA213D">
      <w:pPr>
        <w:widowControl w:val="0"/>
        <w:autoSpaceDE w:val="0"/>
        <w:autoSpaceDN w:val="0"/>
        <w:adjustRightInd w:val="0"/>
        <w:spacing w:after="0" w:line="240" w:lineRule="auto"/>
        <w:jc w:val="both"/>
        <w:rPr>
          <w:rFonts w:ascii="Arial" w:hAnsi="Arial" w:cs="Univers 55"/>
          <w:color w:val="211D1E"/>
        </w:rPr>
      </w:pPr>
      <w:r w:rsidRPr="00CA213D">
        <w:rPr>
          <w:rFonts w:ascii="Arial" w:hAnsi="Arial" w:cs="Univers 55"/>
          <w:color w:val="211D1E"/>
        </w:rPr>
        <w:t>Phone: 1800 837 866 or 02 9878 5122</w:t>
      </w:r>
    </w:p>
    <w:p w14:paraId="55E1D5ED" w14:textId="77777777" w:rsidR="00CA213D" w:rsidRDefault="00CA213D" w:rsidP="00CA213D">
      <w:pPr>
        <w:spacing w:after="0" w:line="240" w:lineRule="auto"/>
        <w:jc w:val="both"/>
        <w:rPr>
          <w:rFonts w:ascii="Arial" w:hAnsi="Arial"/>
        </w:rPr>
      </w:pPr>
    </w:p>
    <w:p w14:paraId="5739EDE1" w14:textId="04052ED2" w:rsidR="00CE23F5" w:rsidRPr="008C6404" w:rsidRDefault="00CE23F5" w:rsidP="00CA213D">
      <w:pPr>
        <w:spacing w:after="100" w:afterAutospacing="1" w:line="240" w:lineRule="auto"/>
        <w:jc w:val="both"/>
        <w:rPr>
          <w:rFonts w:ascii="Arial" w:hAnsi="Arial"/>
        </w:rPr>
      </w:pPr>
      <w:r w:rsidRPr="00710851">
        <w:rPr>
          <w:rFonts w:ascii="Arial" w:hAnsi="Arial"/>
        </w:rPr>
        <w:t>www.terumo.com</w:t>
      </w:r>
    </w:p>
    <w:p w14:paraId="796671A8" w14:textId="77777777" w:rsidR="00285173" w:rsidRPr="00614FA8" w:rsidRDefault="00285173" w:rsidP="00285173">
      <w:pPr>
        <w:pStyle w:val="Heading1"/>
        <w:spacing w:before="0" w:after="120"/>
        <w:rPr>
          <w:rFonts w:ascii="Arial" w:hAnsi="Arial" w:cs="Arial"/>
          <w:sz w:val="22"/>
          <w:szCs w:val="22"/>
          <w:lang w:val="en-US"/>
        </w:rPr>
      </w:pPr>
      <w:r w:rsidRPr="00614FA8">
        <w:rPr>
          <w:rFonts w:ascii="Arial" w:hAnsi="Arial" w:cs="Arial"/>
          <w:sz w:val="22"/>
          <w:szCs w:val="22"/>
          <w:lang w:val="en-US"/>
        </w:rPr>
        <w:t xml:space="preserve">Date of first </w:t>
      </w:r>
      <w:r w:rsidR="00CE23F5" w:rsidRPr="00614FA8">
        <w:rPr>
          <w:rFonts w:ascii="Arial" w:hAnsi="Arial" w:cs="Arial"/>
          <w:sz w:val="22"/>
          <w:szCs w:val="22"/>
          <w:lang w:val="en-US"/>
        </w:rPr>
        <w:t>approval</w:t>
      </w:r>
    </w:p>
    <w:p w14:paraId="6A2335BC" w14:textId="1ABD6A10" w:rsidR="00CE23F5" w:rsidRPr="00CA213D" w:rsidRDefault="00BF23FE" w:rsidP="00CA213D">
      <w:pPr>
        <w:widowControl w:val="0"/>
        <w:autoSpaceDE w:val="0"/>
        <w:autoSpaceDN w:val="0"/>
        <w:adjustRightInd w:val="0"/>
        <w:spacing w:line="201" w:lineRule="atLeast"/>
        <w:jc w:val="both"/>
        <w:rPr>
          <w:rFonts w:ascii="Arial" w:hAnsi="Arial" w:cs="Univers 55"/>
          <w:color w:val="211D1E"/>
        </w:rPr>
      </w:pPr>
      <w:r>
        <w:rPr>
          <w:rFonts w:ascii="Arial" w:hAnsi="Arial" w:cs="Univers 55"/>
          <w:color w:val="211D1E"/>
        </w:rPr>
        <w:t>16 September 2019</w:t>
      </w:r>
    </w:p>
    <w:p w14:paraId="63D1694D" w14:textId="6600458E" w:rsidR="00285173" w:rsidRPr="00614FA8" w:rsidRDefault="004407DC" w:rsidP="00285173">
      <w:pPr>
        <w:pStyle w:val="Heading1"/>
        <w:spacing w:before="0" w:after="120"/>
        <w:rPr>
          <w:rFonts w:ascii="Arial" w:hAnsi="Arial" w:cs="Arial"/>
          <w:sz w:val="22"/>
          <w:szCs w:val="22"/>
          <w:lang w:val="en-US"/>
        </w:rPr>
      </w:pPr>
      <w:r>
        <w:rPr>
          <w:rFonts w:ascii="Arial" w:hAnsi="Arial" w:cs="Arial"/>
          <w:sz w:val="22"/>
          <w:szCs w:val="22"/>
          <w:lang w:val="en-US"/>
        </w:rPr>
        <w:lastRenderedPageBreak/>
        <w:t>Date of revision</w:t>
      </w:r>
    </w:p>
    <w:p w14:paraId="2320B4D9" w14:textId="77777777" w:rsidR="001C1B9A" w:rsidRPr="00833BD9" w:rsidRDefault="001C1B9A" w:rsidP="001C1B9A">
      <w:pPr>
        <w:pStyle w:val="Heading2"/>
        <w:numPr>
          <w:ilvl w:val="0"/>
          <w:numId w:val="0"/>
        </w:numPr>
        <w:spacing w:before="0" w:after="120"/>
        <w:rPr>
          <w:rFonts w:ascii="Arial" w:hAnsi="Arial" w:cs="Arial"/>
          <w:sz w:val="22"/>
          <w:lang w:val="en-US"/>
        </w:rPr>
      </w:pPr>
      <w:r w:rsidRPr="00833BD9">
        <w:rPr>
          <w:rFonts w:ascii="Arial" w:hAnsi="Arial" w:cs="Arial"/>
          <w:sz w:val="22"/>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1C1B9A" w:rsidRPr="00833BD9" w14:paraId="0566498E" w14:textId="77777777" w:rsidTr="00C71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38C6AE5E" w14:textId="77777777" w:rsidR="001C1B9A" w:rsidRPr="00833BD9" w:rsidRDefault="001C1B9A" w:rsidP="00C7125F">
            <w:pPr>
              <w:rPr>
                <w:rFonts w:ascii="Arial" w:hAnsi="Arial" w:cs="Arial"/>
                <w:sz w:val="20"/>
                <w:lang w:val="en-US"/>
              </w:rPr>
            </w:pPr>
            <w:r w:rsidRPr="00833BD9">
              <w:rPr>
                <w:rFonts w:ascii="Arial" w:hAnsi="Arial" w:cs="Arial"/>
                <w:sz w:val="20"/>
                <w:lang w:val="en-US"/>
              </w:rPr>
              <w:t>Section Changed</w:t>
            </w:r>
          </w:p>
        </w:tc>
        <w:tc>
          <w:tcPr>
            <w:tcW w:w="7858" w:type="dxa"/>
            <w:shd w:val="clear" w:color="auto" w:fill="F2F2F2" w:themeFill="background1" w:themeFillShade="F2"/>
            <w:vAlign w:val="center"/>
          </w:tcPr>
          <w:p w14:paraId="391C1534" w14:textId="77777777" w:rsidR="001C1B9A" w:rsidRPr="00833BD9" w:rsidRDefault="001C1B9A" w:rsidP="00C7125F">
            <w:pPr>
              <w:cnfStyle w:val="100000000000" w:firstRow="1" w:lastRow="0" w:firstColumn="0" w:lastColumn="0" w:oddVBand="0" w:evenVBand="0" w:oddHBand="0" w:evenHBand="0" w:firstRowFirstColumn="0" w:firstRowLastColumn="0" w:lastRowFirstColumn="0" w:lastRowLastColumn="0"/>
              <w:rPr>
                <w:rFonts w:ascii="Arial" w:hAnsi="Arial" w:cs="Arial"/>
                <w:sz w:val="20"/>
                <w:lang w:val="en-US"/>
              </w:rPr>
            </w:pPr>
            <w:r w:rsidRPr="00833BD9">
              <w:rPr>
                <w:rFonts w:ascii="Arial" w:hAnsi="Arial" w:cs="Arial"/>
                <w:sz w:val="20"/>
                <w:lang w:val="en-US"/>
              </w:rPr>
              <w:t>Summary of new information</w:t>
            </w:r>
          </w:p>
        </w:tc>
      </w:tr>
      <w:tr w:rsidR="001C1B9A" w:rsidRPr="00833BD9" w14:paraId="3CFBAA98" w14:textId="77777777" w:rsidTr="00C7125F">
        <w:tc>
          <w:tcPr>
            <w:cnfStyle w:val="001000000000" w:firstRow="0" w:lastRow="0" w:firstColumn="1" w:lastColumn="0" w:oddVBand="0" w:evenVBand="0" w:oddHBand="0" w:evenHBand="0" w:firstRowFirstColumn="0" w:firstRowLastColumn="0" w:lastRowFirstColumn="0" w:lastRowLastColumn="0"/>
            <w:tcW w:w="1384" w:type="dxa"/>
            <w:vAlign w:val="center"/>
          </w:tcPr>
          <w:p w14:paraId="40208203" w14:textId="77777777" w:rsidR="001C1B9A" w:rsidRPr="00833BD9" w:rsidRDefault="001C1B9A" w:rsidP="00C7125F">
            <w:pPr>
              <w:rPr>
                <w:rFonts w:ascii="Arial" w:hAnsi="Arial" w:cs="Arial"/>
                <w:lang w:val="en-US"/>
              </w:rPr>
            </w:pPr>
          </w:p>
        </w:tc>
        <w:tc>
          <w:tcPr>
            <w:tcW w:w="7858" w:type="dxa"/>
            <w:vAlign w:val="center"/>
          </w:tcPr>
          <w:p w14:paraId="3A28741F" w14:textId="77777777" w:rsidR="001C1B9A" w:rsidRPr="00833BD9" w:rsidRDefault="001C1B9A" w:rsidP="00C7125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1C1B9A" w:rsidRPr="00833BD9" w14:paraId="0EC10F63" w14:textId="77777777" w:rsidTr="00C7125F">
        <w:tc>
          <w:tcPr>
            <w:cnfStyle w:val="001000000000" w:firstRow="0" w:lastRow="0" w:firstColumn="1" w:lastColumn="0" w:oddVBand="0" w:evenVBand="0" w:oddHBand="0" w:evenHBand="0" w:firstRowFirstColumn="0" w:firstRowLastColumn="0" w:lastRowFirstColumn="0" w:lastRowLastColumn="0"/>
            <w:tcW w:w="1384" w:type="dxa"/>
            <w:vAlign w:val="center"/>
          </w:tcPr>
          <w:p w14:paraId="1DCC6130" w14:textId="77777777" w:rsidR="001C1B9A" w:rsidRPr="00833BD9" w:rsidRDefault="001C1B9A" w:rsidP="00C7125F">
            <w:pPr>
              <w:rPr>
                <w:rFonts w:ascii="Arial" w:hAnsi="Arial" w:cs="Arial"/>
                <w:lang w:val="en-US"/>
              </w:rPr>
            </w:pPr>
          </w:p>
        </w:tc>
        <w:tc>
          <w:tcPr>
            <w:tcW w:w="7858" w:type="dxa"/>
            <w:vAlign w:val="center"/>
          </w:tcPr>
          <w:p w14:paraId="44B92B5B" w14:textId="77777777" w:rsidR="001C1B9A" w:rsidRPr="00833BD9" w:rsidRDefault="001C1B9A" w:rsidP="00C7125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1C1B9A" w:rsidRPr="00833BD9" w14:paraId="1D88253C" w14:textId="77777777" w:rsidTr="00C7125F">
        <w:tc>
          <w:tcPr>
            <w:cnfStyle w:val="001000000000" w:firstRow="0" w:lastRow="0" w:firstColumn="1" w:lastColumn="0" w:oddVBand="0" w:evenVBand="0" w:oddHBand="0" w:evenHBand="0" w:firstRowFirstColumn="0" w:firstRowLastColumn="0" w:lastRowFirstColumn="0" w:lastRowLastColumn="0"/>
            <w:tcW w:w="1384" w:type="dxa"/>
            <w:vAlign w:val="center"/>
          </w:tcPr>
          <w:p w14:paraId="1F780DD4" w14:textId="77777777" w:rsidR="001C1B9A" w:rsidRPr="00833BD9" w:rsidRDefault="001C1B9A" w:rsidP="00C7125F">
            <w:pPr>
              <w:rPr>
                <w:rFonts w:ascii="Arial" w:hAnsi="Arial" w:cs="Arial"/>
                <w:lang w:val="en-US"/>
              </w:rPr>
            </w:pPr>
          </w:p>
        </w:tc>
        <w:tc>
          <w:tcPr>
            <w:tcW w:w="7858" w:type="dxa"/>
            <w:vAlign w:val="center"/>
          </w:tcPr>
          <w:p w14:paraId="5BB72EB8" w14:textId="77777777" w:rsidR="001C1B9A" w:rsidRPr="00833BD9" w:rsidRDefault="001C1B9A" w:rsidP="00C7125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7ECFA499" w14:textId="2C8F16F9" w:rsidR="00285173" w:rsidRPr="007313E5" w:rsidRDefault="00285173" w:rsidP="0002156E">
      <w:pPr>
        <w:spacing w:after="120"/>
        <w:rPr>
          <w:rFonts w:ascii="Arial" w:hAnsi="Arial" w:cs="Arial"/>
          <w:lang w:val="en-US"/>
        </w:rPr>
      </w:pPr>
    </w:p>
    <w:sectPr w:rsidR="00285173" w:rsidRPr="007313E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9FB33" w14:textId="77777777" w:rsidR="006F3543" w:rsidRDefault="006F3543" w:rsidP="001A3992">
      <w:pPr>
        <w:spacing w:after="0" w:line="240" w:lineRule="auto"/>
      </w:pPr>
      <w:r>
        <w:separator/>
      </w:r>
    </w:p>
  </w:endnote>
  <w:endnote w:type="continuationSeparator" w:id="0">
    <w:p w14:paraId="1C241BED" w14:textId="77777777" w:rsidR="006F3543" w:rsidRDefault="006F3543"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Arial"/>
    <w:panose1 w:val="00000000000000000000"/>
    <w:charset w:val="4D"/>
    <w:family w:val="swiss"/>
    <w:notTrueType/>
    <w:pitch w:val="default"/>
    <w:sig w:usb0="00000003" w:usb1="00000000" w:usb2="00000000" w:usb3="00000000" w:csb0="00000001" w:csb1="00000000"/>
  </w:font>
  <w:font w:name="Univers 55">
    <w:altName w:val="Cambria"/>
    <w:panose1 w:val="00000000000000000000"/>
    <w:charset w:val="4D"/>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Univers-Condensed">
    <w:altName w:val="Cambria"/>
    <w:panose1 w:val="00000000000000000000"/>
    <w:charset w:val="4D"/>
    <w:family w:val="swiss"/>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3450EAE1" w14:textId="6EB543CB" w:rsidR="000D609B" w:rsidRPr="00B8074A" w:rsidRDefault="000D609B" w:rsidP="00F832A6">
        <w:pPr>
          <w:pStyle w:val="Footer"/>
          <w:jc w:val="right"/>
          <w:rPr>
            <w:sz w:val="20"/>
          </w:rPr>
        </w:pPr>
        <w:r w:rsidRPr="00E50F89">
          <w:rPr>
            <w:rFonts w:ascii="Arial" w:hAnsi="Arial"/>
            <w:lang w:val="fr-FR"/>
          </w:rPr>
          <w:t xml:space="preserve">UVADEX Product Information / Version </w:t>
        </w:r>
        <w:r w:rsidR="00C93617">
          <w:rPr>
            <w:rFonts w:ascii="Arial" w:hAnsi="Arial"/>
            <w:lang w:val="fr-FR"/>
          </w:rPr>
          <w:t>5</w:t>
        </w:r>
        <w:r w:rsidRPr="00E50F89">
          <w:rPr>
            <w:rFonts w:ascii="Arial" w:hAnsi="Arial"/>
            <w:lang w:val="fr-FR"/>
          </w:rPr>
          <w:t xml:space="preserve">.0 </w:t>
        </w:r>
        <w:r w:rsidR="00C93617">
          <w:rPr>
            <w:rFonts w:ascii="Arial" w:hAnsi="Arial"/>
            <w:lang w:val="fr-FR"/>
          </w:rPr>
          <w:t xml:space="preserve">10 </w:t>
        </w:r>
        <w:r>
          <w:rPr>
            <w:rFonts w:ascii="Arial" w:hAnsi="Arial"/>
            <w:lang w:val="fr-FR"/>
          </w:rPr>
          <w:t>SEP 2019</w:t>
        </w:r>
        <w:r w:rsidRPr="00E50F89">
          <w:rPr>
            <w:rFonts w:ascii="Arial" w:hAnsi="Arial"/>
            <w:lang w:val="fr-FR"/>
          </w:rPr>
          <w:tab/>
        </w:r>
        <w:r w:rsidRPr="00925E4B">
          <w:rPr>
            <w:rStyle w:val="PageNumber"/>
            <w:rFonts w:ascii="Arial" w:hAnsi="Arial" w:cs="Arial"/>
          </w:rPr>
          <w:fldChar w:fldCharType="begin"/>
        </w:r>
        <w:r w:rsidRPr="00E50F89">
          <w:rPr>
            <w:rStyle w:val="PageNumber"/>
            <w:rFonts w:ascii="Arial" w:hAnsi="Arial" w:cs="Arial"/>
            <w:lang w:val="fr-FR"/>
          </w:rPr>
          <w:instrText xml:space="preserve"> PAGE </w:instrText>
        </w:r>
        <w:r w:rsidRPr="00925E4B">
          <w:rPr>
            <w:rStyle w:val="PageNumber"/>
            <w:rFonts w:ascii="Arial" w:hAnsi="Arial" w:cs="Arial"/>
          </w:rPr>
          <w:fldChar w:fldCharType="separate"/>
        </w:r>
        <w:r w:rsidR="00A13AFF">
          <w:rPr>
            <w:rStyle w:val="PageNumber"/>
            <w:rFonts w:ascii="Arial" w:hAnsi="Arial" w:cs="Arial"/>
            <w:noProof/>
            <w:lang w:val="fr-FR"/>
          </w:rPr>
          <w:t>7</w:t>
        </w:r>
        <w:r w:rsidRPr="00925E4B">
          <w:rPr>
            <w:rStyle w:val="PageNumber"/>
            <w:rFonts w:ascii="Arial" w:hAnsi="Arial" w:cs="Arial"/>
          </w:rPr>
          <w:fldChar w:fldCharType="end"/>
        </w:r>
        <w:r w:rsidRPr="00E50F89">
          <w:rPr>
            <w:rStyle w:val="PageNumber"/>
            <w:rFonts w:ascii="Arial" w:hAnsi="Arial" w:cs="Arial"/>
            <w:lang w:val="fr-FR"/>
          </w:rPr>
          <w:t>/</w:t>
        </w:r>
        <w:r w:rsidRPr="00925E4B">
          <w:rPr>
            <w:rStyle w:val="PageNumber"/>
            <w:rFonts w:ascii="Arial" w:hAnsi="Arial" w:cs="Arial"/>
          </w:rPr>
          <w:fldChar w:fldCharType="begin"/>
        </w:r>
        <w:r w:rsidRPr="00E50F89">
          <w:rPr>
            <w:rStyle w:val="PageNumber"/>
            <w:rFonts w:ascii="Arial" w:hAnsi="Arial" w:cs="Arial"/>
            <w:lang w:val="fr-FR"/>
          </w:rPr>
          <w:instrText xml:space="preserve"> NUMPAGES </w:instrText>
        </w:r>
        <w:r w:rsidRPr="00925E4B">
          <w:rPr>
            <w:rStyle w:val="PageNumber"/>
            <w:rFonts w:ascii="Arial" w:hAnsi="Arial" w:cs="Arial"/>
          </w:rPr>
          <w:fldChar w:fldCharType="separate"/>
        </w:r>
        <w:r w:rsidR="00A13AFF">
          <w:rPr>
            <w:rStyle w:val="PageNumber"/>
            <w:rFonts w:ascii="Arial" w:hAnsi="Arial" w:cs="Arial"/>
            <w:noProof/>
            <w:lang w:val="fr-FR"/>
          </w:rPr>
          <w:t>13</w:t>
        </w:r>
        <w:r w:rsidRPr="00925E4B">
          <w:rPr>
            <w:rStyle w:val="PageNumbe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C15F" w14:textId="77777777" w:rsidR="006F3543" w:rsidRDefault="006F3543" w:rsidP="001A3992">
      <w:pPr>
        <w:spacing w:after="0" w:line="240" w:lineRule="auto"/>
      </w:pPr>
      <w:r>
        <w:separator/>
      </w:r>
    </w:p>
  </w:footnote>
  <w:footnote w:type="continuationSeparator" w:id="0">
    <w:p w14:paraId="5CD2C7BF" w14:textId="77777777" w:rsidR="006F3543" w:rsidRDefault="006F3543"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tblW w:w="0" w:type="auto"/>
      <w:shd w:val="clear" w:color="auto" w:fill="E4F2E0"/>
      <w:tblLook w:val="04A0" w:firstRow="1" w:lastRow="0" w:firstColumn="1" w:lastColumn="0" w:noHBand="0" w:noVBand="1"/>
    </w:tblPr>
    <w:tblGrid>
      <w:gridCol w:w="8720"/>
    </w:tblGrid>
    <w:tr w:rsidR="00C02348" w:rsidRPr="00C02348" w14:paraId="59DB04C6" w14:textId="77777777" w:rsidTr="002229E8">
      <w:tc>
        <w:tcPr>
          <w:tcW w:w="8720" w:type="dxa"/>
          <w:shd w:val="clear" w:color="auto" w:fill="E4F2E0"/>
        </w:tcPr>
        <w:p w14:paraId="5AA3D2CE" w14:textId="574F079E" w:rsidR="00C02348" w:rsidRPr="00C02348" w:rsidRDefault="00C02348" w:rsidP="00C02348">
          <w:pPr>
            <w:spacing w:before="180" w:after="180" w:line="240" w:lineRule="atLeast"/>
            <w:rPr>
              <w:rFonts w:ascii="Cambria" w:hAnsi="Cambria" w:cs="Times New Roman"/>
            </w:rPr>
          </w:pPr>
          <w:r w:rsidRPr="00C02348">
            <w:rPr>
              <w:rFonts w:ascii="Cambria" w:hAnsi="Cambria" w:cs="Times New Roman"/>
              <w:b/>
              <w:sz w:val="20"/>
              <w:szCs w:val="20"/>
            </w:rPr>
            <w:t xml:space="preserve">Attachment 1: Product information for </w:t>
          </w:r>
          <w:proofErr w:type="spellStart"/>
          <w:r w:rsidRPr="00C02348">
            <w:rPr>
              <w:rFonts w:ascii="Cambria" w:hAnsi="Cambria" w:cs="Times New Roman"/>
              <w:b/>
              <w:sz w:val="20"/>
              <w:szCs w:val="20"/>
            </w:rPr>
            <w:t>AusPAR</w:t>
          </w:r>
          <w:proofErr w:type="spellEnd"/>
          <w:r w:rsidRPr="00C02348">
            <w:rPr>
              <w:rFonts w:ascii="Cambria" w:hAnsi="Cambria" w:cs="Times New Roman"/>
              <w:b/>
              <w:sz w:val="20"/>
              <w:szCs w:val="20"/>
            </w:rPr>
            <w:t xml:space="preserve"> - </w:t>
          </w:r>
          <w:proofErr w:type="spellStart"/>
          <w:r w:rsidRPr="00C02348">
            <w:rPr>
              <w:rFonts w:ascii="Cambria" w:hAnsi="Cambria" w:cs="Times New Roman"/>
              <w:b/>
              <w:sz w:val="20"/>
              <w:szCs w:val="20"/>
            </w:rPr>
            <w:t>Uvadex</w:t>
          </w:r>
          <w:proofErr w:type="spellEnd"/>
          <w:r w:rsidRPr="00C02348">
            <w:rPr>
              <w:rFonts w:ascii="Cambria" w:hAnsi="Cambria" w:cs="Times New Roman"/>
              <w:b/>
              <w:sz w:val="20"/>
              <w:szCs w:val="20"/>
            </w:rPr>
            <w:t xml:space="preserve"> - </w:t>
          </w:r>
          <w:proofErr w:type="spellStart"/>
          <w:r w:rsidRPr="00C02348">
            <w:rPr>
              <w:rFonts w:ascii="Cambria" w:hAnsi="Cambria" w:cs="Times New Roman"/>
              <w:b/>
              <w:sz w:val="20"/>
              <w:szCs w:val="20"/>
            </w:rPr>
            <w:t>Methoxsalen</w:t>
          </w:r>
          <w:proofErr w:type="spellEnd"/>
          <w:r w:rsidRPr="00C02348">
            <w:rPr>
              <w:rFonts w:ascii="Cambria" w:hAnsi="Cambria" w:cs="Times New Roman"/>
              <w:b/>
              <w:sz w:val="20"/>
              <w:szCs w:val="20"/>
            </w:rPr>
            <w:t xml:space="preserve"> - Terumo BCT Australia - PM-2018-03515-1-2</w:t>
          </w:r>
          <w:r>
            <w:rPr>
              <w:rFonts w:ascii="Cambria" w:hAnsi="Cambria" w:cs="Times New Roman"/>
              <w:b/>
              <w:sz w:val="20"/>
              <w:szCs w:val="20"/>
            </w:rPr>
            <w:t xml:space="preserve"> </w:t>
          </w:r>
          <w:r w:rsidRPr="00C02348">
            <w:rPr>
              <w:rFonts w:ascii="Cambria" w:hAnsi="Cambria" w:cs="Times New Roman"/>
              <w:b/>
              <w:sz w:val="20"/>
              <w:szCs w:val="20"/>
            </w:rPr>
            <w:t xml:space="preserve">FINAL 14 November 2019. </w:t>
          </w:r>
          <w:r w:rsidRPr="00C02348">
            <w:rPr>
              <w:rFonts w:ascii="Cambria" w:hAnsi="Cambria" w:cs="Times New Roman"/>
              <w:b/>
              <w:sz w:val="18"/>
              <w:szCs w:val="18"/>
            </w:rPr>
            <w:t xml:space="preserve">This is the Product Information that was approved with the submission described in this </w:t>
          </w:r>
          <w:proofErr w:type="spellStart"/>
          <w:r w:rsidRPr="00C02348">
            <w:rPr>
              <w:rFonts w:ascii="Cambria" w:hAnsi="Cambria" w:cs="Times New Roman"/>
              <w:b/>
              <w:sz w:val="18"/>
              <w:szCs w:val="18"/>
            </w:rPr>
            <w:t>AusPAR</w:t>
          </w:r>
          <w:proofErr w:type="spellEnd"/>
          <w:r w:rsidRPr="00C02348">
            <w:rPr>
              <w:rFonts w:ascii="Cambria" w:hAnsi="Cambria" w:cs="Times New Roman"/>
              <w:b/>
              <w:sz w:val="18"/>
              <w:szCs w:val="18"/>
            </w:rPr>
            <w:t>. It may have been superseded. For the most recent PI, please refer to the TGA website at &lt;</w:t>
          </w:r>
          <w:hyperlink r:id="rId1" w:history="1">
            <w:r w:rsidRPr="00C02348">
              <w:rPr>
                <w:rFonts w:ascii="Cambria" w:hAnsi="Cambria" w:cs="Times New Roman"/>
                <w:color w:val="0000FF"/>
                <w:sz w:val="18"/>
                <w:szCs w:val="18"/>
                <w:u w:val="single"/>
              </w:rPr>
              <w:t>https://www.tga.gov.au/product-information-pi</w:t>
            </w:r>
          </w:hyperlink>
          <w:r w:rsidRPr="00C02348">
            <w:rPr>
              <w:rFonts w:ascii="Cambria" w:hAnsi="Cambria" w:cs="Times New Roman"/>
              <w:color w:val="0000FF"/>
              <w:sz w:val="18"/>
              <w:szCs w:val="18"/>
              <w:u w:val="single"/>
            </w:rPr>
            <w:t>&gt;</w:t>
          </w:r>
        </w:p>
      </w:tc>
    </w:tr>
  </w:tbl>
  <w:p w14:paraId="7CD14CED" w14:textId="77777777" w:rsidR="00C02348" w:rsidRDefault="00C02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7869A0"/>
    <w:multiLevelType w:val="hybridMultilevel"/>
    <w:tmpl w:val="F41E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1"/>
  </w:num>
  <w:num w:numId="6">
    <w:abstractNumId w:val="8"/>
  </w:num>
  <w:num w:numId="7">
    <w:abstractNumId w:val="6"/>
  </w:num>
  <w:num w:numId="8">
    <w:abstractNumId w:val="9"/>
  </w:num>
  <w:num w:numId="9">
    <w:abstractNumId w:val="2"/>
  </w:num>
  <w:num w:numId="10">
    <w:abstractNumId w:val="5"/>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18"/>
    <w:rsid w:val="000018BD"/>
    <w:rsid w:val="0001307C"/>
    <w:rsid w:val="0002156E"/>
    <w:rsid w:val="00042302"/>
    <w:rsid w:val="00057DAD"/>
    <w:rsid w:val="000938F6"/>
    <w:rsid w:val="00097F01"/>
    <w:rsid w:val="000A7E76"/>
    <w:rsid w:val="000C6A0A"/>
    <w:rsid w:val="000D1700"/>
    <w:rsid w:val="000D609B"/>
    <w:rsid w:val="000F05CD"/>
    <w:rsid w:val="000F27A9"/>
    <w:rsid w:val="00102A32"/>
    <w:rsid w:val="0010496C"/>
    <w:rsid w:val="00111E51"/>
    <w:rsid w:val="00126A96"/>
    <w:rsid w:val="001468E0"/>
    <w:rsid w:val="00156C52"/>
    <w:rsid w:val="001A3992"/>
    <w:rsid w:val="001A50F0"/>
    <w:rsid w:val="001C1B9A"/>
    <w:rsid w:val="001D3B6E"/>
    <w:rsid w:val="001E0A09"/>
    <w:rsid w:val="0021200F"/>
    <w:rsid w:val="00224E16"/>
    <w:rsid w:val="0023761E"/>
    <w:rsid w:val="00285173"/>
    <w:rsid w:val="002B65C0"/>
    <w:rsid w:val="002B7E16"/>
    <w:rsid w:val="002D3A58"/>
    <w:rsid w:val="002E277D"/>
    <w:rsid w:val="00322865"/>
    <w:rsid w:val="003418A9"/>
    <w:rsid w:val="0036067E"/>
    <w:rsid w:val="00361DFD"/>
    <w:rsid w:val="00362740"/>
    <w:rsid w:val="00374110"/>
    <w:rsid w:val="00375DF3"/>
    <w:rsid w:val="003B1656"/>
    <w:rsid w:val="003D622C"/>
    <w:rsid w:val="004067E3"/>
    <w:rsid w:val="00425A25"/>
    <w:rsid w:val="00431ACD"/>
    <w:rsid w:val="00431E6A"/>
    <w:rsid w:val="004407BB"/>
    <w:rsid w:val="004407DC"/>
    <w:rsid w:val="0044516C"/>
    <w:rsid w:val="004478EE"/>
    <w:rsid w:val="004754E0"/>
    <w:rsid w:val="00483E9D"/>
    <w:rsid w:val="004973CD"/>
    <w:rsid w:val="004B6B19"/>
    <w:rsid w:val="004D5640"/>
    <w:rsid w:val="004F2C4F"/>
    <w:rsid w:val="004F527F"/>
    <w:rsid w:val="00512CF7"/>
    <w:rsid w:val="00516F8B"/>
    <w:rsid w:val="00520BA7"/>
    <w:rsid w:val="00526378"/>
    <w:rsid w:val="00563942"/>
    <w:rsid w:val="005937C4"/>
    <w:rsid w:val="005B2812"/>
    <w:rsid w:val="005D5544"/>
    <w:rsid w:val="006018AE"/>
    <w:rsid w:val="0060629C"/>
    <w:rsid w:val="00614FA8"/>
    <w:rsid w:val="0065545C"/>
    <w:rsid w:val="00670981"/>
    <w:rsid w:val="006736D7"/>
    <w:rsid w:val="00683916"/>
    <w:rsid w:val="00695BAC"/>
    <w:rsid w:val="006B0B42"/>
    <w:rsid w:val="006B5BCB"/>
    <w:rsid w:val="006C45F5"/>
    <w:rsid w:val="006D6B10"/>
    <w:rsid w:val="006F005A"/>
    <w:rsid w:val="006F1B23"/>
    <w:rsid w:val="006F3543"/>
    <w:rsid w:val="0073018A"/>
    <w:rsid w:val="007313E5"/>
    <w:rsid w:val="00777D7A"/>
    <w:rsid w:val="007A1B1F"/>
    <w:rsid w:val="007A57FB"/>
    <w:rsid w:val="007C66C8"/>
    <w:rsid w:val="007C74EC"/>
    <w:rsid w:val="007D7DD7"/>
    <w:rsid w:val="007F060B"/>
    <w:rsid w:val="00830F9E"/>
    <w:rsid w:val="00831A8F"/>
    <w:rsid w:val="00833BD9"/>
    <w:rsid w:val="0084213F"/>
    <w:rsid w:val="00881522"/>
    <w:rsid w:val="008A4057"/>
    <w:rsid w:val="008A4571"/>
    <w:rsid w:val="008A5F78"/>
    <w:rsid w:val="008A6F19"/>
    <w:rsid w:val="008F35C4"/>
    <w:rsid w:val="008F4D59"/>
    <w:rsid w:val="009034E6"/>
    <w:rsid w:val="00905FE6"/>
    <w:rsid w:val="00960CD5"/>
    <w:rsid w:val="00984781"/>
    <w:rsid w:val="00985F6A"/>
    <w:rsid w:val="00992642"/>
    <w:rsid w:val="00993227"/>
    <w:rsid w:val="009B0D5C"/>
    <w:rsid w:val="009C3D93"/>
    <w:rsid w:val="009D3453"/>
    <w:rsid w:val="009D4BF0"/>
    <w:rsid w:val="009E1290"/>
    <w:rsid w:val="009E3909"/>
    <w:rsid w:val="00A04806"/>
    <w:rsid w:val="00A13AFF"/>
    <w:rsid w:val="00A24389"/>
    <w:rsid w:val="00A61116"/>
    <w:rsid w:val="00A62DB5"/>
    <w:rsid w:val="00A64655"/>
    <w:rsid w:val="00A846BD"/>
    <w:rsid w:val="00A86611"/>
    <w:rsid w:val="00A91513"/>
    <w:rsid w:val="00A91FC8"/>
    <w:rsid w:val="00A932EA"/>
    <w:rsid w:val="00AA3065"/>
    <w:rsid w:val="00AC2048"/>
    <w:rsid w:val="00AC6BDD"/>
    <w:rsid w:val="00AD78EE"/>
    <w:rsid w:val="00AF238D"/>
    <w:rsid w:val="00AF464A"/>
    <w:rsid w:val="00AF47BF"/>
    <w:rsid w:val="00B11FA5"/>
    <w:rsid w:val="00B14E6E"/>
    <w:rsid w:val="00B217EA"/>
    <w:rsid w:val="00B37643"/>
    <w:rsid w:val="00B415DD"/>
    <w:rsid w:val="00B820F8"/>
    <w:rsid w:val="00B8611B"/>
    <w:rsid w:val="00B87F43"/>
    <w:rsid w:val="00B934F6"/>
    <w:rsid w:val="00B9413A"/>
    <w:rsid w:val="00BA2132"/>
    <w:rsid w:val="00BB057B"/>
    <w:rsid w:val="00BB7407"/>
    <w:rsid w:val="00BD7A28"/>
    <w:rsid w:val="00BE208B"/>
    <w:rsid w:val="00BE2A26"/>
    <w:rsid w:val="00BE52DE"/>
    <w:rsid w:val="00BF23FE"/>
    <w:rsid w:val="00C02348"/>
    <w:rsid w:val="00C054AF"/>
    <w:rsid w:val="00C10218"/>
    <w:rsid w:val="00C31C48"/>
    <w:rsid w:val="00C463CF"/>
    <w:rsid w:val="00C54776"/>
    <w:rsid w:val="00C602F6"/>
    <w:rsid w:val="00C70CC2"/>
    <w:rsid w:val="00C8151D"/>
    <w:rsid w:val="00C93617"/>
    <w:rsid w:val="00C937B9"/>
    <w:rsid w:val="00C95B2E"/>
    <w:rsid w:val="00CA213D"/>
    <w:rsid w:val="00CA2C6B"/>
    <w:rsid w:val="00CA5300"/>
    <w:rsid w:val="00CA6CEB"/>
    <w:rsid w:val="00CA7E2B"/>
    <w:rsid w:val="00CB3D99"/>
    <w:rsid w:val="00CE23F5"/>
    <w:rsid w:val="00CF3449"/>
    <w:rsid w:val="00CF7276"/>
    <w:rsid w:val="00D13044"/>
    <w:rsid w:val="00D16100"/>
    <w:rsid w:val="00D2087A"/>
    <w:rsid w:val="00D752CD"/>
    <w:rsid w:val="00DA3D59"/>
    <w:rsid w:val="00DA3E7B"/>
    <w:rsid w:val="00DB7D77"/>
    <w:rsid w:val="00DC382B"/>
    <w:rsid w:val="00DF2BB5"/>
    <w:rsid w:val="00E04564"/>
    <w:rsid w:val="00E05DD7"/>
    <w:rsid w:val="00E3681E"/>
    <w:rsid w:val="00E74A56"/>
    <w:rsid w:val="00E83B87"/>
    <w:rsid w:val="00E84D98"/>
    <w:rsid w:val="00E969B7"/>
    <w:rsid w:val="00EB4883"/>
    <w:rsid w:val="00EC7895"/>
    <w:rsid w:val="00ED4F77"/>
    <w:rsid w:val="00EF0045"/>
    <w:rsid w:val="00F2419A"/>
    <w:rsid w:val="00F35148"/>
    <w:rsid w:val="00F5302B"/>
    <w:rsid w:val="00F53B8E"/>
    <w:rsid w:val="00F666D3"/>
    <w:rsid w:val="00F71802"/>
    <w:rsid w:val="00F731D1"/>
    <w:rsid w:val="00F832A6"/>
    <w:rsid w:val="00FA4178"/>
    <w:rsid w:val="00FA5952"/>
    <w:rsid w:val="00FB3092"/>
    <w:rsid w:val="00FB78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B1D9E"/>
  <w15:docId w15:val="{C3E18B28-0F44-451E-A8AE-95ECA8A9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881522"/>
    <w:pPr>
      <w:keepNext/>
      <w:keepLines/>
      <w:spacing w:before="200" w:line="240" w:lineRule="auto"/>
      <w:outlineLvl w:val="2"/>
    </w:pPr>
    <w:rPr>
      <w:rFonts w:ascii="Arial" w:eastAsiaTheme="majorEastAsia" w:hAnsi="Arial" w:cstheme="majorBidi"/>
      <w:b/>
      <w:bCs/>
    </w:rPr>
  </w:style>
  <w:style w:type="paragraph" w:styleId="Heading4">
    <w:name w:val="heading 4"/>
    <w:basedOn w:val="Normal"/>
    <w:next w:val="Normal"/>
    <w:link w:val="Heading4Char"/>
    <w:autoRedefine/>
    <w:uiPriority w:val="9"/>
    <w:unhideWhenUsed/>
    <w:qFormat/>
    <w:rsid w:val="00C93617"/>
    <w:pPr>
      <w:keepNext/>
      <w:keepLines/>
      <w:spacing w:before="200"/>
      <w:outlineLvl w:val="3"/>
    </w:pPr>
    <w:rPr>
      <w:rFonts w:ascii="Arial" w:eastAsiaTheme="majorEastAsia" w:hAnsi="Arial" w:cstheme="majorBidi"/>
      <w:b/>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881522"/>
    <w:rPr>
      <w:rFonts w:ascii="Arial" w:eastAsiaTheme="majorEastAsia" w:hAnsi="Arial" w:cstheme="majorBidi"/>
      <w:b/>
      <w:bCs/>
    </w:rPr>
  </w:style>
  <w:style w:type="character" w:customStyle="1" w:styleId="Heading4Char">
    <w:name w:val="Heading 4 Char"/>
    <w:basedOn w:val="DefaultParagraphFont"/>
    <w:link w:val="Heading4"/>
    <w:uiPriority w:val="9"/>
    <w:rsid w:val="00C93617"/>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Default">
    <w:name w:val="Default"/>
    <w:rsid w:val="007313E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paragraph" w:customStyle="1" w:styleId="Pa1">
    <w:name w:val="Pa1"/>
    <w:basedOn w:val="Default"/>
    <w:next w:val="Default"/>
    <w:uiPriority w:val="99"/>
    <w:rsid w:val="007313E5"/>
    <w:pPr>
      <w:spacing w:line="201" w:lineRule="atLeast"/>
    </w:pPr>
    <w:rPr>
      <w:rFonts w:ascii="Univers 45 Light" w:hAnsi="Univers 45 Light"/>
      <w:color w:val="auto"/>
      <w:lang w:bidi="ar-SA"/>
    </w:rPr>
  </w:style>
  <w:style w:type="paragraph" w:styleId="BodyText">
    <w:name w:val="Body Text"/>
    <w:basedOn w:val="Normal"/>
    <w:link w:val="BodyTextChar"/>
    <w:rsid w:val="00B8611B"/>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B8611B"/>
    <w:rPr>
      <w:rFonts w:ascii="Arial" w:eastAsia="Times New Roman" w:hAnsi="Arial" w:cs="Times New Roman"/>
      <w:szCs w:val="20"/>
    </w:rPr>
  </w:style>
  <w:style w:type="paragraph" w:customStyle="1" w:styleId="Pa2">
    <w:name w:val="Pa2"/>
    <w:basedOn w:val="Default"/>
    <w:next w:val="Default"/>
    <w:uiPriority w:val="99"/>
    <w:rsid w:val="00B8611B"/>
    <w:pPr>
      <w:spacing w:line="201" w:lineRule="atLeast"/>
    </w:pPr>
    <w:rPr>
      <w:rFonts w:ascii="Univers 55" w:hAnsi="Univers 55"/>
      <w:color w:val="auto"/>
      <w:lang w:bidi="ar-SA"/>
    </w:rPr>
  </w:style>
  <w:style w:type="paragraph" w:customStyle="1" w:styleId="ListBulleted">
    <w:name w:val="List Bulleted"/>
    <w:basedOn w:val="Normal"/>
    <w:rsid w:val="00B8611B"/>
    <w:pPr>
      <w:keepLines/>
      <w:numPr>
        <w:numId w:val="12"/>
      </w:numPr>
      <w:adjustRightInd w:val="0"/>
      <w:spacing w:before="120" w:after="120" w:line="300" w:lineRule="auto"/>
      <w:ind w:left="648"/>
    </w:pPr>
    <w:rPr>
      <w:rFonts w:ascii="Times New Roman" w:eastAsia="Times New Roman" w:hAnsi="Times New Roman" w:cs="Times New Roman"/>
      <w:kern w:val="24"/>
      <w:sz w:val="24"/>
      <w:szCs w:val="24"/>
      <w:lang w:val="en-US"/>
    </w:rPr>
  </w:style>
  <w:style w:type="paragraph" w:customStyle="1" w:styleId="MediumGrid2-Accent11">
    <w:name w:val="Medium Grid 2 - Accent 11"/>
    <w:uiPriority w:val="1"/>
    <w:qFormat/>
    <w:rsid w:val="00431E6A"/>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31A8F"/>
    <w:rPr>
      <w:rFonts w:asciiTheme="minorHAnsi" w:hAnsiTheme="minorHAnsi"/>
      <w:b/>
      <w:bCs/>
    </w:rPr>
  </w:style>
  <w:style w:type="character" w:customStyle="1" w:styleId="CommentSubjectChar">
    <w:name w:val="Comment Subject Char"/>
    <w:basedOn w:val="CommentTextChar"/>
    <w:link w:val="CommentSubject"/>
    <w:uiPriority w:val="99"/>
    <w:semiHidden/>
    <w:rsid w:val="00831A8F"/>
    <w:rPr>
      <w:rFonts w:ascii="Cambria" w:hAnsi="Cambria"/>
      <w:b/>
      <w:bCs/>
      <w:sz w:val="20"/>
      <w:szCs w:val="20"/>
    </w:rPr>
  </w:style>
  <w:style w:type="table" w:customStyle="1" w:styleId="TableGrid1">
    <w:name w:val="Table Grid1"/>
    <w:basedOn w:val="TableNormal"/>
    <w:next w:val="TableGrid"/>
    <w:uiPriority w:val="39"/>
    <w:rsid w:val="00BA213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A2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E16"/>
  </w:style>
  <w:style w:type="character" w:styleId="PageNumber">
    <w:name w:val="page number"/>
    <w:basedOn w:val="DefaultParagraphFont"/>
    <w:rsid w:val="00224E16"/>
  </w:style>
  <w:style w:type="table" w:customStyle="1" w:styleId="TableGrid2">
    <w:name w:val="Table Grid2"/>
    <w:basedOn w:val="TableNormal"/>
    <w:next w:val="TableGrid"/>
    <w:uiPriority w:val="59"/>
    <w:rsid w:val="00C02348"/>
    <w:pPr>
      <w:spacing w:after="0" w:line="240" w:lineRule="auto"/>
    </w:pPr>
    <w:rPr>
      <w:rFonts w:eastAsia="Cambria"/>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gov.au/reporting-proble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Elmore\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F878435701541BFE845E587230741" ma:contentTypeVersion="2" ma:contentTypeDescription="Create a new document." ma:contentTypeScope="" ma:versionID="f394e56b66c1587d16775238f2523520">
  <xsd:schema xmlns:xsd="http://www.w3.org/2001/XMLSchema" xmlns:xs="http://www.w3.org/2001/XMLSchema" xmlns:p="http://schemas.microsoft.com/office/2006/metadata/properties" targetNamespace="http://schemas.microsoft.com/office/2006/metadata/properties" ma:root="true" ma:fieldsID="4a383f57039ae3a1c036246d525fcd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8AE27-6B8B-4168-BC41-3E03DFB9DD48}">
  <ds:schemaRefs>
    <ds:schemaRef ds:uri="http://schemas.microsoft.com/sharepoint/v3/contenttype/forms"/>
  </ds:schemaRefs>
</ds:datastoreItem>
</file>

<file path=customXml/itemProps2.xml><?xml version="1.0" encoding="utf-8"?>
<ds:datastoreItem xmlns:ds="http://schemas.openxmlformats.org/officeDocument/2006/customXml" ds:itemID="{9F6DBE09-318D-4E2D-89C4-E7654F352CE4}">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27668F9-59E5-435E-A08D-0B102CD9F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17</TotalTime>
  <Pages>13</Pages>
  <Words>4521</Words>
  <Characters>25996</Characters>
  <Application>Microsoft Office Word</Application>
  <DocSecurity>0</DocSecurity>
  <Lines>684</Lines>
  <Paragraphs>406</Paragraphs>
  <ScaleCrop>false</ScaleCrop>
  <HeadingPairs>
    <vt:vector size="2" baseType="variant">
      <vt:variant>
        <vt:lpstr>Title</vt:lpstr>
      </vt:variant>
      <vt:variant>
        <vt:i4>1</vt:i4>
      </vt:variant>
    </vt:vector>
  </HeadingPairs>
  <TitlesOfParts>
    <vt:vector size="1" baseType="lpstr">
      <vt:lpstr>AusPAR Attachment 1: Product Information for Methoxsalen</vt:lpstr>
    </vt:vector>
  </TitlesOfParts>
  <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Methoxsalen</dc:title>
  <dc:subject>prescription medicines</dc:subject>
  <dc:creator>Terumo BCT Australia Pty Ltd</dc:creator>
  <cp:lastPrinted>2017-11-13T05:13:00Z</cp:lastPrinted>
  <dcterms:created xsi:type="dcterms:W3CDTF">2019-11-14T04:23:00Z</dcterms:created>
  <dcterms:modified xsi:type="dcterms:W3CDTF">2019-12-11T06:26:00Z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0x01010056DF878435701541BFE845E587230741</vt:lpwstr>
  </property>
</Properties>
</file>