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FD" w:rsidRDefault="00F037FD">
      <w:pPr>
        <w:pStyle w:val="BodyText"/>
        <w:rPr>
          <w:sz w:val="20"/>
        </w:rPr>
      </w:pPr>
    </w:p>
    <w:p w:rsidR="00F037FD" w:rsidRDefault="00F037FD">
      <w:pPr>
        <w:pStyle w:val="BodyText"/>
        <w:spacing w:before="10"/>
        <w:rPr>
          <w:sz w:val="21"/>
        </w:rPr>
      </w:pPr>
      <w:bookmarkStart w:id="0" w:name="_GoBack"/>
      <w:bookmarkEnd w:id="0"/>
    </w:p>
    <w:p w:rsidR="00F037FD" w:rsidRDefault="00034C5C">
      <w:pPr>
        <w:pStyle w:val="Heading1"/>
        <w:jc w:val="left"/>
      </w:pPr>
      <w:r>
        <w:t>PRODUCT INFORMATION</w:t>
      </w:r>
    </w:p>
    <w:p w:rsidR="00F037FD" w:rsidRDefault="00F037FD">
      <w:pPr>
        <w:pStyle w:val="BodyText"/>
        <w:spacing w:before="11"/>
        <w:rPr>
          <w:b/>
          <w:sz w:val="23"/>
        </w:rPr>
      </w:pPr>
    </w:p>
    <w:p w:rsidR="00F037FD" w:rsidRDefault="00034C5C">
      <w:pPr>
        <w:ind w:left="141"/>
        <w:rPr>
          <w:b/>
          <w:sz w:val="24"/>
        </w:rPr>
      </w:pPr>
      <w:r>
        <w:rPr>
          <w:b/>
          <w:sz w:val="24"/>
        </w:rPr>
        <w:t>TREXJECT IN, methotrexate (as sodium)</w:t>
      </w:r>
    </w:p>
    <w:p w:rsidR="00F037FD" w:rsidRDefault="00034C5C">
      <w:pPr>
        <w:ind w:left="141"/>
        <w:rPr>
          <w:b/>
          <w:sz w:val="24"/>
        </w:rPr>
      </w:pPr>
      <w:r>
        <w:rPr>
          <w:b/>
          <w:sz w:val="24"/>
        </w:rPr>
        <w:t>Solution for subcutaneous or intramuscular injection, pre-filled syringe</w:t>
      </w:r>
    </w:p>
    <w:p w:rsidR="00F037FD" w:rsidRDefault="00F037FD">
      <w:pPr>
        <w:pStyle w:val="BodyText"/>
        <w:rPr>
          <w:b/>
        </w:rPr>
      </w:pPr>
    </w:p>
    <w:p w:rsidR="00F037FD" w:rsidRDefault="00034C5C">
      <w:pPr>
        <w:ind w:left="141" w:right="1416"/>
        <w:rPr>
          <w:b/>
          <w:sz w:val="24"/>
        </w:rPr>
      </w:pPr>
      <w:r>
        <w:rPr>
          <w:b/>
          <w:sz w:val="24"/>
        </w:rPr>
        <w:t>7.5 mg/0.15 mL, 10 mg/0.2 mL, 12.5 mg/0.25 mL, 15 mg/0.3 mL, 17.5 mg/0.35 mL, 20 mg/0.4 mL, 22.5 mg/0.45 mL and 25 mg/0.5 mL</w:t>
      </w:r>
    </w:p>
    <w:p w:rsidR="00F037FD" w:rsidRDefault="005D3ABA">
      <w:pPr>
        <w:spacing w:before="211"/>
        <w:ind w:left="254"/>
        <w:rPr>
          <w:b/>
          <w:sz w:val="24"/>
        </w:rPr>
      </w:pPr>
      <w:r>
        <w:pict>
          <v:group id="_x0000_s1036" style="position:absolute;left:0;text-align:left;margin-left:57.85pt;margin-top:10.2pt;width:482.9pt;height:522pt;z-index:-22888;mso-position-horizontal-relative:page" coordorigin="1157,204" coordsize="9658,10440">
            <v:line id="_x0000_s1048" style="position:absolute" from="1162,209" to="1171,209" strokeweight=".48pt"/>
            <v:line id="_x0000_s1047" style="position:absolute" from="1162,209" to="1171,209" strokeweight=".48pt"/>
            <v:line id="_x0000_s1046" style="position:absolute" from="1171,209" to="10800,209" strokeweight=".48pt"/>
            <v:line id="_x0000_s1045" style="position:absolute" from="10800,209" to="10809,209" strokeweight=".48pt"/>
            <v:line id="_x0000_s1044" style="position:absolute" from="10800,209" to="10809,209" strokeweight=".48pt"/>
            <v:line id="_x0000_s1043" style="position:absolute" from="1166,214" to="1166,10634" strokeweight=".48pt"/>
            <v:line id="_x0000_s1042" style="position:absolute" from="1162,10639" to="1171,10639" strokeweight=".48pt"/>
            <v:line id="_x0000_s1041" style="position:absolute" from="1162,10639" to="1171,10639" strokeweight=".48pt"/>
            <v:line id="_x0000_s1040" style="position:absolute" from="1171,10639" to="10800,10639" strokeweight=".48pt"/>
            <v:line id="_x0000_s1039" style="position:absolute" from="10804,214" to="10804,10634" strokeweight=".48pt"/>
            <v:line id="_x0000_s1038" style="position:absolute" from="10800,10639" to="10809,10639" strokeweight=".48pt"/>
            <v:line id="_x0000_s1037" style="position:absolute" from="10800,10639" to="10809,10639" strokeweight=".48pt"/>
            <w10:wrap anchorx="page"/>
          </v:group>
        </w:pict>
      </w:r>
      <w:r w:rsidR="00034C5C">
        <w:rPr>
          <w:b/>
          <w:sz w:val="24"/>
        </w:rPr>
        <w:t>WARNING</w:t>
      </w:r>
    </w:p>
    <w:p w:rsidR="00F037FD" w:rsidRDefault="00F037FD">
      <w:pPr>
        <w:pStyle w:val="BodyText"/>
        <w:spacing w:before="4"/>
        <w:rPr>
          <w:b/>
          <w:sz w:val="23"/>
        </w:rPr>
      </w:pPr>
    </w:p>
    <w:p w:rsidR="00F037FD" w:rsidRDefault="00034C5C">
      <w:pPr>
        <w:pStyle w:val="BodyText"/>
        <w:ind w:left="254" w:right="545"/>
      </w:pPr>
      <w:r>
        <w:t>Methotrexate must only be prescribed by physicians experienced in anti-metabolic therapy and the treatment of severe rheumatoid arthritis or psoriasis.</w:t>
      </w:r>
    </w:p>
    <w:p w:rsidR="00F037FD" w:rsidRDefault="00F037FD">
      <w:pPr>
        <w:pStyle w:val="BodyText"/>
        <w:spacing w:before="2"/>
      </w:pPr>
    </w:p>
    <w:p w:rsidR="00F037FD" w:rsidRDefault="00034C5C">
      <w:pPr>
        <w:pStyle w:val="BodyText"/>
        <w:spacing w:before="1"/>
        <w:ind w:left="254" w:right="538"/>
      </w:pPr>
      <w:r>
        <w:t>Patients should be fully informed of the risk of fatal or severe toxic reactions involved with the administration of methotrexate and should be under constant supervision of the physician.</w:t>
      </w:r>
    </w:p>
    <w:p w:rsidR="00F037FD" w:rsidRDefault="00F037FD">
      <w:pPr>
        <w:pStyle w:val="BodyText"/>
        <w:spacing w:before="5"/>
      </w:pPr>
    </w:p>
    <w:p w:rsidR="00F037FD" w:rsidRDefault="00034C5C">
      <w:pPr>
        <w:pStyle w:val="BodyText"/>
        <w:ind w:left="254" w:right="572"/>
      </w:pPr>
      <w:r>
        <w:t>Deaths have been reported with the use of methotrexate. In the treatment of psoriasis and rheumatoid arthritis, methotrexate should be restricted to severe, recalcitrant, disabling disease which is not adequately responsive to other forms of therapy and only when the diagnosis has been established.</w:t>
      </w:r>
    </w:p>
    <w:p w:rsidR="00F037FD" w:rsidRDefault="00F037FD">
      <w:pPr>
        <w:pStyle w:val="BodyText"/>
      </w:pPr>
    </w:p>
    <w:p w:rsidR="00F037FD" w:rsidRDefault="00034C5C">
      <w:pPr>
        <w:pStyle w:val="BodyText"/>
        <w:ind w:left="254" w:right="1346"/>
      </w:pPr>
      <w:r>
        <w:t xml:space="preserve">Methotrexate may produce depression of the bone marrow, </w:t>
      </w:r>
      <w:proofErr w:type="spellStart"/>
      <w:r>
        <w:t>anaemia</w:t>
      </w:r>
      <w:proofErr w:type="spellEnd"/>
      <w:r>
        <w:t xml:space="preserve">, aplastic </w:t>
      </w:r>
      <w:proofErr w:type="spellStart"/>
      <w:r>
        <w:t>anaemia</w:t>
      </w:r>
      <w:proofErr w:type="spellEnd"/>
      <w:r>
        <w:t>, leukopenia, neutropenia, thrombocytopenia and bleeding.</w:t>
      </w:r>
    </w:p>
    <w:p w:rsidR="00F037FD" w:rsidRDefault="00F037FD">
      <w:pPr>
        <w:pStyle w:val="BodyText"/>
      </w:pPr>
    </w:p>
    <w:p w:rsidR="00F037FD" w:rsidRDefault="00034C5C">
      <w:pPr>
        <w:pStyle w:val="BodyText"/>
        <w:ind w:left="254" w:right="259"/>
      </w:pPr>
      <w:r>
        <w:t xml:space="preserve">At high or prolonged doses, methotrexate may be hepatotoxic. Liver atrophy, necrosis, cirrhosis, fatty changes and </w:t>
      </w:r>
      <w:proofErr w:type="spellStart"/>
      <w:r>
        <w:t>periportal</w:t>
      </w:r>
      <w:proofErr w:type="spellEnd"/>
      <w:r>
        <w:t xml:space="preserve"> fibrosis have been reported. Since changes may occur without previous signs of gastro-intestinal or </w:t>
      </w:r>
      <w:proofErr w:type="spellStart"/>
      <w:r>
        <w:t>haematological</w:t>
      </w:r>
      <w:proofErr w:type="spellEnd"/>
      <w:r>
        <w:t xml:space="preserve"> toxicity, it is imperative that hepatic</w:t>
      </w:r>
      <w:r>
        <w:rPr>
          <w:spacing w:val="-29"/>
        </w:rPr>
        <w:t xml:space="preserve"> </w:t>
      </w:r>
      <w:r>
        <w:t>function be determined prior to initiation of treatment and monitored regularly throughout therapy. Special caution is indicated in the presence of liver damage or impaired hepatic function. Concomitant use of other drugs with hepatotoxic potential and alcohol should be</w:t>
      </w:r>
      <w:r>
        <w:rPr>
          <w:spacing w:val="-26"/>
        </w:rPr>
        <w:t xml:space="preserve"> </w:t>
      </w:r>
      <w:r>
        <w:t>avoided.</w:t>
      </w:r>
    </w:p>
    <w:p w:rsidR="00F037FD" w:rsidRDefault="00F037FD">
      <w:pPr>
        <w:pStyle w:val="BodyText"/>
        <w:spacing w:before="9"/>
        <w:rPr>
          <w:sz w:val="23"/>
        </w:rPr>
      </w:pPr>
    </w:p>
    <w:p w:rsidR="00F037FD" w:rsidRDefault="00034C5C">
      <w:pPr>
        <w:pStyle w:val="BodyText"/>
        <w:ind w:left="254" w:right="804"/>
      </w:pPr>
      <w:r>
        <w:t xml:space="preserve">Potentially fatal opportunistic infections, especially Pneumocystis </w:t>
      </w:r>
      <w:proofErr w:type="spellStart"/>
      <w:r>
        <w:t>jirovecii</w:t>
      </w:r>
      <w:proofErr w:type="spellEnd"/>
      <w:r>
        <w:t xml:space="preserve"> pneumonia, may occur with methotrexate therapy.</w:t>
      </w:r>
    </w:p>
    <w:p w:rsidR="00F037FD" w:rsidRDefault="00F037FD">
      <w:pPr>
        <w:pStyle w:val="BodyText"/>
        <w:spacing w:before="11"/>
        <w:rPr>
          <w:sz w:val="23"/>
        </w:rPr>
      </w:pPr>
    </w:p>
    <w:p w:rsidR="00F037FD" w:rsidRDefault="00034C5C">
      <w:pPr>
        <w:pStyle w:val="BodyText"/>
        <w:ind w:left="254"/>
      </w:pPr>
      <w:r>
        <w:t>Use in pregnancy</w:t>
      </w:r>
    </w:p>
    <w:p w:rsidR="00F037FD" w:rsidRDefault="00034C5C">
      <w:pPr>
        <w:pStyle w:val="BodyText"/>
        <w:ind w:left="254"/>
      </w:pPr>
      <w:proofErr w:type="gramStart"/>
      <w:r>
        <w:t>Category D.</w:t>
      </w:r>
      <w:proofErr w:type="gramEnd"/>
      <w:r>
        <w:t xml:space="preserve"> This category specifies drugs, which have caused an increased</w:t>
      </w:r>
    </w:p>
    <w:p w:rsidR="00F037FD" w:rsidRDefault="00034C5C">
      <w:pPr>
        <w:pStyle w:val="BodyText"/>
        <w:ind w:left="254" w:right="759"/>
      </w:pPr>
      <w:proofErr w:type="gramStart"/>
      <w:r>
        <w:t>incidence</w:t>
      </w:r>
      <w:proofErr w:type="gramEnd"/>
      <w:r>
        <w:t xml:space="preserve"> of human </w:t>
      </w:r>
      <w:proofErr w:type="spellStart"/>
      <w:r>
        <w:t>foetal</w:t>
      </w:r>
      <w:proofErr w:type="spellEnd"/>
      <w:r>
        <w:t xml:space="preserve"> malformations or irreversible damage. These drugs may also have adverse pharmacological effects.</w:t>
      </w:r>
    </w:p>
    <w:p w:rsidR="00F037FD" w:rsidRDefault="00F037FD">
      <w:pPr>
        <w:pStyle w:val="BodyText"/>
      </w:pPr>
    </w:p>
    <w:p w:rsidR="00F037FD" w:rsidRDefault="00034C5C">
      <w:pPr>
        <w:pStyle w:val="BodyText"/>
        <w:ind w:left="254" w:right="418"/>
      </w:pPr>
      <w:r>
        <w:t xml:space="preserve">Methotrexate has caused </w:t>
      </w:r>
      <w:proofErr w:type="spellStart"/>
      <w:r>
        <w:t>foetal</w:t>
      </w:r>
      <w:proofErr w:type="spellEnd"/>
      <w:r>
        <w:t xml:space="preserve"> death and/or congenital anomalies. It should not be used in pregnant women or in those who might become pregnant. Methotrexate is contraindicated in the treatment of psoriasis and rheumatoid arthritis in pregnant women. Women of childbearing potential should not be started on methotrexate until pregnancy is excluded and should be fully counselled on the serious risk to the </w:t>
      </w:r>
      <w:proofErr w:type="spellStart"/>
      <w:r>
        <w:t>foetus</w:t>
      </w:r>
      <w:proofErr w:type="spellEnd"/>
      <w:r>
        <w:t xml:space="preserve"> should they become pregnant while undergoing treatment.</w:t>
      </w:r>
    </w:p>
    <w:p w:rsidR="00F037FD" w:rsidRDefault="00F037FD">
      <w:pPr>
        <w:sectPr w:rsidR="00F037FD" w:rsidSect="005D3ABA">
          <w:headerReference w:type="default" r:id="rId8"/>
          <w:footerReference w:type="default" r:id="rId9"/>
          <w:type w:val="continuous"/>
          <w:pgSz w:w="11910" w:h="16850"/>
          <w:pgMar w:top="1536" w:right="960" w:bottom="1000" w:left="1020" w:header="567" w:footer="816" w:gutter="0"/>
          <w:pgNumType w:start="1"/>
          <w:cols w:space="720"/>
        </w:sectPr>
      </w:pPr>
    </w:p>
    <w:p w:rsidR="00F037FD" w:rsidRDefault="00F037FD">
      <w:pPr>
        <w:pStyle w:val="BodyText"/>
        <w:rPr>
          <w:sz w:val="20"/>
        </w:rPr>
      </w:pPr>
    </w:p>
    <w:p w:rsidR="00F037FD" w:rsidRDefault="00F037FD">
      <w:pPr>
        <w:pStyle w:val="BodyText"/>
        <w:spacing w:before="10"/>
        <w:rPr>
          <w:sz w:val="22"/>
        </w:rPr>
      </w:pPr>
    </w:p>
    <w:p w:rsidR="00F037FD" w:rsidRDefault="005D3ABA">
      <w:pPr>
        <w:pStyle w:val="BodyText"/>
        <w:spacing w:before="1"/>
        <w:ind w:left="254" w:right="538"/>
      </w:pPr>
      <w:r>
        <w:pict>
          <v:group id="_x0000_s1027" style="position:absolute;left:0;text-align:left;margin-left:57.85pt;margin-top:-3.65pt;width:482.9pt;height:501.35pt;z-index:-22864;mso-position-horizontal-relative:page" coordorigin="1157,-73" coordsize="9658,10027">
            <v:line id="_x0000_s1035" style="position:absolute" from="1171,-63" to="10800,-63" strokeweight=".48pt"/>
            <v:line id="_x0000_s1034" style="position:absolute" from="1166,-68" to="1166,9944" strokeweight=".48pt"/>
            <v:line id="_x0000_s1033" style="position:absolute" from="1162,9948" to="1171,9948" strokeweight=".48pt"/>
            <v:line id="_x0000_s1032" style="position:absolute" from="1162,9948" to="1171,9948" strokeweight=".48pt"/>
            <v:line id="_x0000_s1031" style="position:absolute" from="1171,9948" to="10800,9948" strokeweight=".48pt"/>
            <v:line id="_x0000_s1030" style="position:absolute" from="10804,-68" to="10804,9944" strokeweight=".48pt"/>
            <v:line id="_x0000_s1029" style="position:absolute" from="10800,9948" to="10809,9948" strokeweight=".48pt"/>
            <v:line id="_x0000_s1028" style="position:absolute" from="10800,9948" to="10809,9948" strokeweight=".48pt"/>
            <w10:wrap anchorx="page"/>
          </v:group>
        </w:pict>
      </w:r>
      <w:r w:rsidR="00034C5C">
        <w:t>Pregnancy should be avoided if either partner is receiving methotrexate, during and for a minimum of 3 months after therapy has ceased, although the optimal time interval between the cessation of methotrexate treatment of either partner, and pregnancy, has not been clearly established.</w:t>
      </w:r>
    </w:p>
    <w:p w:rsidR="00F037FD" w:rsidRDefault="00F037FD">
      <w:pPr>
        <w:pStyle w:val="BodyText"/>
        <w:spacing w:before="1"/>
        <w:rPr>
          <w:sz w:val="36"/>
        </w:rPr>
      </w:pPr>
    </w:p>
    <w:p w:rsidR="00F037FD" w:rsidRDefault="00034C5C">
      <w:pPr>
        <w:pStyle w:val="BodyText"/>
        <w:ind w:left="254"/>
      </w:pPr>
      <w:r>
        <w:t>Methotrexate is usually contraindicated in patients with impaired renal function.</w:t>
      </w:r>
    </w:p>
    <w:p w:rsidR="00F037FD" w:rsidRDefault="00F037FD">
      <w:pPr>
        <w:pStyle w:val="BodyText"/>
        <w:spacing w:before="10"/>
        <w:rPr>
          <w:sz w:val="35"/>
        </w:rPr>
      </w:pPr>
    </w:p>
    <w:p w:rsidR="00F037FD" w:rsidRDefault="00034C5C">
      <w:pPr>
        <w:pStyle w:val="BodyText"/>
        <w:ind w:left="254" w:right="448"/>
        <w:jc w:val="both"/>
      </w:pPr>
      <w:r>
        <w:t xml:space="preserve">Serious adverse reactions including bone marrow suppression, aplastic </w:t>
      </w:r>
      <w:proofErr w:type="spellStart"/>
      <w:r>
        <w:t>anaemia</w:t>
      </w:r>
      <w:proofErr w:type="spellEnd"/>
      <w:r>
        <w:t>,</w:t>
      </w:r>
      <w:r>
        <w:rPr>
          <w:spacing w:val="-32"/>
        </w:rPr>
        <w:t xml:space="preserve"> </w:t>
      </w:r>
      <w:r>
        <w:t>gastrointestinal toxicity and death have been reported with concomitant administration of methotrexate (usually in high doses) with some nonsteroidal anti-inflammatory drugs</w:t>
      </w:r>
      <w:r>
        <w:rPr>
          <w:spacing w:val="-15"/>
        </w:rPr>
        <w:t xml:space="preserve"> </w:t>
      </w:r>
      <w:r>
        <w:t>(NSAIDs).</w:t>
      </w:r>
    </w:p>
    <w:p w:rsidR="00F037FD" w:rsidRDefault="00F037FD">
      <w:pPr>
        <w:pStyle w:val="BodyText"/>
        <w:spacing w:before="10"/>
        <w:rPr>
          <w:sz w:val="35"/>
        </w:rPr>
      </w:pPr>
    </w:p>
    <w:p w:rsidR="00F037FD" w:rsidRDefault="00034C5C">
      <w:pPr>
        <w:pStyle w:val="BodyText"/>
        <w:spacing w:before="1"/>
        <w:ind w:left="254"/>
      </w:pPr>
      <w:proofErr w:type="spellStart"/>
      <w:r>
        <w:t>Diarrhoea</w:t>
      </w:r>
      <w:proofErr w:type="spellEnd"/>
      <w:r>
        <w:t xml:space="preserve"> and ulcerative stomatitis are frequent toxic effects and require interruption of therapy, otherwise </w:t>
      </w:r>
      <w:proofErr w:type="spellStart"/>
      <w:r>
        <w:t>haemorrhagic</w:t>
      </w:r>
      <w:proofErr w:type="spellEnd"/>
      <w:r>
        <w:t xml:space="preserve"> enteritis and death from intestinal perforation may occur.</w:t>
      </w:r>
    </w:p>
    <w:p w:rsidR="00F037FD" w:rsidRDefault="00F037FD">
      <w:pPr>
        <w:pStyle w:val="BodyText"/>
        <w:spacing w:before="1"/>
        <w:rPr>
          <w:sz w:val="36"/>
        </w:rPr>
      </w:pPr>
    </w:p>
    <w:p w:rsidR="00F037FD" w:rsidRDefault="00034C5C">
      <w:pPr>
        <w:pStyle w:val="BodyText"/>
        <w:ind w:left="254" w:right="545"/>
      </w:pPr>
      <w:r>
        <w:t xml:space="preserve">Pulmonary toxicity including acute or chronic interstitial pneumonitis and pulmonary fibrosis, which can progress rapidly and is potentially fatal, has been associated with methotrexate therapy. It may occur acutely at any time during therapy and has been reported at low doses. Methotrexate should be discontinued and careful clinical evaluation </w:t>
      </w:r>
      <w:proofErr w:type="gramStart"/>
      <w:r>
        <w:t>be</w:t>
      </w:r>
      <w:proofErr w:type="gramEnd"/>
      <w:r>
        <w:t xml:space="preserve"> performed in patients developing symptoms of pulmonary toxicity (</w:t>
      </w:r>
      <w:proofErr w:type="spellStart"/>
      <w:r>
        <w:t>eg</w:t>
      </w:r>
      <w:proofErr w:type="spellEnd"/>
      <w:r>
        <w:t xml:space="preserve">. Dry, non-productive cough, </w:t>
      </w:r>
      <w:proofErr w:type="spellStart"/>
      <w:r>
        <w:t>dyspnoea</w:t>
      </w:r>
      <w:proofErr w:type="spellEnd"/>
      <w:r>
        <w:t>).</w:t>
      </w:r>
    </w:p>
    <w:p w:rsidR="00F037FD" w:rsidRDefault="00034C5C">
      <w:pPr>
        <w:pStyle w:val="BodyText"/>
        <w:ind w:left="254" w:right="598"/>
      </w:pPr>
      <w:r>
        <w:t>Management of methotrexate-induced pulmonary toxicity is mainly supportive. Methotrexate- induced pulmonary toxicity may not be fully reversible. Pulmonary lesions can occur at all dosages. Infection (including pneumonia) needs to be excluded. Patients should be closely monitored for pulmonary symptoms.</w:t>
      </w:r>
    </w:p>
    <w:p w:rsidR="00F037FD" w:rsidRDefault="00F037FD">
      <w:pPr>
        <w:pStyle w:val="BodyText"/>
        <w:spacing w:before="11"/>
        <w:rPr>
          <w:sz w:val="35"/>
        </w:rPr>
      </w:pPr>
    </w:p>
    <w:p w:rsidR="00F037FD" w:rsidRDefault="00034C5C">
      <w:pPr>
        <w:pStyle w:val="BodyText"/>
        <w:ind w:left="254" w:right="303"/>
        <w:jc w:val="both"/>
      </w:pPr>
      <w:r>
        <w:t>Use in children: Aside from its established use in cancer chemotherapy the safety and efficacy of using methotrexate to treat severe rheumatoid arthritis and psoriasis in children has not been fully elucidated.</w:t>
      </w:r>
    </w:p>
    <w:p w:rsidR="00F037FD" w:rsidRDefault="00F037FD">
      <w:pPr>
        <w:pStyle w:val="BodyText"/>
        <w:spacing w:before="1"/>
        <w:rPr>
          <w:sz w:val="36"/>
        </w:rPr>
      </w:pPr>
    </w:p>
    <w:p w:rsidR="00F037FD" w:rsidRDefault="00034C5C">
      <w:pPr>
        <w:pStyle w:val="BodyText"/>
        <w:ind w:left="254" w:right="239"/>
      </w:pPr>
      <w:r>
        <w:t xml:space="preserve">Both the physician and the pharmacist should </w:t>
      </w:r>
      <w:proofErr w:type="spellStart"/>
      <w:r>
        <w:t>emphasise</w:t>
      </w:r>
      <w:proofErr w:type="spellEnd"/>
      <w:r>
        <w:t xml:space="preserve"> to the patient the importance of the weekly dosing regimen: mistaken daily use may cause serious and sometimes life- threatening or fatal toxicity. For the same reason great care should be taken with dispensing to ensure the correct dose of methotrexate is given to the patient.</w:t>
      </w:r>
    </w:p>
    <w:p w:rsidR="00F037FD" w:rsidRDefault="00F037FD">
      <w:pPr>
        <w:sectPr w:rsidR="00F037FD">
          <w:pgSz w:w="11910" w:h="16850"/>
          <w:pgMar w:top="1160" w:right="960" w:bottom="1000" w:left="1020" w:header="883" w:footer="816" w:gutter="0"/>
          <w:cols w:space="720"/>
        </w:sectPr>
      </w:pPr>
    </w:p>
    <w:p w:rsidR="00F037FD" w:rsidRDefault="00F037FD">
      <w:pPr>
        <w:pStyle w:val="BodyText"/>
        <w:rPr>
          <w:sz w:val="20"/>
        </w:rPr>
      </w:pPr>
    </w:p>
    <w:p w:rsidR="00F037FD" w:rsidRDefault="00F037FD">
      <w:pPr>
        <w:pStyle w:val="BodyText"/>
        <w:spacing w:before="10"/>
        <w:rPr>
          <w:sz w:val="21"/>
        </w:rPr>
      </w:pPr>
    </w:p>
    <w:p w:rsidR="00F037FD" w:rsidRDefault="00034C5C">
      <w:pPr>
        <w:pStyle w:val="Heading1"/>
      </w:pPr>
      <w:r>
        <w:t>NAME OF THE MEDICINE</w:t>
      </w:r>
    </w:p>
    <w:p w:rsidR="00F037FD" w:rsidRDefault="00F037FD">
      <w:pPr>
        <w:pStyle w:val="BodyText"/>
        <w:spacing w:before="3"/>
        <w:rPr>
          <w:b/>
          <w:sz w:val="23"/>
        </w:rPr>
      </w:pPr>
    </w:p>
    <w:p w:rsidR="00F037FD" w:rsidRDefault="00034C5C">
      <w:pPr>
        <w:pStyle w:val="BodyText"/>
        <w:spacing w:before="1" w:line="482" w:lineRule="auto"/>
        <w:ind w:left="141" w:right="5517"/>
      </w:pPr>
      <w:r>
        <w:t xml:space="preserve">TREXJECT IN, Methotrexate (as sodium) </w:t>
      </w:r>
      <w:proofErr w:type="gramStart"/>
      <w:r>
        <w:t>The</w:t>
      </w:r>
      <w:proofErr w:type="gramEnd"/>
      <w:r>
        <w:t xml:space="preserve"> structural formula is represented below.</w:t>
      </w:r>
    </w:p>
    <w:p w:rsidR="00F037FD" w:rsidRDefault="00034C5C">
      <w:pPr>
        <w:pStyle w:val="BodyText"/>
        <w:spacing w:before="7"/>
        <w:rPr>
          <w:sz w:val="15"/>
        </w:rPr>
      </w:pPr>
      <w:r>
        <w:rPr>
          <w:noProof/>
          <w:lang w:val="en-AU" w:eastAsia="en-AU"/>
        </w:rPr>
        <w:drawing>
          <wp:anchor distT="0" distB="0" distL="0" distR="0" simplePos="0" relativeHeight="1072" behindDoc="0" locked="0" layoutInCell="1" allowOverlap="1">
            <wp:simplePos x="0" y="0"/>
            <wp:positionH relativeFrom="page">
              <wp:posOffset>934211</wp:posOffset>
            </wp:positionH>
            <wp:positionV relativeFrom="paragraph">
              <wp:posOffset>139305</wp:posOffset>
            </wp:positionV>
            <wp:extent cx="4524500" cy="1558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524500" cy="1558861"/>
                    </a:xfrm>
                    <a:prstGeom prst="rect">
                      <a:avLst/>
                    </a:prstGeom>
                  </pic:spPr>
                </pic:pic>
              </a:graphicData>
            </a:graphic>
          </wp:anchor>
        </w:drawing>
      </w:r>
    </w:p>
    <w:p w:rsidR="00F037FD" w:rsidRDefault="00F037FD">
      <w:pPr>
        <w:pStyle w:val="BodyText"/>
        <w:spacing w:before="1"/>
        <w:rPr>
          <w:sz w:val="32"/>
        </w:rPr>
      </w:pPr>
    </w:p>
    <w:p w:rsidR="00F037FD" w:rsidRDefault="00034C5C">
      <w:pPr>
        <w:pStyle w:val="BodyText"/>
        <w:tabs>
          <w:tab w:val="left" w:pos="2690"/>
        </w:tabs>
        <w:spacing w:before="1" w:line="458" w:lineRule="auto"/>
        <w:ind w:left="141" w:right="6072"/>
      </w:pPr>
      <w:r>
        <w:t>Molecular</w:t>
      </w:r>
      <w:r>
        <w:rPr>
          <w:spacing w:val="-1"/>
        </w:rPr>
        <w:t xml:space="preserve"> </w:t>
      </w:r>
      <w:r>
        <w:t>Formula:</w:t>
      </w:r>
      <w:r>
        <w:tab/>
        <w:t>C</w:t>
      </w:r>
      <w:r>
        <w:rPr>
          <w:position w:val="-3"/>
          <w:sz w:val="16"/>
        </w:rPr>
        <w:t>20</w:t>
      </w:r>
      <w:r>
        <w:t>H</w:t>
      </w:r>
      <w:r>
        <w:rPr>
          <w:position w:val="-3"/>
          <w:sz w:val="16"/>
        </w:rPr>
        <w:t>22</w:t>
      </w:r>
      <w:r>
        <w:t>N</w:t>
      </w:r>
      <w:r>
        <w:rPr>
          <w:position w:val="-3"/>
          <w:sz w:val="16"/>
        </w:rPr>
        <w:t>8</w:t>
      </w:r>
      <w:r>
        <w:t>O</w:t>
      </w:r>
      <w:r>
        <w:rPr>
          <w:position w:val="-3"/>
          <w:sz w:val="16"/>
        </w:rPr>
        <w:t xml:space="preserve">5 </w:t>
      </w:r>
      <w:r>
        <w:t>Molecular</w:t>
      </w:r>
      <w:r>
        <w:rPr>
          <w:spacing w:val="-2"/>
        </w:rPr>
        <w:t xml:space="preserve"> </w:t>
      </w:r>
      <w:r>
        <w:t>Weight:</w:t>
      </w:r>
      <w:r>
        <w:tab/>
        <w:t>454.4</w:t>
      </w:r>
    </w:p>
    <w:p w:rsidR="00F037FD" w:rsidRDefault="00034C5C">
      <w:pPr>
        <w:pStyle w:val="BodyText"/>
        <w:tabs>
          <w:tab w:val="left" w:pos="2693"/>
        </w:tabs>
        <w:spacing w:before="48"/>
        <w:ind w:left="141"/>
        <w:jc w:val="both"/>
      </w:pPr>
      <w:r>
        <w:t>CAS</w:t>
      </w:r>
      <w:r>
        <w:tab/>
        <w:t xml:space="preserve">Number:  </w:t>
      </w:r>
      <w:r>
        <w:rPr>
          <w:spacing w:val="16"/>
        </w:rPr>
        <w:t xml:space="preserve"> </w:t>
      </w:r>
      <w:r>
        <w:t>59-05-2</w:t>
      </w:r>
    </w:p>
    <w:p w:rsidR="00F037FD" w:rsidRDefault="00F037FD">
      <w:pPr>
        <w:pStyle w:val="BodyText"/>
        <w:spacing w:before="6"/>
        <w:rPr>
          <w:sz w:val="38"/>
        </w:rPr>
      </w:pPr>
    </w:p>
    <w:p w:rsidR="00F037FD" w:rsidRDefault="00034C5C">
      <w:pPr>
        <w:pStyle w:val="Heading1"/>
      </w:pPr>
      <w:r>
        <w:t>DESCRIPTION</w:t>
      </w:r>
    </w:p>
    <w:p w:rsidR="00F037FD" w:rsidRDefault="00F037FD">
      <w:pPr>
        <w:pStyle w:val="BodyText"/>
        <w:spacing w:before="4"/>
        <w:rPr>
          <w:b/>
          <w:sz w:val="23"/>
        </w:rPr>
      </w:pPr>
    </w:p>
    <w:p w:rsidR="00F037FD" w:rsidRDefault="00034C5C">
      <w:pPr>
        <w:pStyle w:val="BodyText"/>
        <w:ind w:left="141" w:right="134"/>
        <w:jc w:val="both"/>
      </w:pPr>
      <w:r>
        <w:t>Methotrexate is (2</w:t>
      </w:r>
      <w:r>
        <w:rPr>
          <w:i/>
        </w:rPr>
        <w:t>S</w:t>
      </w:r>
      <w:r>
        <w:t>)-2-[(4-{[(2</w:t>
      </w:r>
      <w:proofErr w:type="gramStart"/>
      <w:r>
        <w:t>,4</w:t>
      </w:r>
      <w:proofErr w:type="gramEnd"/>
      <w:r>
        <w:t xml:space="preserve">-diaminopteridin-6-yl)methyl]methylamino}benzoyl)amino] </w:t>
      </w:r>
      <w:proofErr w:type="spellStart"/>
      <w:r>
        <w:t>pentanedioic</w:t>
      </w:r>
      <w:proofErr w:type="spellEnd"/>
      <w:r>
        <w:rPr>
          <w:spacing w:val="-6"/>
        </w:rPr>
        <w:t xml:space="preserve"> </w:t>
      </w:r>
      <w:r>
        <w:t>acid.</w:t>
      </w:r>
      <w:r>
        <w:rPr>
          <w:spacing w:val="-8"/>
        </w:rPr>
        <w:t xml:space="preserve"> </w:t>
      </w:r>
      <w:r>
        <w:t>It</w:t>
      </w:r>
      <w:r>
        <w:rPr>
          <w:spacing w:val="-8"/>
        </w:rPr>
        <w:t xml:space="preserve"> </w:t>
      </w:r>
      <w:r>
        <w:t>is</w:t>
      </w:r>
      <w:r>
        <w:rPr>
          <w:spacing w:val="-8"/>
        </w:rPr>
        <w:t xml:space="preserve"> </w:t>
      </w:r>
      <w:r>
        <w:t>a</w:t>
      </w:r>
      <w:r>
        <w:rPr>
          <w:spacing w:val="-9"/>
        </w:rPr>
        <w:t xml:space="preserve"> </w:t>
      </w:r>
      <w:r>
        <w:t>yellow</w:t>
      </w:r>
      <w:r>
        <w:rPr>
          <w:spacing w:val="-6"/>
        </w:rPr>
        <w:t xml:space="preserve"> </w:t>
      </w:r>
      <w:r>
        <w:t>to</w:t>
      </w:r>
      <w:r>
        <w:rPr>
          <w:spacing w:val="-8"/>
        </w:rPr>
        <w:t xml:space="preserve"> </w:t>
      </w:r>
      <w:r>
        <w:t>orange,</w:t>
      </w:r>
      <w:r>
        <w:rPr>
          <w:spacing w:val="-3"/>
        </w:rPr>
        <w:t xml:space="preserve"> </w:t>
      </w:r>
      <w:r>
        <w:t>crystalline</w:t>
      </w:r>
      <w:r>
        <w:rPr>
          <w:spacing w:val="-9"/>
        </w:rPr>
        <w:t xml:space="preserve"> </w:t>
      </w:r>
      <w:r>
        <w:t>powder,</w:t>
      </w:r>
      <w:r>
        <w:rPr>
          <w:spacing w:val="-3"/>
        </w:rPr>
        <w:t xml:space="preserve"> </w:t>
      </w:r>
      <w:r>
        <w:t>practically</w:t>
      </w:r>
      <w:r>
        <w:rPr>
          <w:spacing w:val="-8"/>
        </w:rPr>
        <w:t xml:space="preserve"> </w:t>
      </w:r>
      <w:r>
        <w:t>insoluble</w:t>
      </w:r>
      <w:r>
        <w:rPr>
          <w:spacing w:val="-9"/>
        </w:rPr>
        <w:t xml:space="preserve"> </w:t>
      </w:r>
      <w:r>
        <w:t>in</w:t>
      </w:r>
      <w:r>
        <w:rPr>
          <w:spacing w:val="-5"/>
        </w:rPr>
        <w:t xml:space="preserve"> </w:t>
      </w:r>
      <w:r>
        <w:t>water,</w:t>
      </w:r>
      <w:r>
        <w:rPr>
          <w:spacing w:val="-8"/>
        </w:rPr>
        <w:t xml:space="preserve"> </w:t>
      </w:r>
      <w:r>
        <w:t xml:space="preserve">alcohol, </w:t>
      </w:r>
      <w:proofErr w:type="gramStart"/>
      <w:r>
        <w:t>ether</w:t>
      </w:r>
      <w:proofErr w:type="gramEnd"/>
      <w:r>
        <w:t xml:space="preserve"> and ethylene chloride. It dissolves in dilute solutions of mineral acids and in dilute solutions of alkali hydroxides and</w:t>
      </w:r>
      <w:r>
        <w:rPr>
          <w:spacing w:val="-11"/>
        </w:rPr>
        <w:t xml:space="preserve"> </w:t>
      </w:r>
      <w:r>
        <w:t>carbonates.</w:t>
      </w:r>
    </w:p>
    <w:p w:rsidR="00F037FD" w:rsidRDefault="00F037FD">
      <w:pPr>
        <w:pStyle w:val="BodyText"/>
        <w:spacing w:before="4"/>
      </w:pPr>
    </w:p>
    <w:p w:rsidR="00F037FD" w:rsidRDefault="00034C5C">
      <w:pPr>
        <w:pStyle w:val="BodyText"/>
        <w:ind w:left="141" w:right="134"/>
        <w:jc w:val="both"/>
      </w:pPr>
      <w:r>
        <w:t>TREXJECT IN is a sterile, clear, yellow-brown solution of Methotrexate sodium in Water for Injections,</w:t>
      </w:r>
      <w:r>
        <w:rPr>
          <w:spacing w:val="-11"/>
        </w:rPr>
        <w:t xml:space="preserve"> </w:t>
      </w:r>
      <w:r>
        <w:t>practically</w:t>
      </w:r>
      <w:r>
        <w:rPr>
          <w:spacing w:val="-14"/>
        </w:rPr>
        <w:t xml:space="preserve"> </w:t>
      </w:r>
      <w:r>
        <w:t>free</w:t>
      </w:r>
      <w:r>
        <w:rPr>
          <w:spacing w:val="-14"/>
        </w:rPr>
        <w:t xml:space="preserve"> </w:t>
      </w:r>
      <w:r>
        <w:t>from</w:t>
      </w:r>
      <w:r>
        <w:rPr>
          <w:spacing w:val="-13"/>
        </w:rPr>
        <w:t xml:space="preserve"> </w:t>
      </w:r>
      <w:r>
        <w:t>visible</w:t>
      </w:r>
      <w:r>
        <w:rPr>
          <w:spacing w:val="-14"/>
        </w:rPr>
        <w:t xml:space="preserve"> </w:t>
      </w:r>
      <w:r>
        <w:t>particles.</w:t>
      </w:r>
      <w:r>
        <w:rPr>
          <w:spacing w:val="-12"/>
        </w:rPr>
        <w:t xml:space="preserve"> </w:t>
      </w:r>
      <w:r>
        <w:t>Sodium</w:t>
      </w:r>
      <w:r>
        <w:rPr>
          <w:spacing w:val="-13"/>
        </w:rPr>
        <w:t xml:space="preserve"> </w:t>
      </w:r>
      <w:r>
        <w:t>Chloride</w:t>
      </w:r>
      <w:r>
        <w:rPr>
          <w:spacing w:val="-14"/>
        </w:rPr>
        <w:t xml:space="preserve"> </w:t>
      </w:r>
      <w:r>
        <w:t>is</w:t>
      </w:r>
      <w:r>
        <w:rPr>
          <w:spacing w:val="-11"/>
        </w:rPr>
        <w:t xml:space="preserve"> </w:t>
      </w:r>
      <w:r>
        <w:t>included</w:t>
      </w:r>
      <w:r>
        <w:rPr>
          <w:spacing w:val="-12"/>
        </w:rPr>
        <w:t xml:space="preserve"> </w:t>
      </w:r>
      <w:r>
        <w:t>for</w:t>
      </w:r>
      <w:r>
        <w:rPr>
          <w:spacing w:val="-12"/>
        </w:rPr>
        <w:t xml:space="preserve"> </w:t>
      </w:r>
      <w:proofErr w:type="spellStart"/>
      <w:r>
        <w:t>isotonicity</w:t>
      </w:r>
      <w:proofErr w:type="spellEnd"/>
      <w:r>
        <w:t>.</w:t>
      </w:r>
      <w:r>
        <w:rPr>
          <w:spacing w:val="-12"/>
        </w:rPr>
        <w:t xml:space="preserve"> </w:t>
      </w:r>
      <w:r>
        <w:t xml:space="preserve">Sodium Hydroxide is included </w:t>
      </w:r>
      <w:r>
        <w:rPr>
          <w:spacing w:val="-3"/>
        </w:rPr>
        <w:t xml:space="preserve">for </w:t>
      </w:r>
      <w:r>
        <w:t>pH adjustment. TREXJECT IN Injection contains no anti- microbial preservative.</w:t>
      </w:r>
    </w:p>
    <w:p w:rsidR="00F037FD" w:rsidRDefault="00F037FD">
      <w:pPr>
        <w:pStyle w:val="BodyText"/>
        <w:spacing w:before="9"/>
        <w:rPr>
          <w:sz w:val="25"/>
        </w:rPr>
      </w:pPr>
    </w:p>
    <w:p w:rsidR="00F037FD" w:rsidRDefault="00034C5C">
      <w:pPr>
        <w:pStyle w:val="BodyText"/>
        <w:ind w:left="141" w:right="131"/>
        <w:jc w:val="both"/>
      </w:pPr>
      <w:r>
        <w:t>One</w:t>
      </w:r>
      <w:r>
        <w:rPr>
          <w:spacing w:val="-17"/>
        </w:rPr>
        <w:t xml:space="preserve"> </w:t>
      </w:r>
      <w:r>
        <w:t>mL</w:t>
      </w:r>
      <w:r>
        <w:rPr>
          <w:spacing w:val="-15"/>
        </w:rPr>
        <w:t xml:space="preserve"> </w:t>
      </w:r>
      <w:r>
        <w:t>of</w:t>
      </w:r>
      <w:r>
        <w:rPr>
          <w:spacing w:val="-15"/>
        </w:rPr>
        <w:t xml:space="preserve"> </w:t>
      </w:r>
      <w:r>
        <w:t>solution</w:t>
      </w:r>
      <w:r>
        <w:rPr>
          <w:spacing w:val="-14"/>
        </w:rPr>
        <w:t xml:space="preserve"> </w:t>
      </w:r>
      <w:r>
        <w:t>contains</w:t>
      </w:r>
      <w:r>
        <w:rPr>
          <w:spacing w:val="-14"/>
        </w:rPr>
        <w:t xml:space="preserve"> </w:t>
      </w:r>
      <w:r>
        <w:t>50</w:t>
      </w:r>
      <w:r>
        <w:rPr>
          <w:spacing w:val="-16"/>
        </w:rPr>
        <w:t xml:space="preserve"> </w:t>
      </w:r>
      <w:r>
        <w:t>mg</w:t>
      </w:r>
      <w:r>
        <w:rPr>
          <w:spacing w:val="-17"/>
        </w:rPr>
        <w:t xml:space="preserve"> </w:t>
      </w:r>
      <w:r>
        <w:t>of</w:t>
      </w:r>
      <w:r>
        <w:rPr>
          <w:spacing w:val="-15"/>
        </w:rPr>
        <w:t xml:space="preserve"> </w:t>
      </w:r>
      <w:r>
        <w:t>methotrexate</w:t>
      </w:r>
      <w:r>
        <w:rPr>
          <w:spacing w:val="-18"/>
        </w:rPr>
        <w:t xml:space="preserve"> </w:t>
      </w:r>
      <w:r>
        <w:t>as</w:t>
      </w:r>
      <w:r>
        <w:rPr>
          <w:spacing w:val="-14"/>
        </w:rPr>
        <w:t xml:space="preserve"> </w:t>
      </w:r>
      <w:r>
        <w:t>methotrexate</w:t>
      </w:r>
      <w:r>
        <w:rPr>
          <w:spacing w:val="-18"/>
        </w:rPr>
        <w:t xml:space="preserve"> </w:t>
      </w:r>
      <w:r>
        <w:t>sodium,</w:t>
      </w:r>
      <w:r>
        <w:rPr>
          <w:spacing w:val="-14"/>
        </w:rPr>
        <w:t xml:space="preserve"> </w:t>
      </w:r>
      <w:r>
        <w:t>4</w:t>
      </w:r>
      <w:r>
        <w:rPr>
          <w:spacing w:val="-14"/>
        </w:rPr>
        <w:t xml:space="preserve"> </w:t>
      </w:r>
      <w:r>
        <w:t>mg</w:t>
      </w:r>
      <w:r>
        <w:rPr>
          <w:spacing w:val="-17"/>
        </w:rPr>
        <w:t xml:space="preserve"> </w:t>
      </w:r>
      <w:r>
        <w:t>of</w:t>
      </w:r>
      <w:r>
        <w:rPr>
          <w:spacing w:val="-15"/>
        </w:rPr>
        <w:t xml:space="preserve"> </w:t>
      </w:r>
      <w:r>
        <w:t>sodium</w:t>
      </w:r>
      <w:r>
        <w:rPr>
          <w:spacing w:val="-16"/>
        </w:rPr>
        <w:t xml:space="preserve"> </w:t>
      </w:r>
      <w:r>
        <w:t xml:space="preserve">chloride, approximately 10 mg of sodium hydroxide and water for injections to a total volume of 1 </w:t>
      </w:r>
      <w:proofErr w:type="spellStart"/>
      <w:r>
        <w:t>mL.</w:t>
      </w:r>
      <w:proofErr w:type="spellEnd"/>
      <w:r>
        <w:t xml:space="preserve"> The volume</w:t>
      </w:r>
      <w:r>
        <w:rPr>
          <w:spacing w:val="-14"/>
        </w:rPr>
        <w:t xml:space="preserve"> </w:t>
      </w:r>
      <w:r>
        <w:t>of</w:t>
      </w:r>
      <w:r>
        <w:rPr>
          <w:spacing w:val="-12"/>
        </w:rPr>
        <w:t xml:space="preserve"> </w:t>
      </w:r>
      <w:r>
        <w:t>injection</w:t>
      </w:r>
      <w:r>
        <w:rPr>
          <w:spacing w:val="-11"/>
        </w:rPr>
        <w:t xml:space="preserve"> </w:t>
      </w:r>
      <w:r>
        <w:t>is</w:t>
      </w:r>
      <w:r>
        <w:rPr>
          <w:spacing w:val="-14"/>
        </w:rPr>
        <w:t xml:space="preserve"> </w:t>
      </w:r>
      <w:r>
        <w:t>sufficient</w:t>
      </w:r>
      <w:r>
        <w:rPr>
          <w:spacing w:val="-11"/>
        </w:rPr>
        <w:t xml:space="preserve"> </w:t>
      </w:r>
      <w:r>
        <w:t>to</w:t>
      </w:r>
      <w:r>
        <w:rPr>
          <w:spacing w:val="-14"/>
        </w:rPr>
        <w:t xml:space="preserve"> </w:t>
      </w:r>
      <w:r>
        <w:t>permit</w:t>
      </w:r>
      <w:r>
        <w:rPr>
          <w:spacing w:val="-13"/>
        </w:rPr>
        <w:t xml:space="preserve"> </w:t>
      </w:r>
      <w:r>
        <w:t>administration</w:t>
      </w:r>
      <w:r>
        <w:rPr>
          <w:spacing w:val="-11"/>
        </w:rPr>
        <w:t xml:space="preserve"> </w:t>
      </w:r>
      <w:r>
        <w:t>of</w:t>
      </w:r>
      <w:r>
        <w:rPr>
          <w:spacing w:val="-12"/>
        </w:rPr>
        <w:t xml:space="preserve"> </w:t>
      </w:r>
      <w:r>
        <w:t>the</w:t>
      </w:r>
      <w:r>
        <w:rPr>
          <w:spacing w:val="-15"/>
        </w:rPr>
        <w:t xml:space="preserve"> </w:t>
      </w:r>
      <w:r>
        <w:t>nominal</w:t>
      </w:r>
      <w:r>
        <w:rPr>
          <w:spacing w:val="-11"/>
        </w:rPr>
        <w:t xml:space="preserve"> </w:t>
      </w:r>
      <w:r>
        <w:t>volume</w:t>
      </w:r>
      <w:r>
        <w:rPr>
          <w:spacing w:val="-15"/>
        </w:rPr>
        <w:t xml:space="preserve"> </w:t>
      </w:r>
      <w:r>
        <w:t>declared</w:t>
      </w:r>
      <w:r>
        <w:rPr>
          <w:spacing w:val="-12"/>
        </w:rPr>
        <w:t xml:space="preserve"> </w:t>
      </w:r>
      <w:r>
        <w:t>on</w:t>
      </w:r>
      <w:r>
        <w:rPr>
          <w:spacing w:val="-12"/>
        </w:rPr>
        <w:t xml:space="preserve"> </w:t>
      </w:r>
      <w:r>
        <w:t>the</w:t>
      </w:r>
      <w:r>
        <w:rPr>
          <w:spacing w:val="-15"/>
        </w:rPr>
        <w:t xml:space="preserve"> </w:t>
      </w:r>
      <w:r>
        <w:t>label.</w:t>
      </w:r>
    </w:p>
    <w:p w:rsidR="00F037FD" w:rsidRDefault="00F037FD">
      <w:pPr>
        <w:pStyle w:val="BodyText"/>
        <w:spacing w:before="4"/>
      </w:pPr>
    </w:p>
    <w:p w:rsidR="00F037FD" w:rsidRDefault="00034C5C">
      <w:pPr>
        <w:pStyle w:val="BodyText"/>
        <w:ind w:left="141"/>
        <w:jc w:val="both"/>
      </w:pPr>
      <w:r>
        <w:t>TREXJECT IN Injection has a pH of 7.5 to 9.0.</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6"/>
        <w:rPr>
          <w:sz w:val="11"/>
        </w:rPr>
      </w:pPr>
    </w:p>
    <w:p w:rsidR="00F037FD" w:rsidRDefault="00034C5C">
      <w:pPr>
        <w:pStyle w:val="Heading1"/>
        <w:spacing w:before="90"/>
      </w:pPr>
      <w:r>
        <w:t>PHARMACOLOGY</w:t>
      </w:r>
    </w:p>
    <w:p w:rsidR="00F037FD" w:rsidRDefault="00F037FD">
      <w:pPr>
        <w:pStyle w:val="BodyText"/>
        <w:spacing w:before="4"/>
        <w:rPr>
          <w:b/>
          <w:sz w:val="23"/>
        </w:rPr>
      </w:pPr>
    </w:p>
    <w:p w:rsidR="00F037FD" w:rsidRDefault="00034C5C">
      <w:pPr>
        <w:pStyle w:val="BodyText"/>
        <w:spacing w:before="1"/>
        <w:ind w:left="141" w:right="133"/>
        <w:jc w:val="both"/>
      </w:pPr>
      <w:r>
        <w:t xml:space="preserve">Methotrexate is an antimetabolite antineoplastic agent, which exerts its cytotoxic effect through competitive inhibition of </w:t>
      </w:r>
      <w:proofErr w:type="spellStart"/>
      <w:r>
        <w:t>dihydrofolate</w:t>
      </w:r>
      <w:proofErr w:type="spellEnd"/>
      <w:r>
        <w:t xml:space="preserve"> reductase, the enzyme that reduces folic acid to </w:t>
      </w:r>
      <w:proofErr w:type="spellStart"/>
      <w:r>
        <w:t>tetrahydrofolic</w:t>
      </w:r>
      <w:proofErr w:type="spellEnd"/>
      <w:r>
        <w:rPr>
          <w:spacing w:val="-7"/>
        </w:rPr>
        <w:t xml:space="preserve"> </w:t>
      </w:r>
      <w:r>
        <w:t>acid.</w:t>
      </w:r>
      <w:r>
        <w:rPr>
          <w:spacing w:val="-8"/>
        </w:rPr>
        <w:t xml:space="preserve"> </w:t>
      </w:r>
      <w:r>
        <w:t>Inhibition</w:t>
      </w:r>
      <w:r>
        <w:rPr>
          <w:spacing w:val="-6"/>
        </w:rPr>
        <w:t xml:space="preserve"> </w:t>
      </w:r>
      <w:r>
        <w:t>of</w:t>
      </w:r>
      <w:r>
        <w:rPr>
          <w:spacing w:val="-8"/>
        </w:rPr>
        <w:t xml:space="preserve"> </w:t>
      </w:r>
      <w:proofErr w:type="spellStart"/>
      <w:r>
        <w:t>tetrahydrofolic</w:t>
      </w:r>
      <w:proofErr w:type="spellEnd"/>
      <w:r>
        <w:rPr>
          <w:spacing w:val="-8"/>
        </w:rPr>
        <w:t xml:space="preserve"> </w:t>
      </w:r>
      <w:r>
        <w:t>acid</w:t>
      </w:r>
      <w:r>
        <w:rPr>
          <w:spacing w:val="-11"/>
        </w:rPr>
        <w:t xml:space="preserve"> </w:t>
      </w:r>
      <w:r>
        <w:t>results</w:t>
      </w:r>
      <w:r>
        <w:rPr>
          <w:spacing w:val="-6"/>
        </w:rPr>
        <w:t xml:space="preserve"> </w:t>
      </w:r>
      <w:r>
        <w:t>in</w:t>
      </w:r>
      <w:r>
        <w:rPr>
          <w:spacing w:val="-11"/>
        </w:rPr>
        <w:t xml:space="preserve"> </w:t>
      </w:r>
      <w:r>
        <w:t>interference</w:t>
      </w:r>
      <w:r>
        <w:rPr>
          <w:spacing w:val="-8"/>
        </w:rPr>
        <w:t xml:space="preserve"> </w:t>
      </w:r>
      <w:r>
        <w:t>with</w:t>
      </w:r>
      <w:r>
        <w:rPr>
          <w:spacing w:val="-10"/>
        </w:rPr>
        <w:t xml:space="preserve"> </w:t>
      </w:r>
      <w:r>
        <w:t>DNA</w:t>
      </w:r>
      <w:r>
        <w:rPr>
          <w:spacing w:val="-7"/>
        </w:rPr>
        <w:t xml:space="preserve"> </w:t>
      </w:r>
      <w:r>
        <w:t>synthesis</w:t>
      </w:r>
      <w:r>
        <w:rPr>
          <w:spacing w:val="-6"/>
        </w:rPr>
        <w:t xml:space="preserve"> </w:t>
      </w:r>
      <w:r>
        <w:t>and cellular</w:t>
      </w:r>
      <w:r>
        <w:rPr>
          <w:spacing w:val="-9"/>
        </w:rPr>
        <w:t xml:space="preserve"> </w:t>
      </w:r>
      <w:r>
        <w:t>reproduction.</w:t>
      </w:r>
    </w:p>
    <w:p w:rsidR="00F037FD" w:rsidRDefault="00F037FD">
      <w:pPr>
        <w:pStyle w:val="BodyText"/>
        <w:spacing w:before="4"/>
      </w:pPr>
    </w:p>
    <w:p w:rsidR="00F037FD" w:rsidRDefault="00034C5C">
      <w:pPr>
        <w:pStyle w:val="BodyText"/>
        <w:spacing w:before="1"/>
        <w:ind w:left="141" w:right="137"/>
        <w:jc w:val="both"/>
      </w:pPr>
      <w:r>
        <w:t xml:space="preserve">Tissues with high rates of cellular proliferation, </w:t>
      </w:r>
      <w:proofErr w:type="spellStart"/>
      <w:r>
        <w:t>eg</w:t>
      </w:r>
      <w:proofErr w:type="spellEnd"/>
      <w:r>
        <w:t xml:space="preserve">. </w:t>
      </w:r>
      <w:proofErr w:type="gramStart"/>
      <w:r>
        <w:t>bone</w:t>
      </w:r>
      <w:proofErr w:type="gramEnd"/>
      <w:r>
        <w:t xml:space="preserve"> marrow, </w:t>
      </w:r>
      <w:proofErr w:type="spellStart"/>
      <w:r>
        <w:t>foetal</w:t>
      </w:r>
      <w:proofErr w:type="spellEnd"/>
      <w:r>
        <w:t xml:space="preserve"> cells, dermal epithelium, buccal</w:t>
      </w:r>
      <w:r>
        <w:rPr>
          <w:spacing w:val="-16"/>
        </w:rPr>
        <w:t xml:space="preserve"> </w:t>
      </w:r>
      <w:r>
        <w:t>and</w:t>
      </w:r>
      <w:r>
        <w:rPr>
          <w:spacing w:val="-15"/>
        </w:rPr>
        <w:t xml:space="preserve"> </w:t>
      </w:r>
      <w:r>
        <w:t>intestinal</w:t>
      </w:r>
      <w:r>
        <w:rPr>
          <w:spacing w:val="-14"/>
        </w:rPr>
        <w:t xml:space="preserve"> </w:t>
      </w:r>
      <w:r>
        <w:t>mucosa</w:t>
      </w:r>
      <w:r>
        <w:rPr>
          <w:spacing w:val="-10"/>
        </w:rPr>
        <w:t xml:space="preserve"> </w:t>
      </w:r>
      <w:r>
        <w:t>and</w:t>
      </w:r>
      <w:r>
        <w:rPr>
          <w:spacing w:val="-17"/>
        </w:rPr>
        <w:t xml:space="preserve"> </w:t>
      </w:r>
      <w:r>
        <w:t>cells</w:t>
      </w:r>
      <w:r>
        <w:rPr>
          <w:spacing w:val="-12"/>
        </w:rPr>
        <w:t xml:space="preserve"> </w:t>
      </w:r>
      <w:r>
        <w:t>of</w:t>
      </w:r>
      <w:r>
        <w:rPr>
          <w:spacing w:val="-13"/>
        </w:rPr>
        <w:t xml:space="preserve"> </w:t>
      </w:r>
      <w:r>
        <w:t>the</w:t>
      </w:r>
      <w:r>
        <w:rPr>
          <w:spacing w:val="-15"/>
        </w:rPr>
        <w:t xml:space="preserve"> </w:t>
      </w:r>
      <w:r>
        <w:t>urinary</w:t>
      </w:r>
      <w:r>
        <w:rPr>
          <w:spacing w:val="-14"/>
        </w:rPr>
        <w:t xml:space="preserve"> </w:t>
      </w:r>
      <w:r>
        <w:t>bladder</w:t>
      </w:r>
      <w:r>
        <w:rPr>
          <w:spacing w:val="-13"/>
        </w:rPr>
        <w:t xml:space="preserve"> </w:t>
      </w:r>
      <w:r>
        <w:t>are</w:t>
      </w:r>
      <w:r>
        <w:rPr>
          <w:spacing w:val="-15"/>
        </w:rPr>
        <w:t xml:space="preserve"> </w:t>
      </w:r>
      <w:r>
        <w:t>generally</w:t>
      </w:r>
      <w:r>
        <w:rPr>
          <w:spacing w:val="-14"/>
        </w:rPr>
        <w:t xml:space="preserve"> </w:t>
      </w:r>
      <w:r>
        <w:t>more</w:t>
      </w:r>
      <w:r>
        <w:rPr>
          <w:spacing w:val="-15"/>
        </w:rPr>
        <w:t xml:space="preserve"> </w:t>
      </w:r>
      <w:r>
        <w:t>sensitive</w:t>
      </w:r>
      <w:r>
        <w:rPr>
          <w:spacing w:val="-15"/>
        </w:rPr>
        <w:t xml:space="preserve"> </w:t>
      </w:r>
      <w:r>
        <w:t>to</w:t>
      </w:r>
      <w:r>
        <w:rPr>
          <w:spacing w:val="-14"/>
        </w:rPr>
        <w:t xml:space="preserve"> </w:t>
      </w:r>
      <w:r>
        <w:t>this</w:t>
      </w:r>
      <w:r>
        <w:rPr>
          <w:spacing w:val="-14"/>
        </w:rPr>
        <w:t xml:space="preserve"> </w:t>
      </w:r>
      <w:r>
        <w:t>effect of</w:t>
      </w:r>
      <w:r>
        <w:rPr>
          <w:spacing w:val="-7"/>
        </w:rPr>
        <w:t xml:space="preserve"> </w:t>
      </w:r>
      <w:r>
        <w:t>methotrexate.</w:t>
      </w:r>
    </w:p>
    <w:p w:rsidR="00F037FD" w:rsidRDefault="00F037FD">
      <w:pPr>
        <w:pStyle w:val="BodyText"/>
      </w:pPr>
    </w:p>
    <w:p w:rsidR="00F037FD" w:rsidRDefault="00034C5C">
      <w:pPr>
        <w:pStyle w:val="BodyText"/>
        <w:ind w:left="141" w:right="134"/>
        <w:jc w:val="both"/>
      </w:pPr>
      <w:r>
        <w:t>In</w:t>
      </w:r>
      <w:r>
        <w:rPr>
          <w:spacing w:val="-8"/>
        </w:rPr>
        <w:t xml:space="preserve"> </w:t>
      </w:r>
      <w:r>
        <w:t>psoriasis,</w:t>
      </w:r>
      <w:r>
        <w:rPr>
          <w:spacing w:val="-6"/>
        </w:rPr>
        <w:t xml:space="preserve"> </w:t>
      </w:r>
      <w:r>
        <w:t>the</w:t>
      </w:r>
      <w:r>
        <w:rPr>
          <w:spacing w:val="-9"/>
        </w:rPr>
        <w:t xml:space="preserve"> </w:t>
      </w:r>
      <w:r>
        <w:t>rate</w:t>
      </w:r>
      <w:r>
        <w:rPr>
          <w:spacing w:val="-9"/>
        </w:rPr>
        <w:t xml:space="preserve"> </w:t>
      </w:r>
      <w:r>
        <w:t>of</w:t>
      </w:r>
      <w:r>
        <w:rPr>
          <w:spacing w:val="-7"/>
        </w:rPr>
        <w:t xml:space="preserve"> </w:t>
      </w:r>
      <w:r>
        <w:t>production</w:t>
      </w:r>
      <w:r>
        <w:rPr>
          <w:spacing w:val="-6"/>
        </w:rPr>
        <w:t xml:space="preserve"> </w:t>
      </w:r>
      <w:r>
        <w:t>of</w:t>
      </w:r>
      <w:r>
        <w:rPr>
          <w:spacing w:val="-4"/>
        </w:rPr>
        <w:t xml:space="preserve"> </w:t>
      </w:r>
      <w:r>
        <w:t>epithelial</w:t>
      </w:r>
      <w:r>
        <w:rPr>
          <w:spacing w:val="-8"/>
        </w:rPr>
        <w:t xml:space="preserve"> </w:t>
      </w:r>
      <w:r>
        <w:t>cells</w:t>
      </w:r>
      <w:r>
        <w:rPr>
          <w:spacing w:val="-6"/>
        </w:rPr>
        <w:t xml:space="preserve"> </w:t>
      </w:r>
      <w:r>
        <w:t>in</w:t>
      </w:r>
      <w:r>
        <w:rPr>
          <w:spacing w:val="-8"/>
        </w:rPr>
        <w:t xml:space="preserve"> </w:t>
      </w:r>
      <w:r>
        <w:t>the</w:t>
      </w:r>
      <w:r>
        <w:rPr>
          <w:spacing w:val="-8"/>
        </w:rPr>
        <w:t xml:space="preserve"> </w:t>
      </w:r>
      <w:r>
        <w:t>skin</w:t>
      </w:r>
      <w:r>
        <w:rPr>
          <w:spacing w:val="-8"/>
        </w:rPr>
        <w:t xml:space="preserve"> </w:t>
      </w:r>
      <w:r>
        <w:t>is</w:t>
      </w:r>
      <w:r>
        <w:rPr>
          <w:spacing w:val="-8"/>
        </w:rPr>
        <w:t xml:space="preserve"> </w:t>
      </w:r>
      <w:r>
        <w:t>greatly</w:t>
      </w:r>
      <w:r>
        <w:rPr>
          <w:spacing w:val="-8"/>
        </w:rPr>
        <w:t xml:space="preserve"> </w:t>
      </w:r>
      <w:r>
        <w:t>increased</w:t>
      </w:r>
      <w:r>
        <w:rPr>
          <w:spacing w:val="-6"/>
        </w:rPr>
        <w:t xml:space="preserve"> </w:t>
      </w:r>
      <w:r>
        <w:t>over</w:t>
      </w:r>
      <w:r>
        <w:rPr>
          <w:spacing w:val="-4"/>
        </w:rPr>
        <w:t xml:space="preserve"> </w:t>
      </w:r>
      <w:r>
        <w:t>normal</w:t>
      </w:r>
      <w:r>
        <w:rPr>
          <w:spacing w:val="-5"/>
        </w:rPr>
        <w:t xml:space="preserve"> </w:t>
      </w:r>
      <w:r>
        <w:t>skin. This differential in reproductive rates provides the basis for use of methotrexate to control the psoriatic</w:t>
      </w:r>
      <w:r>
        <w:rPr>
          <w:spacing w:val="-7"/>
        </w:rPr>
        <w:t xml:space="preserve"> </w:t>
      </w:r>
      <w:r>
        <w:t>process.</w:t>
      </w:r>
    </w:p>
    <w:p w:rsidR="00F037FD" w:rsidRDefault="00F037FD">
      <w:pPr>
        <w:pStyle w:val="BodyText"/>
        <w:spacing w:before="5"/>
      </w:pPr>
    </w:p>
    <w:p w:rsidR="00F037FD" w:rsidRDefault="00034C5C">
      <w:pPr>
        <w:pStyle w:val="BodyText"/>
        <w:ind w:left="141" w:right="131"/>
        <w:jc w:val="both"/>
      </w:pPr>
      <w:r>
        <w:t>In</w:t>
      </w:r>
      <w:r>
        <w:rPr>
          <w:spacing w:val="-6"/>
        </w:rPr>
        <w:t xml:space="preserve"> </w:t>
      </w:r>
      <w:r>
        <w:t>patients</w:t>
      </w:r>
      <w:r>
        <w:rPr>
          <w:spacing w:val="-6"/>
        </w:rPr>
        <w:t xml:space="preserve"> </w:t>
      </w:r>
      <w:r>
        <w:t>with</w:t>
      </w:r>
      <w:r>
        <w:rPr>
          <w:spacing w:val="-9"/>
        </w:rPr>
        <w:t xml:space="preserve"> </w:t>
      </w:r>
      <w:r>
        <w:t>rheumatoid</w:t>
      </w:r>
      <w:r>
        <w:rPr>
          <w:spacing w:val="-6"/>
        </w:rPr>
        <w:t xml:space="preserve"> </w:t>
      </w:r>
      <w:r>
        <w:t>arthritis,</w:t>
      </w:r>
      <w:r>
        <w:rPr>
          <w:spacing w:val="-4"/>
        </w:rPr>
        <w:t xml:space="preserve"> </w:t>
      </w:r>
      <w:r>
        <w:t>effects</w:t>
      </w:r>
      <w:r>
        <w:rPr>
          <w:spacing w:val="-4"/>
        </w:rPr>
        <w:t xml:space="preserve"> </w:t>
      </w:r>
      <w:r>
        <w:t>of</w:t>
      </w:r>
      <w:r>
        <w:rPr>
          <w:spacing w:val="-5"/>
        </w:rPr>
        <w:t xml:space="preserve"> </w:t>
      </w:r>
      <w:r>
        <w:t>methotrexate</w:t>
      </w:r>
      <w:r>
        <w:rPr>
          <w:spacing w:val="-8"/>
        </w:rPr>
        <w:t xml:space="preserve"> </w:t>
      </w:r>
      <w:r>
        <w:t>on</w:t>
      </w:r>
      <w:r>
        <w:rPr>
          <w:spacing w:val="-4"/>
        </w:rPr>
        <w:t xml:space="preserve"> </w:t>
      </w:r>
      <w:r>
        <w:t>articular</w:t>
      </w:r>
      <w:r>
        <w:rPr>
          <w:spacing w:val="-5"/>
        </w:rPr>
        <w:t xml:space="preserve"> </w:t>
      </w:r>
      <w:r>
        <w:t>swelling</w:t>
      </w:r>
      <w:r>
        <w:rPr>
          <w:spacing w:val="-7"/>
        </w:rPr>
        <w:t xml:space="preserve"> </w:t>
      </w:r>
      <w:r>
        <w:t>and</w:t>
      </w:r>
      <w:r>
        <w:rPr>
          <w:spacing w:val="-9"/>
        </w:rPr>
        <w:t xml:space="preserve"> </w:t>
      </w:r>
      <w:r>
        <w:t>tenderness</w:t>
      </w:r>
      <w:r>
        <w:rPr>
          <w:spacing w:val="-7"/>
        </w:rPr>
        <w:t xml:space="preserve"> </w:t>
      </w:r>
      <w:r>
        <w:t xml:space="preserve">can be seen as early as three to six weeks. Although methotrexate clearly ameliorates symptoms </w:t>
      </w:r>
      <w:r>
        <w:rPr>
          <w:spacing w:val="-3"/>
        </w:rPr>
        <w:t xml:space="preserve">of </w:t>
      </w:r>
      <w:r>
        <w:t xml:space="preserve">inflammation (pain, swelling, stiffness) there is no evidence that it </w:t>
      </w:r>
      <w:proofErr w:type="gramStart"/>
      <w:r>
        <w:t>reduces</w:t>
      </w:r>
      <w:proofErr w:type="gramEnd"/>
      <w:r>
        <w:t xml:space="preserve"> remission of rheumatoid arthritis</w:t>
      </w:r>
      <w:r>
        <w:rPr>
          <w:spacing w:val="-10"/>
        </w:rPr>
        <w:t xml:space="preserve"> </w:t>
      </w:r>
      <w:r>
        <w:t>nor</w:t>
      </w:r>
      <w:r>
        <w:rPr>
          <w:spacing w:val="-8"/>
        </w:rPr>
        <w:t xml:space="preserve"> </w:t>
      </w:r>
      <w:r>
        <w:t>has</w:t>
      </w:r>
      <w:r>
        <w:rPr>
          <w:spacing w:val="-13"/>
        </w:rPr>
        <w:t xml:space="preserve"> </w:t>
      </w:r>
      <w:r>
        <w:t>a</w:t>
      </w:r>
      <w:r>
        <w:rPr>
          <w:spacing w:val="-9"/>
        </w:rPr>
        <w:t xml:space="preserve"> </w:t>
      </w:r>
      <w:r>
        <w:t>beneficial</w:t>
      </w:r>
      <w:r>
        <w:rPr>
          <w:spacing w:val="-10"/>
        </w:rPr>
        <w:t xml:space="preserve"> </w:t>
      </w:r>
      <w:r>
        <w:t>effect</w:t>
      </w:r>
      <w:r>
        <w:rPr>
          <w:spacing w:val="-9"/>
        </w:rPr>
        <w:t xml:space="preserve"> </w:t>
      </w:r>
      <w:r>
        <w:t>been</w:t>
      </w:r>
      <w:r>
        <w:rPr>
          <w:spacing w:val="-9"/>
        </w:rPr>
        <w:t xml:space="preserve"> </w:t>
      </w:r>
      <w:r>
        <w:t>demonstrated</w:t>
      </w:r>
      <w:r>
        <w:rPr>
          <w:spacing w:val="-9"/>
        </w:rPr>
        <w:t xml:space="preserve"> </w:t>
      </w:r>
      <w:r>
        <w:t>on</w:t>
      </w:r>
      <w:r>
        <w:rPr>
          <w:spacing w:val="-9"/>
        </w:rPr>
        <w:t xml:space="preserve"> </w:t>
      </w:r>
      <w:r>
        <w:t>bone</w:t>
      </w:r>
      <w:r>
        <w:rPr>
          <w:spacing w:val="-9"/>
        </w:rPr>
        <w:t xml:space="preserve"> </w:t>
      </w:r>
      <w:r>
        <w:t>erosion</w:t>
      </w:r>
      <w:r>
        <w:rPr>
          <w:spacing w:val="-9"/>
        </w:rPr>
        <w:t xml:space="preserve"> </w:t>
      </w:r>
      <w:r>
        <w:t>and</w:t>
      </w:r>
      <w:r>
        <w:rPr>
          <w:spacing w:val="-9"/>
        </w:rPr>
        <w:t xml:space="preserve"> </w:t>
      </w:r>
      <w:r>
        <w:t>other</w:t>
      </w:r>
      <w:r>
        <w:rPr>
          <w:spacing w:val="-8"/>
        </w:rPr>
        <w:t xml:space="preserve"> </w:t>
      </w:r>
      <w:r>
        <w:t>radiological</w:t>
      </w:r>
      <w:r>
        <w:rPr>
          <w:spacing w:val="-10"/>
        </w:rPr>
        <w:t xml:space="preserve"> </w:t>
      </w:r>
      <w:r>
        <w:t>changes which result in impaired joint use, functional disability and deformity. Most studies of methotrexate in patients with rheumatoid arthritis are relatively short term (three to six months). Data from long- term studies indicate that an initial clinical improvement is maintained for at least two years with continued</w:t>
      </w:r>
      <w:r>
        <w:rPr>
          <w:spacing w:val="-4"/>
        </w:rPr>
        <w:t xml:space="preserve"> </w:t>
      </w:r>
      <w:r>
        <w:t>therapy.</w:t>
      </w:r>
    </w:p>
    <w:p w:rsidR="00F037FD" w:rsidRDefault="00F037FD">
      <w:pPr>
        <w:pStyle w:val="BodyText"/>
        <w:spacing w:before="7"/>
        <w:rPr>
          <w:sz w:val="25"/>
        </w:rPr>
      </w:pPr>
    </w:p>
    <w:p w:rsidR="00F037FD" w:rsidRDefault="00034C5C">
      <w:pPr>
        <w:pStyle w:val="Heading1"/>
      </w:pPr>
      <w:r>
        <w:t>Pharmacokinetics</w:t>
      </w:r>
    </w:p>
    <w:p w:rsidR="00F037FD" w:rsidRDefault="00F037FD">
      <w:pPr>
        <w:pStyle w:val="BodyText"/>
        <w:spacing w:before="3"/>
        <w:rPr>
          <w:b/>
          <w:sz w:val="23"/>
        </w:rPr>
      </w:pPr>
    </w:p>
    <w:p w:rsidR="00F037FD" w:rsidRDefault="00034C5C">
      <w:pPr>
        <w:spacing w:before="1"/>
        <w:ind w:left="141"/>
        <w:jc w:val="both"/>
        <w:rPr>
          <w:i/>
          <w:sz w:val="24"/>
        </w:rPr>
      </w:pPr>
      <w:r>
        <w:rPr>
          <w:i/>
          <w:sz w:val="24"/>
        </w:rPr>
        <w:t>Absorption</w:t>
      </w:r>
    </w:p>
    <w:p w:rsidR="00F037FD" w:rsidRDefault="00F037FD">
      <w:pPr>
        <w:pStyle w:val="BodyText"/>
        <w:spacing w:before="2"/>
        <w:rPr>
          <w:i/>
        </w:rPr>
      </w:pPr>
    </w:p>
    <w:p w:rsidR="00F037FD" w:rsidRDefault="00034C5C">
      <w:pPr>
        <w:pStyle w:val="BodyText"/>
        <w:spacing w:before="1"/>
        <w:ind w:left="141" w:right="135"/>
        <w:jc w:val="both"/>
      </w:pPr>
      <w:r>
        <w:t>Methotrexate is incompletely absorbed after oral administration. Absorption is significantly higher after intramuscular and subcutaneous administration with no differences between both routes. Peak serum levels may be achieved within 0.25 and 1 hour following intramuscular (IM) administration and 0.25 to 1.5 hours following subcutaneous (SC) administration.</w:t>
      </w:r>
    </w:p>
    <w:p w:rsidR="00F037FD" w:rsidRDefault="00F037FD">
      <w:pPr>
        <w:pStyle w:val="BodyText"/>
        <w:spacing w:before="4"/>
      </w:pPr>
    </w:p>
    <w:p w:rsidR="00F037FD" w:rsidRDefault="00034C5C">
      <w:pPr>
        <w:spacing w:before="1"/>
        <w:ind w:left="141"/>
        <w:jc w:val="both"/>
        <w:rPr>
          <w:i/>
          <w:sz w:val="24"/>
        </w:rPr>
      </w:pPr>
      <w:r>
        <w:rPr>
          <w:i/>
          <w:sz w:val="24"/>
        </w:rPr>
        <w:t>Distribution</w:t>
      </w:r>
    </w:p>
    <w:p w:rsidR="00F037FD" w:rsidRDefault="00F037FD">
      <w:pPr>
        <w:pStyle w:val="BodyText"/>
        <w:spacing w:before="2"/>
        <w:rPr>
          <w:i/>
        </w:rPr>
      </w:pPr>
    </w:p>
    <w:p w:rsidR="00F037FD" w:rsidRDefault="00034C5C">
      <w:pPr>
        <w:pStyle w:val="BodyText"/>
        <w:ind w:left="141" w:right="132"/>
        <w:jc w:val="both"/>
      </w:pPr>
      <w:r>
        <w:t xml:space="preserve">Approximately 50% of the absorbed methotrexate is reversibly bound to serum proteins. Methotrexate is widely distributed into body tissues and concentrates in the kidneys, liver and gastrointestinal tract. It also distributes into third-space accumulation of fluid, e.g. ascites or pleural effusions. Methotrexate does not reach therapeutic concentrations in the cerebrospinal fluid (CSF) when given orally or </w:t>
      </w:r>
      <w:proofErr w:type="spellStart"/>
      <w:r>
        <w:t>parenterally</w:t>
      </w:r>
      <w:proofErr w:type="spellEnd"/>
      <w:r>
        <w:t>.</w:t>
      </w:r>
    </w:p>
    <w:p w:rsidR="00F037FD" w:rsidRDefault="00F037FD">
      <w:pPr>
        <w:pStyle w:val="BodyText"/>
        <w:spacing w:before="7"/>
      </w:pPr>
    </w:p>
    <w:p w:rsidR="00F037FD" w:rsidRDefault="00034C5C">
      <w:pPr>
        <w:ind w:left="141"/>
        <w:jc w:val="both"/>
        <w:rPr>
          <w:i/>
          <w:sz w:val="24"/>
        </w:rPr>
      </w:pPr>
      <w:r>
        <w:rPr>
          <w:i/>
          <w:sz w:val="24"/>
        </w:rPr>
        <w:t>Metabolism</w:t>
      </w:r>
    </w:p>
    <w:p w:rsidR="00F037FD" w:rsidRDefault="00F037FD">
      <w:pPr>
        <w:pStyle w:val="BodyText"/>
        <w:spacing w:before="11"/>
        <w:rPr>
          <w:i/>
          <w:sz w:val="23"/>
        </w:rPr>
      </w:pPr>
    </w:p>
    <w:p w:rsidR="00F037FD" w:rsidRDefault="00034C5C">
      <w:pPr>
        <w:pStyle w:val="BodyText"/>
        <w:ind w:left="141" w:right="134"/>
        <w:jc w:val="both"/>
      </w:pPr>
      <w:r>
        <w:t xml:space="preserve">Approx. 10 % of the administered methotrexate dose is </w:t>
      </w:r>
      <w:proofErr w:type="spellStart"/>
      <w:r>
        <w:t>metabolised</w:t>
      </w:r>
      <w:proofErr w:type="spellEnd"/>
      <w:r>
        <w:t xml:space="preserve"> </w:t>
      </w:r>
      <w:proofErr w:type="spellStart"/>
      <w:r>
        <w:t>intrahepatically</w:t>
      </w:r>
      <w:proofErr w:type="spellEnd"/>
      <w:r>
        <w:t>. The principle metabolite is 7-hydroxymethotrexate.</w:t>
      </w:r>
    </w:p>
    <w:p w:rsidR="00F037FD" w:rsidRDefault="00F037FD">
      <w:pPr>
        <w:pStyle w:val="BodyText"/>
        <w:spacing w:before="7"/>
      </w:pPr>
    </w:p>
    <w:p w:rsidR="00F037FD" w:rsidRDefault="00034C5C">
      <w:pPr>
        <w:ind w:left="141"/>
        <w:jc w:val="both"/>
        <w:rPr>
          <w:i/>
          <w:sz w:val="24"/>
        </w:rPr>
      </w:pPr>
      <w:r>
        <w:rPr>
          <w:i/>
          <w:sz w:val="24"/>
        </w:rPr>
        <w:t>Elimination</w:t>
      </w:r>
    </w:p>
    <w:p w:rsidR="00F037FD" w:rsidRDefault="00F037FD">
      <w:pPr>
        <w:pStyle w:val="BodyText"/>
        <w:spacing w:before="2"/>
        <w:rPr>
          <w:i/>
        </w:rPr>
      </w:pPr>
    </w:p>
    <w:p w:rsidR="00F037FD" w:rsidRDefault="00034C5C">
      <w:pPr>
        <w:pStyle w:val="BodyText"/>
        <w:ind w:left="141" w:right="135"/>
        <w:jc w:val="both"/>
      </w:pPr>
      <w:r>
        <w:t xml:space="preserve">Methotrexate is predominantly excreted by the kidneys and small amounts appear in the </w:t>
      </w:r>
      <w:proofErr w:type="spellStart"/>
      <w:r>
        <w:t>faeces</w:t>
      </w:r>
      <w:proofErr w:type="spellEnd"/>
      <w:r>
        <w:t>. Excretion of methotrexate is reduced in the presence of impaired renal function.</w:t>
      </w:r>
    </w:p>
    <w:p w:rsidR="00F037FD" w:rsidRDefault="00F037FD">
      <w:pPr>
        <w:jc w:val="both"/>
        <w:sectPr w:rsidR="00F037FD" w:rsidSect="005D3ABA">
          <w:pgSz w:w="11910" w:h="16850"/>
          <w:pgMar w:top="1160" w:right="960" w:bottom="1000" w:left="1020" w:header="709" w:footer="816" w:gutter="0"/>
          <w:cols w:space="720"/>
        </w:sectPr>
      </w:pPr>
    </w:p>
    <w:p w:rsidR="00F037FD" w:rsidRDefault="00F037FD">
      <w:pPr>
        <w:pStyle w:val="BodyText"/>
        <w:spacing w:before="10"/>
        <w:rPr>
          <w:sz w:val="10"/>
        </w:rPr>
      </w:pPr>
    </w:p>
    <w:p w:rsidR="00F037FD" w:rsidRDefault="00034C5C">
      <w:pPr>
        <w:pStyle w:val="Heading1"/>
        <w:spacing w:before="100"/>
      </w:pPr>
      <w:r>
        <w:t>MC</w:t>
      </w:r>
      <w:r>
        <w:rPr>
          <w:rFonts w:ascii="Cambria Math" w:hAnsi="Cambria Math"/>
        </w:rPr>
        <w:t>‐</w:t>
      </w:r>
      <w:r>
        <w:t>MTX.7/PH</w:t>
      </w:r>
    </w:p>
    <w:p w:rsidR="00F037FD" w:rsidRDefault="00F037FD">
      <w:pPr>
        <w:pStyle w:val="BodyText"/>
        <w:spacing w:before="7"/>
        <w:rPr>
          <w:b/>
          <w:sz w:val="22"/>
        </w:rPr>
      </w:pPr>
    </w:p>
    <w:p w:rsidR="00F037FD" w:rsidRDefault="00034C5C">
      <w:pPr>
        <w:pStyle w:val="BodyText"/>
        <w:spacing w:before="1"/>
        <w:ind w:left="141" w:right="137"/>
        <w:jc w:val="both"/>
      </w:pPr>
      <w:r>
        <w:t>Study MC</w:t>
      </w:r>
      <w:r>
        <w:rPr>
          <w:rFonts w:ascii="Cambria Math" w:hAnsi="Cambria Math"/>
        </w:rPr>
        <w:t>‐</w:t>
      </w:r>
      <w:r>
        <w:t>MTX.7/PH was an open</w:t>
      </w:r>
      <w:r>
        <w:rPr>
          <w:rFonts w:ascii="Cambria Math" w:hAnsi="Cambria Math"/>
        </w:rPr>
        <w:t>‐</w:t>
      </w:r>
      <w:r>
        <w:t>label, single dose, 2</w:t>
      </w:r>
      <w:r>
        <w:rPr>
          <w:rFonts w:ascii="Cambria Math" w:hAnsi="Cambria Math"/>
        </w:rPr>
        <w:t>‐</w:t>
      </w:r>
      <w:r>
        <w:t>period crossover Phase 1 study comparing IM and SC doses of MTX 15 mg (using the 10 mg/mL injection solution). The primary objective of the</w:t>
      </w:r>
      <w:r>
        <w:rPr>
          <w:spacing w:val="-7"/>
        </w:rPr>
        <w:t xml:space="preserve"> </w:t>
      </w:r>
      <w:r>
        <w:t>study</w:t>
      </w:r>
      <w:r>
        <w:rPr>
          <w:spacing w:val="-6"/>
        </w:rPr>
        <w:t xml:space="preserve"> </w:t>
      </w:r>
      <w:r>
        <w:t>was</w:t>
      </w:r>
      <w:r>
        <w:rPr>
          <w:spacing w:val="-4"/>
        </w:rPr>
        <w:t xml:space="preserve"> </w:t>
      </w:r>
      <w:r>
        <w:t>to</w:t>
      </w:r>
      <w:r>
        <w:rPr>
          <w:spacing w:val="-3"/>
        </w:rPr>
        <w:t xml:space="preserve"> </w:t>
      </w:r>
      <w:r>
        <w:t>evaluate</w:t>
      </w:r>
      <w:r>
        <w:rPr>
          <w:spacing w:val="-7"/>
        </w:rPr>
        <w:t xml:space="preserve"> </w:t>
      </w:r>
      <w:r>
        <w:t>the</w:t>
      </w:r>
      <w:r>
        <w:rPr>
          <w:spacing w:val="-7"/>
        </w:rPr>
        <w:t xml:space="preserve"> </w:t>
      </w:r>
      <w:r>
        <w:t>PK</w:t>
      </w:r>
      <w:r>
        <w:rPr>
          <w:spacing w:val="-7"/>
        </w:rPr>
        <w:t xml:space="preserve"> </w:t>
      </w:r>
      <w:r>
        <w:t>characteristics,</w:t>
      </w:r>
      <w:r>
        <w:rPr>
          <w:spacing w:val="-4"/>
        </w:rPr>
        <w:t xml:space="preserve"> </w:t>
      </w:r>
      <w:r>
        <w:t>and</w:t>
      </w:r>
      <w:r>
        <w:rPr>
          <w:spacing w:val="-4"/>
        </w:rPr>
        <w:t xml:space="preserve"> </w:t>
      </w:r>
      <w:r>
        <w:t>the</w:t>
      </w:r>
      <w:r>
        <w:rPr>
          <w:spacing w:val="-7"/>
        </w:rPr>
        <w:t xml:space="preserve"> </w:t>
      </w:r>
      <w:r>
        <w:t>rate</w:t>
      </w:r>
      <w:r>
        <w:rPr>
          <w:spacing w:val="-7"/>
        </w:rPr>
        <w:t xml:space="preserve"> </w:t>
      </w:r>
      <w:r>
        <w:t>and</w:t>
      </w:r>
      <w:r>
        <w:rPr>
          <w:spacing w:val="-6"/>
        </w:rPr>
        <w:t xml:space="preserve"> </w:t>
      </w:r>
      <w:r>
        <w:t>extent</w:t>
      </w:r>
      <w:r>
        <w:rPr>
          <w:spacing w:val="-3"/>
        </w:rPr>
        <w:t xml:space="preserve"> </w:t>
      </w:r>
      <w:r>
        <w:t>of</w:t>
      </w:r>
      <w:r>
        <w:rPr>
          <w:spacing w:val="-5"/>
        </w:rPr>
        <w:t xml:space="preserve"> </w:t>
      </w:r>
      <w:r>
        <w:t>absorption</w:t>
      </w:r>
      <w:r>
        <w:rPr>
          <w:spacing w:val="-4"/>
        </w:rPr>
        <w:t xml:space="preserve"> </w:t>
      </w:r>
      <w:r>
        <w:t>of</w:t>
      </w:r>
      <w:r>
        <w:rPr>
          <w:spacing w:val="-5"/>
        </w:rPr>
        <w:t xml:space="preserve"> </w:t>
      </w:r>
      <w:r>
        <w:t>MTX</w:t>
      </w:r>
      <w:r>
        <w:rPr>
          <w:spacing w:val="-4"/>
        </w:rPr>
        <w:t xml:space="preserve"> </w:t>
      </w:r>
      <w:r>
        <w:t>15</w:t>
      </w:r>
      <w:r>
        <w:rPr>
          <w:spacing w:val="-4"/>
        </w:rPr>
        <w:t xml:space="preserve"> </w:t>
      </w:r>
      <w:r>
        <w:t>mg given by IM versus SC</w:t>
      </w:r>
      <w:r>
        <w:rPr>
          <w:spacing w:val="-9"/>
        </w:rPr>
        <w:t xml:space="preserve"> </w:t>
      </w:r>
      <w:r>
        <w:t>administration.</w:t>
      </w:r>
    </w:p>
    <w:p w:rsidR="00F037FD" w:rsidRDefault="00F037FD">
      <w:pPr>
        <w:pStyle w:val="BodyText"/>
        <w:spacing w:before="3"/>
      </w:pPr>
    </w:p>
    <w:p w:rsidR="00F037FD" w:rsidRDefault="00034C5C">
      <w:pPr>
        <w:pStyle w:val="BodyText"/>
        <w:ind w:left="141" w:right="138"/>
        <w:jc w:val="both"/>
      </w:pPr>
      <w:r>
        <w:t>The</w:t>
      </w:r>
      <w:r>
        <w:rPr>
          <w:spacing w:val="-10"/>
        </w:rPr>
        <w:t xml:space="preserve"> </w:t>
      </w:r>
      <w:r>
        <w:t>primary</w:t>
      </w:r>
      <w:r>
        <w:rPr>
          <w:spacing w:val="-11"/>
        </w:rPr>
        <w:t xml:space="preserve"> </w:t>
      </w:r>
      <w:r>
        <w:t>PK</w:t>
      </w:r>
      <w:r>
        <w:rPr>
          <w:spacing w:val="-12"/>
        </w:rPr>
        <w:t xml:space="preserve"> </w:t>
      </w:r>
      <w:r>
        <w:t>results</w:t>
      </w:r>
      <w:r>
        <w:rPr>
          <w:spacing w:val="-8"/>
        </w:rPr>
        <w:t xml:space="preserve"> </w:t>
      </w:r>
      <w:r>
        <w:t>of</w:t>
      </w:r>
      <w:r>
        <w:rPr>
          <w:spacing w:val="-8"/>
        </w:rPr>
        <w:t xml:space="preserve"> </w:t>
      </w:r>
      <w:r>
        <w:t>Study</w:t>
      </w:r>
      <w:r>
        <w:rPr>
          <w:spacing w:val="-11"/>
        </w:rPr>
        <w:t xml:space="preserve"> </w:t>
      </w:r>
      <w:r>
        <w:t>MC</w:t>
      </w:r>
      <w:r>
        <w:rPr>
          <w:rFonts w:ascii="Cambria Math" w:hAnsi="Cambria Math"/>
        </w:rPr>
        <w:t>‐</w:t>
      </w:r>
      <w:r>
        <w:t>MTX.7/PH</w:t>
      </w:r>
      <w:r>
        <w:rPr>
          <w:spacing w:val="-9"/>
        </w:rPr>
        <w:t xml:space="preserve"> </w:t>
      </w:r>
      <w:r>
        <w:t>showed</w:t>
      </w:r>
      <w:r>
        <w:rPr>
          <w:spacing w:val="-7"/>
        </w:rPr>
        <w:t xml:space="preserve"> </w:t>
      </w:r>
      <w:r>
        <w:t>that</w:t>
      </w:r>
      <w:r>
        <w:rPr>
          <w:spacing w:val="-9"/>
        </w:rPr>
        <w:t xml:space="preserve"> </w:t>
      </w:r>
      <w:r>
        <w:t>the</w:t>
      </w:r>
      <w:r>
        <w:rPr>
          <w:spacing w:val="-9"/>
        </w:rPr>
        <w:t xml:space="preserve"> </w:t>
      </w:r>
      <w:r>
        <w:t>SC</w:t>
      </w:r>
      <w:r>
        <w:rPr>
          <w:spacing w:val="-10"/>
        </w:rPr>
        <w:t xml:space="preserve"> </w:t>
      </w:r>
      <w:r>
        <w:t>and</w:t>
      </w:r>
      <w:r>
        <w:rPr>
          <w:spacing w:val="-11"/>
        </w:rPr>
        <w:t xml:space="preserve"> </w:t>
      </w:r>
      <w:r>
        <w:t>IM</w:t>
      </w:r>
      <w:r>
        <w:rPr>
          <w:spacing w:val="-9"/>
        </w:rPr>
        <w:t xml:space="preserve"> </w:t>
      </w:r>
      <w:r>
        <w:t>routes</w:t>
      </w:r>
      <w:r>
        <w:rPr>
          <w:spacing w:val="-7"/>
        </w:rPr>
        <w:t xml:space="preserve"> </w:t>
      </w:r>
      <w:r>
        <w:t>of</w:t>
      </w:r>
      <w:r>
        <w:rPr>
          <w:spacing w:val="-8"/>
        </w:rPr>
        <w:t xml:space="preserve"> </w:t>
      </w:r>
      <w:r>
        <w:t>administration for</w:t>
      </w:r>
      <w:r>
        <w:rPr>
          <w:spacing w:val="-4"/>
        </w:rPr>
        <w:t xml:space="preserve"> </w:t>
      </w:r>
      <w:r>
        <w:t>MTX</w:t>
      </w:r>
      <w:r>
        <w:rPr>
          <w:spacing w:val="-6"/>
        </w:rPr>
        <w:t xml:space="preserve"> </w:t>
      </w:r>
      <w:r>
        <w:t>were</w:t>
      </w:r>
      <w:r>
        <w:rPr>
          <w:spacing w:val="-8"/>
        </w:rPr>
        <w:t xml:space="preserve"> </w:t>
      </w:r>
      <w:r>
        <w:t>bioequivalent</w:t>
      </w:r>
      <w:r>
        <w:rPr>
          <w:spacing w:val="-5"/>
        </w:rPr>
        <w:t xml:space="preserve"> </w:t>
      </w:r>
      <w:r>
        <w:t>in</w:t>
      </w:r>
      <w:r>
        <w:rPr>
          <w:spacing w:val="-5"/>
        </w:rPr>
        <w:t xml:space="preserve"> </w:t>
      </w:r>
      <w:r>
        <w:t>terms</w:t>
      </w:r>
      <w:r>
        <w:rPr>
          <w:spacing w:val="-6"/>
        </w:rPr>
        <w:t xml:space="preserve"> </w:t>
      </w:r>
      <w:r>
        <w:t>of</w:t>
      </w:r>
      <w:r>
        <w:rPr>
          <w:spacing w:val="-7"/>
        </w:rPr>
        <w:t xml:space="preserve"> </w:t>
      </w:r>
      <w:r>
        <w:t>the</w:t>
      </w:r>
      <w:r>
        <w:rPr>
          <w:spacing w:val="-7"/>
        </w:rPr>
        <w:t xml:space="preserve"> </w:t>
      </w:r>
      <w:r>
        <w:t>extent</w:t>
      </w:r>
      <w:r>
        <w:rPr>
          <w:spacing w:val="-3"/>
        </w:rPr>
        <w:t xml:space="preserve"> </w:t>
      </w:r>
      <w:r>
        <w:t>of</w:t>
      </w:r>
      <w:r>
        <w:rPr>
          <w:spacing w:val="-7"/>
        </w:rPr>
        <w:t xml:space="preserve"> </w:t>
      </w:r>
      <w:r>
        <w:t>drug</w:t>
      </w:r>
      <w:r>
        <w:rPr>
          <w:spacing w:val="-7"/>
        </w:rPr>
        <w:t xml:space="preserve"> </w:t>
      </w:r>
      <w:r>
        <w:t>exposure</w:t>
      </w:r>
      <w:r>
        <w:rPr>
          <w:spacing w:val="-8"/>
        </w:rPr>
        <w:t xml:space="preserve"> </w:t>
      </w:r>
      <w:r>
        <w:t>(based</w:t>
      </w:r>
      <w:r>
        <w:rPr>
          <w:spacing w:val="-6"/>
        </w:rPr>
        <w:t xml:space="preserve"> </w:t>
      </w:r>
      <w:r>
        <w:t>on</w:t>
      </w:r>
      <w:r>
        <w:rPr>
          <w:spacing w:val="-6"/>
        </w:rPr>
        <w:t xml:space="preserve"> </w:t>
      </w:r>
      <w:r>
        <w:t>AUC)</w:t>
      </w:r>
      <w:r>
        <w:rPr>
          <w:spacing w:val="-4"/>
        </w:rPr>
        <w:t xml:space="preserve"> </w:t>
      </w:r>
      <w:r>
        <w:t>but</w:t>
      </w:r>
      <w:r>
        <w:rPr>
          <w:spacing w:val="-7"/>
        </w:rPr>
        <w:t xml:space="preserve"> </w:t>
      </w:r>
      <w:r>
        <w:t>with</w:t>
      </w:r>
      <w:r>
        <w:rPr>
          <w:spacing w:val="-5"/>
        </w:rPr>
        <w:t xml:space="preserve"> </w:t>
      </w:r>
      <w:r>
        <w:t xml:space="preserve">higher peak plasma levels achieved from the IM injection (0.5 versus 1 hour). In addition, the mean </w:t>
      </w:r>
      <w:proofErr w:type="spellStart"/>
      <w:r>
        <w:t>Cmax</w:t>
      </w:r>
      <w:proofErr w:type="spellEnd"/>
      <w:r>
        <w:t xml:space="preserve"> for SC administration is approximately 60% of that seen following IM injection of</w:t>
      </w:r>
      <w:r>
        <w:rPr>
          <w:spacing w:val="-26"/>
        </w:rPr>
        <w:t xml:space="preserve"> </w:t>
      </w:r>
      <w:r>
        <w:t>MTX.</w:t>
      </w:r>
    </w:p>
    <w:p w:rsidR="00F037FD" w:rsidRDefault="00F037FD">
      <w:pPr>
        <w:pStyle w:val="BodyText"/>
        <w:spacing w:before="11"/>
        <w:rPr>
          <w:sz w:val="23"/>
        </w:rPr>
      </w:pPr>
    </w:p>
    <w:p w:rsidR="00F037FD" w:rsidRDefault="00034C5C">
      <w:pPr>
        <w:pStyle w:val="BodyText"/>
        <w:ind w:left="141"/>
        <w:jc w:val="both"/>
      </w:pPr>
      <w:r>
        <w:t>Primary Pharmacokinetic Parameter Results for Study MC-MTX.7/PH</w:t>
      </w:r>
    </w:p>
    <w:p w:rsidR="00F037FD" w:rsidRDefault="00F037FD">
      <w:pPr>
        <w:pStyle w:val="BodyText"/>
        <w:spacing w:before="10"/>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796"/>
        <w:gridCol w:w="1810"/>
        <w:gridCol w:w="1742"/>
        <w:gridCol w:w="1830"/>
      </w:tblGrid>
      <w:tr w:rsidR="00F037FD">
        <w:trPr>
          <w:trHeight w:hRule="exact" w:val="838"/>
        </w:trPr>
        <w:tc>
          <w:tcPr>
            <w:tcW w:w="2179" w:type="dxa"/>
          </w:tcPr>
          <w:p w:rsidR="00F037FD" w:rsidRDefault="00034C5C">
            <w:pPr>
              <w:pStyle w:val="TableParagraph"/>
              <w:spacing w:line="266" w:lineRule="exact"/>
              <w:rPr>
                <w:sz w:val="24"/>
              </w:rPr>
            </w:pPr>
            <w:r>
              <w:rPr>
                <w:sz w:val="24"/>
              </w:rPr>
              <w:t>Parameter</w:t>
            </w:r>
          </w:p>
        </w:tc>
        <w:tc>
          <w:tcPr>
            <w:tcW w:w="1796" w:type="dxa"/>
          </w:tcPr>
          <w:p w:rsidR="00F037FD" w:rsidRDefault="00034C5C">
            <w:pPr>
              <w:pStyle w:val="TableParagraph"/>
              <w:spacing w:line="266" w:lineRule="exact"/>
              <w:rPr>
                <w:sz w:val="24"/>
              </w:rPr>
            </w:pPr>
            <w:r>
              <w:rPr>
                <w:sz w:val="24"/>
              </w:rPr>
              <w:t xml:space="preserve">MTX </w:t>
            </w:r>
            <w:proofErr w:type="spellStart"/>
            <w:r>
              <w:rPr>
                <w:sz w:val="24"/>
              </w:rPr>
              <w:t>s.c.</w:t>
            </w:r>
            <w:proofErr w:type="spellEnd"/>
            <w:r>
              <w:rPr>
                <w:sz w:val="24"/>
              </w:rPr>
              <w:t xml:space="preserve"> (test)</w:t>
            </w:r>
          </w:p>
        </w:tc>
        <w:tc>
          <w:tcPr>
            <w:tcW w:w="1810" w:type="dxa"/>
          </w:tcPr>
          <w:p w:rsidR="00F037FD" w:rsidRDefault="00034C5C">
            <w:pPr>
              <w:pStyle w:val="TableParagraph"/>
              <w:spacing w:line="266" w:lineRule="exact"/>
              <w:rPr>
                <w:sz w:val="24"/>
              </w:rPr>
            </w:pPr>
            <w:r>
              <w:rPr>
                <w:sz w:val="24"/>
              </w:rPr>
              <w:t xml:space="preserve">MTX </w:t>
            </w:r>
            <w:proofErr w:type="spellStart"/>
            <w:r>
              <w:rPr>
                <w:sz w:val="24"/>
              </w:rPr>
              <w:t>i.m</w:t>
            </w:r>
            <w:proofErr w:type="spellEnd"/>
            <w:r>
              <w:rPr>
                <w:sz w:val="24"/>
              </w:rPr>
              <w:t>.</w:t>
            </w:r>
          </w:p>
          <w:p w:rsidR="00F037FD" w:rsidRDefault="00034C5C">
            <w:pPr>
              <w:pStyle w:val="TableParagraph"/>
              <w:rPr>
                <w:sz w:val="24"/>
              </w:rPr>
            </w:pPr>
            <w:r>
              <w:rPr>
                <w:sz w:val="24"/>
              </w:rPr>
              <w:t>(reference)</w:t>
            </w:r>
          </w:p>
        </w:tc>
        <w:tc>
          <w:tcPr>
            <w:tcW w:w="1742" w:type="dxa"/>
          </w:tcPr>
          <w:p w:rsidR="00F037FD" w:rsidRDefault="00034C5C">
            <w:pPr>
              <w:pStyle w:val="TableParagraph"/>
              <w:ind w:right="430"/>
              <w:rPr>
                <w:sz w:val="24"/>
              </w:rPr>
            </w:pPr>
            <w:r>
              <w:rPr>
                <w:sz w:val="24"/>
              </w:rPr>
              <w:t xml:space="preserve">Geometric mean ratio </w:t>
            </w:r>
            <w:proofErr w:type="spellStart"/>
            <w:r>
              <w:rPr>
                <w:sz w:val="24"/>
              </w:rPr>
              <w:t>s.c</w:t>
            </w:r>
            <w:proofErr w:type="gramStart"/>
            <w:r>
              <w:rPr>
                <w:sz w:val="24"/>
              </w:rPr>
              <w:t>.</w:t>
            </w:r>
            <w:proofErr w:type="spellEnd"/>
            <w:r>
              <w:rPr>
                <w:sz w:val="24"/>
              </w:rPr>
              <w:t>/</w:t>
            </w:r>
            <w:proofErr w:type="spellStart"/>
            <w:proofErr w:type="gramEnd"/>
            <w:r>
              <w:rPr>
                <w:sz w:val="24"/>
              </w:rPr>
              <w:t>i.m</w:t>
            </w:r>
            <w:proofErr w:type="spellEnd"/>
            <w:r>
              <w:rPr>
                <w:sz w:val="24"/>
              </w:rPr>
              <w:t>. (%)</w:t>
            </w:r>
          </w:p>
        </w:tc>
        <w:tc>
          <w:tcPr>
            <w:tcW w:w="1829" w:type="dxa"/>
          </w:tcPr>
          <w:p w:rsidR="00F037FD" w:rsidRDefault="00034C5C">
            <w:pPr>
              <w:pStyle w:val="TableParagraph"/>
              <w:spacing w:line="266" w:lineRule="exact"/>
              <w:rPr>
                <w:sz w:val="24"/>
              </w:rPr>
            </w:pPr>
            <w:r>
              <w:rPr>
                <w:sz w:val="24"/>
              </w:rPr>
              <w:t>90% CI (%)</w:t>
            </w:r>
          </w:p>
        </w:tc>
      </w:tr>
      <w:tr w:rsidR="00F037FD">
        <w:trPr>
          <w:trHeight w:hRule="exact" w:val="286"/>
        </w:trPr>
        <w:tc>
          <w:tcPr>
            <w:tcW w:w="2179" w:type="dxa"/>
          </w:tcPr>
          <w:p w:rsidR="00F037FD" w:rsidRDefault="00034C5C">
            <w:pPr>
              <w:pStyle w:val="TableParagraph"/>
              <w:spacing w:line="266" w:lineRule="exact"/>
              <w:rPr>
                <w:sz w:val="24"/>
              </w:rPr>
            </w:pPr>
            <w:proofErr w:type="spellStart"/>
            <w:r>
              <w:rPr>
                <w:sz w:val="24"/>
              </w:rPr>
              <w:t>Tmax</w:t>
            </w:r>
            <w:proofErr w:type="spellEnd"/>
            <w:r>
              <w:rPr>
                <w:sz w:val="24"/>
              </w:rPr>
              <w:t xml:space="preserve"> h</w:t>
            </w:r>
          </w:p>
        </w:tc>
        <w:tc>
          <w:tcPr>
            <w:tcW w:w="1796" w:type="dxa"/>
          </w:tcPr>
          <w:p w:rsidR="00F037FD" w:rsidRDefault="00034C5C">
            <w:pPr>
              <w:pStyle w:val="TableParagraph"/>
              <w:spacing w:line="266" w:lineRule="exact"/>
              <w:rPr>
                <w:sz w:val="24"/>
              </w:rPr>
            </w:pPr>
            <w:r>
              <w:rPr>
                <w:sz w:val="24"/>
              </w:rPr>
              <w:t>1 (1.7)</w:t>
            </w:r>
          </w:p>
        </w:tc>
        <w:tc>
          <w:tcPr>
            <w:tcW w:w="1810" w:type="dxa"/>
          </w:tcPr>
          <w:p w:rsidR="00F037FD" w:rsidRDefault="00034C5C">
            <w:pPr>
              <w:pStyle w:val="TableParagraph"/>
              <w:spacing w:line="266" w:lineRule="exact"/>
              <w:rPr>
                <w:sz w:val="24"/>
              </w:rPr>
            </w:pPr>
            <w:r>
              <w:rPr>
                <w:sz w:val="24"/>
              </w:rPr>
              <w:t>0.5 (1.7)</w:t>
            </w:r>
          </w:p>
        </w:tc>
        <w:tc>
          <w:tcPr>
            <w:tcW w:w="1742" w:type="dxa"/>
          </w:tcPr>
          <w:p w:rsidR="00F037FD" w:rsidRDefault="00F037FD"/>
        </w:tc>
        <w:tc>
          <w:tcPr>
            <w:tcW w:w="1829" w:type="dxa"/>
          </w:tcPr>
          <w:p w:rsidR="00F037FD" w:rsidRDefault="00F037FD"/>
        </w:tc>
      </w:tr>
      <w:tr w:rsidR="00F037FD">
        <w:trPr>
          <w:trHeight w:hRule="exact" w:val="288"/>
        </w:trPr>
        <w:tc>
          <w:tcPr>
            <w:tcW w:w="2179" w:type="dxa"/>
          </w:tcPr>
          <w:p w:rsidR="00F037FD" w:rsidRDefault="00034C5C">
            <w:pPr>
              <w:pStyle w:val="TableParagraph"/>
              <w:spacing w:line="270" w:lineRule="exact"/>
              <w:rPr>
                <w:sz w:val="24"/>
              </w:rPr>
            </w:pPr>
            <w:r>
              <w:rPr>
                <w:position w:val="2"/>
                <w:sz w:val="24"/>
              </w:rPr>
              <w:t>AUC</w:t>
            </w:r>
            <w:r>
              <w:rPr>
                <w:sz w:val="16"/>
              </w:rPr>
              <w:t xml:space="preserve">0-t </w:t>
            </w:r>
            <w:r>
              <w:rPr>
                <w:position w:val="2"/>
                <w:sz w:val="24"/>
              </w:rPr>
              <w:t>(µg*h/L)</w:t>
            </w:r>
          </w:p>
        </w:tc>
        <w:tc>
          <w:tcPr>
            <w:tcW w:w="1796" w:type="dxa"/>
          </w:tcPr>
          <w:p w:rsidR="00F037FD" w:rsidRDefault="00034C5C">
            <w:pPr>
              <w:pStyle w:val="TableParagraph"/>
              <w:spacing w:line="268" w:lineRule="exact"/>
              <w:rPr>
                <w:sz w:val="24"/>
              </w:rPr>
            </w:pPr>
            <w:r>
              <w:rPr>
                <w:sz w:val="24"/>
              </w:rPr>
              <w:t>1020.79 (1.23)</w:t>
            </w:r>
          </w:p>
        </w:tc>
        <w:tc>
          <w:tcPr>
            <w:tcW w:w="1810" w:type="dxa"/>
          </w:tcPr>
          <w:p w:rsidR="00F037FD" w:rsidRDefault="00034C5C">
            <w:pPr>
              <w:pStyle w:val="TableParagraph"/>
              <w:spacing w:line="268" w:lineRule="exact"/>
              <w:rPr>
                <w:sz w:val="24"/>
              </w:rPr>
            </w:pPr>
            <w:r>
              <w:rPr>
                <w:sz w:val="24"/>
              </w:rPr>
              <w:t>1043.33 (1.18)</w:t>
            </w:r>
          </w:p>
        </w:tc>
        <w:tc>
          <w:tcPr>
            <w:tcW w:w="1742" w:type="dxa"/>
          </w:tcPr>
          <w:p w:rsidR="00F037FD" w:rsidRDefault="00034C5C">
            <w:pPr>
              <w:pStyle w:val="TableParagraph"/>
              <w:spacing w:line="268" w:lineRule="exact"/>
              <w:rPr>
                <w:sz w:val="24"/>
              </w:rPr>
            </w:pPr>
            <w:r>
              <w:rPr>
                <w:sz w:val="24"/>
              </w:rPr>
              <w:t>97.84</w:t>
            </w:r>
          </w:p>
        </w:tc>
        <w:tc>
          <w:tcPr>
            <w:tcW w:w="1829" w:type="dxa"/>
          </w:tcPr>
          <w:p w:rsidR="00F037FD" w:rsidRDefault="00034C5C">
            <w:pPr>
              <w:pStyle w:val="TableParagraph"/>
              <w:spacing w:line="268" w:lineRule="exact"/>
              <w:rPr>
                <w:sz w:val="24"/>
              </w:rPr>
            </w:pPr>
            <w:r>
              <w:rPr>
                <w:sz w:val="24"/>
              </w:rPr>
              <w:t>91.07 – 105.11</w:t>
            </w:r>
          </w:p>
        </w:tc>
      </w:tr>
      <w:tr w:rsidR="00F037FD">
        <w:trPr>
          <w:trHeight w:hRule="exact" w:val="286"/>
        </w:trPr>
        <w:tc>
          <w:tcPr>
            <w:tcW w:w="2179" w:type="dxa"/>
          </w:tcPr>
          <w:p w:rsidR="00F037FD" w:rsidRDefault="00034C5C">
            <w:pPr>
              <w:pStyle w:val="TableParagraph"/>
              <w:spacing w:line="267" w:lineRule="exact"/>
              <w:rPr>
                <w:sz w:val="24"/>
              </w:rPr>
            </w:pPr>
            <w:r>
              <w:rPr>
                <w:position w:val="2"/>
                <w:sz w:val="24"/>
              </w:rPr>
              <w:t>AUC</w:t>
            </w:r>
            <w:r>
              <w:rPr>
                <w:sz w:val="16"/>
              </w:rPr>
              <w:t xml:space="preserve">0-∞ </w:t>
            </w:r>
            <w:r>
              <w:rPr>
                <w:position w:val="2"/>
                <w:sz w:val="24"/>
              </w:rPr>
              <w:t>(µg*h/L)</w:t>
            </w:r>
          </w:p>
        </w:tc>
        <w:tc>
          <w:tcPr>
            <w:tcW w:w="1796" w:type="dxa"/>
          </w:tcPr>
          <w:p w:rsidR="00F037FD" w:rsidRDefault="00034C5C">
            <w:pPr>
              <w:pStyle w:val="TableParagraph"/>
              <w:spacing w:line="266" w:lineRule="exact"/>
              <w:rPr>
                <w:sz w:val="24"/>
              </w:rPr>
            </w:pPr>
            <w:r>
              <w:rPr>
                <w:sz w:val="24"/>
              </w:rPr>
              <w:t>1058.89 (1.22)</w:t>
            </w:r>
          </w:p>
        </w:tc>
        <w:tc>
          <w:tcPr>
            <w:tcW w:w="1810" w:type="dxa"/>
          </w:tcPr>
          <w:p w:rsidR="00F037FD" w:rsidRDefault="00034C5C">
            <w:pPr>
              <w:pStyle w:val="TableParagraph"/>
              <w:spacing w:line="266" w:lineRule="exact"/>
              <w:rPr>
                <w:sz w:val="24"/>
              </w:rPr>
            </w:pPr>
            <w:r>
              <w:rPr>
                <w:sz w:val="24"/>
              </w:rPr>
              <w:t>1088.86 (1.18)</w:t>
            </w:r>
          </w:p>
        </w:tc>
        <w:tc>
          <w:tcPr>
            <w:tcW w:w="1742" w:type="dxa"/>
          </w:tcPr>
          <w:p w:rsidR="00F037FD" w:rsidRDefault="00034C5C">
            <w:pPr>
              <w:pStyle w:val="TableParagraph"/>
              <w:spacing w:line="266" w:lineRule="exact"/>
              <w:rPr>
                <w:sz w:val="24"/>
              </w:rPr>
            </w:pPr>
            <w:r>
              <w:rPr>
                <w:sz w:val="24"/>
              </w:rPr>
              <w:t>97.25</w:t>
            </w:r>
          </w:p>
        </w:tc>
        <w:tc>
          <w:tcPr>
            <w:tcW w:w="1829" w:type="dxa"/>
          </w:tcPr>
          <w:p w:rsidR="00F037FD" w:rsidRDefault="00034C5C">
            <w:pPr>
              <w:pStyle w:val="TableParagraph"/>
              <w:spacing w:line="266" w:lineRule="exact"/>
              <w:rPr>
                <w:sz w:val="24"/>
              </w:rPr>
            </w:pPr>
            <w:r>
              <w:rPr>
                <w:sz w:val="24"/>
              </w:rPr>
              <w:t>91.00 – 103.92</w:t>
            </w:r>
          </w:p>
        </w:tc>
      </w:tr>
      <w:tr w:rsidR="00F037FD">
        <w:trPr>
          <w:trHeight w:hRule="exact" w:val="286"/>
        </w:trPr>
        <w:tc>
          <w:tcPr>
            <w:tcW w:w="2179" w:type="dxa"/>
          </w:tcPr>
          <w:p w:rsidR="00F037FD" w:rsidRDefault="00034C5C">
            <w:pPr>
              <w:pStyle w:val="TableParagraph"/>
              <w:spacing w:line="266" w:lineRule="exact"/>
              <w:rPr>
                <w:sz w:val="24"/>
              </w:rPr>
            </w:pPr>
            <w:proofErr w:type="spellStart"/>
            <w:r>
              <w:rPr>
                <w:sz w:val="24"/>
              </w:rPr>
              <w:t>Cmax</w:t>
            </w:r>
            <w:proofErr w:type="spellEnd"/>
            <w:r>
              <w:rPr>
                <w:sz w:val="24"/>
              </w:rPr>
              <w:t xml:space="preserve"> (µg/L)</w:t>
            </w:r>
          </w:p>
        </w:tc>
        <w:tc>
          <w:tcPr>
            <w:tcW w:w="1796" w:type="dxa"/>
          </w:tcPr>
          <w:p w:rsidR="00F037FD" w:rsidRDefault="00034C5C">
            <w:pPr>
              <w:pStyle w:val="TableParagraph"/>
              <w:spacing w:line="266" w:lineRule="exact"/>
              <w:rPr>
                <w:sz w:val="24"/>
              </w:rPr>
            </w:pPr>
            <w:r>
              <w:rPr>
                <w:sz w:val="24"/>
              </w:rPr>
              <w:t>221.76 (1.39)</w:t>
            </w:r>
          </w:p>
        </w:tc>
        <w:tc>
          <w:tcPr>
            <w:tcW w:w="1810" w:type="dxa"/>
          </w:tcPr>
          <w:p w:rsidR="00F037FD" w:rsidRDefault="00034C5C">
            <w:pPr>
              <w:pStyle w:val="TableParagraph"/>
              <w:spacing w:line="266" w:lineRule="exact"/>
              <w:rPr>
                <w:sz w:val="24"/>
              </w:rPr>
            </w:pPr>
            <w:r>
              <w:rPr>
                <w:sz w:val="24"/>
              </w:rPr>
              <w:t>381.28 (1.37)</w:t>
            </w:r>
          </w:p>
        </w:tc>
        <w:tc>
          <w:tcPr>
            <w:tcW w:w="1742" w:type="dxa"/>
          </w:tcPr>
          <w:p w:rsidR="00F037FD" w:rsidRDefault="00034C5C">
            <w:pPr>
              <w:pStyle w:val="TableParagraph"/>
              <w:spacing w:line="266" w:lineRule="exact"/>
              <w:rPr>
                <w:sz w:val="24"/>
              </w:rPr>
            </w:pPr>
            <w:r>
              <w:rPr>
                <w:sz w:val="24"/>
              </w:rPr>
              <w:t>58.16</w:t>
            </w:r>
          </w:p>
        </w:tc>
        <w:tc>
          <w:tcPr>
            <w:tcW w:w="1829" w:type="dxa"/>
          </w:tcPr>
          <w:p w:rsidR="00F037FD" w:rsidRDefault="00034C5C">
            <w:pPr>
              <w:pStyle w:val="TableParagraph"/>
              <w:spacing w:line="266" w:lineRule="exact"/>
              <w:rPr>
                <w:sz w:val="24"/>
              </w:rPr>
            </w:pPr>
            <w:r>
              <w:rPr>
                <w:sz w:val="24"/>
              </w:rPr>
              <w:t>47.61 - 71.06</w:t>
            </w:r>
          </w:p>
        </w:tc>
      </w:tr>
      <w:tr w:rsidR="00F037FD">
        <w:trPr>
          <w:trHeight w:hRule="exact" w:val="562"/>
        </w:trPr>
        <w:tc>
          <w:tcPr>
            <w:tcW w:w="9357" w:type="dxa"/>
            <w:gridSpan w:val="5"/>
          </w:tcPr>
          <w:p w:rsidR="00F037FD" w:rsidRDefault="00034C5C">
            <w:pPr>
              <w:pStyle w:val="TableParagraph"/>
              <w:rPr>
                <w:sz w:val="24"/>
              </w:rPr>
            </w:pPr>
            <w:r>
              <w:rPr>
                <w:sz w:val="24"/>
              </w:rPr>
              <w:t xml:space="preserve">AUC = area under the plasma concentration time curve; </w:t>
            </w:r>
            <w:proofErr w:type="spellStart"/>
            <w:r>
              <w:rPr>
                <w:sz w:val="24"/>
              </w:rPr>
              <w:t>Cmax</w:t>
            </w:r>
            <w:proofErr w:type="spellEnd"/>
            <w:r>
              <w:rPr>
                <w:sz w:val="24"/>
              </w:rPr>
              <w:t xml:space="preserve"> = maximum plasma concentration</w:t>
            </w:r>
          </w:p>
        </w:tc>
      </w:tr>
    </w:tbl>
    <w:p w:rsidR="00F037FD" w:rsidRDefault="00F037FD">
      <w:pPr>
        <w:pStyle w:val="BodyText"/>
        <w:rPr>
          <w:sz w:val="26"/>
        </w:rPr>
      </w:pPr>
    </w:p>
    <w:p w:rsidR="00F037FD" w:rsidRDefault="00F037FD">
      <w:pPr>
        <w:pStyle w:val="BodyText"/>
        <w:spacing w:before="4"/>
        <w:rPr>
          <w:sz w:val="21"/>
        </w:rPr>
      </w:pPr>
    </w:p>
    <w:p w:rsidR="00F037FD" w:rsidRDefault="00034C5C">
      <w:pPr>
        <w:pStyle w:val="BodyText"/>
        <w:ind w:left="141" w:right="141"/>
        <w:jc w:val="both"/>
      </w:pPr>
      <w:r>
        <w:t>The secondary PK results for 7</w:t>
      </w:r>
      <w:r>
        <w:rPr>
          <w:rFonts w:ascii="Cambria Math" w:hAnsi="Cambria Math"/>
        </w:rPr>
        <w:t>‐</w:t>
      </w:r>
      <w:r>
        <w:t>OH MTX showed a similar pattern to the primary PK observations. The mean AUC for 7</w:t>
      </w:r>
      <w:r>
        <w:rPr>
          <w:rFonts w:ascii="Cambria Math" w:hAnsi="Cambria Math"/>
        </w:rPr>
        <w:t>‐</w:t>
      </w:r>
      <w:r>
        <w:t xml:space="preserve">OH MTX achieved following SC and IM administration were similar, and the geometric mean </w:t>
      </w:r>
      <w:proofErr w:type="spellStart"/>
      <w:r>
        <w:t>Cmax</w:t>
      </w:r>
      <w:proofErr w:type="spellEnd"/>
      <w:r>
        <w:t xml:space="preserve"> was also similar (44.84 </w:t>
      </w:r>
      <w:proofErr w:type="spellStart"/>
      <w:r>
        <w:t>μg</w:t>
      </w:r>
      <w:proofErr w:type="spellEnd"/>
      <w:r>
        <w:t xml:space="preserve">/L for SC and </w:t>
      </w:r>
      <w:proofErr w:type="gramStart"/>
      <w:r>
        <w:t xml:space="preserve">52.85 </w:t>
      </w:r>
      <w:proofErr w:type="spellStart"/>
      <w:r>
        <w:t>μg</w:t>
      </w:r>
      <w:proofErr w:type="spellEnd"/>
      <w:r>
        <w:t>/L for IM administration</w:t>
      </w:r>
      <w:proofErr w:type="gramEnd"/>
      <w:r>
        <w:t>).</w:t>
      </w:r>
    </w:p>
    <w:p w:rsidR="00F037FD" w:rsidRDefault="00F037FD">
      <w:pPr>
        <w:pStyle w:val="BodyText"/>
        <w:spacing w:before="6"/>
      </w:pPr>
    </w:p>
    <w:p w:rsidR="00F037FD" w:rsidRDefault="00034C5C">
      <w:pPr>
        <w:pStyle w:val="Heading1"/>
        <w:spacing w:before="1"/>
      </w:pPr>
      <w:r>
        <w:t>MC-MTX.9/PH</w:t>
      </w:r>
    </w:p>
    <w:p w:rsidR="00F037FD" w:rsidRDefault="00F037FD">
      <w:pPr>
        <w:pStyle w:val="BodyText"/>
        <w:spacing w:before="4"/>
        <w:rPr>
          <w:b/>
          <w:sz w:val="23"/>
        </w:rPr>
      </w:pPr>
    </w:p>
    <w:p w:rsidR="00F037FD" w:rsidRDefault="00034C5C">
      <w:pPr>
        <w:pStyle w:val="BodyText"/>
        <w:ind w:left="141" w:right="135"/>
        <w:jc w:val="both"/>
      </w:pPr>
      <w:r>
        <w:t>Trial MC-MTX.9/PH compared the pharmacokinetics of two different MTX concentrations (10 mg/mL versus 50 mg/mL) in 24 healthy volunteers where one treatment arm was given via the SC route and the other given via the IM route. Each treatment arm consisted of a unique set of patients with no cross-over. The results show an equal extent of absorption of MTX with both</w:t>
      </w:r>
      <w:r>
        <w:rPr>
          <w:spacing w:val="-39"/>
        </w:rPr>
        <w:t xml:space="preserve"> </w:t>
      </w:r>
      <w:r>
        <w:t xml:space="preserve">concentrations after both routes of administration. The rate of absorption expressed by </w:t>
      </w:r>
      <w:proofErr w:type="spellStart"/>
      <w:r>
        <w:t>Cmax</w:t>
      </w:r>
      <w:proofErr w:type="spellEnd"/>
      <w:r>
        <w:t xml:space="preserve"> was different with about 15-20% higher maximum MTX concentrations achieved after administration of the higher concentrated solution. No clinical consequences are anticipated as the total exposure to MTX was equivalent. Both formulations were equally well</w:t>
      </w:r>
      <w:r>
        <w:rPr>
          <w:spacing w:val="-27"/>
        </w:rPr>
        <w:t xml:space="preserve"> </w:t>
      </w:r>
      <w:r>
        <w:t>tolerated.</w:t>
      </w:r>
    </w:p>
    <w:p w:rsidR="00F037FD" w:rsidRDefault="00F037FD">
      <w:pPr>
        <w:pStyle w:val="BodyText"/>
      </w:pPr>
    </w:p>
    <w:p w:rsidR="00F037FD" w:rsidRDefault="00034C5C">
      <w:pPr>
        <w:spacing w:after="8"/>
        <w:ind w:left="141"/>
        <w:jc w:val="both"/>
        <w:rPr>
          <w:i/>
          <w:sz w:val="24"/>
        </w:rPr>
      </w:pPr>
      <w:r>
        <w:rPr>
          <w:i/>
          <w:sz w:val="24"/>
        </w:rPr>
        <w:t>Model-independent pharmacokinetic characteristics of methotrexate (geometric mean [SD])</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738"/>
        <w:gridCol w:w="1736"/>
        <w:gridCol w:w="1735"/>
        <w:gridCol w:w="1738"/>
      </w:tblGrid>
      <w:tr w:rsidR="00F037FD">
        <w:trPr>
          <w:trHeight w:hRule="exact" w:val="470"/>
        </w:trPr>
        <w:tc>
          <w:tcPr>
            <w:tcW w:w="2127" w:type="dxa"/>
          </w:tcPr>
          <w:p w:rsidR="00F037FD" w:rsidRDefault="00034C5C">
            <w:pPr>
              <w:pStyle w:val="TableParagraph"/>
              <w:rPr>
                <w:b/>
                <w:sz w:val="20"/>
              </w:rPr>
            </w:pPr>
            <w:r>
              <w:rPr>
                <w:b/>
                <w:sz w:val="20"/>
              </w:rPr>
              <w:t>Treatment</w:t>
            </w:r>
          </w:p>
        </w:tc>
        <w:tc>
          <w:tcPr>
            <w:tcW w:w="1738" w:type="dxa"/>
          </w:tcPr>
          <w:p w:rsidR="00F037FD" w:rsidRDefault="00034C5C">
            <w:pPr>
              <w:pStyle w:val="TableParagraph"/>
              <w:ind w:left="648" w:right="381" w:hanging="219"/>
              <w:rPr>
                <w:b/>
                <w:sz w:val="20"/>
              </w:rPr>
            </w:pPr>
            <w:r>
              <w:rPr>
                <w:b/>
                <w:sz w:val="20"/>
              </w:rPr>
              <w:t>50 mg/mL (test)</w:t>
            </w:r>
          </w:p>
        </w:tc>
        <w:tc>
          <w:tcPr>
            <w:tcW w:w="1736" w:type="dxa"/>
          </w:tcPr>
          <w:p w:rsidR="00F037FD" w:rsidRDefault="00034C5C">
            <w:pPr>
              <w:pStyle w:val="TableParagraph"/>
              <w:ind w:left="395" w:right="378" w:firstLine="31"/>
              <w:rPr>
                <w:b/>
                <w:sz w:val="20"/>
              </w:rPr>
            </w:pPr>
            <w:r>
              <w:rPr>
                <w:b/>
                <w:sz w:val="20"/>
              </w:rPr>
              <w:t>10 mg/mL (reference)</w:t>
            </w:r>
          </w:p>
        </w:tc>
        <w:tc>
          <w:tcPr>
            <w:tcW w:w="1735" w:type="dxa"/>
          </w:tcPr>
          <w:p w:rsidR="00F037FD" w:rsidRDefault="00034C5C">
            <w:pPr>
              <w:pStyle w:val="TableParagraph"/>
              <w:ind w:left="645" w:right="407" w:hanging="219"/>
              <w:rPr>
                <w:b/>
                <w:sz w:val="20"/>
              </w:rPr>
            </w:pPr>
            <w:r>
              <w:rPr>
                <w:b/>
                <w:sz w:val="20"/>
              </w:rPr>
              <w:t>50 mg/mL (test)</w:t>
            </w:r>
          </w:p>
        </w:tc>
        <w:tc>
          <w:tcPr>
            <w:tcW w:w="1738" w:type="dxa"/>
          </w:tcPr>
          <w:p w:rsidR="00F037FD" w:rsidRDefault="00034C5C">
            <w:pPr>
              <w:pStyle w:val="TableParagraph"/>
              <w:ind w:left="395" w:right="381" w:firstLine="33"/>
              <w:rPr>
                <w:b/>
                <w:sz w:val="20"/>
              </w:rPr>
            </w:pPr>
            <w:r>
              <w:rPr>
                <w:b/>
                <w:sz w:val="20"/>
              </w:rPr>
              <w:t>10 mg/mL (reference)</w:t>
            </w:r>
          </w:p>
        </w:tc>
      </w:tr>
      <w:tr w:rsidR="00F037FD">
        <w:trPr>
          <w:trHeight w:hRule="exact" w:val="240"/>
        </w:trPr>
        <w:tc>
          <w:tcPr>
            <w:tcW w:w="2127" w:type="dxa"/>
          </w:tcPr>
          <w:p w:rsidR="00F037FD" w:rsidRDefault="00034C5C">
            <w:pPr>
              <w:pStyle w:val="TableParagraph"/>
              <w:spacing w:line="223" w:lineRule="exact"/>
              <w:rPr>
                <w:sz w:val="20"/>
              </w:rPr>
            </w:pPr>
            <w:r>
              <w:rPr>
                <w:sz w:val="20"/>
              </w:rPr>
              <w:t>Route of administration</w:t>
            </w:r>
          </w:p>
        </w:tc>
        <w:tc>
          <w:tcPr>
            <w:tcW w:w="1738" w:type="dxa"/>
          </w:tcPr>
          <w:p w:rsidR="00F037FD" w:rsidRDefault="00034C5C">
            <w:pPr>
              <w:pStyle w:val="TableParagraph"/>
              <w:spacing w:line="223" w:lineRule="exact"/>
              <w:ind w:left="201" w:right="202"/>
              <w:jc w:val="center"/>
              <w:rPr>
                <w:sz w:val="20"/>
              </w:rPr>
            </w:pPr>
            <w:r>
              <w:rPr>
                <w:sz w:val="20"/>
              </w:rPr>
              <w:t>SC</w:t>
            </w:r>
          </w:p>
        </w:tc>
        <w:tc>
          <w:tcPr>
            <w:tcW w:w="1736" w:type="dxa"/>
          </w:tcPr>
          <w:p w:rsidR="00F037FD" w:rsidRDefault="00034C5C">
            <w:pPr>
              <w:pStyle w:val="TableParagraph"/>
              <w:spacing w:line="223" w:lineRule="exact"/>
              <w:ind w:left="199" w:right="201"/>
              <w:jc w:val="center"/>
              <w:rPr>
                <w:sz w:val="20"/>
              </w:rPr>
            </w:pPr>
            <w:r>
              <w:rPr>
                <w:sz w:val="20"/>
              </w:rPr>
              <w:t>SC</w:t>
            </w:r>
          </w:p>
        </w:tc>
        <w:tc>
          <w:tcPr>
            <w:tcW w:w="1735" w:type="dxa"/>
          </w:tcPr>
          <w:p w:rsidR="00F037FD" w:rsidRDefault="00034C5C">
            <w:pPr>
              <w:pStyle w:val="TableParagraph"/>
              <w:spacing w:line="223" w:lineRule="exact"/>
              <w:ind w:left="201" w:right="201"/>
              <w:jc w:val="center"/>
              <w:rPr>
                <w:sz w:val="20"/>
              </w:rPr>
            </w:pPr>
            <w:r>
              <w:rPr>
                <w:sz w:val="20"/>
              </w:rPr>
              <w:t>IM</w:t>
            </w:r>
          </w:p>
        </w:tc>
        <w:tc>
          <w:tcPr>
            <w:tcW w:w="1738" w:type="dxa"/>
          </w:tcPr>
          <w:p w:rsidR="00F037FD" w:rsidRDefault="00034C5C">
            <w:pPr>
              <w:pStyle w:val="TableParagraph"/>
              <w:spacing w:line="223" w:lineRule="exact"/>
              <w:ind w:left="202" w:right="202"/>
              <w:jc w:val="center"/>
              <w:rPr>
                <w:sz w:val="20"/>
              </w:rPr>
            </w:pPr>
            <w:r>
              <w:rPr>
                <w:sz w:val="20"/>
              </w:rPr>
              <w:t>IM</w:t>
            </w:r>
          </w:p>
        </w:tc>
      </w:tr>
      <w:tr w:rsidR="00F037FD">
        <w:trPr>
          <w:trHeight w:hRule="exact" w:val="240"/>
        </w:trPr>
        <w:tc>
          <w:tcPr>
            <w:tcW w:w="2127" w:type="dxa"/>
          </w:tcPr>
          <w:p w:rsidR="00F037FD" w:rsidRDefault="00034C5C">
            <w:pPr>
              <w:pStyle w:val="TableParagraph"/>
              <w:spacing w:line="223" w:lineRule="exact"/>
              <w:rPr>
                <w:sz w:val="20"/>
              </w:rPr>
            </w:pPr>
            <w:r>
              <w:rPr>
                <w:sz w:val="20"/>
              </w:rPr>
              <w:t>Number of subjects</w:t>
            </w:r>
          </w:p>
        </w:tc>
        <w:tc>
          <w:tcPr>
            <w:tcW w:w="1738" w:type="dxa"/>
          </w:tcPr>
          <w:p w:rsidR="00F037FD" w:rsidRDefault="00034C5C">
            <w:pPr>
              <w:pStyle w:val="TableParagraph"/>
              <w:spacing w:line="223" w:lineRule="exact"/>
              <w:ind w:left="203" w:right="198"/>
              <w:jc w:val="center"/>
              <w:rPr>
                <w:sz w:val="20"/>
              </w:rPr>
            </w:pPr>
            <w:r>
              <w:rPr>
                <w:sz w:val="20"/>
              </w:rPr>
              <w:t>12</w:t>
            </w:r>
          </w:p>
        </w:tc>
        <w:tc>
          <w:tcPr>
            <w:tcW w:w="1736" w:type="dxa"/>
          </w:tcPr>
          <w:p w:rsidR="00F037FD" w:rsidRDefault="00034C5C">
            <w:pPr>
              <w:pStyle w:val="TableParagraph"/>
              <w:spacing w:line="223" w:lineRule="exact"/>
              <w:ind w:left="200" w:right="199"/>
              <w:jc w:val="center"/>
              <w:rPr>
                <w:sz w:val="20"/>
              </w:rPr>
            </w:pPr>
            <w:r>
              <w:rPr>
                <w:sz w:val="20"/>
              </w:rPr>
              <w:t>12</w:t>
            </w:r>
          </w:p>
        </w:tc>
        <w:tc>
          <w:tcPr>
            <w:tcW w:w="1735" w:type="dxa"/>
          </w:tcPr>
          <w:p w:rsidR="00F037FD" w:rsidRDefault="00034C5C">
            <w:pPr>
              <w:pStyle w:val="TableParagraph"/>
              <w:spacing w:line="223" w:lineRule="exact"/>
              <w:ind w:left="201" w:right="199"/>
              <w:jc w:val="center"/>
              <w:rPr>
                <w:sz w:val="20"/>
              </w:rPr>
            </w:pPr>
            <w:r>
              <w:rPr>
                <w:sz w:val="20"/>
              </w:rPr>
              <w:t>12</w:t>
            </w:r>
          </w:p>
        </w:tc>
        <w:tc>
          <w:tcPr>
            <w:tcW w:w="1738" w:type="dxa"/>
          </w:tcPr>
          <w:p w:rsidR="00F037FD" w:rsidRDefault="00034C5C">
            <w:pPr>
              <w:pStyle w:val="TableParagraph"/>
              <w:spacing w:line="223" w:lineRule="exact"/>
              <w:ind w:left="202" w:right="202"/>
              <w:jc w:val="center"/>
              <w:rPr>
                <w:sz w:val="20"/>
              </w:rPr>
            </w:pPr>
            <w:r>
              <w:rPr>
                <w:sz w:val="20"/>
              </w:rPr>
              <w:t>12</w:t>
            </w:r>
          </w:p>
        </w:tc>
      </w:tr>
      <w:tr w:rsidR="00F037FD">
        <w:trPr>
          <w:trHeight w:hRule="exact" w:val="240"/>
        </w:trPr>
        <w:tc>
          <w:tcPr>
            <w:tcW w:w="2127" w:type="dxa"/>
          </w:tcPr>
          <w:p w:rsidR="00F037FD" w:rsidRDefault="00034C5C">
            <w:pPr>
              <w:pStyle w:val="TableParagraph"/>
              <w:spacing w:line="223" w:lineRule="exact"/>
              <w:rPr>
                <w:sz w:val="20"/>
              </w:rPr>
            </w:pPr>
            <w:r>
              <w:rPr>
                <w:sz w:val="20"/>
              </w:rPr>
              <w:t>AUC [</w:t>
            </w:r>
            <w:proofErr w:type="spellStart"/>
            <w:r>
              <w:rPr>
                <w:sz w:val="20"/>
              </w:rPr>
              <w:t>μg</w:t>
            </w:r>
            <w:proofErr w:type="spellEnd"/>
            <w:r>
              <w:rPr>
                <w:sz w:val="20"/>
              </w:rPr>
              <w:t>*h/L]</w:t>
            </w:r>
          </w:p>
        </w:tc>
        <w:tc>
          <w:tcPr>
            <w:tcW w:w="1738" w:type="dxa"/>
          </w:tcPr>
          <w:p w:rsidR="00F037FD" w:rsidRDefault="00034C5C">
            <w:pPr>
              <w:pStyle w:val="TableParagraph"/>
              <w:spacing w:line="223" w:lineRule="exact"/>
              <w:ind w:left="203" w:right="202"/>
              <w:jc w:val="center"/>
              <w:rPr>
                <w:sz w:val="20"/>
              </w:rPr>
            </w:pPr>
            <w:r>
              <w:rPr>
                <w:sz w:val="20"/>
              </w:rPr>
              <w:t>1451.713 (1.13)</w:t>
            </w:r>
          </w:p>
        </w:tc>
        <w:tc>
          <w:tcPr>
            <w:tcW w:w="1736" w:type="dxa"/>
          </w:tcPr>
          <w:p w:rsidR="00F037FD" w:rsidRDefault="00034C5C">
            <w:pPr>
              <w:pStyle w:val="TableParagraph"/>
              <w:spacing w:line="223" w:lineRule="exact"/>
              <w:ind w:left="200" w:right="201"/>
              <w:jc w:val="center"/>
              <w:rPr>
                <w:sz w:val="20"/>
              </w:rPr>
            </w:pPr>
            <w:r>
              <w:rPr>
                <w:sz w:val="20"/>
              </w:rPr>
              <w:t>1488.010 (1.11)</w:t>
            </w:r>
          </w:p>
        </w:tc>
        <w:tc>
          <w:tcPr>
            <w:tcW w:w="1735" w:type="dxa"/>
          </w:tcPr>
          <w:p w:rsidR="00F037FD" w:rsidRDefault="00034C5C">
            <w:pPr>
              <w:pStyle w:val="TableParagraph"/>
              <w:spacing w:line="223" w:lineRule="exact"/>
              <w:ind w:left="201" w:right="201"/>
              <w:jc w:val="center"/>
              <w:rPr>
                <w:sz w:val="20"/>
              </w:rPr>
            </w:pPr>
            <w:r>
              <w:rPr>
                <w:sz w:val="20"/>
              </w:rPr>
              <w:t>1169.934 (1.17)</w:t>
            </w:r>
          </w:p>
        </w:tc>
        <w:tc>
          <w:tcPr>
            <w:tcW w:w="1738" w:type="dxa"/>
          </w:tcPr>
          <w:p w:rsidR="00F037FD" w:rsidRDefault="00034C5C">
            <w:pPr>
              <w:pStyle w:val="TableParagraph"/>
              <w:spacing w:line="223" w:lineRule="exact"/>
              <w:ind w:left="0" w:right="222"/>
              <w:jc w:val="right"/>
              <w:rPr>
                <w:sz w:val="20"/>
              </w:rPr>
            </w:pPr>
            <w:r>
              <w:rPr>
                <w:sz w:val="20"/>
              </w:rPr>
              <w:t>1273.756 (1.22)</w:t>
            </w:r>
          </w:p>
        </w:tc>
      </w:tr>
      <w:tr w:rsidR="00F037FD">
        <w:trPr>
          <w:trHeight w:hRule="exact" w:val="470"/>
        </w:trPr>
        <w:tc>
          <w:tcPr>
            <w:tcW w:w="2127" w:type="dxa"/>
          </w:tcPr>
          <w:p w:rsidR="00F037FD" w:rsidRDefault="00034C5C">
            <w:pPr>
              <w:pStyle w:val="TableParagraph"/>
              <w:ind w:right="117"/>
              <w:rPr>
                <w:sz w:val="20"/>
              </w:rPr>
            </w:pPr>
            <w:r>
              <w:rPr>
                <w:sz w:val="20"/>
              </w:rPr>
              <w:t>Point estimate test/reference (90% CI)</w:t>
            </w:r>
          </w:p>
        </w:tc>
        <w:tc>
          <w:tcPr>
            <w:tcW w:w="3474" w:type="dxa"/>
            <w:gridSpan w:val="2"/>
          </w:tcPr>
          <w:p w:rsidR="00F037FD" w:rsidRDefault="00034C5C">
            <w:pPr>
              <w:pStyle w:val="TableParagraph"/>
              <w:spacing w:before="108"/>
              <w:ind w:left="833"/>
              <w:rPr>
                <w:sz w:val="20"/>
              </w:rPr>
            </w:pPr>
            <w:r>
              <w:rPr>
                <w:sz w:val="20"/>
              </w:rPr>
              <w:t>97.56 (89.90 - 105.88)</w:t>
            </w:r>
          </w:p>
        </w:tc>
        <w:tc>
          <w:tcPr>
            <w:tcW w:w="3473" w:type="dxa"/>
            <w:gridSpan w:val="2"/>
          </w:tcPr>
          <w:p w:rsidR="00F037FD" w:rsidRDefault="00034C5C">
            <w:pPr>
              <w:pStyle w:val="TableParagraph"/>
              <w:spacing w:before="108"/>
              <w:ind w:left="880"/>
              <w:rPr>
                <w:sz w:val="20"/>
              </w:rPr>
            </w:pPr>
            <w:r>
              <w:rPr>
                <w:sz w:val="20"/>
              </w:rPr>
              <w:t>91.85 (84.63 - 99.68)</w:t>
            </w:r>
          </w:p>
        </w:tc>
      </w:tr>
      <w:tr w:rsidR="00F037FD">
        <w:trPr>
          <w:trHeight w:hRule="exact" w:val="240"/>
        </w:trPr>
        <w:tc>
          <w:tcPr>
            <w:tcW w:w="2127" w:type="dxa"/>
          </w:tcPr>
          <w:p w:rsidR="00F037FD" w:rsidRDefault="00034C5C">
            <w:pPr>
              <w:pStyle w:val="TableParagraph"/>
              <w:spacing w:line="227" w:lineRule="exact"/>
              <w:rPr>
                <w:sz w:val="20"/>
              </w:rPr>
            </w:pPr>
            <w:r>
              <w:rPr>
                <w:position w:val="2"/>
                <w:sz w:val="20"/>
              </w:rPr>
              <w:t>C</w:t>
            </w:r>
            <w:r>
              <w:rPr>
                <w:sz w:val="13"/>
              </w:rPr>
              <w:t xml:space="preserve">max </w:t>
            </w:r>
            <w:r>
              <w:rPr>
                <w:position w:val="2"/>
                <w:sz w:val="20"/>
              </w:rPr>
              <w:t>[</w:t>
            </w:r>
            <w:proofErr w:type="spellStart"/>
            <w:r>
              <w:rPr>
                <w:position w:val="2"/>
                <w:sz w:val="20"/>
              </w:rPr>
              <w:t>μg</w:t>
            </w:r>
            <w:proofErr w:type="spellEnd"/>
            <w:r>
              <w:rPr>
                <w:position w:val="2"/>
                <w:sz w:val="20"/>
              </w:rPr>
              <w:t>/L]</w:t>
            </w:r>
          </w:p>
        </w:tc>
        <w:tc>
          <w:tcPr>
            <w:tcW w:w="1738" w:type="dxa"/>
          </w:tcPr>
          <w:p w:rsidR="00F037FD" w:rsidRDefault="00034C5C">
            <w:pPr>
              <w:pStyle w:val="TableParagraph"/>
              <w:spacing w:line="223" w:lineRule="exact"/>
              <w:ind w:left="203" w:right="202"/>
              <w:jc w:val="center"/>
              <w:rPr>
                <w:sz w:val="20"/>
              </w:rPr>
            </w:pPr>
            <w:r>
              <w:rPr>
                <w:sz w:val="20"/>
              </w:rPr>
              <w:t>298.529 (1.39)</w:t>
            </w:r>
          </w:p>
        </w:tc>
        <w:tc>
          <w:tcPr>
            <w:tcW w:w="1736" w:type="dxa"/>
          </w:tcPr>
          <w:p w:rsidR="00F037FD" w:rsidRDefault="00034C5C">
            <w:pPr>
              <w:pStyle w:val="TableParagraph"/>
              <w:spacing w:line="223" w:lineRule="exact"/>
              <w:ind w:left="200" w:right="200"/>
              <w:jc w:val="center"/>
              <w:rPr>
                <w:sz w:val="20"/>
              </w:rPr>
            </w:pPr>
            <w:r>
              <w:rPr>
                <w:sz w:val="20"/>
              </w:rPr>
              <w:t>259.737 (1.28)</w:t>
            </w:r>
          </w:p>
        </w:tc>
        <w:tc>
          <w:tcPr>
            <w:tcW w:w="1735" w:type="dxa"/>
          </w:tcPr>
          <w:p w:rsidR="00F037FD" w:rsidRDefault="00034C5C">
            <w:pPr>
              <w:pStyle w:val="TableParagraph"/>
              <w:spacing w:line="223" w:lineRule="exact"/>
              <w:ind w:left="201" w:right="201"/>
              <w:jc w:val="center"/>
              <w:rPr>
                <w:sz w:val="20"/>
              </w:rPr>
            </w:pPr>
            <w:r>
              <w:rPr>
                <w:sz w:val="20"/>
              </w:rPr>
              <w:t>431.359 (1.51)</w:t>
            </w:r>
          </w:p>
        </w:tc>
        <w:tc>
          <w:tcPr>
            <w:tcW w:w="1738" w:type="dxa"/>
          </w:tcPr>
          <w:p w:rsidR="00F037FD" w:rsidRDefault="00034C5C">
            <w:pPr>
              <w:pStyle w:val="TableParagraph"/>
              <w:spacing w:line="223" w:lineRule="exact"/>
              <w:ind w:left="0" w:right="272"/>
              <w:jc w:val="right"/>
              <w:rPr>
                <w:sz w:val="20"/>
              </w:rPr>
            </w:pPr>
            <w:r>
              <w:rPr>
                <w:sz w:val="20"/>
              </w:rPr>
              <w:t>357.456 (1.44)</w:t>
            </w:r>
          </w:p>
        </w:tc>
      </w:tr>
      <w:tr w:rsidR="00F037FD">
        <w:trPr>
          <w:trHeight w:hRule="exact" w:val="470"/>
        </w:trPr>
        <w:tc>
          <w:tcPr>
            <w:tcW w:w="2127" w:type="dxa"/>
          </w:tcPr>
          <w:p w:rsidR="00F037FD" w:rsidRDefault="00034C5C">
            <w:pPr>
              <w:pStyle w:val="TableParagraph"/>
              <w:ind w:right="117"/>
              <w:rPr>
                <w:sz w:val="20"/>
              </w:rPr>
            </w:pPr>
            <w:r>
              <w:rPr>
                <w:sz w:val="20"/>
              </w:rPr>
              <w:lastRenderedPageBreak/>
              <w:t>Point estimate test/reference (90% CI)</w:t>
            </w:r>
          </w:p>
        </w:tc>
        <w:tc>
          <w:tcPr>
            <w:tcW w:w="3474" w:type="dxa"/>
            <w:gridSpan w:val="2"/>
          </w:tcPr>
          <w:p w:rsidR="00F037FD" w:rsidRDefault="00034C5C">
            <w:pPr>
              <w:pStyle w:val="TableParagraph"/>
              <w:spacing w:before="108"/>
              <w:ind w:left="782"/>
              <w:rPr>
                <w:sz w:val="20"/>
              </w:rPr>
            </w:pPr>
            <w:r>
              <w:rPr>
                <w:sz w:val="20"/>
              </w:rPr>
              <w:t>114.93 (90.96 - 145.22)</w:t>
            </w:r>
          </w:p>
        </w:tc>
        <w:tc>
          <w:tcPr>
            <w:tcW w:w="3473" w:type="dxa"/>
            <w:gridSpan w:val="2"/>
          </w:tcPr>
          <w:p w:rsidR="00F037FD" w:rsidRDefault="00034C5C">
            <w:pPr>
              <w:pStyle w:val="TableParagraph"/>
              <w:spacing w:before="108"/>
              <w:ind w:left="779"/>
              <w:rPr>
                <w:sz w:val="20"/>
              </w:rPr>
            </w:pPr>
            <w:r>
              <w:rPr>
                <w:sz w:val="20"/>
              </w:rPr>
              <w:t>120.67 (95.51 - 152.48)</w:t>
            </w:r>
          </w:p>
        </w:tc>
      </w:tr>
      <w:tr w:rsidR="00F037FD">
        <w:trPr>
          <w:trHeight w:hRule="exact" w:val="194"/>
        </w:trPr>
        <w:tc>
          <w:tcPr>
            <w:tcW w:w="9074" w:type="dxa"/>
            <w:gridSpan w:val="5"/>
          </w:tcPr>
          <w:p w:rsidR="00F037FD" w:rsidRDefault="00034C5C">
            <w:pPr>
              <w:pStyle w:val="TableParagraph"/>
              <w:spacing w:line="185" w:lineRule="exact"/>
              <w:rPr>
                <w:i/>
                <w:sz w:val="16"/>
              </w:rPr>
            </w:pPr>
            <w:r>
              <w:rPr>
                <w:i/>
                <w:position w:val="2"/>
                <w:sz w:val="16"/>
              </w:rPr>
              <w:t>AUC = area under the plasma concentration time curve; C</w:t>
            </w:r>
            <w:r>
              <w:rPr>
                <w:i/>
                <w:sz w:val="10"/>
              </w:rPr>
              <w:t xml:space="preserve">max </w:t>
            </w:r>
            <w:r>
              <w:rPr>
                <w:i/>
                <w:position w:val="2"/>
                <w:sz w:val="16"/>
              </w:rPr>
              <w:t>= maximum plasma concentration</w:t>
            </w:r>
          </w:p>
        </w:tc>
      </w:tr>
    </w:tbl>
    <w:p w:rsidR="00F037FD" w:rsidRDefault="00F037FD">
      <w:pPr>
        <w:spacing w:line="185" w:lineRule="exact"/>
        <w:rPr>
          <w:sz w:val="16"/>
        </w:rPr>
        <w:sectPr w:rsidR="00F037FD">
          <w:pgSz w:w="11910" w:h="16850"/>
          <w:pgMar w:top="1160" w:right="960" w:bottom="1000" w:left="1020" w:header="883" w:footer="816" w:gutter="0"/>
          <w:cols w:space="720"/>
        </w:sectPr>
      </w:pPr>
    </w:p>
    <w:p w:rsidR="00F037FD" w:rsidRDefault="00F037FD">
      <w:pPr>
        <w:pStyle w:val="BodyText"/>
        <w:spacing w:before="10"/>
        <w:rPr>
          <w:i/>
          <w:sz w:val="10"/>
        </w:rPr>
      </w:pPr>
    </w:p>
    <w:p w:rsidR="00F037FD" w:rsidRDefault="00034C5C">
      <w:pPr>
        <w:pStyle w:val="BodyText"/>
        <w:spacing w:before="90"/>
        <w:ind w:left="141" w:right="134"/>
        <w:jc w:val="both"/>
      </w:pPr>
      <w:r>
        <w:t xml:space="preserve">Using a cross group comparison, which does not permit extraction of variability due to subject differences or period </w:t>
      </w:r>
      <w:proofErr w:type="gramStart"/>
      <w:r>
        <w:t>effects,</w:t>
      </w:r>
      <w:proofErr w:type="gramEnd"/>
      <w:r>
        <w:t xml:space="preserve"> it appears the 50 mg/mL product has a higher </w:t>
      </w:r>
      <w:proofErr w:type="spellStart"/>
      <w:r>
        <w:t>C</w:t>
      </w:r>
      <w:r>
        <w:rPr>
          <w:sz w:val="16"/>
        </w:rPr>
        <w:t>max</w:t>
      </w:r>
      <w:proofErr w:type="spellEnd"/>
      <w:r>
        <w:rPr>
          <w:sz w:val="16"/>
        </w:rPr>
        <w:t xml:space="preserve"> </w:t>
      </w:r>
      <w:r>
        <w:t xml:space="preserve">and slightly lower AUC when given by </w:t>
      </w:r>
      <w:proofErr w:type="spellStart"/>
      <w:r>
        <w:t>i.m</w:t>
      </w:r>
      <w:proofErr w:type="spellEnd"/>
      <w:r>
        <w:t xml:space="preserve">. injection compared to </w:t>
      </w:r>
      <w:proofErr w:type="spellStart"/>
      <w:r>
        <w:t>s.c.</w:t>
      </w:r>
      <w:proofErr w:type="spellEnd"/>
      <w:r>
        <w:t xml:space="preserve"> injection. This difference in the AUC after IM administration</w:t>
      </w:r>
      <w:r>
        <w:rPr>
          <w:spacing w:val="-7"/>
        </w:rPr>
        <w:t xml:space="preserve"> </w:t>
      </w:r>
      <w:r>
        <w:t>of</w:t>
      </w:r>
      <w:r>
        <w:rPr>
          <w:spacing w:val="-8"/>
        </w:rPr>
        <w:t xml:space="preserve"> </w:t>
      </w:r>
      <w:r>
        <w:t>the</w:t>
      </w:r>
      <w:r>
        <w:rPr>
          <w:spacing w:val="-10"/>
        </w:rPr>
        <w:t xml:space="preserve"> </w:t>
      </w:r>
      <w:r>
        <w:t>10</w:t>
      </w:r>
      <w:r>
        <w:rPr>
          <w:spacing w:val="-10"/>
        </w:rPr>
        <w:t xml:space="preserve"> </w:t>
      </w:r>
      <w:r>
        <w:t>mg/mL</w:t>
      </w:r>
      <w:r>
        <w:rPr>
          <w:spacing w:val="-7"/>
        </w:rPr>
        <w:t xml:space="preserve"> </w:t>
      </w:r>
      <w:r>
        <w:t>and</w:t>
      </w:r>
      <w:r>
        <w:rPr>
          <w:spacing w:val="-7"/>
        </w:rPr>
        <w:t xml:space="preserve"> </w:t>
      </w:r>
      <w:r>
        <w:t>50</w:t>
      </w:r>
      <w:r>
        <w:rPr>
          <w:spacing w:val="-7"/>
        </w:rPr>
        <w:t xml:space="preserve"> </w:t>
      </w:r>
      <w:r>
        <w:t>mg/mL</w:t>
      </w:r>
      <w:r>
        <w:rPr>
          <w:spacing w:val="-7"/>
        </w:rPr>
        <w:t xml:space="preserve"> </w:t>
      </w:r>
      <w:r>
        <w:t>is</w:t>
      </w:r>
      <w:r>
        <w:rPr>
          <w:spacing w:val="-9"/>
        </w:rPr>
        <w:t xml:space="preserve"> </w:t>
      </w:r>
      <w:r>
        <w:t>not</w:t>
      </w:r>
      <w:r>
        <w:rPr>
          <w:spacing w:val="-7"/>
        </w:rPr>
        <w:t xml:space="preserve"> </w:t>
      </w:r>
      <w:r>
        <w:t>expected</w:t>
      </w:r>
      <w:r>
        <w:rPr>
          <w:spacing w:val="-7"/>
        </w:rPr>
        <w:t xml:space="preserve"> </w:t>
      </w:r>
      <w:r>
        <w:t>to</w:t>
      </w:r>
      <w:r>
        <w:rPr>
          <w:spacing w:val="-9"/>
        </w:rPr>
        <w:t xml:space="preserve"> </w:t>
      </w:r>
      <w:r>
        <w:t>have</w:t>
      </w:r>
      <w:r>
        <w:rPr>
          <w:spacing w:val="-11"/>
        </w:rPr>
        <w:t xml:space="preserve"> </w:t>
      </w:r>
      <w:r>
        <w:t>any</w:t>
      </w:r>
      <w:r>
        <w:rPr>
          <w:spacing w:val="-10"/>
        </w:rPr>
        <w:t xml:space="preserve"> </w:t>
      </w:r>
      <w:r>
        <w:t>clinical</w:t>
      </w:r>
      <w:r>
        <w:rPr>
          <w:spacing w:val="-9"/>
        </w:rPr>
        <w:t xml:space="preserve"> </w:t>
      </w:r>
      <w:r>
        <w:t xml:space="preserve">consequence. The differences between the </w:t>
      </w:r>
      <w:proofErr w:type="spellStart"/>
      <w:r>
        <w:t>i.m</w:t>
      </w:r>
      <w:proofErr w:type="spellEnd"/>
      <w:r>
        <w:t xml:space="preserve">. and </w:t>
      </w:r>
      <w:proofErr w:type="spellStart"/>
      <w:proofErr w:type="gramStart"/>
      <w:r>
        <w:t>s.c</w:t>
      </w:r>
      <w:proofErr w:type="gramEnd"/>
      <w:r>
        <w:t>.</w:t>
      </w:r>
      <w:proofErr w:type="spellEnd"/>
      <w:r>
        <w:t xml:space="preserve"> routes for the two injection concentrations in the cross study- arm</w:t>
      </w:r>
      <w:r>
        <w:rPr>
          <w:spacing w:val="-7"/>
        </w:rPr>
        <w:t xml:space="preserve"> </w:t>
      </w:r>
      <w:r>
        <w:t>comparisons</w:t>
      </w:r>
      <w:r>
        <w:rPr>
          <w:spacing w:val="-5"/>
        </w:rPr>
        <w:t xml:space="preserve"> </w:t>
      </w:r>
      <w:r>
        <w:t>are</w:t>
      </w:r>
      <w:r>
        <w:rPr>
          <w:spacing w:val="-6"/>
        </w:rPr>
        <w:t xml:space="preserve"> </w:t>
      </w:r>
      <w:r>
        <w:t>similar,</w:t>
      </w:r>
      <w:r>
        <w:rPr>
          <w:spacing w:val="-2"/>
        </w:rPr>
        <w:t xml:space="preserve"> </w:t>
      </w:r>
      <w:r>
        <w:t>suggesting</w:t>
      </w:r>
      <w:r>
        <w:rPr>
          <w:spacing w:val="-5"/>
        </w:rPr>
        <w:t xml:space="preserve"> </w:t>
      </w:r>
      <w:r>
        <w:t>there</w:t>
      </w:r>
      <w:r>
        <w:rPr>
          <w:spacing w:val="-6"/>
        </w:rPr>
        <w:t xml:space="preserve"> </w:t>
      </w:r>
      <w:r>
        <w:t>are</w:t>
      </w:r>
      <w:r>
        <w:rPr>
          <w:spacing w:val="-6"/>
        </w:rPr>
        <w:t xml:space="preserve"> </w:t>
      </w:r>
      <w:r>
        <w:t>population</w:t>
      </w:r>
      <w:r>
        <w:rPr>
          <w:spacing w:val="-2"/>
        </w:rPr>
        <w:t xml:space="preserve"> </w:t>
      </w:r>
      <w:r>
        <w:t>differences</w:t>
      </w:r>
      <w:r>
        <w:rPr>
          <w:spacing w:val="-2"/>
        </w:rPr>
        <w:t xml:space="preserve"> </w:t>
      </w:r>
      <w:r>
        <w:t>contributing</w:t>
      </w:r>
      <w:r>
        <w:rPr>
          <w:spacing w:val="-4"/>
        </w:rPr>
        <w:t xml:space="preserve"> </w:t>
      </w:r>
      <w:r>
        <w:t>to</w:t>
      </w:r>
      <w:r>
        <w:rPr>
          <w:spacing w:val="-4"/>
        </w:rPr>
        <w:t xml:space="preserve"> </w:t>
      </w:r>
      <w:r>
        <w:t>this</w:t>
      </w:r>
      <w:r>
        <w:rPr>
          <w:spacing w:val="-5"/>
        </w:rPr>
        <w:t xml:space="preserve"> </w:t>
      </w:r>
      <w:r>
        <w:t>finding.</w:t>
      </w:r>
    </w:p>
    <w:p w:rsidR="00F037FD" w:rsidRDefault="00F037FD">
      <w:pPr>
        <w:pStyle w:val="BodyText"/>
        <w:spacing w:before="11"/>
        <w:rPr>
          <w:sz w:val="23"/>
        </w:rPr>
      </w:pPr>
    </w:p>
    <w:p w:rsidR="00F037FD" w:rsidRDefault="00034C5C">
      <w:pPr>
        <w:pStyle w:val="BodyText"/>
        <w:ind w:left="141"/>
        <w:jc w:val="both"/>
      </w:pPr>
      <w:r>
        <w:rPr>
          <w:u w:val="single"/>
        </w:rPr>
        <w:t>Studies comparing Oral with Parenteral Administration</w:t>
      </w:r>
    </w:p>
    <w:p w:rsidR="00F037FD" w:rsidRDefault="00F037FD">
      <w:pPr>
        <w:pStyle w:val="BodyText"/>
        <w:spacing w:before="10"/>
        <w:rPr>
          <w:sz w:val="15"/>
        </w:rPr>
      </w:pPr>
    </w:p>
    <w:p w:rsidR="00F037FD" w:rsidRDefault="00034C5C">
      <w:pPr>
        <w:pStyle w:val="BodyText"/>
        <w:spacing w:before="90"/>
        <w:ind w:left="141" w:right="138"/>
      </w:pPr>
      <w:r>
        <w:t xml:space="preserve">Four published studies in adult patients with RA have compared oral MTX 7.5-30 mg/week with equivalent doses administered by either IM or SC injection. The mean bioavailability in 15 adult patients with RA after oral MTX 30 mg/week, as demonstrated by Hoekstra </w:t>
      </w:r>
      <w:r>
        <w:rPr>
          <w:i/>
        </w:rPr>
        <w:t xml:space="preserve">et al </w:t>
      </w:r>
      <w:r>
        <w:t xml:space="preserve">(2004), was 0.64 (range 0.21-0.96) which was statistically significantly different to the SC administration of the same dose. </w:t>
      </w:r>
      <w:proofErr w:type="spellStart"/>
      <w:r>
        <w:t>Seideman</w:t>
      </w:r>
      <w:proofErr w:type="spellEnd"/>
      <w:r>
        <w:t xml:space="preserve"> </w:t>
      </w:r>
      <w:r>
        <w:rPr>
          <w:i/>
        </w:rPr>
        <w:t xml:space="preserve">et al </w:t>
      </w:r>
      <w:r>
        <w:t xml:space="preserve">(1993) reported the AUC in nine patients where IM and oral doses met bioequivalence criteria (90% CI 92-121% for the AUC ratio). In the study of 21 RA patients conducted by Hamilton </w:t>
      </w:r>
      <w:r>
        <w:rPr>
          <w:i/>
        </w:rPr>
        <w:t xml:space="preserve">et al </w:t>
      </w:r>
      <w:r>
        <w:t xml:space="preserve">(1997) the 24-hour AUC was significantly lower with oral versus IM therapy at a mean MTX dose of 17 mg/week (p=0.027), but this was not seen at the lower 7.5 mg weekly dose of MTX. </w:t>
      </w:r>
      <w:proofErr w:type="spellStart"/>
      <w:r>
        <w:t>Auvinet</w:t>
      </w:r>
      <w:proofErr w:type="spellEnd"/>
      <w:r>
        <w:t xml:space="preserve"> </w:t>
      </w:r>
      <w:r>
        <w:rPr>
          <w:i/>
        </w:rPr>
        <w:t xml:space="preserve">et al </w:t>
      </w:r>
      <w:r>
        <w:t xml:space="preserve">(1992) observed a 10 mg/week oral dose that was 60% bioavailable relative to the same SC dose involving 8 adult patients with RA, which is consistent with the results reported by Hamilton and Hoekstra. Another study by Herman </w:t>
      </w:r>
      <w:r>
        <w:rPr>
          <w:i/>
        </w:rPr>
        <w:t xml:space="preserve">et al </w:t>
      </w:r>
      <w:r>
        <w:t xml:space="preserve">(1989) reported oral bioavailability of a 10 mg dose as 70% compared with the same dose given by IM injection in a study involving 41 RA patients. Overall, the published data indicates that a lower AUC is seen with oral therapy versus parenteral administration for doses of MTX as low as 10 mg, consistently when the dose is &gt;15 mg. (See also </w:t>
      </w:r>
      <w:r>
        <w:rPr>
          <w:b/>
        </w:rPr>
        <w:t>DOSAGE AND ADMINSTRATION</w:t>
      </w:r>
      <w:r>
        <w:t>.)</w:t>
      </w:r>
    </w:p>
    <w:p w:rsidR="00F037FD" w:rsidRDefault="00F037FD">
      <w:pPr>
        <w:pStyle w:val="BodyText"/>
        <w:rPr>
          <w:sz w:val="26"/>
        </w:rPr>
      </w:pPr>
    </w:p>
    <w:p w:rsidR="00F037FD" w:rsidRDefault="00F037FD">
      <w:pPr>
        <w:pStyle w:val="BodyText"/>
        <w:spacing w:before="6"/>
        <w:rPr>
          <w:sz w:val="22"/>
        </w:rPr>
      </w:pPr>
    </w:p>
    <w:p w:rsidR="00F037FD" w:rsidRDefault="00034C5C">
      <w:pPr>
        <w:pStyle w:val="Heading1"/>
        <w:jc w:val="left"/>
      </w:pPr>
      <w:r>
        <w:t>CLINICAL TRIALS</w:t>
      </w:r>
    </w:p>
    <w:p w:rsidR="00F037FD" w:rsidRDefault="00F037FD">
      <w:pPr>
        <w:pStyle w:val="BodyText"/>
        <w:rPr>
          <w:b/>
          <w:sz w:val="21"/>
        </w:rPr>
      </w:pPr>
    </w:p>
    <w:p w:rsidR="00F037FD" w:rsidRDefault="00034C5C">
      <w:pPr>
        <w:spacing w:before="1"/>
        <w:ind w:left="141"/>
        <w:rPr>
          <w:b/>
          <w:sz w:val="24"/>
        </w:rPr>
      </w:pPr>
      <w:r>
        <w:rPr>
          <w:b/>
          <w:sz w:val="24"/>
        </w:rPr>
        <w:t>Rheumatoid Arthritis</w:t>
      </w:r>
    </w:p>
    <w:p w:rsidR="00F037FD" w:rsidRDefault="00F037FD">
      <w:pPr>
        <w:pStyle w:val="BodyText"/>
        <w:spacing w:before="5"/>
        <w:rPr>
          <w:b/>
          <w:sz w:val="20"/>
        </w:rPr>
      </w:pPr>
    </w:p>
    <w:p w:rsidR="00F037FD" w:rsidRDefault="00034C5C">
      <w:pPr>
        <w:pStyle w:val="BodyText"/>
        <w:ind w:left="141"/>
      </w:pPr>
      <w:r>
        <w:rPr>
          <w:u w:val="single"/>
        </w:rPr>
        <w:t>Subcutaneous Use</w:t>
      </w:r>
    </w:p>
    <w:p w:rsidR="00F037FD" w:rsidRDefault="00F037FD">
      <w:pPr>
        <w:pStyle w:val="BodyText"/>
        <w:spacing w:before="10"/>
        <w:rPr>
          <w:sz w:val="21"/>
        </w:rPr>
      </w:pPr>
    </w:p>
    <w:p w:rsidR="00F037FD" w:rsidRDefault="00034C5C">
      <w:pPr>
        <w:pStyle w:val="Heading1"/>
        <w:jc w:val="left"/>
      </w:pPr>
      <w:r>
        <w:t>MC-MTX.6/RH</w:t>
      </w:r>
    </w:p>
    <w:p w:rsidR="00F037FD" w:rsidRDefault="00F037FD">
      <w:pPr>
        <w:pStyle w:val="BodyText"/>
        <w:spacing w:before="4"/>
        <w:rPr>
          <w:b/>
          <w:sz w:val="23"/>
        </w:rPr>
      </w:pPr>
    </w:p>
    <w:p w:rsidR="00F037FD" w:rsidRDefault="00034C5C">
      <w:pPr>
        <w:pStyle w:val="BodyText"/>
        <w:ind w:left="141" w:right="152"/>
      </w:pPr>
      <w:r>
        <w:t xml:space="preserve">A double-blind, </w:t>
      </w:r>
      <w:proofErr w:type="spellStart"/>
      <w:r>
        <w:t>multicentric</w:t>
      </w:r>
      <w:proofErr w:type="spellEnd"/>
      <w:r>
        <w:t xml:space="preserve">, </w:t>
      </w:r>
      <w:proofErr w:type="spellStart"/>
      <w:r>
        <w:t>randomised</w:t>
      </w:r>
      <w:proofErr w:type="spellEnd"/>
      <w:r>
        <w:t xml:space="preserve"> clinical trial (Study no. MC-MTX.6/RH) was conducted to evaluate the efficacy of subcutaneously administered MTX in comparison with oral treatment in patients with active rheumatoid arthritis (RA). A total of 384 patients aged 18 to 75 years with active RA defined by a disease activity score (DAS) 28 ≥ 4, who have never been treated with MTX before and who were familiar with subcutaneous self- administration through confirmed practice phase were included into this</w:t>
      </w:r>
      <w:r>
        <w:rPr>
          <w:spacing w:val="-8"/>
        </w:rPr>
        <w:t xml:space="preserve"> </w:t>
      </w:r>
      <w:r>
        <w:t>trial.</w:t>
      </w:r>
    </w:p>
    <w:p w:rsidR="00F037FD" w:rsidRDefault="00F037FD">
      <w:pPr>
        <w:pStyle w:val="BodyText"/>
      </w:pPr>
    </w:p>
    <w:p w:rsidR="00F037FD" w:rsidRDefault="00034C5C">
      <w:pPr>
        <w:pStyle w:val="BodyText"/>
        <w:ind w:left="141" w:right="133"/>
        <w:jc w:val="both"/>
      </w:pPr>
      <w:r>
        <w:t xml:space="preserve">Patients were </w:t>
      </w:r>
      <w:proofErr w:type="spellStart"/>
      <w:r>
        <w:t>randomised</w:t>
      </w:r>
      <w:proofErr w:type="spellEnd"/>
      <w:r>
        <w:t xml:space="preserve"> into an oral arm (A; n = 190) or a subcutaneous arm (B; n = 194). Patients within</w:t>
      </w:r>
      <w:r>
        <w:rPr>
          <w:spacing w:val="-8"/>
        </w:rPr>
        <w:t xml:space="preserve"> </w:t>
      </w:r>
      <w:r>
        <w:t>arm</w:t>
      </w:r>
      <w:r>
        <w:rPr>
          <w:spacing w:val="-8"/>
        </w:rPr>
        <w:t xml:space="preserve"> </w:t>
      </w:r>
      <w:r>
        <w:t>A</w:t>
      </w:r>
      <w:r>
        <w:rPr>
          <w:spacing w:val="-11"/>
        </w:rPr>
        <w:t xml:space="preserve"> </w:t>
      </w:r>
      <w:r>
        <w:t>received</w:t>
      </w:r>
      <w:r>
        <w:rPr>
          <w:spacing w:val="-6"/>
        </w:rPr>
        <w:t xml:space="preserve"> </w:t>
      </w:r>
      <w:r>
        <w:t>2</w:t>
      </w:r>
      <w:r>
        <w:rPr>
          <w:spacing w:val="-8"/>
        </w:rPr>
        <w:t xml:space="preserve"> </w:t>
      </w:r>
      <w:r>
        <w:t>tablets</w:t>
      </w:r>
      <w:r>
        <w:rPr>
          <w:spacing w:val="-5"/>
        </w:rPr>
        <w:t xml:space="preserve"> </w:t>
      </w:r>
      <w:r>
        <w:t>of</w:t>
      </w:r>
      <w:r>
        <w:rPr>
          <w:spacing w:val="-7"/>
        </w:rPr>
        <w:t xml:space="preserve"> </w:t>
      </w:r>
      <w:r>
        <w:t>MTX</w:t>
      </w:r>
      <w:r>
        <w:rPr>
          <w:spacing w:val="-9"/>
        </w:rPr>
        <w:t xml:space="preserve"> </w:t>
      </w:r>
      <w:r>
        <w:t>7.5</w:t>
      </w:r>
      <w:r>
        <w:rPr>
          <w:spacing w:val="-8"/>
        </w:rPr>
        <w:t xml:space="preserve"> </w:t>
      </w:r>
      <w:r>
        <w:t>mg</w:t>
      </w:r>
      <w:r>
        <w:rPr>
          <w:spacing w:val="-8"/>
        </w:rPr>
        <w:t xml:space="preserve"> </w:t>
      </w:r>
      <w:r>
        <w:t>and</w:t>
      </w:r>
      <w:r>
        <w:rPr>
          <w:spacing w:val="-6"/>
        </w:rPr>
        <w:t xml:space="preserve"> </w:t>
      </w:r>
      <w:r>
        <w:t>one</w:t>
      </w:r>
      <w:r>
        <w:rPr>
          <w:spacing w:val="-9"/>
        </w:rPr>
        <w:t xml:space="preserve"> </w:t>
      </w:r>
      <w:r>
        <w:t>dummy</w:t>
      </w:r>
      <w:r>
        <w:rPr>
          <w:spacing w:val="-8"/>
        </w:rPr>
        <w:t xml:space="preserve"> </w:t>
      </w:r>
      <w:r>
        <w:t>pre-filled</w:t>
      </w:r>
      <w:r>
        <w:rPr>
          <w:spacing w:val="-6"/>
        </w:rPr>
        <w:t xml:space="preserve"> </w:t>
      </w:r>
      <w:r>
        <w:t>syringe</w:t>
      </w:r>
      <w:r>
        <w:rPr>
          <w:spacing w:val="-9"/>
        </w:rPr>
        <w:t xml:space="preserve"> </w:t>
      </w:r>
      <w:r>
        <w:t>per</w:t>
      </w:r>
      <w:r>
        <w:rPr>
          <w:spacing w:val="-4"/>
        </w:rPr>
        <w:t xml:space="preserve"> </w:t>
      </w:r>
      <w:r>
        <w:t>week.</w:t>
      </w:r>
      <w:r>
        <w:rPr>
          <w:spacing w:val="-8"/>
        </w:rPr>
        <w:t xml:space="preserve"> </w:t>
      </w:r>
      <w:r>
        <w:t>Patients within arm B received one pre-filled syringe containing 15 mg MTX and two dummy tablets per week.</w:t>
      </w:r>
      <w:r>
        <w:rPr>
          <w:spacing w:val="-6"/>
        </w:rPr>
        <w:t xml:space="preserve"> </w:t>
      </w:r>
      <w:r>
        <w:t>The</w:t>
      </w:r>
      <w:r>
        <w:rPr>
          <w:spacing w:val="-12"/>
        </w:rPr>
        <w:t xml:space="preserve"> </w:t>
      </w:r>
      <w:r>
        <w:t>patients</w:t>
      </w:r>
      <w:r>
        <w:rPr>
          <w:spacing w:val="-8"/>
        </w:rPr>
        <w:t xml:space="preserve"> </w:t>
      </w:r>
      <w:r>
        <w:t>were</w:t>
      </w:r>
      <w:r>
        <w:rPr>
          <w:spacing w:val="-12"/>
        </w:rPr>
        <w:t xml:space="preserve"> </w:t>
      </w:r>
      <w:r>
        <w:t>treated</w:t>
      </w:r>
      <w:r>
        <w:rPr>
          <w:spacing w:val="-8"/>
        </w:rPr>
        <w:t xml:space="preserve"> </w:t>
      </w:r>
      <w:r>
        <w:t>for</w:t>
      </w:r>
      <w:r>
        <w:rPr>
          <w:spacing w:val="-6"/>
        </w:rPr>
        <w:t xml:space="preserve"> </w:t>
      </w:r>
      <w:r>
        <w:t>24</w:t>
      </w:r>
      <w:r>
        <w:rPr>
          <w:spacing w:val="-11"/>
        </w:rPr>
        <w:t xml:space="preserve"> </w:t>
      </w:r>
      <w:r>
        <w:t>weeks</w:t>
      </w:r>
      <w:r>
        <w:rPr>
          <w:spacing w:val="-8"/>
        </w:rPr>
        <w:t xml:space="preserve"> </w:t>
      </w:r>
      <w:r>
        <w:t>with</w:t>
      </w:r>
      <w:r>
        <w:rPr>
          <w:spacing w:val="-10"/>
        </w:rPr>
        <w:t xml:space="preserve"> </w:t>
      </w:r>
      <w:r>
        <w:t>a</w:t>
      </w:r>
      <w:r>
        <w:rPr>
          <w:spacing w:val="-9"/>
        </w:rPr>
        <w:t xml:space="preserve"> </w:t>
      </w:r>
      <w:r>
        <w:t>constant</w:t>
      </w:r>
      <w:r>
        <w:rPr>
          <w:spacing w:val="-10"/>
        </w:rPr>
        <w:t xml:space="preserve"> </w:t>
      </w:r>
      <w:r>
        <w:t>dose</w:t>
      </w:r>
      <w:r>
        <w:rPr>
          <w:spacing w:val="-11"/>
        </w:rPr>
        <w:t xml:space="preserve"> </w:t>
      </w:r>
      <w:r>
        <w:t>of</w:t>
      </w:r>
      <w:r>
        <w:rPr>
          <w:spacing w:val="-9"/>
        </w:rPr>
        <w:t xml:space="preserve"> </w:t>
      </w:r>
      <w:r>
        <w:t>15</w:t>
      </w:r>
      <w:r>
        <w:rPr>
          <w:spacing w:val="-8"/>
        </w:rPr>
        <w:t xml:space="preserve"> </w:t>
      </w:r>
      <w:r>
        <w:t>mg</w:t>
      </w:r>
      <w:r>
        <w:rPr>
          <w:spacing w:val="-11"/>
        </w:rPr>
        <w:t xml:space="preserve"> </w:t>
      </w:r>
      <w:r>
        <w:t>MTX,</w:t>
      </w:r>
      <w:r>
        <w:rPr>
          <w:spacing w:val="-9"/>
        </w:rPr>
        <w:t xml:space="preserve"> </w:t>
      </w:r>
      <w:r>
        <w:t>except</w:t>
      </w:r>
      <w:r>
        <w:rPr>
          <w:spacing w:val="-8"/>
        </w:rPr>
        <w:t xml:space="preserve"> </w:t>
      </w:r>
      <w:r>
        <w:t>for</w:t>
      </w:r>
      <w:r>
        <w:rPr>
          <w:spacing w:val="-7"/>
        </w:rPr>
        <w:t xml:space="preserve"> </w:t>
      </w:r>
      <w:r>
        <w:t>patients who had not achieved a 20% improvement according to American College of Rheumatology criteria (ACR20) at week 16. In this case the study medication of the patients was changed from 15 mg oral to 15 mg SC (Arm A) or from 15 mg SC to 20 mg SC (Arm B),</w:t>
      </w:r>
      <w:r>
        <w:rPr>
          <w:spacing w:val="-25"/>
        </w:rPr>
        <w:t xml:space="preserve"> </w:t>
      </w:r>
      <w:r>
        <w:t>respectively.</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BodyText"/>
        <w:spacing w:before="90"/>
        <w:ind w:left="141" w:right="131"/>
        <w:jc w:val="both"/>
      </w:pPr>
      <w:r>
        <w:t>The primary endpoint for this trial was the demonstration of superiority of MTX after SC administration vs oral administration after 24 weeks based on the ACR20 response. Sample size was determined by assuming a 15% point increase in ACR20 response rate after 24 weeks (55% in the MTX oral arm vs 70% in the SC group) within the Full-Analysis-Set. The two-tailed significance level was 5%. The power of the statistical test was fixed at 80%.</w:t>
      </w:r>
    </w:p>
    <w:p w:rsidR="00F037FD" w:rsidRDefault="00F037FD">
      <w:pPr>
        <w:pStyle w:val="BodyText"/>
        <w:spacing w:before="11"/>
        <w:rPr>
          <w:sz w:val="23"/>
        </w:rPr>
      </w:pPr>
    </w:p>
    <w:p w:rsidR="00F037FD" w:rsidRDefault="00034C5C">
      <w:pPr>
        <w:pStyle w:val="BodyText"/>
        <w:ind w:left="141"/>
        <w:jc w:val="both"/>
      </w:pPr>
      <w:r>
        <w:t>Of all patients, 78.2% in the SC group and 70.1% in the oral group were ACR20 responders at week</w:t>
      </w:r>
    </w:p>
    <w:p w:rsidR="00F037FD" w:rsidRDefault="00034C5C">
      <w:pPr>
        <w:pStyle w:val="BodyText"/>
        <w:ind w:left="141" w:right="132"/>
        <w:jc w:val="both"/>
      </w:pPr>
      <w:r>
        <w:t>24. This difference was statistically significant (Cochran-Mantel-</w:t>
      </w:r>
      <w:proofErr w:type="spellStart"/>
      <w:r>
        <w:t>Haenszel</w:t>
      </w:r>
      <w:proofErr w:type="spellEnd"/>
      <w:r>
        <w:t xml:space="preserve"> test; P = 0.0412). The estimate of common relative risk was 1.12 (95% CI: 1.01-1.24). Furthermore, significantly more patients</w:t>
      </w:r>
      <w:r>
        <w:rPr>
          <w:spacing w:val="-14"/>
        </w:rPr>
        <w:t xml:space="preserve"> </w:t>
      </w:r>
      <w:r>
        <w:t>in</w:t>
      </w:r>
      <w:r>
        <w:rPr>
          <w:spacing w:val="-17"/>
        </w:rPr>
        <w:t xml:space="preserve"> </w:t>
      </w:r>
      <w:r>
        <w:t>the</w:t>
      </w:r>
      <w:r>
        <w:rPr>
          <w:spacing w:val="-17"/>
        </w:rPr>
        <w:t xml:space="preserve"> </w:t>
      </w:r>
      <w:r>
        <w:t>SC</w:t>
      </w:r>
      <w:r>
        <w:rPr>
          <w:spacing w:val="-16"/>
        </w:rPr>
        <w:t xml:space="preserve"> </w:t>
      </w:r>
      <w:r>
        <w:t>group</w:t>
      </w:r>
      <w:r>
        <w:rPr>
          <w:spacing w:val="-17"/>
        </w:rPr>
        <w:t xml:space="preserve"> </w:t>
      </w:r>
      <w:r>
        <w:t>were</w:t>
      </w:r>
      <w:r>
        <w:rPr>
          <w:spacing w:val="-18"/>
        </w:rPr>
        <w:t xml:space="preserve"> </w:t>
      </w:r>
      <w:r>
        <w:t>ACR70</w:t>
      </w:r>
      <w:r>
        <w:rPr>
          <w:spacing w:val="-14"/>
        </w:rPr>
        <w:t xml:space="preserve"> </w:t>
      </w:r>
      <w:r>
        <w:t>responders</w:t>
      </w:r>
      <w:r>
        <w:rPr>
          <w:spacing w:val="-14"/>
        </w:rPr>
        <w:t xml:space="preserve"> </w:t>
      </w:r>
      <w:r>
        <w:t>compared</w:t>
      </w:r>
      <w:r>
        <w:rPr>
          <w:spacing w:val="-14"/>
        </w:rPr>
        <w:t xml:space="preserve"> </w:t>
      </w:r>
      <w:r>
        <w:t>to</w:t>
      </w:r>
      <w:r>
        <w:rPr>
          <w:spacing w:val="-16"/>
        </w:rPr>
        <w:t xml:space="preserve"> </w:t>
      </w:r>
      <w:r>
        <w:t>the</w:t>
      </w:r>
      <w:r>
        <w:rPr>
          <w:spacing w:val="-17"/>
        </w:rPr>
        <w:t xml:space="preserve"> </w:t>
      </w:r>
      <w:r>
        <w:t>oral</w:t>
      </w:r>
      <w:r>
        <w:rPr>
          <w:spacing w:val="-16"/>
        </w:rPr>
        <w:t xml:space="preserve"> </w:t>
      </w:r>
      <w:r>
        <w:t>group</w:t>
      </w:r>
      <w:r>
        <w:rPr>
          <w:spacing w:val="-14"/>
        </w:rPr>
        <w:t xml:space="preserve"> </w:t>
      </w:r>
      <w:r>
        <w:t>at</w:t>
      </w:r>
      <w:r>
        <w:rPr>
          <w:spacing w:val="-16"/>
        </w:rPr>
        <w:t xml:space="preserve"> </w:t>
      </w:r>
      <w:r>
        <w:t>week</w:t>
      </w:r>
      <w:r>
        <w:rPr>
          <w:spacing w:val="-14"/>
        </w:rPr>
        <w:t xml:space="preserve"> </w:t>
      </w:r>
      <w:r>
        <w:t>24</w:t>
      </w:r>
      <w:r>
        <w:rPr>
          <w:spacing w:val="-14"/>
        </w:rPr>
        <w:t xml:space="preserve"> </w:t>
      </w:r>
      <w:r>
        <w:t>(41</w:t>
      </w:r>
      <w:r>
        <w:rPr>
          <w:spacing w:val="-17"/>
        </w:rPr>
        <w:t xml:space="preserve"> </w:t>
      </w:r>
      <w:r>
        <w:t>vs</w:t>
      </w:r>
      <w:r>
        <w:rPr>
          <w:spacing w:val="-14"/>
        </w:rPr>
        <w:t xml:space="preserve"> </w:t>
      </w:r>
      <w:r>
        <w:t>33.2%; P =</w:t>
      </w:r>
      <w:r>
        <w:rPr>
          <w:spacing w:val="-4"/>
        </w:rPr>
        <w:t xml:space="preserve"> </w:t>
      </w:r>
      <w:r>
        <w:t>0.03).</w:t>
      </w:r>
    </w:p>
    <w:p w:rsidR="00F037FD" w:rsidRDefault="00F037FD">
      <w:pPr>
        <w:pStyle w:val="BodyText"/>
        <w:spacing w:before="5"/>
      </w:pPr>
    </w:p>
    <w:p w:rsidR="00F037FD" w:rsidRDefault="00034C5C">
      <w:pPr>
        <w:pStyle w:val="BodyText"/>
        <w:ind w:left="141" w:right="137"/>
        <w:jc w:val="both"/>
      </w:pPr>
      <w:r>
        <w:t>Time</w:t>
      </w:r>
      <w:r>
        <w:rPr>
          <w:spacing w:val="-8"/>
        </w:rPr>
        <w:t xml:space="preserve"> </w:t>
      </w:r>
      <w:r>
        <w:t>to</w:t>
      </w:r>
      <w:r>
        <w:rPr>
          <w:spacing w:val="-8"/>
        </w:rPr>
        <w:t xml:space="preserve"> </w:t>
      </w:r>
      <w:r>
        <w:t>initial</w:t>
      </w:r>
      <w:r>
        <w:rPr>
          <w:spacing w:val="-8"/>
        </w:rPr>
        <w:t xml:space="preserve"> </w:t>
      </w:r>
      <w:r>
        <w:t>ACR20</w:t>
      </w:r>
      <w:r>
        <w:rPr>
          <w:spacing w:val="-6"/>
        </w:rPr>
        <w:t xml:space="preserve"> </w:t>
      </w:r>
      <w:r>
        <w:t>response</w:t>
      </w:r>
      <w:r>
        <w:rPr>
          <w:spacing w:val="-8"/>
        </w:rPr>
        <w:t xml:space="preserve"> </w:t>
      </w:r>
      <w:r>
        <w:t>was</w:t>
      </w:r>
      <w:r>
        <w:rPr>
          <w:spacing w:val="-6"/>
        </w:rPr>
        <w:t xml:space="preserve"> </w:t>
      </w:r>
      <w:r>
        <w:t>evaluated</w:t>
      </w:r>
      <w:r>
        <w:rPr>
          <w:spacing w:val="-6"/>
        </w:rPr>
        <w:t xml:space="preserve"> </w:t>
      </w:r>
      <w:r>
        <w:t>using</w:t>
      </w:r>
      <w:r>
        <w:rPr>
          <w:spacing w:val="-8"/>
        </w:rPr>
        <w:t xml:space="preserve"> </w:t>
      </w:r>
      <w:r>
        <w:t>Kaplan-Meier</w:t>
      </w:r>
      <w:r>
        <w:rPr>
          <w:spacing w:val="-4"/>
        </w:rPr>
        <w:t xml:space="preserve"> </w:t>
      </w:r>
      <w:r>
        <w:t>methods.</w:t>
      </w:r>
      <w:r>
        <w:rPr>
          <w:spacing w:val="-5"/>
        </w:rPr>
        <w:t xml:space="preserve"> </w:t>
      </w:r>
      <w:r>
        <w:t>No</w:t>
      </w:r>
      <w:r>
        <w:rPr>
          <w:spacing w:val="-8"/>
        </w:rPr>
        <w:t xml:space="preserve"> </w:t>
      </w:r>
      <w:r>
        <w:t>difference</w:t>
      </w:r>
      <w:r>
        <w:rPr>
          <w:spacing w:val="-9"/>
        </w:rPr>
        <w:t xml:space="preserve"> </w:t>
      </w:r>
      <w:r>
        <w:t>was</w:t>
      </w:r>
      <w:r>
        <w:rPr>
          <w:spacing w:val="-8"/>
        </w:rPr>
        <w:t xml:space="preserve"> </w:t>
      </w:r>
      <w:r>
        <w:t>seen between the two treatment groups. In both arms the median number of weeks to reach an ACR20 response for the first time was 6</w:t>
      </w:r>
      <w:r>
        <w:rPr>
          <w:spacing w:val="-14"/>
        </w:rPr>
        <w:t xml:space="preserve"> </w:t>
      </w:r>
      <w:r>
        <w:t>weeks.</w:t>
      </w:r>
    </w:p>
    <w:p w:rsidR="00F037FD" w:rsidRDefault="00F037FD">
      <w:pPr>
        <w:pStyle w:val="BodyText"/>
        <w:spacing w:before="4"/>
      </w:pPr>
    </w:p>
    <w:p w:rsidR="00F037FD" w:rsidRDefault="00034C5C">
      <w:pPr>
        <w:pStyle w:val="BodyText"/>
        <w:ind w:left="141" w:right="135"/>
        <w:jc w:val="both"/>
      </w:pPr>
      <w:r>
        <w:t>A low rate of withdrawal was observed in both groups with approximately 10% of the patients. Less patients discontinued study for insufficient clinical response in the SC group than in the oral group (1.1% vs 2.1%) but more patients withdrew from the study due to adverse events in the SC group (9.6% vs 5.3%).</w:t>
      </w:r>
    </w:p>
    <w:p w:rsidR="00F037FD" w:rsidRDefault="00F037FD">
      <w:pPr>
        <w:pStyle w:val="BodyText"/>
        <w:spacing w:before="1"/>
      </w:pPr>
    </w:p>
    <w:p w:rsidR="00F037FD" w:rsidRDefault="00034C5C">
      <w:pPr>
        <w:pStyle w:val="BodyText"/>
        <w:spacing w:before="1"/>
        <w:ind w:left="141" w:right="134"/>
        <w:jc w:val="both"/>
      </w:pPr>
      <w:r>
        <w:t>TREXJECT IN given subcutaneously was thus shown to be well tolerated and statistically more efficacious than when given orally in terms of percentage of patients with ACR20.</w:t>
      </w:r>
    </w:p>
    <w:p w:rsidR="00F037FD" w:rsidRDefault="00F037FD">
      <w:pPr>
        <w:pStyle w:val="BodyText"/>
      </w:pPr>
    </w:p>
    <w:p w:rsidR="00F037FD" w:rsidRDefault="00034C5C">
      <w:pPr>
        <w:pStyle w:val="BodyText"/>
        <w:ind w:left="141"/>
        <w:jc w:val="both"/>
      </w:pPr>
      <w:r>
        <w:rPr>
          <w:u w:val="single"/>
        </w:rPr>
        <w:t>Intramuscular use</w:t>
      </w:r>
    </w:p>
    <w:p w:rsidR="00F037FD" w:rsidRDefault="00F037FD">
      <w:pPr>
        <w:pStyle w:val="BodyText"/>
        <w:spacing w:before="2"/>
        <w:rPr>
          <w:sz w:val="16"/>
        </w:rPr>
      </w:pPr>
    </w:p>
    <w:p w:rsidR="00F037FD" w:rsidRDefault="00034C5C">
      <w:pPr>
        <w:pStyle w:val="BodyText"/>
        <w:spacing w:before="90"/>
        <w:ind w:left="141" w:right="140"/>
        <w:jc w:val="both"/>
      </w:pPr>
      <w:r>
        <w:t>The efficacy and safety of intramuscular administration of MTX has been proven in a number of published</w:t>
      </w:r>
      <w:r>
        <w:rPr>
          <w:spacing w:val="-15"/>
        </w:rPr>
        <w:t xml:space="preserve"> </w:t>
      </w:r>
      <w:proofErr w:type="spellStart"/>
      <w:r>
        <w:t>randomised</w:t>
      </w:r>
      <w:proofErr w:type="spellEnd"/>
      <w:r>
        <w:rPr>
          <w:spacing w:val="-16"/>
        </w:rPr>
        <w:t xml:space="preserve"> </w:t>
      </w:r>
      <w:r>
        <w:t>clinical</w:t>
      </w:r>
      <w:r>
        <w:rPr>
          <w:spacing w:val="-17"/>
        </w:rPr>
        <w:t xml:space="preserve"> </w:t>
      </w:r>
      <w:r>
        <w:t>trials.</w:t>
      </w:r>
      <w:r>
        <w:rPr>
          <w:spacing w:val="-15"/>
        </w:rPr>
        <w:t xml:space="preserve"> </w:t>
      </w:r>
      <w:r>
        <w:t>The</w:t>
      </w:r>
      <w:r>
        <w:rPr>
          <w:spacing w:val="-19"/>
        </w:rPr>
        <w:t xml:space="preserve"> </w:t>
      </w:r>
      <w:r>
        <w:t>same</w:t>
      </w:r>
      <w:r>
        <w:rPr>
          <w:spacing w:val="-19"/>
        </w:rPr>
        <w:t xml:space="preserve"> </w:t>
      </w:r>
      <w:r>
        <w:t>dose</w:t>
      </w:r>
      <w:r>
        <w:rPr>
          <w:spacing w:val="-19"/>
        </w:rPr>
        <w:t xml:space="preserve"> </w:t>
      </w:r>
      <w:r>
        <w:t>regimens</w:t>
      </w:r>
      <w:r>
        <w:rPr>
          <w:spacing w:val="-15"/>
        </w:rPr>
        <w:t xml:space="preserve"> </w:t>
      </w:r>
      <w:r>
        <w:t>as</w:t>
      </w:r>
      <w:r>
        <w:rPr>
          <w:spacing w:val="-18"/>
        </w:rPr>
        <w:t xml:space="preserve"> </w:t>
      </w:r>
      <w:r>
        <w:t>for</w:t>
      </w:r>
      <w:r>
        <w:rPr>
          <w:spacing w:val="-14"/>
        </w:rPr>
        <w:t xml:space="preserve"> </w:t>
      </w:r>
      <w:r>
        <w:t>subcutaneous</w:t>
      </w:r>
      <w:r>
        <w:rPr>
          <w:spacing w:val="-15"/>
        </w:rPr>
        <w:t xml:space="preserve"> </w:t>
      </w:r>
      <w:r>
        <w:t>administration</w:t>
      </w:r>
      <w:r>
        <w:rPr>
          <w:spacing w:val="-15"/>
        </w:rPr>
        <w:t xml:space="preserve"> </w:t>
      </w:r>
      <w:r>
        <w:t>have been</w:t>
      </w:r>
      <w:r>
        <w:rPr>
          <w:spacing w:val="-5"/>
        </w:rPr>
        <w:t xml:space="preserve"> </w:t>
      </w:r>
      <w:r>
        <w:t>used.</w:t>
      </w:r>
    </w:p>
    <w:p w:rsidR="00F037FD" w:rsidRDefault="00034C5C">
      <w:pPr>
        <w:pStyle w:val="Heading1"/>
        <w:spacing w:before="192"/>
      </w:pPr>
      <w:r>
        <w:t>Psoriasis</w:t>
      </w:r>
    </w:p>
    <w:p w:rsidR="00F037FD" w:rsidRDefault="00F037FD">
      <w:pPr>
        <w:pStyle w:val="BodyText"/>
        <w:spacing w:before="10"/>
        <w:rPr>
          <w:b/>
          <w:sz w:val="22"/>
        </w:rPr>
      </w:pPr>
    </w:p>
    <w:p w:rsidR="00F037FD" w:rsidRDefault="00034C5C">
      <w:pPr>
        <w:pStyle w:val="BodyText"/>
        <w:spacing w:before="1"/>
        <w:ind w:left="141" w:right="139"/>
        <w:jc w:val="both"/>
      </w:pPr>
      <w:r>
        <w:t xml:space="preserve">A </w:t>
      </w:r>
      <w:proofErr w:type="spellStart"/>
      <w:r>
        <w:t>favourable</w:t>
      </w:r>
      <w:proofErr w:type="spellEnd"/>
      <w:r>
        <w:t xml:space="preserve"> efficacy and safety profile has been established for MTX in a number of clinical trials, as well as in common practice. For the treatment of psoriasis, MTX is usually given once weekly </w:t>
      </w:r>
      <w:proofErr w:type="gramStart"/>
      <w:r>
        <w:t>either orally</w:t>
      </w:r>
      <w:proofErr w:type="gramEnd"/>
      <w:r>
        <w:t>, intramuscularly or subcutaneously. The methotrexate start-dose in randomized controlled trials varied from 5 to 25 mg/</w:t>
      </w:r>
      <w:proofErr w:type="gramStart"/>
      <w:r>
        <w:t>week,</w:t>
      </w:r>
      <w:proofErr w:type="gramEnd"/>
      <w:r>
        <w:t xml:space="preserve"> most commonly being either 7.5 mg or 15 mg. Guidelines vary from 5 to 15 mg/week. The majority of studies have demonstrated a remission or an improvement in skin condition within 16 - 24 weeks after introducing methotrexate treatment. A higher starting dose (15 mg/week) in two studies has contributed to an achievement of maximum response after 8 - 12 weeks of treatment.</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6"/>
        <w:rPr>
          <w:sz w:val="11"/>
        </w:rPr>
      </w:pPr>
    </w:p>
    <w:p w:rsidR="00F037FD" w:rsidRDefault="00034C5C">
      <w:pPr>
        <w:pStyle w:val="Heading1"/>
        <w:spacing w:before="90"/>
        <w:jc w:val="left"/>
      </w:pPr>
      <w:r>
        <w:t>INDICATIONS</w:t>
      </w:r>
    </w:p>
    <w:p w:rsidR="00F037FD" w:rsidRDefault="00F037FD">
      <w:pPr>
        <w:pStyle w:val="BodyText"/>
        <w:spacing w:before="5"/>
        <w:rPr>
          <w:b/>
        </w:rPr>
      </w:pPr>
    </w:p>
    <w:p w:rsidR="00F037FD" w:rsidRDefault="00034C5C">
      <w:pPr>
        <w:ind w:left="141"/>
        <w:rPr>
          <w:b/>
          <w:sz w:val="24"/>
        </w:rPr>
      </w:pPr>
      <w:r>
        <w:rPr>
          <w:b/>
          <w:sz w:val="24"/>
        </w:rPr>
        <w:t>Psoriasis therapy (see WARNING box)</w:t>
      </w:r>
    </w:p>
    <w:p w:rsidR="00F037FD" w:rsidRDefault="00F037FD">
      <w:pPr>
        <w:pStyle w:val="BodyText"/>
        <w:spacing w:before="1"/>
        <w:rPr>
          <w:b/>
          <w:sz w:val="23"/>
        </w:rPr>
      </w:pPr>
    </w:p>
    <w:p w:rsidR="00F037FD" w:rsidRDefault="00034C5C">
      <w:pPr>
        <w:pStyle w:val="BodyText"/>
        <w:ind w:left="141" w:right="132"/>
        <w:jc w:val="both"/>
      </w:pPr>
      <w:r>
        <w:t>TREXJECT</w:t>
      </w:r>
      <w:r>
        <w:rPr>
          <w:spacing w:val="-8"/>
        </w:rPr>
        <w:t xml:space="preserve"> </w:t>
      </w:r>
      <w:r>
        <w:t>IN</w:t>
      </w:r>
      <w:r>
        <w:rPr>
          <w:spacing w:val="-11"/>
        </w:rPr>
        <w:t xml:space="preserve"> </w:t>
      </w:r>
      <w:r>
        <w:t>may</w:t>
      </w:r>
      <w:r>
        <w:rPr>
          <w:spacing w:val="-11"/>
        </w:rPr>
        <w:t xml:space="preserve"> </w:t>
      </w:r>
      <w:r>
        <w:t>be</w:t>
      </w:r>
      <w:r>
        <w:rPr>
          <w:spacing w:val="-12"/>
        </w:rPr>
        <w:t xml:space="preserve"> </w:t>
      </w:r>
      <w:r>
        <w:t>of</w:t>
      </w:r>
      <w:r>
        <w:rPr>
          <w:spacing w:val="-9"/>
        </w:rPr>
        <w:t xml:space="preserve"> </w:t>
      </w:r>
      <w:r>
        <w:t>value</w:t>
      </w:r>
      <w:r>
        <w:rPr>
          <w:spacing w:val="-11"/>
        </w:rPr>
        <w:t xml:space="preserve"> </w:t>
      </w:r>
      <w:r>
        <w:t>in</w:t>
      </w:r>
      <w:r>
        <w:rPr>
          <w:spacing w:val="-13"/>
        </w:rPr>
        <w:t xml:space="preserve"> </w:t>
      </w:r>
      <w:r>
        <w:t>the</w:t>
      </w:r>
      <w:r>
        <w:rPr>
          <w:spacing w:val="-11"/>
        </w:rPr>
        <w:t xml:space="preserve"> </w:t>
      </w:r>
      <w:r>
        <w:t>symptomatic</w:t>
      </w:r>
      <w:r>
        <w:rPr>
          <w:spacing w:val="-11"/>
        </w:rPr>
        <w:t xml:space="preserve"> </w:t>
      </w:r>
      <w:r>
        <w:t>control</w:t>
      </w:r>
      <w:r>
        <w:rPr>
          <w:spacing w:val="-7"/>
        </w:rPr>
        <w:t xml:space="preserve"> </w:t>
      </w:r>
      <w:r>
        <w:t>of</w:t>
      </w:r>
      <w:r>
        <w:rPr>
          <w:spacing w:val="-9"/>
        </w:rPr>
        <w:t xml:space="preserve"> </w:t>
      </w:r>
      <w:r>
        <w:t>severe,</w:t>
      </w:r>
      <w:r>
        <w:rPr>
          <w:spacing w:val="-8"/>
        </w:rPr>
        <w:t xml:space="preserve"> </w:t>
      </w:r>
      <w:r>
        <w:t>recalcitrant,</w:t>
      </w:r>
      <w:r>
        <w:rPr>
          <w:spacing w:val="-8"/>
        </w:rPr>
        <w:t xml:space="preserve"> </w:t>
      </w:r>
      <w:r>
        <w:t>disabling</w:t>
      </w:r>
      <w:r>
        <w:rPr>
          <w:spacing w:val="-10"/>
        </w:rPr>
        <w:t xml:space="preserve"> </w:t>
      </w:r>
      <w:r>
        <w:t>psoriasis in adults which is not adequately responsive to other forms of treatment. However, due to the high risk associated with its use, methotrexate should be used after the diagnosis has been definitely established, as by biopsy and/or after dermatologic</w:t>
      </w:r>
      <w:r>
        <w:rPr>
          <w:spacing w:val="-17"/>
        </w:rPr>
        <w:t xml:space="preserve"> </w:t>
      </w:r>
      <w:r>
        <w:t>consultation.</w:t>
      </w:r>
    </w:p>
    <w:p w:rsidR="00F037FD" w:rsidRDefault="00F037FD">
      <w:pPr>
        <w:pStyle w:val="BodyText"/>
        <w:spacing w:before="4"/>
        <w:rPr>
          <w:sz w:val="25"/>
        </w:rPr>
      </w:pPr>
    </w:p>
    <w:p w:rsidR="00F037FD" w:rsidRDefault="00034C5C">
      <w:pPr>
        <w:pStyle w:val="Heading1"/>
        <w:spacing w:before="1"/>
        <w:jc w:val="left"/>
      </w:pPr>
      <w:r>
        <w:t>Rheumatoid arthritis therapy (see WARNING box)</w:t>
      </w:r>
    </w:p>
    <w:p w:rsidR="00F037FD" w:rsidRDefault="00F037FD">
      <w:pPr>
        <w:pStyle w:val="BodyText"/>
        <w:spacing w:before="4"/>
        <w:rPr>
          <w:b/>
          <w:sz w:val="23"/>
        </w:rPr>
      </w:pPr>
    </w:p>
    <w:p w:rsidR="00F037FD" w:rsidRDefault="00034C5C">
      <w:pPr>
        <w:pStyle w:val="BodyText"/>
        <w:ind w:left="141"/>
      </w:pPr>
      <w:proofErr w:type="gramStart"/>
      <w:r>
        <w:t>Management of severe, recalcitrant, active rheumatoid arthritis in adults not responding to, or intolerant of, an adequate trial of NSAIDs and one or more disease modifying drugs.</w:t>
      </w:r>
      <w:proofErr w:type="gramEnd"/>
    </w:p>
    <w:p w:rsidR="00F037FD" w:rsidRDefault="00F037FD">
      <w:pPr>
        <w:pStyle w:val="BodyText"/>
        <w:spacing w:before="2"/>
      </w:pPr>
    </w:p>
    <w:p w:rsidR="00F037FD" w:rsidRDefault="00034C5C">
      <w:pPr>
        <w:pStyle w:val="BodyText"/>
        <w:ind w:left="141"/>
      </w:pPr>
      <w:r>
        <w:t>Aspirin, NSAIDs and/or low dose steroids may be continued, although the possibility of increased toxicity with concomitant use of NSAIDs including salicylate has not been fully explored.</w:t>
      </w:r>
    </w:p>
    <w:p w:rsidR="00F037FD" w:rsidRDefault="00F037FD">
      <w:pPr>
        <w:pStyle w:val="BodyText"/>
        <w:spacing w:before="4"/>
      </w:pPr>
    </w:p>
    <w:p w:rsidR="00F037FD" w:rsidRDefault="00034C5C">
      <w:pPr>
        <w:pStyle w:val="BodyText"/>
        <w:ind w:left="141"/>
      </w:pPr>
      <w:r>
        <w:t>Steroids may be reduced gradually in patients who respond to methotrexate.</w:t>
      </w:r>
    </w:p>
    <w:p w:rsidR="00F037FD" w:rsidRDefault="00F037FD">
      <w:pPr>
        <w:pStyle w:val="BodyText"/>
        <w:spacing w:before="2"/>
      </w:pPr>
    </w:p>
    <w:p w:rsidR="00F037FD" w:rsidRDefault="00034C5C">
      <w:pPr>
        <w:pStyle w:val="BodyText"/>
        <w:ind w:left="141" w:right="65"/>
      </w:pPr>
      <w:r>
        <w:t xml:space="preserve">Combined use of methotrexate with gold or </w:t>
      </w:r>
      <w:proofErr w:type="spellStart"/>
      <w:r>
        <w:t>penicillamine</w:t>
      </w:r>
      <w:proofErr w:type="spellEnd"/>
      <w:r>
        <w:t>, has not been studied and may increase the incidence of adverse effects. Rest and physiotherapy as indicated should be continued.</w:t>
      </w:r>
    </w:p>
    <w:p w:rsidR="00F037FD" w:rsidRDefault="00F037FD">
      <w:pPr>
        <w:pStyle w:val="BodyText"/>
        <w:spacing w:before="5"/>
        <w:rPr>
          <w:sz w:val="25"/>
        </w:rPr>
      </w:pPr>
    </w:p>
    <w:p w:rsidR="00F037FD" w:rsidRDefault="00034C5C">
      <w:pPr>
        <w:pStyle w:val="Heading1"/>
        <w:jc w:val="left"/>
      </w:pPr>
      <w:r>
        <w:t>CONTRAINDICATIONS (see WARNING box)</w:t>
      </w:r>
    </w:p>
    <w:p w:rsidR="00F037FD" w:rsidRDefault="00F037FD">
      <w:pPr>
        <w:pStyle w:val="BodyText"/>
        <w:spacing w:before="4"/>
        <w:rPr>
          <w:b/>
          <w:sz w:val="23"/>
        </w:rPr>
      </w:pPr>
    </w:p>
    <w:p w:rsidR="00F037FD" w:rsidRDefault="00034C5C">
      <w:pPr>
        <w:pStyle w:val="BodyText"/>
        <w:ind w:left="141"/>
      </w:pPr>
      <w:r>
        <w:t>Methotrexate is contraindicated in patients with:</w:t>
      </w:r>
    </w:p>
    <w:p w:rsidR="00F037FD" w:rsidRDefault="00F037FD">
      <w:pPr>
        <w:pStyle w:val="BodyText"/>
        <w:rPr>
          <w:sz w:val="26"/>
        </w:rPr>
      </w:pPr>
    </w:p>
    <w:p w:rsidR="00F037FD" w:rsidRDefault="00034C5C">
      <w:pPr>
        <w:pStyle w:val="ListParagraph"/>
        <w:numPr>
          <w:ilvl w:val="0"/>
          <w:numId w:val="4"/>
        </w:numPr>
        <w:tabs>
          <w:tab w:val="left" w:pos="502"/>
          <w:tab w:val="left" w:pos="503"/>
        </w:tabs>
        <w:jc w:val="left"/>
        <w:rPr>
          <w:sz w:val="24"/>
        </w:rPr>
      </w:pPr>
      <w:r>
        <w:rPr>
          <w:sz w:val="24"/>
        </w:rPr>
        <w:t>hypersensitivity to methotrexate or to any of the excipients (see</w:t>
      </w:r>
      <w:r>
        <w:rPr>
          <w:spacing w:val="-22"/>
          <w:sz w:val="24"/>
        </w:rPr>
        <w:t xml:space="preserve"> </w:t>
      </w:r>
      <w:r>
        <w:rPr>
          <w:b/>
          <w:sz w:val="24"/>
        </w:rPr>
        <w:t>DESCRIPTION</w:t>
      </w:r>
      <w:r>
        <w:rPr>
          <w:sz w:val="24"/>
        </w:rPr>
        <w:t>),</w:t>
      </w:r>
    </w:p>
    <w:p w:rsidR="00F037FD" w:rsidRDefault="00034C5C">
      <w:pPr>
        <w:pStyle w:val="ListParagraph"/>
        <w:numPr>
          <w:ilvl w:val="0"/>
          <w:numId w:val="4"/>
        </w:numPr>
        <w:tabs>
          <w:tab w:val="left" w:pos="502"/>
          <w:tab w:val="left" w:pos="503"/>
        </w:tabs>
        <w:spacing w:before="8"/>
        <w:jc w:val="left"/>
        <w:rPr>
          <w:sz w:val="24"/>
        </w:rPr>
      </w:pPr>
      <w:r>
        <w:rPr>
          <w:sz w:val="24"/>
        </w:rPr>
        <w:t>alcoholism or hepatic disorders, including alcoholic liver disease or other chronic liver</w:t>
      </w:r>
      <w:r>
        <w:rPr>
          <w:spacing w:val="-30"/>
          <w:sz w:val="24"/>
        </w:rPr>
        <w:t xml:space="preserve"> </w:t>
      </w:r>
      <w:r>
        <w:rPr>
          <w:sz w:val="24"/>
        </w:rPr>
        <w:t>disease,</w:t>
      </w:r>
    </w:p>
    <w:p w:rsidR="00F037FD" w:rsidRDefault="00034C5C">
      <w:pPr>
        <w:pStyle w:val="ListParagraph"/>
        <w:numPr>
          <w:ilvl w:val="0"/>
          <w:numId w:val="4"/>
        </w:numPr>
        <w:tabs>
          <w:tab w:val="left" w:pos="502"/>
          <w:tab w:val="left" w:pos="503"/>
        </w:tabs>
        <w:spacing w:before="15"/>
        <w:jc w:val="left"/>
        <w:rPr>
          <w:sz w:val="24"/>
        </w:rPr>
      </w:pPr>
      <w:r>
        <w:rPr>
          <w:sz w:val="24"/>
        </w:rPr>
        <w:t>severe renal impairment (creatinine clearance less than 20</w:t>
      </w:r>
      <w:r>
        <w:rPr>
          <w:spacing w:val="-20"/>
          <w:sz w:val="24"/>
        </w:rPr>
        <w:t xml:space="preserve"> </w:t>
      </w:r>
      <w:r>
        <w:rPr>
          <w:sz w:val="24"/>
        </w:rPr>
        <w:t>ml/min),</w:t>
      </w:r>
    </w:p>
    <w:p w:rsidR="00F037FD" w:rsidRDefault="00034C5C">
      <w:pPr>
        <w:pStyle w:val="ListParagraph"/>
        <w:numPr>
          <w:ilvl w:val="0"/>
          <w:numId w:val="4"/>
        </w:numPr>
        <w:tabs>
          <w:tab w:val="left" w:pos="502"/>
          <w:tab w:val="left" w:pos="503"/>
        </w:tabs>
        <w:spacing w:before="8"/>
        <w:ind w:right="272"/>
        <w:jc w:val="left"/>
        <w:rPr>
          <w:sz w:val="24"/>
        </w:rPr>
      </w:pPr>
      <w:r>
        <w:rPr>
          <w:sz w:val="24"/>
        </w:rPr>
        <w:t xml:space="preserve">pre-existing blood </w:t>
      </w:r>
      <w:proofErr w:type="spellStart"/>
      <w:r>
        <w:rPr>
          <w:sz w:val="24"/>
        </w:rPr>
        <w:t>dyscrasias</w:t>
      </w:r>
      <w:proofErr w:type="spellEnd"/>
      <w:r>
        <w:rPr>
          <w:sz w:val="24"/>
        </w:rPr>
        <w:t>, such as bone marrow hypoplasia, leukopenia, thrombocytopenia, or significant</w:t>
      </w:r>
      <w:r>
        <w:rPr>
          <w:spacing w:val="-10"/>
          <w:sz w:val="24"/>
        </w:rPr>
        <w:t xml:space="preserve"> </w:t>
      </w:r>
      <w:proofErr w:type="spellStart"/>
      <w:r>
        <w:rPr>
          <w:sz w:val="24"/>
        </w:rPr>
        <w:t>anaemia</w:t>
      </w:r>
      <w:proofErr w:type="spellEnd"/>
      <w:r>
        <w:rPr>
          <w:sz w:val="24"/>
        </w:rPr>
        <w:t>,</w:t>
      </w:r>
    </w:p>
    <w:p w:rsidR="00F037FD" w:rsidRDefault="00034C5C">
      <w:pPr>
        <w:pStyle w:val="ListParagraph"/>
        <w:numPr>
          <w:ilvl w:val="0"/>
          <w:numId w:val="4"/>
        </w:numPr>
        <w:tabs>
          <w:tab w:val="left" w:pos="502"/>
          <w:tab w:val="left" w:pos="503"/>
        </w:tabs>
        <w:ind w:right="874"/>
        <w:jc w:val="left"/>
        <w:rPr>
          <w:sz w:val="24"/>
        </w:rPr>
      </w:pPr>
      <w:r>
        <w:rPr>
          <w:sz w:val="24"/>
        </w:rPr>
        <w:t>serious, acute or chronic infections such as tuberculosis, HIV or with overt or laboratory evidence of other immunodeficiency</w:t>
      </w:r>
      <w:r>
        <w:rPr>
          <w:spacing w:val="-14"/>
          <w:sz w:val="24"/>
        </w:rPr>
        <w:t xml:space="preserve"> </w:t>
      </w:r>
      <w:r>
        <w:rPr>
          <w:sz w:val="24"/>
        </w:rPr>
        <w:t>syndromes,</w:t>
      </w:r>
    </w:p>
    <w:p w:rsidR="00F037FD" w:rsidRDefault="00034C5C">
      <w:pPr>
        <w:pStyle w:val="ListParagraph"/>
        <w:numPr>
          <w:ilvl w:val="0"/>
          <w:numId w:val="4"/>
        </w:numPr>
        <w:tabs>
          <w:tab w:val="left" w:pos="502"/>
          <w:tab w:val="left" w:pos="503"/>
        </w:tabs>
        <w:spacing w:before="7"/>
        <w:jc w:val="left"/>
        <w:rPr>
          <w:sz w:val="24"/>
        </w:rPr>
      </w:pPr>
      <w:r>
        <w:rPr>
          <w:sz w:val="24"/>
        </w:rPr>
        <w:t>patients with peptic ulcer disease or ulcerative colitis and ulcers of the oral</w:t>
      </w:r>
      <w:r>
        <w:rPr>
          <w:spacing w:val="-26"/>
          <w:sz w:val="24"/>
        </w:rPr>
        <w:t xml:space="preserve"> </w:t>
      </w:r>
      <w:r>
        <w:rPr>
          <w:sz w:val="24"/>
        </w:rPr>
        <w:t>cavity,</w:t>
      </w:r>
    </w:p>
    <w:p w:rsidR="00F037FD" w:rsidRDefault="00034C5C">
      <w:pPr>
        <w:pStyle w:val="ListParagraph"/>
        <w:numPr>
          <w:ilvl w:val="0"/>
          <w:numId w:val="4"/>
        </w:numPr>
        <w:tabs>
          <w:tab w:val="left" w:pos="502"/>
          <w:tab w:val="left" w:pos="503"/>
        </w:tabs>
        <w:spacing w:before="32"/>
        <w:jc w:val="left"/>
        <w:rPr>
          <w:sz w:val="24"/>
        </w:rPr>
      </w:pPr>
      <w:r>
        <w:rPr>
          <w:sz w:val="24"/>
        </w:rPr>
        <w:t>poor nutritional</w:t>
      </w:r>
      <w:r>
        <w:rPr>
          <w:spacing w:val="-2"/>
          <w:sz w:val="24"/>
        </w:rPr>
        <w:t xml:space="preserve"> </w:t>
      </w:r>
      <w:r>
        <w:rPr>
          <w:sz w:val="24"/>
        </w:rPr>
        <w:t>status</w:t>
      </w:r>
    </w:p>
    <w:p w:rsidR="00F037FD" w:rsidRDefault="00034C5C">
      <w:pPr>
        <w:pStyle w:val="ListParagraph"/>
        <w:numPr>
          <w:ilvl w:val="0"/>
          <w:numId w:val="4"/>
        </w:numPr>
        <w:tabs>
          <w:tab w:val="left" w:pos="502"/>
          <w:tab w:val="left" w:pos="503"/>
        </w:tabs>
        <w:spacing w:before="18"/>
        <w:jc w:val="left"/>
        <w:rPr>
          <w:sz w:val="24"/>
        </w:rPr>
      </w:pPr>
      <w:proofErr w:type="gramStart"/>
      <w:r>
        <w:rPr>
          <w:sz w:val="24"/>
        </w:rPr>
        <w:t>concurrent</w:t>
      </w:r>
      <w:proofErr w:type="gramEnd"/>
      <w:r>
        <w:rPr>
          <w:sz w:val="24"/>
        </w:rPr>
        <w:t xml:space="preserve"> vaccination with live</w:t>
      </w:r>
      <w:r>
        <w:rPr>
          <w:spacing w:val="-14"/>
          <w:sz w:val="24"/>
        </w:rPr>
        <w:t xml:space="preserve"> </w:t>
      </w:r>
      <w:r>
        <w:rPr>
          <w:sz w:val="24"/>
        </w:rPr>
        <w:t>vaccines.</w:t>
      </w:r>
    </w:p>
    <w:p w:rsidR="00F037FD" w:rsidRDefault="00F037FD">
      <w:pPr>
        <w:pStyle w:val="BodyText"/>
        <w:spacing w:before="10"/>
        <w:rPr>
          <w:sz w:val="23"/>
        </w:rPr>
      </w:pPr>
    </w:p>
    <w:p w:rsidR="00F037FD" w:rsidRDefault="00034C5C">
      <w:pPr>
        <w:pStyle w:val="BodyText"/>
        <w:spacing w:before="1" w:line="523" w:lineRule="auto"/>
        <w:ind w:left="141" w:right="2463"/>
      </w:pPr>
      <w:r>
        <w:t xml:space="preserve">Methotrexate is contraindicated in pregnancy and breast-feeding. TREXJECT IN should not be used on the day of a surgery with </w:t>
      </w:r>
      <w:proofErr w:type="spellStart"/>
      <w:r>
        <w:t>anaesthesia</w:t>
      </w:r>
      <w:proofErr w:type="spellEnd"/>
      <w:r>
        <w:t>.</w:t>
      </w:r>
    </w:p>
    <w:p w:rsidR="00F037FD" w:rsidRDefault="00034C5C">
      <w:pPr>
        <w:pStyle w:val="BodyText"/>
        <w:spacing w:line="246" w:lineRule="exact"/>
        <w:ind w:left="141"/>
      </w:pPr>
      <w:r>
        <w:t>An increased risk of hepatitis has been reported to result from combined use of methotrexate and</w:t>
      </w:r>
    </w:p>
    <w:p w:rsidR="00F037FD" w:rsidRDefault="00034C5C">
      <w:pPr>
        <w:pStyle w:val="BodyText"/>
        <w:spacing w:before="38" w:line="276" w:lineRule="auto"/>
        <w:ind w:left="141"/>
      </w:pPr>
      <w:proofErr w:type="spellStart"/>
      <w:proofErr w:type="gramStart"/>
      <w:r>
        <w:t>retinoids</w:t>
      </w:r>
      <w:proofErr w:type="spellEnd"/>
      <w:proofErr w:type="gramEnd"/>
      <w:r>
        <w:t xml:space="preserve"> like </w:t>
      </w:r>
      <w:proofErr w:type="spellStart"/>
      <w:r>
        <w:t>acitretin</w:t>
      </w:r>
      <w:proofErr w:type="spellEnd"/>
      <w:r>
        <w:t>. Therefore, the combination of methotrexate and such medicinal products is also contraindicated.</w:t>
      </w:r>
    </w:p>
    <w:p w:rsidR="00F037FD" w:rsidRDefault="00F037FD">
      <w:pPr>
        <w:spacing w:line="276" w:lineRule="auto"/>
        <w:sectPr w:rsidR="00F037FD">
          <w:pgSz w:w="11910" w:h="16850"/>
          <w:pgMar w:top="1160" w:right="960" w:bottom="1000" w:left="1020" w:header="883" w:footer="816" w:gutter="0"/>
          <w:cols w:space="720"/>
        </w:sectPr>
      </w:pPr>
    </w:p>
    <w:p w:rsidR="00F037FD" w:rsidRDefault="00F037FD">
      <w:pPr>
        <w:pStyle w:val="BodyText"/>
        <w:spacing w:before="6"/>
        <w:rPr>
          <w:sz w:val="11"/>
        </w:rPr>
      </w:pPr>
    </w:p>
    <w:p w:rsidR="00F037FD" w:rsidRDefault="00034C5C">
      <w:pPr>
        <w:pStyle w:val="Heading1"/>
        <w:spacing w:before="90"/>
      </w:pPr>
      <w:r>
        <w:t>PRECAUTIONS (see WARNING box)</w:t>
      </w:r>
    </w:p>
    <w:p w:rsidR="00F037FD" w:rsidRDefault="00F037FD">
      <w:pPr>
        <w:pStyle w:val="BodyText"/>
        <w:spacing w:before="4"/>
        <w:rPr>
          <w:b/>
          <w:sz w:val="23"/>
        </w:rPr>
      </w:pPr>
    </w:p>
    <w:p w:rsidR="00F037FD" w:rsidRDefault="00034C5C">
      <w:pPr>
        <w:pStyle w:val="BodyText"/>
        <w:spacing w:before="1"/>
        <w:ind w:left="141" w:right="135"/>
        <w:jc w:val="both"/>
      </w:pPr>
      <w:r>
        <w:t>Methotrexate must only be prescribed by physicians experienced in anti-metabolic therapy and the treatment of severe rheumatoid arthritis or psoriasis.</w:t>
      </w:r>
    </w:p>
    <w:p w:rsidR="00F037FD" w:rsidRDefault="00F037FD">
      <w:pPr>
        <w:pStyle w:val="BodyText"/>
        <w:spacing w:before="2"/>
      </w:pPr>
    </w:p>
    <w:p w:rsidR="00F037FD" w:rsidRDefault="00034C5C">
      <w:pPr>
        <w:pStyle w:val="BodyText"/>
        <w:ind w:left="141" w:right="131"/>
        <w:jc w:val="both"/>
      </w:pPr>
      <w:r>
        <w:t>Methotrexate</w:t>
      </w:r>
      <w:r>
        <w:rPr>
          <w:spacing w:val="-9"/>
        </w:rPr>
        <w:t xml:space="preserve"> </w:t>
      </w:r>
      <w:r>
        <w:t>has</w:t>
      </w:r>
      <w:r>
        <w:rPr>
          <w:spacing w:val="-8"/>
        </w:rPr>
        <w:t xml:space="preserve"> </w:t>
      </w:r>
      <w:r>
        <w:t>a</w:t>
      </w:r>
      <w:r>
        <w:rPr>
          <w:spacing w:val="-9"/>
        </w:rPr>
        <w:t xml:space="preserve"> </w:t>
      </w:r>
      <w:r>
        <w:t>high</w:t>
      </w:r>
      <w:r>
        <w:rPr>
          <w:spacing w:val="-8"/>
        </w:rPr>
        <w:t xml:space="preserve"> </w:t>
      </w:r>
      <w:r>
        <w:t>potential</w:t>
      </w:r>
      <w:r>
        <w:rPr>
          <w:spacing w:val="-4"/>
        </w:rPr>
        <w:t xml:space="preserve"> </w:t>
      </w:r>
      <w:r>
        <w:t>for</w:t>
      </w:r>
      <w:r>
        <w:rPr>
          <w:spacing w:val="-7"/>
        </w:rPr>
        <w:t xml:space="preserve"> </w:t>
      </w:r>
      <w:r>
        <w:t>toxicity,</w:t>
      </w:r>
      <w:r>
        <w:rPr>
          <w:spacing w:val="-6"/>
        </w:rPr>
        <w:t xml:space="preserve"> </w:t>
      </w:r>
      <w:r>
        <w:t>which</w:t>
      </w:r>
      <w:r>
        <w:rPr>
          <w:spacing w:val="-8"/>
        </w:rPr>
        <w:t xml:space="preserve"> </w:t>
      </w:r>
      <w:r>
        <w:t>is</w:t>
      </w:r>
      <w:r>
        <w:rPr>
          <w:spacing w:val="-8"/>
        </w:rPr>
        <w:t xml:space="preserve"> </w:t>
      </w:r>
      <w:r>
        <w:t>usually</w:t>
      </w:r>
      <w:r>
        <w:rPr>
          <w:spacing w:val="-8"/>
        </w:rPr>
        <w:t xml:space="preserve"> </w:t>
      </w:r>
      <w:r>
        <w:t>dose-related.</w:t>
      </w:r>
      <w:r>
        <w:rPr>
          <w:spacing w:val="-6"/>
        </w:rPr>
        <w:t xml:space="preserve"> </w:t>
      </w:r>
      <w:r>
        <w:t>The</w:t>
      </w:r>
      <w:r>
        <w:rPr>
          <w:spacing w:val="-9"/>
        </w:rPr>
        <w:t xml:space="preserve"> </w:t>
      </w:r>
      <w:r>
        <w:t>physician</w:t>
      </w:r>
      <w:r>
        <w:rPr>
          <w:spacing w:val="-8"/>
        </w:rPr>
        <w:t xml:space="preserve"> </w:t>
      </w:r>
      <w:r>
        <w:t>should</w:t>
      </w:r>
      <w:r>
        <w:rPr>
          <w:spacing w:val="-5"/>
        </w:rPr>
        <w:t xml:space="preserve"> </w:t>
      </w:r>
      <w:r>
        <w:t>be familiar with the various characteristics of the drug and its established clinical usage. Because the toxic effects can occur at any time during methotrexate therapy, patients must be kept under appropriate supervision so that signs or symptoms of possible toxicity or adverse reactions may be detected</w:t>
      </w:r>
      <w:r>
        <w:rPr>
          <w:spacing w:val="-6"/>
        </w:rPr>
        <w:t xml:space="preserve"> </w:t>
      </w:r>
      <w:r>
        <w:t>as</w:t>
      </w:r>
      <w:r>
        <w:rPr>
          <w:spacing w:val="-8"/>
        </w:rPr>
        <w:t xml:space="preserve"> </w:t>
      </w:r>
      <w:r>
        <w:t>early</w:t>
      </w:r>
      <w:r>
        <w:rPr>
          <w:spacing w:val="-8"/>
        </w:rPr>
        <w:t xml:space="preserve"> </w:t>
      </w:r>
      <w:r>
        <w:t>as</w:t>
      </w:r>
      <w:r>
        <w:rPr>
          <w:spacing w:val="-8"/>
        </w:rPr>
        <w:t xml:space="preserve"> </w:t>
      </w:r>
      <w:r>
        <w:t>possible.</w:t>
      </w:r>
      <w:r>
        <w:rPr>
          <w:spacing w:val="-3"/>
        </w:rPr>
        <w:t xml:space="preserve"> </w:t>
      </w:r>
      <w:r>
        <w:t>This</w:t>
      </w:r>
      <w:r>
        <w:rPr>
          <w:spacing w:val="-7"/>
        </w:rPr>
        <w:t xml:space="preserve"> </w:t>
      </w:r>
      <w:r>
        <w:t>is</w:t>
      </w:r>
      <w:r>
        <w:rPr>
          <w:spacing w:val="-8"/>
        </w:rPr>
        <w:t xml:space="preserve"> </w:t>
      </w:r>
      <w:r>
        <w:t>especially</w:t>
      </w:r>
      <w:r>
        <w:rPr>
          <w:spacing w:val="-8"/>
        </w:rPr>
        <w:t xml:space="preserve"> </w:t>
      </w:r>
      <w:r>
        <w:t>important</w:t>
      </w:r>
      <w:r>
        <w:rPr>
          <w:spacing w:val="-8"/>
        </w:rPr>
        <w:t xml:space="preserve"> </w:t>
      </w:r>
      <w:r>
        <w:t>in</w:t>
      </w:r>
      <w:r>
        <w:rPr>
          <w:spacing w:val="-8"/>
        </w:rPr>
        <w:t xml:space="preserve"> </w:t>
      </w:r>
      <w:r>
        <w:t>patients</w:t>
      </w:r>
      <w:r>
        <w:rPr>
          <w:spacing w:val="-5"/>
        </w:rPr>
        <w:t xml:space="preserve"> </w:t>
      </w:r>
      <w:r>
        <w:t>where</w:t>
      </w:r>
      <w:r>
        <w:rPr>
          <w:spacing w:val="-9"/>
        </w:rPr>
        <w:t xml:space="preserve"> </w:t>
      </w:r>
      <w:r>
        <w:t>drug</w:t>
      </w:r>
      <w:r>
        <w:rPr>
          <w:spacing w:val="-8"/>
        </w:rPr>
        <w:t xml:space="preserve"> </w:t>
      </w:r>
      <w:r>
        <w:t>elimination</w:t>
      </w:r>
      <w:r>
        <w:rPr>
          <w:spacing w:val="-6"/>
        </w:rPr>
        <w:t xml:space="preserve"> </w:t>
      </w:r>
      <w:r>
        <w:t>could</w:t>
      </w:r>
      <w:r>
        <w:rPr>
          <w:spacing w:val="-5"/>
        </w:rPr>
        <w:t xml:space="preserve"> </w:t>
      </w:r>
      <w:r>
        <w:t>be impaired</w:t>
      </w:r>
      <w:r>
        <w:rPr>
          <w:spacing w:val="-8"/>
        </w:rPr>
        <w:t xml:space="preserve"> </w:t>
      </w:r>
      <w:r>
        <w:t>(renal</w:t>
      </w:r>
      <w:r>
        <w:rPr>
          <w:spacing w:val="-8"/>
        </w:rPr>
        <w:t xml:space="preserve"> </w:t>
      </w:r>
      <w:r>
        <w:t>impairment,</w:t>
      </w:r>
      <w:r>
        <w:rPr>
          <w:spacing w:val="-8"/>
        </w:rPr>
        <w:t xml:space="preserve"> </w:t>
      </w:r>
      <w:r>
        <w:t>pleural</w:t>
      </w:r>
      <w:r>
        <w:rPr>
          <w:spacing w:val="-10"/>
        </w:rPr>
        <w:t xml:space="preserve"> </w:t>
      </w:r>
      <w:r>
        <w:t>effusion,</w:t>
      </w:r>
      <w:r>
        <w:rPr>
          <w:spacing w:val="-6"/>
        </w:rPr>
        <w:t xml:space="preserve"> </w:t>
      </w:r>
      <w:r>
        <w:t>ascites).</w:t>
      </w:r>
      <w:r>
        <w:rPr>
          <w:spacing w:val="-6"/>
        </w:rPr>
        <w:t xml:space="preserve"> </w:t>
      </w:r>
      <w:r>
        <w:t>When</w:t>
      </w:r>
      <w:r>
        <w:rPr>
          <w:spacing w:val="-8"/>
        </w:rPr>
        <w:t xml:space="preserve"> </w:t>
      </w:r>
      <w:r>
        <w:t>such</w:t>
      </w:r>
      <w:r>
        <w:rPr>
          <w:spacing w:val="-11"/>
        </w:rPr>
        <w:t xml:space="preserve"> </w:t>
      </w:r>
      <w:r>
        <w:t>reactions</w:t>
      </w:r>
      <w:r>
        <w:rPr>
          <w:spacing w:val="-10"/>
        </w:rPr>
        <w:t xml:space="preserve"> </w:t>
      </w:r>
      <w:r>
        <w:t>do</w:t>
      </w:r>
      <w:r>
        <w:rPr>
          <w:spacing w:val="-11"/>
        </w:rPr>
        <w:t xml:space="preserve"> </w:t>
      </w:r>
      <w:r>
        <w:t>occur,</w:t>
      </w:r>
      <w:r>
        <w:rPr>
          <w:spacing w:val="-8"/>
        </w:rPr>
        <w:t xml:space="preserve"> </w:t>
      </w:r>
      <w:r>
        <w:t>the</w:t>
      </w:r>
      <w:r>
        <w:rPr>
          <w:spacing w:val="-12"/>
        </w:rPr>
        <w:t xml:space="preserve"> </w:t>
      </w:r>
      <w:r>
        <w:t>drug</w:t>
      </w:r>
      <w:r>
        <w:rPr>
          <w:spacing w:val="-11"/>
        </w:rPr>
        <w:t xml:space="preserve"> </w:t>
      </w:r>
      <w:r>
        <w:t>should be reduced in dosage or discontinued and appropriate corrective measures should be taken. If methotrexate therapy is reinstituted, it should be carried out with utmost caution, with adequate consideration of further need for the drug, and with increased alertness as to possible recurrence of toxicity.</w:t>
      </w:r>
    </w:p>
    <w:p w:rsidR="00F037FD" w:rsidRDefault="00F037FD">
      <w:pPr>
        <w:pStyle w:val="BodyText"/>
        <w:spacing w:before="4"/>
      </w:pPr>
    </w:p>
    <w:p w:rsidR="00F037FD" w:rsidRDefault="00034C5C">
      <w:pPr>
        <w:pStyle w:val="BodyText"/>
        <w:ind w:left="141" w:right="132"/>
        <w:jc w:val="both"/>
      </w:pPr>
      <w:r>
        <w:t xml:space="preserve">Pre-treatment and periodic </w:t>
      </w:r>
      <w:proofErr w:type="spellStart"/>
      <w:r>
        <w:t>haematologic</w:t>
      </w:r>
      <w:proofErr w:type="spellEnd"/>
      <w:r>
        <w:t xml:space="preserve"> evaluations are essential to the use of methotrexate in the treatment of severe rheumatoid arthritis and psoriasis because of its </w:t>
      </w:r>
      <w:proofErr w:type="spellStart"/>
      <w:r>
        <w:t>haematopoietic</w:t>
      </w:r>
      <w:proofErr w:type="spellEnd"/>
      <w:r>
        <w:t xml:space="preserve"> suppressive effects, manifesting as </w:t>
      </w:r>
      <w:proofErr w:type="spellStart"/>
      <w:r>
        <w:t>anaemia</w:t>
      </w:r>
      <w:proofErr w:type="spellEnd"/>
      <w:r>
        <w:t xml:space="preserve">, aplastic </w:t>
      </w:r>
      <w:proofErr w:type="spellStart"/>
      <w:r>
        <w:t>anaemia</w:t>
      </w:r>
      <w:proofErr w:type="spellEnd"/>
      <w:r>
        <w:t>, pancytopenia, leukopenia, neutropenia and/or thrombocytopenia. This may occur abruptly and on apparent safe dosage, and any profound drop in blood-cell count indicates immediate cessation of the drug and appropriate therapy.</w:t>
      </w:r>
    </w:p>
    <w:p w:rsidR="00F037FD" w:rsidRDefault="00F037FD">
      <w:pPr>
        <w:pStyle w:val="BodyText"/>
        <w:spacing w:before="5"/>
        <w:rPr>
          <w:sz w:val="25"/>
        </w:rPr>
      </w:pPr>
    </w:p>
    <w:p w:rsidR="00F037FD" w:rsidRDefault="00034C5C">
      <w:pPr>
        <w:pStyle w:val="Heading1"/>
      </w:pPr>
      <w:r>
        <w:t>Recommended examinations and safety measures before and during use</w:t>
      </w:r>
    </w:p>
    <w:p w:rsidR="00F037FD" w:rsidRDefault="00F037FD">
      <w:pPr>
        <w:pStyle w:val="BodyText"/>
        <w:spacing w:before="4"/>
        <w:rPr>
          <w:b/>
          <w:sz w:val="23"/>
        </w:rPr>
      </w:pPr>
    </w:p>
    <w:p w:rsidR="00F037FD" w:rsidRDefault="00034C5C">
      <w:pPr>
        <w:ind w:left="141"/>
        <w:jc w:val="both"/>
        <w:rPr>
          <w:i/>
          <w:sz w:val="24"/>
        </w:rPr>
      </w:pPr>
      <w:r>
        <w:rPr>
          <w:i/>
          <w:sz w:val="24"/>
        </w:rPr>
        <w:t>Before commencing or reinstituting methotrexate therapy after a rest period</w:t>
      </w:r>
    </w:p>
    <w:p w:rsidR="00F037FD" w:rsidRDefault="00F037FD">
      <w:pPr>
        <w:pStyle w:val="BodyText"/>
        <w:spacing w:before="2"/>
        <w:rPr>
          <w:i/>
        </w:rPr>
      </w:pPr>
    </w:p>
    <w:p w:rsidR="00F037FD" w:rsidRDefault="00034C5C">
      <w:pPr>
        <w:pStyle w:val="BodyText"/>
        <w:ind w:left="141" w:right="135"/>
        <w:jc w:val="both"/>
      </w:pPr>
      <w:proofErr w:type="gramStart"/>
      <w:r>
        <w:t>Complete blood count with differential blood count and platelets, liver enzymes, bilirubin, serum albumin, chest x-ray and renal function tests.</w:t>
      </w:r>
      <w:proofErr w:type="gramEnd"/>
      <w:r>
        <w:t xml:space="preserve"> If clinically indicated, exclude tuberculosis and hepatitis.</w:t>
      </w:r>
    </w:p>
    <w:p w:rsidR="00F037FD" w:rsidRDefault="00F037FD">
      <w:pPr>
        <w:pStyle w:val="BodyText"/>
        <w:spacing w:before="4"/>
      </w:pPr>
    </w:p>
    <w:p w:rsidR="00F037FD" w:rsidRDefault="00034C5C">
      <w:pPr>
        <w:ind w:left="141"/>
        <w:jc w:val="both"/>
        <w:rPr>
          <w:i/>
          <w:sz w:val="24"/>
        </w:rPr>
      </w:pPr>
      <w:r>
        <w:rPr>
          <w:i/>
          <w:sz w:val="24"/>
        </w:rPr>
        <w:t>During therapy (every 1 to 2 months)</w:t>
      </w:r>
    </w:p>
    <w:p w:rsidR="00F037FD" w:rsidRDefault="00F037FD">
      <w:pPr>
        <w:pStyle w:val="BodyText"/>
        <w:spacing w:before="1"/>
        <w:rPr>
          <w:i/>
        </w:rPr>
      </w:pPr>
    </w:p>
    <w:p w:rsidR="00F037FD" w:rsidRDefault="00034C5C">
      <w:pPr>
        <w:pStyle w:val="BodyText"/>
        <w:ind w:left="141"/>
        <w:jc w:val="both"/>
      </w:pPr>
      <w:r>
        <w:t>An increased monitoring frequency should be considered also when the dose is increased.</w:t>
      </w:r>
    </w:p>
    <w:p w:rsidR="00F037FD" w:rsidRDefault="00F037FD">
      <w:pPr>
        <w:pStyle w:val="BodyText"/>
        <w:spacing w:before="4"/>
      </w:pPr>
    </w:p>
    <w:p w:rsidR="00F037FD" w:rsidRDefault="00034C5C">
      <w:pPr>
        <w:pStyle w:val="ListParagraph"/>
        <w:numPr>
          <w:ilvl w:val="0"/>
          <w:numId w:val="3"/>
        </w:numPr>
        <w:tabs>
          <w:tab w:val="left" w:pos="709"/>
        </w:tabs>
        <w:rPr>
          <w:sz w:val="24"/>
        </w:rPr>
      </w:pPr>
      <w:r>
        <w:rPr>
          <w:sz w:val="24"/>
        </w:rPr>
        <w:t>Examination of the mouth and throat for mucosal</w:t>
      </w:r>
      <w:r>
        <w:rPr>
          <w:spacing w:val="-18"/>
          <w:sz w:val="24"/>
        </w:rPr>
        <w:t xml:space="preserve"> </w:t>
      </w:r>
      <w:r>
        <w:rPr>
          <w:sz w:val="24"/>
        </w:rPr>
        <w:t>changes.</w:t>
      </w:r>
    </w:p>
    <w:p w:rsidR="00F037FD" w:rsidRDefault="00F037FD">
      <w:pPr>
        <w:pStyle w:val="BodyText"/>
        <w:spacing w:before="11"/>
        <w:rPr>
          <w:sz w:val="23"/>
        </w:rPr>
      </w:pPr>
    </w:p>
    <w:p w:rsidR="00F037FD" w:rsidRDefault="00034C5C">
      <w:pPr>
        <w:pStyle w:val="ListParagraph"/>
        <w:numPr>
          <w:ilvl w:val="0"/>
          <w:numId w:val="3"/>
        </w:numPr>
        <w:tabs>
          <w:tab w:val="left" w:pos="709"/>
        </w:tabs>
        <w:ind w:right="135"/>
        <w:rPr>
          <w:sz w:val="24"/>
        </w:rPr>
      </w:pPr>
      <w:r>
        <w:rPr>
          <w:sz w:val="24"/>
        </w:rPr>
        <w:t xml:space="preserve">Complete blood count with differential blood count and platelets: </w:t>
      </w:r>
      <w:proofErr w:type="spellStart"/>
      <w:r>
        <w:rPr>
          <w:sz w:val="24"/>
        </w:rPr>
        <w:t>Haemopoietic</w:t>
      </w:r>
      <w:proofErr w:type="spellEnd"/>
      <w:r>
        <w:rPr>
          <w:sz w:val="24"/>
        </w:rPr>
        <w:t xml:space="preserve"> suppression caused by methotrexate may occur abruptly and with apparently safe dosages. Any profound drop in white-cell or platelet counts indicates immediate withdrawal of the medicinal product and</w:t>
      </w:r>
      <w:r>
        <w:rPr>
          <w:spacing w:val="-13"/>
          <w:sz w:val="24"/>
        </w:rPr>
        <w:t xml:space="preserve"> </w:t>
      </w:r>
      <w:r>
        <w:rPr>
          <w:sz w:val="24"/>
        </w:rPr>
        <w:t>appropriate</w:t>
      </w:r>
      <w:r>
        <w:rPr>
          <w:spacing w:val="-14"/>
          <w:sz w:val="24"/>
        </w:rPr>
        <w:t xml:space="preserve"> </w:t>
      </w:r>
      <w:r>
        <w:rPr>
          <w:sz w:val="24"/>
        </w:rPr>
        <w:t>supportive</w:t>
      </w:r>
      <w:r>
        <w:rPr>
          <w:spacing w:val="-13"/>
          <w:sz w:val="24"/>
        </w:rPr>
        <w:t xml:space="preserve"> </w:t>
      </w:r>
      <w:r>
        <w:rPr>
          <w:sz w:val="24"/>
        </w:rPr>
        <w:t>therapy.</w:t>
      </w:r>
      <w:r>
        <w:rPr>
          <w:spacing w:val="-11"/>
          <w:sz w:val="24"/>
        </w:rPr>
        <w:t xml:space="preserve"> </w:t>
      </w:r>
      <w:r>
        <w:rPr>
          <w:sz w:val="24"/>
        </w:rPr>
        <w:t>Patients</w:t>
      </w:r>
      <w:r>
        <w:rPr>
          <w:spacing w:val="-10"/>
          <w:sz w:val="24"/>
        </w:rPr>
        <w:t xml:space="preserve"> </w:t>
      </w:r>
      <w:r>
        <w:rPr>
          <w:sz w:val="24"/>
        </w:rPr>
        <w:t>should</w:t>
      </w:r>
      <w:r>
        <w:rPr>
          <w:spacing w:val="-10"/>
          <w:sz w:val="24"/>
        </w:rPr>
        <w:t xml:space="preserve"> </w:t>
      </w:r>
      <w:r>
        <w:rPr>
          <w:sz w:val="24"/>
        </w:rPr>
        <w:t>be</w:t>
      </w:r>
      <w:r>
        <w:rPr>
          <w:spacing w:val="-14"/>
          <w:sz w:val="24"/>
        </w:rPr>
        <w:t xml:space="preserve"> </w:t>
      </w:r>
      <w:r>
        <w:rPr>
          <w:sz w:val="24"/>
        </w:rPr>
        <w:t>advised</w:t>
      </w:r>
      <w:r>
        <w:rPr>
          <w:spacing w:val="-11"/>
          <w:sz w:val="24"/>
        </w:rPr>
        <w:t xml:space="preserve"> </w:t>
      </w:r>
      <w:r>
        <w:rPr>
          <w:sz w:val="24"/>
        </w:rPr>
        <w:t>to</w:t>
      </w:r>
      <w:r>
        <w:rPr>
          <w:spacing w:val="-13"/>
          <w:sz w:val="24"/>
        </w:rPr>
        <w:t xml:space="preserve"> </w:t>
      </w:r>
      <w:r>
        <w:rPr>
          <w:sz w:val="24"/>
        </w:rPr>
        <w:t>report</w:t>
      </w:r>
      <w:r>
        <w:rPr>
          <w:spacing w:val="-10"/>
          <w:sz w:val="24"/>
        </w:rPr>
        <w:t xml:space="preserve"> </w:t>
      </w:r>
      <w:r>
        <w:rPr>
          <w:sz w:val="24"/>
        </w:rPr>
        <w:t>all</w:t>
      </w:r>
      <w:r>
        <w:rPr>
          <w:spacing w:val="-13"/>
          <w:sz w:val="24"/>
        </w:rPr>
        <w:t xml:space="preserve"> </w:t>
      </w:r>
      <w:r>
        <w:rPr>
          <w:sz w:val="24"/>
        </w:rPr>
        <w:t>signs</w:t>
      </w:r>
      <w:r>
        <w:rPr>
          <w:spacing w:val="-10"/>
          <w:sz w:val="24"/>
        </w:rPr>
        <w:t xml:space="preserve"> </w:t>
      </w:r>
      <w:r>
        <w:rPr>
          <w:sz w:val="24"/>
        </w:rPr>
        <w:t>and</w:t>
      </w:r>
      <w:r>
        <w:rPr>
          <w:spacing w:val="-11"/>
          <w:sz w:val="24"/>
        </w:rPr>
        <w:t xml:space="preserve"> </w:t>
      </w:r>
      <w:r>
        <w:rPr>
          <w:sz w:val="24"/>
        </w:rPr>
        <w:t>symptoms suggestive</w:t>
      </w:r>
      <w:r>
        <w:rPr>
          <w:spacing w:val="-10"/>
          <w:sz w:val="24"/>
        </w:rPr>
        <w:t xml:space="preserve"> </w:t>
      </w:r>
      <w:r>
        <w:rPr>
          <w:sz w:val="24"/>
        </w:rPr>
        <w:t>of</w:t>
      </w:r>
      <w:r>
        <w:rPr>
          <w:spacing w:val="-8"/>
          <w:sz w:val="24"/>
        </w:rPr>
        <w:t xml:space="preserve"> </w:t>
      </w:r>
      <w:r>
        <w:rPr>
          <w:sz w:val="24"/>
        </w:rPr>
        <w:t>infection.</w:t>
      </w:r>
      <w:r>
        <w:rPr>
          <w:spacing w:val="-6"/>
          <w:sz w:val="24"/>
        </w:rPr>
        <w:t xml:space="preserve"> </w:t>
      </w:r>
      <w:r>
        <w:rPr>
          <w:sz w:val="24"/>
        </w:rPr>
        <w:t>Patients</w:t>
      </w:r>
      <w:r>
        <w:rPr>
          <w:spacing w:val="-6"/>
          <w:sz w:val="24"/>
        </w:rPr>
        <w:t xml:space="preserve"> </w:t>
      </w:r>
      <w:r>
        <w:rPr>
          <w:sz w:val="24"/>
        </w:rPr>
        <w:t>taking</w:t>
      </w:r>
      <w:r>
        <w:rPr>
          <w:spacing w:val="-9"/>
          <w:sz w:val="24"/>
        </w:rPr>
        <w:t xml:space="preserve"> </w:t>
      </w:r>
      <w:r>
        <w:rPr>
          <w:sz w:val="24"/>
        </w:rPr>
        <w:t>simultaneous</w:t>
      </w:r>
      <w:r>
        <w:rPr>
          <w:spacing w:val="-9"/>
          <w:sz w:val="24"/>
        </w:rPr>
        <w:t xml:space="preserve"> </w:t>
      </w:r>
      <w:r>
        <w:rPr>
          <w:sz w:val="24"/>
        </w:rPr>
        <w:t>administration</w:t>
      </w:r>
      <w:r>
        <w:rPr>
          <w:spacing w:val="-7"/>
          <w:sz w:val="24"/>
        </w:rPr>
        <w:t xml:space="preserve"> </w:t>
      </w:r>
      <w:r>
        <w:rPr>
          <w:sz w:val="24"/>
        </w:rPr>
        <w:t>of</w:t>
      </w:r>
      <w:r>
        <w:rPr>
          <w:spacing w:val="-8"/>
          <w:sz w:val="24"/>
        </w:rPr>
        <w:t xml:space="preserve"> </w:t>
      </w:r>
      <w:proofErr w:type="spellStart"/>
      <w:r>
        <w:rPr>
          <w:sz w:val="24"/>
        </w:rPr>
        <w:t>haematotoxic</w:t>
      </w:r>
      <w:proofErr w:type="spellEnd"/>
      <w:r>
        <w:rPr>
          <w:spacing w:val="-5"/>
          <w:sz w:val="24"/>
        </w:rPr>
        <w:t xml:space="preserve"> </w:t>
      </w:r>
      <w:r>
        <w:rPr>
          <w:sz w:val="24"/>
        </w:rPr>
        <w:t xml:space="preserve">medicinal products (e.g. </w:t>
      </w:r>
      <w:proofErr w:type="spellStart"/>
      <w:r>
        <w:rPr>
          <w:sz w:val="24"/>
        </w:rPr>
        <w:t>leflunomide</w:t>
      </w:r>
      <w:proofErr w:type="spellEnd"/>
      <w:r>
        <w:rPr>
          <w:sz w:val="24"/>
        </w:rPr>
        <w:t>) should be monitored closely with blood count and</w:t>
      </w:r>
      <w:r>
        <w:rPr>
          <w:spacing w:val="-26"/>
          <w:sz w:val="24"/>
        </w:rPr>
        <w:t xml:space="preserve"> </w:t>
      </w:r>
      <w:r>
        <w:rPr>
          <w:sz w:val="24"/>
        </w:rPr>
        <w:t>platelets.</w:t>
      </w:r>
    </w:p>
    <w:p w:rsidR="00F037FD" w:rsidRDefault="00F037FD">
      <w:pPr>
        <w:pStyle w:val="BodyText"/>
        <w:spacing w:before="3"/>
        <w:rPr>
          <w:sz w:val="22"/>
        </w:rPr>
      </w:pPr>
    </w:p>
    <w:p w:rsidR="00F037FD" w:rsidRDefault="00034C5C">
      <w:pPr>
        <w:pStyle w:val="ListParagraph"/>
        <w:numPr>
          <w:ilvl w:val="0"/>
          <w:numId w:val="3"/>
        </w:numPr>
        <w:tabs>
          <w:tab w:val="left" w:pos="709"/>
        </w:tabs>
        <w:ind w:right="133"/>
        <w:rPr>
          <w:sz w:val="24"/>
        </w:rPr>
      </w:pPr>
      <w:r>
        <w:rPr>
          <w:sz w:val="24"/>
        </w:rPr>
        <w:t>Liver function tests: Particular attention should be given to the appearance of liver toxicity. Treatment</w:t>
      </w:r>
      <w:r>
        <w:rPr>
          <w:spacing w:val="-15"/>
          <w:sz w:val="24"/>
        </w:rPr>
        <w:t xml:space="preserve"> </w:t>
      </w:r>
      <w:r>
        <w:rPr>
          <w:sz w:val="24"/>
        </w:rPr>
        <w:t>should</w:t>
      </w:r>
      <w:r>
        <w:rPr>
          <w:spacing w:val="-15"/>
          <w:sz w:val="24"/>
        </w:rPr>
        <w:t xml:space="preserve"> </w:t>
      </w:r>
      <w:r>
        <w:rPr>
          <w:sz w:val="24"/>
        </w:rPr>
        <w:t>not</w:t>
      </w:r>
      <w:r>
        <w:rPr>
          <w:spacing w:val="-15"/>
          <w:sz w:val="24"/>
        </w:rPr>
        <w:t xml:space="preserve"> </w:t>
      </w:r>
      <w:r>
        <w:rPr>
          <w:sz w:val="24"/>
        </w:rPr>
        <w:t>be</w:t>
      </w:r>
      <w:r>
        <w:rPr>
          <w:spacing w:val="-18"/>
          <w:sz w:val="24"/>
        </w:rPr>
        <w:t xml:space="preserve"> </w:t>
      </w:r>
      <w:r>
        <w:rPr>
          <w:sz w:val="24"/>
        </w:rPr>
        <w:t>instituted</w:t>
      </w:r>
      <w:r>
        <w:rPr>
          <w:spacing w:val="-15"/>
          <w:sz w:val="24"/>
        </w:rPr>
        <w:t xml:space="preserve"> </w:t>
      </w:r>
      <w:r>
        <w:rPr>
          <w:sz w:val="24"/>
        </w:rPr>
        <w:t>or</w:t>
      </w:r>
      <w:r>
        <w:rPr>
          <w:spacing w:val="-14"/>
          <w:sz w:val="24"/>
        </w:rPr>
        <w:t xml:space="preserve"> </w:t>
      </w:r>
      <w:r>
        <w:rPr>
          <w:sz w:val="24"/>
        </w:rPr>
        <w:t>should</w:t>
      </w:r>
      <w:r>
        <w:rPr>
          <w:spacing w:val="-15"/>
          <w:sz w:val="24"/>
        </w:rPr>
        <w:t xml:space="preserve"> </w:t>
      </w:r>
      <w:r>
        <w:rPr>
          <w:sz w:val="24"/>
        </w:rPr>
        <w:t>be</w:t>
      </w:r>
      <w:r>
        <w:rPr>
          <w:spacing w:val="-19"/>
          <w:sz w:val="24"/>
        </w:rPr>
        <w:t xml:space="preserve"> </w:t>
      </w:r>
      <w:r>
        <w:rPr>
          <w:sz w:val="24"/>
        </w:rPr>
        <w:t>discontinued</w:t>
      </w:r>
      <w:r>
        <w:rPr>
          <w:spacing w:val="-15"/>
          <w:sz w:val="24"/>
        </w:rPr>
        <w:t xml:space="preserve"> </w:t>
      </w:r>
      <w:r>
        <w:rPr>
          <w:sz w:val="24"/>
        </w:rPr>
        <w:t>if</w:t>
      </w:r>
      <w:r>
        <w:rPr>
          <w:spacing w:val="-16"/>
          <w:sz w:val="24"/>
        </w:rPr>
        <w:t xml:space="preserve"> </w:t>
      </w:r>
      <w:r>
        <w:rPr>
          <w:sz w:val="24"/>
        </w:rPr>
        <w:t>any</w:t>
      </w:r>
      <w:r>
        <w:rPr>
          <w:spacing w:val="-20"/>
          <w:sz w:val="24"/>
        </w:rPr>
        <w:t xml:space="preserve"> </w:t>
      </w:r>
      <w:r>
        <w:rPr>
          <w:sz w:val="24"/>
        </w:rPr>
        <w:t>abnormality</w:t>
      </w:r>
      <w:r>
        <w:rPr>
          <w:spacing w:val="-18"/>
          <w:sz w:val="24"/>
        </w:rPr>
        <w:t xml:space="preserve"> </w:t>
      </w:r>
      <w:r>
        <w:rPr>
          <w:sz w:val="24"/>
        </w:rPr>
        <w:t>of</w:t>
      </w:r>
      <w:r>
        <w:rPr>
          <w:spacing w:val="-16"/>
          <w:sz w:val="24"/>
        </w:rPr>
        <w:t xml:space="preserve"> </w:t>
      </w:r>
      <w:r>
        <w:rPr>
          <w:sz w:val="24"/>
        </w:rPr>
        <w:t>liver</w:t>
      </w:r>
      <w:r>
        <w:rPr>
          <w:spacing w:val="-14"/>
          <w:sz w:val="24"/>
        </w:rPr>
        <w:t xml:space="preserve"> </w:t>
      </w:r>
      <w:r>
        <w:rPr>
          <w:sz w:val="24"/>
        </w:rPr>
        <w:t>function tests, or liver biopsy, is present or develops during therapy. Such abnormalities should return to</w:t>
      </w:r>
      <w:r>
        <w:rPr>
          <w:spacing w:val="-8"/>
          <w:sz w:val="24"/>
        </w:rPr>
        <w:t xml:space="preserve"> </w:t>
      </w:r>
      <w:r>
        <w:rPr>
          <w:sz w:val="24"/>
        </w:rPr>
        <w:t>normal</w:t>
      </w:r>
      <w:r>
        <w:rPr>
          <w:spacing w:val="-8"/>
          <w:sz w:val="24"/>
        </w:rPr>
        <w:t xml:space="preserve"> </w:t>
      </w:r>
      <w:r>
        <w:rPr>
          <w:sz w:val="24"/>
        </w:rPr>
        <w:t>within</w:t>
      </w:r>
      <w:r>
        <w:rPr>
          <w:spacing w:val="-10"/>
          <w:sz w:val="24"/>
        </w:rPr>
        <w:t xml:space="preserve"> </w:t>
      </w:r>
      <w:r>
        <w:rPr>
          <w:sz w:val="24"/>
        </w:rPr>
        <w:t>two</w:t>
      </w:r>
      <w:r>
        <w:rPr>
          <w:spacing w:val="-8"/>
          <w:sz w:val="24"/>
        </w:rPr>
        <w:t xml:space="preserve"> </w:t>
      </w:r>
      <w:r>
        <w:rPr>
          <w:sz w:val="24"/>
        </w:rPr>
        <w:t>weeks</w:t>
      </w:r>
      <w:r>
        <w:rPr>
          <w:spacing w:val="-8"/>
          <w:sz w:val="24"/>
        </w:rPr>
        <w:t xml:space="preserve"> </w:t>
      </w:r>
      <w:r>
        <w:rPr>
          <w:sz w:val="24"/>
        </w:rPr>
        <w:t>after</w:t>
      </w:r>
      <w:r>
        <w:rPr>
          <w:spacing w:val="-7"/>
          <w:sz w:val="24"/>
        </w:rPr>
        <w:t xml:space="preserve"> </w:t>
      </w:r>
      <w:r>
        <w:rPr>
          <w:sz w:val="24"/>
        </w:rPr>
        <w:t>which</w:t>
      </w:r>
      <w:r>
        <w:rPr>
          <w:spacing w:val="-11"/>
          <w:sz w:val="24"/>
        </w:rPr>
        <w:t xml:space="preserve"> </w:t>
      </w:r>
      <w:r>
        <w:rPr>
          <w:sz w:val="24"/>
        </w:rPr>
        <w:t>treatment</w:t>
      </w:r>
      <w:r>
        <w:rPr>
          <w:spacing w:val="-5"/>
          <w:sz w:val="24"/>
        </w:rPr>
        <w:t xml:space="preserve"> </w:t>
      </w:r>
      <w:r>
        <w:rPr>
          <w:sz w:val="24"/>
        </w:rPr>
        <w:t>may</w:t>
      </w:r>
      <w:r>
        <w:rPr>
          <w:spacing w:val="-8"/>
          <w:sz w:val="24"/>
        </w:rPr>
        <w:t xml:space="preserve"> </w:t>
      </w:r>
      <w:r>
        <w:rPr>
          <w:sz w:val="24"/>
        </w:rPr>
        <w:t>be</w:t>
      </w:r>
      <w:r>
        <w:rPr>
          <w:spacing w:val="-9"/>
          <w:sz w:val="24"/>
        </w:rPr>
        <w:t xml:space="preserve"> </w:t>
      </w:r>
      <w:r>
        <w:rPr>
          <w:sz w:val="24"/>
        </w:rPr>
        <w:t>recommenced</w:t>
      </w:r>
      <w:r>
        <w:rPr>
          <w:spacing w:val="-6"/>
          <w:sz w:val="24"/>
        </w:rPr>
        <w:t xml:space="preserve"> </w:t>
      </w:r>
      <w:r>
        <w:rPr>
          <w:sz w:val="24"/>
        </w:rPr>
        <w:t>at</w:t>
      </w:r>
      <w:r>
        <w:rPr>
          <w:spacing w:val="-8"/>
          <w:sz w:val="24"/>
        </w:rPr>
        <w:t xml:space="preserve"> </w:t>
      </w:r>
      <w:r>
        <w:rPr>
          <w:sz w:val="24"/>
        </w:rPr>
        <w:t>the</w:t>
      </w:r>
      <w:r>
        <w:rPr>
          <w:spacing w:val="-9"/>
          <w:sz w:val="24"/>
        </w:rPr>
        <w:t xml:space="preserve"> </w:t>
      </w:r>
      <w:r>
        <w:rPr>
          <w:sz w:val="24"/>
        </w:rPr>
        <w:t>discretion</w:t>
      </w:r>
      <w:r>
        <w:rPr>
          <w:spacing w:val="-6"/>
          <w:sz w:val="24"/>
        </w:rPr>
        <w:t xml:space="preserve"> </w:t>
      </w:r>
      <w:r>
        <w:rPr>
          <w:sz w:val="24"/>
        </w:rPr>
        <w:t>of</w:t>
      </w:r>
      <w:r>
        <w:rPr>
          <w:spacing w:val="-7"/>
          <w:sz w:val="24"/>
        </w:rPr>
        <w:t xml:space="preserve"> </w:t>
      </w:r>
      <w:r>
        <w:rPr>
          <w:sz w:val="24"/>
        </w:rPr>
        <w:t xml:space="preserve">the physician. There is no evidence to support use of a liver biopsy to monitor hepatic toxicity in </w:t>
      </w:r>
      <w:proofErr w:type="spellStart"/>
      <w:r>
        <w:rPr>
          <w:sz w:val="24"/>
        </w:rPr>
        <w:t>rheumatological</w:t>
      </w:r>
      <w:proofErr w:type="spellEnd"/>
      <w:r>
        <w:rPr>
          <w:spacing w:val="-11"/>
          <w:sz w:val="24"/>
        </w:rPr>
        <w:t xml:space="preserve"> </w:t>
      </w:r>
      <w:r>
        <w:rPr>
          <w:sz w:val="24"/>
        </w:rPr>
        <w:t>indications.</w:t>
      </w:r>
    </w:p>
    <w:p w:rsidR="00F037FD" w:rsidRDefault="00F037FD">
      <w:pPr>
        <w:jc w:val="both"/>
        <w:rPr>
          <w:sz w:val="24"/>
        </w:rPr>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BodyText"/>
        <w:spacing w:before="90"/>
        <w:ind w:left="708" w:right="132"/>
        <w:jc w:val="both"/>
      </w:pPr>
      <w:r>
        <w:t>For psoriasis patients the need of a liver biopsy prior to and during therapy is controversial. Further</w:t>
      </w:r>
      <w:r>
        <w:rPr>
          <w:spacing w:val="-9"/>
        </w:rPr>
        <w:t xml:space="preserve"> </w:t>
      </w:r>
      <w:r>
        <w:t>research</w:t>
      </w:r>
      <w:r>
        <w:rPr>
          <w:spacing w:val="-8"/>
        </w:rPr>
        <w:t xml:space="preserve"> </w:t>
      </w:r>
      <w:r>
        <w:t>is</w:t>
      </w:r>
      <w:r>
        <w:rPr>
          <w:spacing w:val="-8"/>
        </w:rPr>
        <w:t xml:space="preserve"> </w:t>
      </w:r>
      <w:r>
        <w:t>needed</w:t>
      </w:r>
      <w:r>
        <w:rPr>
          <w:spacing w:val="-8"/>
        </w:rPr>
        <w:t xml:space="preserve"> </w:t>
      </w:r>
      <w:r>
        <w:t>to</w:t>
      </w:r>
      <w:r>
        <w:rPr>
          <w:spacing w:val="-8"/>
        </w:rPr>
        <w:t xml:space="preserve"> </w:t>
      </w:r>
      <w:r>
        <w:t>establish</w:t>
      </w:r>
      <w:r>
        <w:rPr>
          <w:spacing w:val="-8"/>
        </w:rPr>
        <w:t xml:space="preserve"> </w:t>
      </w:r>
      <w:r>
        <w:t>whether</w:t>
      </w:r>
      <w:r>
        <w:rPr>
          <w:spacing w:val="-6"/>
        </w:rPr>
        <w:t xml:space="preserve"> </w:t>
      </w:r>
      <w:r>
        <w:t>serial</w:t>
      </w:r>
      <w:r>
        <w:rPr>
          <w:spacing w:val="-10"/>
        </w:rPr>
        <w:t xml:space="preserve"> </w:t>
      </w:r>
      <w:r>
        <w:t>liver</w:t>
      </w:r>
      <w:r>
        <w:rPr>
          <w:spacing w:val="-7"/>
        </w:rPr>
        <w:t xml:space="preserve"> </w:t>
      </w:r>
      <w:r>
        <w:t>chemistry</w:t>
      </w:r>
      <w:r>
        <w:rPr>
          <w:spacing w:val="-8"/>
        </w:rPr>
        <w:t xml:space="preserve"> </w:t>
      </w:r>
      <w:r>
        <w:t>tests</w:t>
      </w:r>
      <w:r>
        <w:rPr>
          <w:spacing w:val="-5"/>
        </w:rPr>
        <w:t xml:space="preserve"> </w:t>
      </w:r>
      <w:r>
        <w:t>or</w:t>
      </w:r>
      <w:r>
        <w:rPr>
          <w:spacing w:val="-6"/>
        </w:rPr>
        <w:t xml:space="preserve"> </w:t>
      </w:r>
      <w:proofErr w:type="spellStart"/>
      <w:r>
        <w:t>propeptide</w:t>
      </w:r>
      <w:proofErr w:type="spellEnd"/>
      <w:r>
        <w:rPr>
          <w:spacing w:val="-9"/>
        </w:rPr>
        <w:t xml:space="preserve"> </w:t>
      </w:r>
      <w:r>
        <w:t>of</w:t>
      </w:r>
      <w:r>
        <w:rPr>
          <w:spacing w:val="-7"/>
        </w:rPr>
        <w:t xml:space="preserve"> </w:t>
      </w:r>
      <w:r>
        <w:t>type III collagen can detect hepatotoxicity sufficiently. The evaluation should be performed case</w:t>
      </w:r>
      <w:r>
        <w:rPr>
          <w:spacing w:val="-40"/>
        </w:rPr>
        <w:t xml:space="preserve"> </w:t>
      </w:r>
      <w:r>
        <w:t>by case and differentiate between patients with no risk factors and patients with risk factors such as excessive prior alcohol consumption, persistent elevation of liver enzymes, history of liver disease, family history of inheritable liver disease, diabetes mellitus, obesity, and history of significant exposure to hepatotoxic drugs or chemicals and prolonged methotrexate treatment or</w:t>
      </w:r>
      <w:r>
        <w:rPr>
          <w:spacing w:val="-14"/>
        </w:rPr>
        <w:t xml:space="preserve"> </w:t>
      </w:r>
      <w:r>
        <w:t>cumulative</w:t>
      </w:r>
      <w:r>
        <w:rPr>
          <w:spacing w:val="-18"/>
        </w:rPr>
        <w:t xml:space="preserve"> </w:t>
      </w:r>
      <w:r>
        <w:t>doses</w:t>
      </w:r>
      <w:r>
        <w:rPr>
          <w:spacing w:val="-15"/>
        </w:rPr>
        <w:t xml:space="preserve"> </w:t>
      </w:r>
      <w:r>
        <w:t>of</w:t>
      </w:r>
      <w:r>
        <w:rPr>
          <w:spacing w:val="-16"/>
        </w:rPr>
        <w:t xml:space="preserve"> </w:t>
      </w:r>
      <w:r>
        <w:t>1.5</w:t>
      </w:r>
      <w:r>
        <w:rPr>
          <w:spacing w:val="-15"/>
        </w:rPr>
        <w:t xml:space="preserve"> </w:t>
      </w:r>
      <w:r>
        <w:t>g</w:t>
      </w:r>
      <w:r>
        <w:rPr>
          <w:spacing w:val="-18"/>
        </w:rPr>
        <w:t xml:space="preserve"> </w:t>
      </w:r>
      <w:r>
        <w:t>or</w:t>
      </w:r>
      <w:r>
        <w:rPr>
          <w:spacing w:val="-14"/>
        </w:rPr>
        <w:t xml:space="preserve"> </w:t>
      </w:r>
      <w:r>
        <w:t>more.</w:t>
      </w:r>
      <w:r>
        <w:rPr>
          <w:spacing w:val="-13"/>
        </w:rPr>
        <w:t xml:space="preserve"> </w:t>
      </w:r>
      <w:r>
        <w:t>If</w:t>
      </w:r>
      <w:r>
        <w:rPr>
          <w:spacing w:val="-19"/>
        </w:rPr>
        <w:t xml:space="preserve"> </w:t>
      </w:r>
      <w:r>
        <w:t>the</w:t>
      </w:r>
      <w:r>
        <w:rPr>
          <w:spacing w:val="-18"/>
        </w:rPr>
        <w:t xml:space="preserve"> </w:t>
      </w:r>
      <w:r>
        <w:t>results</w:t>
      </w:r>
      <w:r>
        <w:rPr>
          <w:spacing w:val="-17"/>
        </w:rPr>
        <w:t xml:space="preserve"> </w:t>
      </w:r>
      <w:r>
        <w:t>of</w:t>
      </w:r>
      <w:r>
        <w:rPr>
          <w:spacing w:val="-16"/>
        </w:rPr>
        <w:t xml:space="preserve"> </w:t>
      </w:r>
      <w:r>
        <w:t>a</w:t>
      </w:r>
      <w:r>
        <w:rPr>
          <w:spacing w:val="-14"/>
        </w:rPr>
        <w:t xml:space="preserve"> </w:t>
      </w:r>
      <w:r>
        <w:t>liver</w:t>
      </w:r>
      <w:r>
        <w:rPr>
          <w:spacing w:val="-14"/>
        </w:rPr>
        <w:t xml:space="preserve"> </w:t>
      </w:r>
      <w:r>
        <w:t>biopsy</w:t>
      </w:r>
      <w:r>
        <w:rPr>
          <w:spacing w:val="-18"/>
        </w:rPr>
        <w:t xml:space="preserve"> </w:t>
      </w:r>
      <w:r>
        <w:t>show</w:t>
      </w:r>
      <w:r>
        <w:rPr>
          <w:spacing w:val="-16"/>
        </w:rPr>
        <w:t xml:space="preserve"> </w:t>
      </w:r>
      <w:r>
        <w:t>mild</w:t>
      </w:r>
      <w:r>
        <w:rPr>
          <w:spacing w:val="-15"/>
        </w:rPr>
        <w:t xml:space="preserve"> </w:t>
      </w:r>
      <w:r>
        <w:t>changes</w:t>
      </w:r>
      <w:r>
        <w:rPr>
          <w:spacing w:val="-15"/>
        </w:rPr>
        <w:t xml:space="preserve"> </w:t>
      </w:r>
      <w:r>
        <w:t>(</w:t>
      </w:r>
      <w:proofErr w:type="spellStart"/>
      <w:r>
        <w:t>Roenigk</w:t>
      </w:r>
      <w:proofErr w:type="spellEnd"/>
      <w:r>
        <w:t xml:space="preserve"> grades I, II, </w:t>
      </w:r>
      <w:proofErr w:type="spellStart"/>
      <w:r>
        <w:t>IIIa</w:t>
      </w:r>
      <w:proofErr w:type="spellEnd"/>
      <w:r>
        <w:t>), methotrexate may be continued and the patient monitored according to the recommendations listed above. Methotrexate should be discontinued in any patient who displays persistently abnormal liver function tests and refuses liver biopsy, or in any patient whose liver biopsy shows moderate to severe changes (</w:t>
      </w:r>
      <w:proofErr w:type="spellStart"/>
      <w:r>
        <w:t>Roenigk</w:t>
      </w:r>
      <w:proofErr w:type="spellEnd"/>
      <w:r>
        <w:t xml:space="preserve"> grade </w:t>
      </w:r>
      <w:proofErr w:type="spellStart"/>
      <w:r>
        <w:t>IIIb</w:t>
      </w:r>
      <w:proofErr w:type="spellEnd"/>
      <w:r>
        <w:t xml:space="preserve"> or</w:t>
      </w:r>
      <w:r>
        <w:rPr>
          <w:spacing w:val="-20"/>
        </w:rPr>
        <w:t xml:space="preserve"> </w:t>
      </w:r>
      <w:r>
        <w:t>IV).</w:t>
      </w:r>
    </w:p>
    <w:p w:rsidR="00F037FD" w:rsidRDefault="00034C5C">
      <w:pPr>
        <w:pStyle w:val="BodyText"/>
        <w:spacing w:before="208"/>
        <w:ind w:left="708" w:right="134"/>
        <w:jc w:val="both"/>
      </w:pPr>
      <w:r>
        <w:t>Check of liver-related enzymes in serum: Temporary increases in transaminases to twice or three times of the upper limit of normal have been reported by patients at a frequency of 13 – 20 %. In the case of a constant increase in liver-related enzymes, a reduction of the dose or discontinuation of therapy should be taken into consideration.</w:t>
      </w:r>
    </w:p>
    <w:p w:rsidR="00F037FD" w:rsidRDefault="00034C5C">
      <w:pPr>
        <w:pStyle w:val="BodyText"/>
        <w:spacing w:before="205"/>
        <w:ind w:left="708" w:right="134"/>
        <w:jc w:val="both"/>
      </w:pPr>
      <w:r>
        <w:t>Due</w:t>
      </w:r>
      <w:r>
        <w:rPr>
          <w:spacing w:val="-11"/>
        </w:rPr>
        <w:t xml:space="preserve"> </w:t>
      </w:r>
      <w:r>
        <w:t>to</w:t>
      </w:r>
      <w:r>
        <w:rPr>
          <w:spacing w:val="-11"/>
        </w:rPr>
        <w:t xml:space="preserve"> </w:t>
      </w:r>
      <w:r>
        <w:t>its</w:t>
      </w:r>
      <w:r>
        <w:rPr>
          <w:spacing w:val="-10"/>
        </w:rPr>
        <w:t xml:space="preserve"> </w:t>
      </w:r>
      <w:r>
        <w:t>potentially</w:t>
      </w:r>
      <w:r>
        <w:rPr>
          <w:spacing w:val="-11"/>
        </w:rPr>
        <w:t xml:space="preserve"> </w:t>
      </w:r>
      <w:r>
        <w:t>toxic</w:t>
      </w:r>
      <w:r>
        <w:rPr>
          <w:spacing w:val="-8"/>
        </w:rPr>
        <w:t xml:space="preserve"> </w:t>
      </w:r>
      <w:r>
        <w:t>effect</w:t>
      </w:r>
      <w:r>
        <w:rPr>
          <w:spacing w:val="-8"/>
        </w:rPr>
        <w:t xml:space="preserve"> </w:t>
      </w:r>
      <w:r>
        <w:t>on</w:t>
      </w:r>
      <w:r>
        <w:rPr>
          <w:spacing w:val="-8"/>
        </w:rPr>
        <w:t xml:space="preserve"> </w:t>
      </w:r>
      <w:r>
        <w:t>the</w:t>
      </w:r>
      <w:r>
        <w:rPr>
          <w:spacing w:val="-11"/>
        </w:rPr>
        <w:t xml:space="preserve"> </w:t>
      </w:r>
      <w:r>
        <w:t>liver,</w:t>
      </w:r>
      <w:r>
        <w:rPr>
          <w:spacing w:val="-8"/>
        </w:rPr>
        <w:t xml:space="preserve"> </w:t>
      </w:r>
      <w:r>
        <w:t>additional</w:t>
      </w:r>
      <w:r>
        <w:rPr>
          <w:spacing w:val="-7"/>
        </w:rPr>
        <w:t xml:space="preserve"> </w:t>
      </w:r>
      <w:r>
        <w:t>hepatotoxic</w:t>
      </w:r>
      <w:r>
        <w:rPr>
          <w:spacing w:val="-6"/>
        </w:rPr>
        <w:t xml:space="preserve"> </w:t>
      </w:r>
      <w:r>
        <w:t>medicinal</w:t>
      </w:r>
      <w:r>
        <w:rPr>
          <w:spacing w:val="-10"/>
        </w:rPr>
        <w:t xml:space="preserve"> </w:t>
      </w:r>
      <w:r>
        <w:t>products</w:t>
      </w:r>
      <w:r>
        <w:rPr>
          <w:spacing w:val="-10"/>
        </w:rPr>
        <w:t xml:space="preserve"> </w:t>
      </w:r>
      <w:r>
        <w:t xml:space="preserve">should not be taken during treatment with methotrexate unless clearly necessary and the consumption of alcohol should be avoided or greatly reduced (see </w:t>
      </w:r>
      <w:r>
        <w:rPr>
          <w:b/>
        </w:rPr>
        <w:t>INTERACTIONS WITH OTHER MEDICINES</w:t>
      </w:r>
      <w:r>
        <w:t>).</w:t>
      </w:r>
      <w:r>
        <w:rPr>
          <w:spacing w:val="-14"/>
        </w:rPr>
        <w:t xml:space="preserve"> </w:t>
      </w:r>
      <w:r>
        <w:t>Closer</w:t>
      </w:r>
      <w:r>
        <w:rPr>
          <w:spacing w:val="-12"/>
        </w:rPr>
        <w:t xml:space="preserve"> </w:t>
      </w:r>
      <w:r>
        <w:t>monitoring</w:t>
      </w:r>
      <w:r>
        <w:rPr>
          <w:spacing w:val="-16"/>
        </w:rPr>
        <w:t xml:space="preserve"> </w:t>
      </w:r>
      <w:r>
        <w:t>of</w:t>
      </w:r>
      <w:r>
        <w:rPr>
          <w:spacing w:val="-15"/>
        </w:rPr>
        <w:t xml:space="preserve"> </w:t>
      </w:r>
      <w:r>
        <w:t>liver</w:t>
      </w:r>
      <w:r>
        <w:rPr>
          <w:spacing w:val="-12"/>
        </w:rPr>
        <w:t xml:space="preserve"> </w:t>
      </w:r>
      <w:r>
        <w:t>enzymes</w:t>
      </w:r>
      <w:r>
        <w:rPr>
          <w:spacing w:val="-14"/>
        </w:rPr>
        <w:t xml:space="preserve"> </w:t>
      </w:r>
      <w:r>
        <w:t>should</w:t>
      </w:r>
      <w:r>
        <w:rPr>
          <w:spacing w:val="-13"/>
        </w:rPr>
        <w:t xml:space="preserve"> </w:t>
      </w:r>
      <w:r>
        <w:t>be</w:t>
      </w:r>
      <w:r>
        <w:rPr>
          <w:spacing w:val="-17"/>
        </w:rPr>
        <w:t xml:space="preserve"> </w:t>
      </w:r>
      <w:r>
        <w:t>exercised</w:t>
      </w:r>
      <w:r>
        <w:rPr>
          <w:spacing w:val="-14"/>
        </w:rPr>
        <w:t xml:space="preserve"> </w:t>
      </w:r>
      <w:r>
        <w:t>in</w:t>
      </w:r>
      <w:r>
        <w:rPr>
          <w:spacing w:val="-14"/>
        </w:rPr>
        <w:t xml:space="preserve"> </w:t>
      </w:r>
      <w:r>
        <w:t>patients</w:t>
      </w:r>
      <w:r>
        <w:rPr>
          <w:spacing w:val="-13"/>
        </w:rPr>
        <w:t xml:space="preserve"> </w:t>
      </w:r>
      <w:r>
        <w:t>taking</w:t>
      </w:r>
      <w:r>
        <w:rPr>
          <w:spacing w:val="-16"/>
        </w:rPr>
        <w:t xml:space="preserve"> </w:t>
      </w:r>
      <w:r>
        <w:t xml:space="preserve">other hepatotoxic medicinal products concomitantly (e.g. </w:t>
      </w:r>
      <w:proofErr w:type="spellStart"/>
      <w:r>
        <w:t>leflunomide</w:t>
      </w:r>
      <w:proofErr w:type="spellEnd"/>
      <w:r>
        <w:t xml:space="preserve">). The same should be taken into account with the simultaneous administration of </w:t>
      </w:r>
      <w:proofErr w:type="spellStart"/>
      <w:r>
        <w:t>haematotoxic</w:t>
      </w:r>
      <w:proofErr w:type="spellEnd"/>
      <w:r>
        <w:t xml:space="preserve"> medicinal products (e.g. </w:t>
      </w:r>
      <w:proofErr w:type="spellStart"/>
      <w:r>
        <w:t>leflunomide</w:t>
      </w:r>
      <w:proofErr w:type="spellEnd"/>
      <w:r>
        <w:t>).</w:t>
      </w:r>
    </w:p>
    <w:p w:rsidR="00F037FD" w:rsidRDefault="00034C5C">
      <w:pPr>
        <w:pStyle w:val="ListParagraph"/>
        <w:numPr>
          <w:ilvl w:val="0"/>
          <w:numId w:val="3"/>
        </w:numPr>
        <w:tabs>
          <w:tab w:val="left" w:pos="709"/>
        </w:tabs>
        <w:spacing w:before="205"/>
        <w:ind w:right="136"/>
        <w:rPr>
          <w:sz w:val="24"/>
        </w:rPr>
      </w:pPr>
      <w:r>
        <w:rPr>
          <w:sz w:val="24"/>
        </w:rPr>
        <w:t>Methotrexate may cause renal damage that may lead to acute renal failure. Close attention to renal function is</w:t>
      </w:r>
      <w:r>
        <w:rPr>
          <w:spacing w:val="-10"/>
          <w:sz w:val="24"/>
        </w:rPr>
        <w:t xml:space="preserve"> </w:t>
      </w:r>
      <w:r>
        <w:rPr>
          <w:sz w:val="24"/>
        </w:rPr>
        <w:t>recommended.</w:t>
      </w:r>
    </w:p>
    <w:p w:rsidR="00F037FD" w:rsidRDefault="00034C5C">
      <w:pPr>
        <w:pStyle w:val="BodyText"/>
        <w:spacing w:before="206"/>
        <w:ind w:left="708" w:right="131"/>
        <w:jc w:val="both"/>
      </w:pPr>
      <w:r>
        <w:t>As methotrexate is eliminated mainly by renal route, increased serum concentrations are to be expected in the case of renal insufficiency, which may result in severe undesirable effects. The renal status of the patient should be determined prior to and periodically during methotrexate therapy. Caution should be exercised if significant renal impairment is present. Drug dosage should be reduced or discontinued until renal function is improved or restored.</w:t>
      </w:r>
    </w:p>
    <w:p w:rsidR="00F037FD" w:rsidRDefault="00034C5C">
      <w:pPr>
        <w:pStyle w:val="BodyText"/>
        <w:spacing w:before="206"/>
        <w:ind w:left="708" w:right="134"/>
        <w:jc w:val="both"/>
      </w:pPr>
      <w:r>
        <w:t>Where renal function may be compromised (e.g. in the elderly), monitoring should take place more frequently. This applies in particular, when medicinal products are administered concomitantly, which affect the elimination of methotrexate, cause kidney damage (e.g. non- steroidal</w:t>
      </w:r>
      <w:r>
        <w:rPr>
          <w:spacing w:val="-5"/>
        </w:rPr>
        <w:t xml:space="preserve"> </w:t>
      </w:r>
      <w:r>
        <w:t>anti-inflammatory</w:t>
      </w:r>
      <w:r>
        <w:rPr>
          <w:spacing w:val="-7"/>
        </w:rPr>
        <w:t xml:space="preserve"> </w:t>
      </w:r>
      <w:r>
        <w:t>medicinal</w:t>
      </w:r>
      <w:r>
        <w:rPr>
          <w:spacing w:val="-7"/>
        </w:rPr>
        <w:t xml:space="preserve"> </w:t>
      </w:r>
      <w:r>
        <w:t>products)</w:t>
      </w:r>
      <w:r>
        <w:rPr>
          <w:spacing w:val="-5"/>
        </w:rPr>
        <w:t xml:space="preserve"> </w:t>
      </w:r>
      <w:r>
        <w:t>or</w:t>
      </w:r>
      <w:r>
        <w:rPr>
          <w:spacing w:val="-6"/>
        </w:rPr>
        <w:t xml:space="preserve"> </w:t>
      </w:r>
      <w:r>
        <w:t>which</w:t>
      </w:r>
      <w:r>
        <w:rPr>
          <w:spacing w:val="-10"/>
        </w:rPr>
        <w:t xml:space="preserve"> </w:t>
      </w:r>
      <w:r>
        <w:t>can</w:t>
      </w:r>
      <w:r>
        <w:rPr>
          <w:spacing w:val="-7"/>
        </w:rPr>
        <w:t xml:space="preserve"> </w:t>
      </w:r>
      <w:r>
        <w:t>potentially</w:t>
      </w:r>
      <w:r>
        <w:rPr>
          <w:spacing w:val="-7"/>
        </w:rPr>
        <w:t xml:space="preserve"> </w:t>
      </w:r>
      <w:r>
        <w:t>lead</w:t>
      </w:r>
      <w:r>
        <w:rPr>
          <w:spacing w:val="-5"/>
        </w:rPr>
        <w:t xml:space="preserve"> </w:t>
      </w:r>
      <w:r>
        <w:t>to</w:t>
      </w:r>
      <w:r>
        <w:rPr>
          <w:spacing w:val="-7"/>
        </w:rPr>
        <w:t xml:space="preserve"> </w:t>
      </w:r>
      <w:r>
        <w:t>impairment</w:t>
      </w:r>
      <w:r>
        <w:rPr>
          <w:spacing w:val="-5"/>
        </w:rPr>
        <w:t xml:space="preserve"> </w:t>
      </w:r>
      <w:r>
        <w:rPr>
          <w:spacing w:val="-3"/>
        </w:rPr>
        <w:t xml:space="preserve">of </w:t>
      </w:r>
      <w:r>
        <w:t>blood formation. Dehydration may also intensify the toxicity of</w:t>
      </w:r>
      <w:r>
        <w:rPr>
          <w:spacing w:val="-25"/>
        </w:rPr>
        <w:t xml:space="preserve"> </w:t>
      </w:r>
      <w:r>
        <w:t>methotrexate.</w:t>
      </w:r>
    </w:p>
    <w:p w:rsidR="00F037FD" w:rsidRDefault="00034C5C">
      <w:pPr>
        <w:pStyle w:val="ListParagraph"/>
        <w:numPr>
          <w:ilvl w:val="0"/>
          <w:numId w:val="3"/>
        </w:numPr>
        <w:tabs>
          <w:tab w:val="left" w:pos="709"/>
        </w:tabs>
        <w:spacing w:before="210" w:line="216" w:lineRule="auto"/>
        <w:ind w:right="134"/>
        <w:rPr>
          <w:sz w:val="24"/>
        </w:rPr>
      </w:pPr>
      <w:r>
        <w:rPr>
          <w:sz w:val="24"/>
        </w:rPr>
        <w:t>Assessment of respiratory system: Methotrexate has been associated with pulmonary toxicity, which is potentially fatal. Patients should be closely monitored for pulmonary symptoms and, if necessary lung function test should be performed. Pulmonary affection requires a quick diagnosis and discontinuation of methotrexate. Pulmonary symptoms (especially a dry, non- productive cough) or a non-specific pneumonitis occurring during methotrexate therapy may be</w:t>
      </w:r>
      <w:r>
        <w:rPr>
          <w:spacing w:val="-7"/>
          <w:sz w:val="24"/>
        </w:rPr>
        <w:t xml:space="preserve"> </w:t>
      </w:r>
      <w:r>
        <w:rPr>
          <w:sz w:val="24"/>
        </w:rPr>
        <w:t>indicative</w:t>
      </w:r>
      <w:r>
        <w:rPr>
          <w:spacing w:val="-7"/>
          <w:sz w:val="24"/>
        </w:rPr>
        <w:t xml:space="preserve"> </w:t>
      </w:r>
      <w:r>
        <w:rPr>
          <w:sz w:val="24"/>
        </w:rPr>
        <w:t>of</w:t>
      </w:r>
      <w:r>
        <w:rPr>
          <w:spacing w:val="-5"/>
          <w:sz w:val="24"/>
        </w:rPr>
        <w:t xml:space="preserve"> </w:t>
      </w:r>
      <w:r>
        <w:rPr>
          <w:sz w:val="24"/>
        </w:rPr>
        <w:t>a</w:t>
      </w:r>
      <w:r>
        <w:rPr>
          <w:spacing w:val="-5"/>
          <w:sz w:val="24"/>
        </w:rPr>
        <w:t xml:space="preserve"> </w:t>
      </w:r>
      <w:r>
        <w:rPr>
          <w:sz w:val="24"/>
        </w:rPr>
        <w:t>potentially</w:t>
      </w:r>
      <w:r>
        <w:rPr>
          <w:spacing w:val="-6"/>
          <w:sz w:val="24"/>
        </w:rPr>
        <w:t xml:space="preserve"> </w:t>
      </w:r>
      <w:r>
        <w:rPr>
          <w:sz w:val="24"/>
        </w:rPr>
        <w:t>dangerous</w:t>
      </w:r>
      <w:r>
        <w:rPr>
          <w:spacing w:val="-4"/>
          <w:sz w:val="24"/>
        </w:rPr>
        <w:t xml:space="preserve"> </w:t>
      </w:r>
      <w:r>
        <w:rPr>
          <w:sz w:val="24"/>
        </w:rPr>
        <w:t>lesion</w:t>
      </w:r>
      <w:r>
        <w:rPr>
          <w:spacing w:val="-4"/>
          <w:sz w:val="24"/>
        </w:rPr>
        <w:t xml:space="preserve"> </w:t>
      </w:r>
      <w:r>
        <w:rPr>
          <w:sz w:val="24"/>
        </w:rPr>
        <w:t>and</w:t>
      </w:r>
      <w:r>
        <w:rPr>
          <w:spacing w:val="-8"/>
          <w:sz w:val="24"/>
        </w:rPr>
        <w:t xml:space="preserve"> </w:t>
      </w:r>
      <w:r>
        <w:rPr>
          <w:sz w:val="24"/>
        </w:rPr>
        <w:t>require</w:t>
      </w:r>
      <w:r>
        <w:rPr>
          <w:spacing w:val="-7"/>
          <w:sz w:val="24"/>
        </w:rPr>
        <w:t xml:space="preserve"> </w:t>
      </w:r>
      <w:r>
        <w:rPr>
          <w:sz w:val="24"/>
        </w:rPr>
        <w:t>interruption</w:t>
      </w:r>
      <w:r>
        <w:rPr>
          <w:spacing w:val="-4"/>
          <w:sz w:val="24"/>
        </w:rPr>
        <w:t xml:space="preserve"> </w:t>
      </w:r>
      <w:r>
        <w:rPr>
          <w:sz w:val="24"/>
        </w:rPr>
        <w:t>of</w:t>
      </w:r>
      <w:r>
        <w:rPr>
          <w:spacing w:val="-5"/>
          <w:sz w:val="24"/>
        </w:rPr>
        <w:t xml:space="preserve"> </w:t>
      </w:r>
      <w:r>
        <w:rPr>
          <w:sz w:val="24"/>
        </w:rPr>
        <w:t>treatment</w:t>
      </w:r>
      <w:r>
        <w:rPr>
          <w:spacing w:val="-5"/>
          <w:sz w:val="24"/>
        </w:rPr>
        <w:t xml:space="preserve"> </w:t>
      </w:r>
      <w:r>
        <w:rPr>
          <w:sz w:val="24"/>
        </w:rPr>
        <w:t>and</w:t>
      </w:r>
      <w:r>
        <w:rPr>
          <w:spacing w:val="-8"/>
          <w:sz w:val="24"/>
        </w:rPr>
        <w:t xml:space="preserve"> </w:t>
      </w:r>
      <w:r>
        <w:rPr>
          <w:sz w:val="24"/>
        </w:rPr>
        <w:t>careful investigation. Acute or chronic interstitial pneumonitis, often associated with blood eosinophilia,</w:t>
      </w:r>
      <w:r>
        <w:rPr>
          <w:spacing w:val="-10"/>
          <w:sz w:val="24"/>
        </w:rPr>
        <w:t xml:space="preserve"> </w:t>
      </w:r>
      <w:r>
        <w:rPr>
          <w:sz w:val="24"/>
        </w:rPr>
        <w:t>may</w:t>
      </w:r>
      <w:r>
        <w:rPr>
          <w:spacing w:val="-15"/>
          <w:sz w:val="24"/>
        </w:rPr>
        <w:t xml:space="preserve"> </w:t>
      </w:r>
      <w:r>
        <w:rPr>
          <w:sz w:val="24"/>
        </w:rPr>
        <w:t>occur</w:t>
      </w:r>
      <w:r>
        <w:rPr>
          <w:spacing w:val="-13"/>
          <w:sz w:val="24"/>
        </w:rPr>
        <w:t xml:space="preserve"> </w:t>
      </w:r>
      <w:r>
        <w:rPr>
          <w:sz w:val="24"/>
        </w:rPr>
        <w:t>and</w:t>
      </w:r>
      <w:r>
        <w:rPr>
          <w:spacing w:val="-11"/>
          <w:sz w:val="24"/>
        </w:rPr>
        <w:t xml:space="preserve"> </w:t>
      </w:r>
      <w:r>
        <w:rPr>
          <w:sz w:val="24"/>
        </w:rPr>
        <w:t>deaths</w:t>
      </w:r>
      <w:r>
        <w:rPr>
          <w:spacing w:val="-12"/>
          <w:sz w:val="24"/>
        </w:rPr>
        <w:t xml:space="preserve"> </w:t>
      </w:r>
      <w:r>
        <w:rPr>
          <w:sz w:val="24"/>
        </w:rPr>
        <w:t>have</w:t>
      </w:r>
      <w:r>
        <w:rPr>
          <w:spacing w:val="-14"/>
          <w:sz w:val="24"/>
        </w:rPr>
        <w:t xml:space="preserve"> </w:t>
      </w:r>
      <w:r>
        <w:rPr>
          <w:sz w:val="24"/>
        </w:rPr>
        <w:t>been</w:t>
      </w:r>
      <w:r>
        <w:rPr>
          <w:spacing w:val="-11"/>
          <w:sz w:val="24"/>
        </w:rPr>
        <w:t xml:space="preserve"> </w:t>
      </w:r>
      <w:r>
        <w:rPr>
          <w:sz w:val="24"/>
        </w:rPr>
        <w:t>reported.</w:t>
      </w:r>
      <w:r>
        <w:rPr>
          <w:spacing w:val="-11"/>
          <w:sz w:val="24"/>
        </w:rPr>
        <w:t xml:space="preserve"> </w:t>
      </w:r>
      <w:r>
        <w:rPr>
          <w:sz w:val="24"/>
        </w:rPr>
        <w:t>Although</w:t>
      </w:r>
      <w:r>
        <w:rPr>
          <w:spacing w:val="-11"/>
          <w:sz w:val="24"/>
        </w:rPr>
        <w:t xml:space="preserve"> </w:t>
      </w:r>
      <w:r>
        <w:rPr>
          <w:sz w:val="24"/>
        </w:rPr>
        <w:t>clinically</w:t>
      </w:r>
      <w:r>
        <w:rPr>
          <w:spacing w:val="-18"/>
          <w:sz w:val="24"/>
        </w:rPr>
        <w:t xml:space="preserve"> </w:t>
      </w:r>
      <w:r>
        <w:rPr>
          <w:sz w:val="24"/>
        </w:rPr>
        <w:t>variable,</w:t>
      </w:r>
      <w:r>
        <w:rPr>
          <w:spacing w:val="-13"/>
          <w:sz w:val="24"/>
        </w:rPr>
        <w:t xml:space="preserve"> </w:t>
      </w:r>
      <w:r>
        <w:rPr>
          <w:sz w:val="24"/>
        </w:rPr>
        <w:t>the</w:t>
      </w:r>
      <w:r>
        <w:rPr>
          <w:spacing w:val="-14"/>
          <w:sz w:val="24"/>
        </w:rPr>
        <w:t xml:space="preserve"> </w:t>
      </w:r>
      <w:r>
        <w:rPr>
          <w:sz w:val="24"/>
        </w:rPr>
        <w:t xml:space="preserve">typical patient with methotrexate-induced lung disease presents with fever, cough, chest pain, </w:t>
      </w:r>
      <w:proofErr w:type="spellStart"/>
      <w:r>
        <w:rPr>
          <w:sz w:val="24"/>
        </w:rPr>
        <w:t>dyspnoea</w:t>
      </w:r>
      <w:proofErr w:type="spellEnd"/>
      <w:r>
        <w:rPr>
          <w:sz w:val="24"/>
        </w:rPr>
        <w:t xml:space="preserve">, </w:t>
      </w:r>
      <w:proofErr w:type="spellStart"/>
      <w:r>
        <w:rPr>
          <w:sz w:val="24"/>
        </w:rPr>
        <w:t>hypoxaemia</w:t>
      </w:r>
      <w:proofErr w:type="spellEnd"/>
      <w:r>
        <w:rPr>
          <w:sz w:val="24"/>
        </w:rPr>
        <w:t xml:space="preserve"> and an infiltrate on X-ray; infection needs to be excluded. This lesion can occur at all dosages (see WARNING box). Infection (including pneumonia) needs to be </w:t>
      </w:r>
      <w:r>
        <w:rPr>
          <w:sz w:val="24"/>
        </w:rPr>
        <w:lastRenderedPageBreak/>
        <w:t>excluded.</w:t>
      </w:r>
    </w:p>
    <w:p w:rsidR="00F037FD" w:rsidRDefault="00F037FD">
      <w:pPr>
        <w:spacing w:line="216" w:lineRule="auto"/>
        <w:jc w:val="both"/>
        <w:rPr>
          <w:sz w:val="24"/>
        </w:rPr>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ListParagraph"/>
        <w:numPr>
          <w:ilvl w:val="0"/>
          <w:numId w:val="3"/>
        </w:numPr>
        <w:tabs>
          <w:tab w:val="left" w:pos="709"/>
        </w:tabs>
        <w:spacing w:before="90"/>
        <w:ind w:right="133"/>
        <w:rPr>
          <w:sz w:val="24"/>
        </w:rPr>
      </w:pPr>
      <w:r>
        <w:rPr>
          <w:sz w:val="24"/>
        </w:rPr>
        <w:t>Methotrexate may, due to its effect on the immune system, impair the response to vaccination and</w:t>
      </w:r>
      <w:r>
        <w:rPr>
          <w:spacing w:val="-7"/>
          <w:sz w:val="24"/>
        </w:rPr>
        <w:t xml:space="preserve"> </w:t>
      </w:r>
      <w:r>
        <w:rPr>
          <w:sz w:val="24"/>
        </w:rPr>
        <w:t>affect</w:t>
      </w:r>
      <w:r>
        <w:rPr>
          <w:spacing w:val="-4"/>
          <w:sz w:val="24"/>
        </w:rPr>
        <w:t xml:space="preserve"> </w:t>
      </w:r>
      <w:r>
        <w:rPr>
          <w:sz w:val="24"/>
        </w:rPr>
        <w:t>the</w:t>
      </w:r>
      <w:r>
        <w:rPr>
          <w:spacing w:val="-8"/>
          <w:sz w:val="24"/>
        </w:rPr>
        <w:t xml:space="preserve"> </w:t>
      </w:r>
      <w:r>
        <w:rPr>
          <w:sz w:val="24"/>
        </w:rPr>
        <w:t>result</w:t>
      </w:r>
      <w:r>
        <w:rPr>
          <w:spacing w:val="-4"/>
          <w:sz w:val="24"/>
        </w:rPr>
        <w:t xml:space="preserve"> </w:t>
      </w:r>
      <w:r>
        <w:rPr>
          <w:sz w:val="24"/>
        </w:rPr>
        <w:t>of</w:t>
      </w:r>
      <w:r>
        <w:rPr>
          <w:spacing w:val="-6"/>
          <w:sz w:val="24"/>
        </w:rPr>
        <w:t xml:space="preserve"> </w:t>
      </w:r>
      <w:r>
        <w:rPr>
          <w:sz w:val="24"/>
        </w:rPr>
        <w:t>immunological</w:t>
      </w:r>
      <w:r>
        <w:rPr>
          <w:spacing w:val="-7"/>
          <w:sz w:val="24"/>
        </w:rPr>
        <w:t xml:space="preserve"> </w:t>
      </w:r>
      <w:r>
        <w:rPr>
          <w:sz w:val="24"/>
        </w:rPr>
        <w:t>tests.</w:t>
      </w:r>
      <w:r>
        <w:rPr>
          <w:spacing w:val="-7"/>
          <w:sz w:val="24"/>
        </w:rPr>
        <w:t xml:space="preserve"> </w:t>
      </w:r>
      <w:r>
        <w:rPr>
          <w:sz w:val="24"/>
        </w:rPr>
        <w:t>Particular</w:t>
      </w:r>
      <w:r>
        <w:rPr>
          <w:spacing w:val="-6"/>
          <w:sz w:val="24"/>
        </w:rPr>
        <w:t xml:space="preserve"> </w:t>
      </w:r>
      <w:r>
        <w:rPr>
          <w:sz w:val="24"/>
        </w:rPr>
        <w:t>caution</w:t>
      </w:r>
      <w:r>
        <w:rPr>
          <w:spacing w:val="-5"/>
          <w:sz w:val="24"/>
        </w:rPr>
        <w:t xml:space="preserve"> </w:t>
      </w:r>
      <w:r>
        <w:rPr>
          <w:sz w:val="24"/>
        </w:rPr>
        <w:t>is</w:t>
      </w:r>
      <w:r>
        <w:rPr>
          <w:spacing w:val="-9"/>
          <w:sz w:val="24"/>
        </w:rPr>
        <w:t xml:space="preserve"> </w:t>
      </w:r>
      <w:r>
        <w:rPr>
          <w:sz w:val="24"/>
        </w:rPr>
        <w:t>also</w:t>
      </w:r>
      <w:r>
        <w:rPr>
          <w:spacing w:val="-7"/>
          <w:sz w:val="24"/>
        </w:rPr>
        <w:t xml:space="preserve"> </w:t>
      </w:r>
      <w:r>
        <w:rPr>
          <w:sz w:val="24"/>
        </w:rPr>
        <w:t>needed</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presence</w:t>
      </w:r>
      <w:r>
        <w:rPr>
          <w:spacing w:val="-8"/>
          <w:sz w:val="24"/>
        </w:rPr>
        <w:t xml:space="preserve"> </w:t>
      </w:r>
      <w:r>
        <w:rPr>
          <w:sz w:val="24"/>
        </w:rPr>
        <w:t>of inactive, chronic infections (e.g. herpes zoster, tuberculosis, hepatitis B or C) for reasons of eventual</w:t>
      </w:r>
      <w:r>
        <w:rPr>
          <w:spacing w:val="-10"/>
          <w:sz w:val="24"/>
        </w:rPr>
        <w:t xml:space="preserve"> </w:t>
      </w:r>
      <w:r>
        <w:rPr>
          <w:sz w:val="24"/>
        </w:rPr>
        <w:t>activation.</w:t>
      </w:r>
      <w:r>
        <w:rPr>
          <w:spacing w:val="-10"/>
          <w:sz w:val="24"/>
        </w:rPr>
        <w:t xml:space="preserve"> </w:t>
      </w:r>
      <w:r>
        <w:rPr>
          <w:sz w:val="24"/>
        </w:rPr>
        <w:t>Vaccination</w:t>
      </w:r>
      <w:r>
        <w:rPr>
          <w:spacing w:val="-10"/>
          <w:sz w:val="24"/>
        </w:rPr>
        <w:t xml:space="preserve"> </w:t>
      </w:r>
      <w:r>
        <w:rPr>
          <w:sz w:val="24"/>
        </w:rPr>
        <w:t>using</w:t>
      </w:r>
      <w:r>
        <w:rPr>
          <w:spacing w:val="-12"/>
          <w:sz w:val="24"/>
        </w:rPr>
        <w:t xml:space="preserve"> </w:t>
      </w:r>
      <w:r>
        <w:rPr>
          <w:sz w:val="24"/>
        </w:rPr>
        <w:t>live</w:t>
      </w:r>
      <w:r>
        <w:rPr>
          <w:spacing w:val="-11"/>
          <w:sz w:val="24"/>
        </w:rPr>
        <w:t xml:space="preserve"> </w:t>
      </w:r>
      <w:r>
        <w:rPr>
          <w:sz w:val="24"/>
        </w:rPr>
        <w:t>vaccines</w:t>
      </w:r>
      <w:r>
        <w:rPr>
          <w:spacing w:val="-10"/>
          <w:sz w:val="24"/>
        </w:rPr>
        <w:t xml:space="preserve"> </w:t>
      </w:r>
      <w:r>
        <w:rPr>
          <w:sz w:val="24"/>
        </w:rPr>
        <w:t>must</w:t>
      </w:r>
      <w:r>
        <w:rPr>
          <w:spacing w:val="-8"/>
          <w:sz w:val="24"/>
        </w:rPr>
        <w:t xml:space="preserve"> </w:t>
      </w:r>
      <w:r>
        <w:rPr>
          <w:sz w:val="24"/>
        </w:rPr>
        <w:t>not</w:t>
      </w:r>
      <w:r>
        <w:rPr>
          <w:spacing w:val="-10"/>
          <w:sz w:val="24"/>
        </w:rPr>
        <w:t xml:space="preserve"> </w:t>
      </w:r>
      <w:r>
        <w:rPr>
          <w:sz w:val="24"/>
        </w:rPr>
        <w:t>be</w:t>
      </w:r>
      <w:r>
        <w:rPr>
          <w:spacing w:val="-14"/>
          <w:sz w:val="24"/>
        </w:rPr>
        <w:t xml:space="preserve"> </w:t>
      </w:r>
      <w:r>
        <w:rPr>
          <w:sz w:val="24"/>
        </w:rPr>
        <w:t>carried</w:t>
      </w:r>
      <w:r>
        <w:rPr>
          <w:spacing w:val="-8"/>
          <w:sz w:val="24"/>
        </w:rPr>
        <w:t xml:space="preserve"> </w:t>
      </w:r>
      <w:r>
        <w:rPr>
          <w:sz w:val="24"/>
        </w:rPr>
        <w:t>out</w:t>
      </w:r>
      <w:r>
        <w:rPr>
          <w:spacing w:val="-13"/>
          <w:sz w:val="24"/>
        </w:rPr>
        <w:t xml:space="preserve"> </w:t>
      </w:r>
      <w:r>
        <w:rPr>
          <w:sz w:val="24"/>
        </w:rPr>
        <w:t>under</w:t>
      </w:r>
      <w:r>
        <w:rPr>
          <w:spacing w:val="-6"/>
          <w:sz w:val="24"/>
        </w:rPr>
        <w:t xml:space="preserve"> </w:t>
      </w:r>
      <w:r>
        <w:rPr>
          <w:sz w:val="24"/>
        </w:rPr>
        <w:t>methotrexate therapy.</w:t>
      </w:r>
    </w:p>
    <w:p w:rsidR="00F037FD" w:rsidRDefault="00F037FD">
      <w:pPr>
        <w:pStyle w:val="BodyText"/>
        <w:spacing w:before="10"/>
        <w:rPr>
          <w:sz w:val="25"/>
        </w:rPr>
      </w:pPr>
    </w:p>
    <w:p w:rsidR="00F037FD" w:rsidRDefault="00034C5C">
      <w:pPr>
        <w:pStyle w:val="BodyText"/>
        <w:spacing w:line="274" w:lineRule="exact"/>
        <w:ind w:left="141" w:right="131"/>
        <w:jc w:val="both"/>
      </w:pPr>
      <w:r>
        <w:t xml:space="preserve">If vomiting, </w:t>
      </w:r>
      <w:proofErr w:type="spellStart"/>
      <w:r>
        <w:t>diarrhoea</w:t>
      </w:r>
      <w:proofErr w:type="spellEnd"/>
      <w:r>
        <w:t xml:space="preserve"> or stomatitis </w:t>
      </w:r>
      <w:proofErr w:type="gramStart"/>
      <w:r>
        <w:t>occur</w:t>
      </w:r>
      <w:proofErr w:type="gramEnd"/>
      <w:r>
        <w:t>, resulting in dehydration, methotrexate should be discontinued until recovery occurs.</w:t>
      </w:r>
    </w:p>
    <w:p w:rsidR="00F037FD" w:rsidRDefault="00F037FD">
      <w:pPr>
        <w:pStyle w:val="BodyText"/>
        <w:spacing w:before="1"/>
        <w:rPr>
          <w:sz w:val="23"/>
        </w:rPr>
      </w:pPr>
    </w:p>
    <w:p w:rsidR="00F037FD" w:rsidRDefault="00034C5C">
      <w:pPr>
        <w:pStyle w:val="BodyText"/>
        <w:ind w:left="141" w:right="135"/>
        <w:jc w:val="both"/>
      </w:pPr>
      <w:r>
        <w:t>Methotrexate exits slowly from the third-space compartments (</w:t>
      </w:r>
      <w:proofErr w:type="spellStart"/>
      <w:r>
        <w:t>eg</w:t>
      </w:r>
      <w:proofErr w:type="spellEnd"/>
      <w:r>
        <w:t xml:space="preserve"> pleural effusions or ascites). This results in a prolonged terminal phase half-life and unexpected toxicity. In patients with significant third-space accumulation, it is advisable to evacuate the fluid before treatment.</w:t>
      </w:r>
    </w:p>
    <w:p w:rsidR="00F037FD" w:rsidRDefault="00F037FD">
      <w:pPr>
        <w:pStyle w:val="BodyText"/>
        <w:spacing w:before="4"/>
      </w:pPr>
    </w:p>
    <w:p w:rsidR="00F037FD" w:rsidRDefault="00034C5C">
      <w:pPr>
        <w:pStyle w:val="BodyText"/>
        <w:ind w:left="141" w:right="134"/>
        <w:jc w:val="both"/>
      </w:pPr>
      <w:r>
        <w:t>Methotrexate causes hepatotoxicity, liver fibrosis and cirrhosis, but generally only after prolonged use. Liver enzyme elevations are frequently seen. These are usually transient and asymptomatic and do not appear predictive of subsequent hepatic disease. Liver biopsy after sustained use often shows histological changes, and fibrosis and cirrhosis have been reported; these latter lesions may not be preceded by symptoms or abnormal liver function tests in the psoriasis population. Periodic liver biopsies</w:t>
      </w:r>
      <w:r>
        <w:rPr>
          <w:spacing w:val="-15"/>
        </w:rPr>
        <w:t xml:space="preserve"> </w:t>
      </w:r>
      <w:r>
        <w:t>are</w:t>
      </w:r>
      <w:r>
        <w:rPr>
          <w:spacing w:val="-19"/>
        </w:rPr>
        <w:t xml:space="preserve"> </w:t>
      </w:r>
      <w:r>
        <w:t>usually</w:t>
      </w:r>
      <w:r>
        <w:rPr>
          <w:spacing w:val="-18"/>
        </w:rPr>
        <w:t xml:space="preserve"> </w:t>
      </w:r>
      <w:r>
        <w:t>recommended</w:t>
      </w:r>
      <w:r>
        <w:rPr>
          <w:spacing w:val="-15"/>
        </w:rPr>
        <w:t xml:space="preserve"> </w:t>
      </w:r>
      <w:r>
        <w:t>for</w:t>
      </w:r>
      <w:r>
        <w:rPr>
          <w:spacing w:val="-14"/>
        </w:rPr>
        <w:t xml:space="preserve"> </w:t>
      </w:r>
      <w:r>
        <w:t>psoriatic</w:t>
      </w:r>
      <w:r>
        <w:rPr>
          <w:spacing w:val="-14"/>
        </w:rPr>
        <w:t xml:space="preserve"> </w:t>
      </w:r>
      <w:r>
        <w:t>patients</w:t>
      </w:r>
      <w:r>
        <w:rPr>
          <w:spacing w:val="-15"/>
        </w:rPr>
        <w:t xml:space="preserve"> </w:t>
      </w:r>
      <w:r>
        <w:t>who</w:t>
      </w:r>
      <w:r>
        <w:rPr>
          <w:spacing w:val="-18"/>
        </w:rPr>
        <w:t xml:space="preserve"> </w:t>
      </w:r>
      <w:r>
        <w:t>are</w:t>
      </w:r>
      <w:r>
        <w:rPr>
          <w:spacing w:val="-19"/>
        </w:rPr>
        <w:t xml:space="preserve"> </w:t>
      </w:r>
      <w:r>
        <w:t>under</w:t>
      </w:r>
      <w:r>
        <w:rPr>
          <w:spacing w:val="-14"/>
        </w:rPr>
        <w:t xml:space="preserve"> </w:t>
      </w:r>
      <w:r>
        <w:t>long-term</w:t>
      </w:r>
      <w:r>
        <w:rPr>
          <w:spacing w:val="-17"/>
        </w:rPr>
        <w:t xml:space="preserve"> </w:t>
      </w:r>
      <w:r>
        <w:t>treatment.</w:t>
      </w:r>
      <w:r>
        <w:rPr>
          <w:spacing w:val="-15"/>
        </w:rPr>
        <w:t xml:space="preserve"> </w:t>
      </w:r>
      <w:r>
        <w:t>Persistent abnormalities</w:t>
      </w:r>
      <w:r>
        <w:rPr>
          <w:spacing w:val="-9"/>
        </w:rPr>
        <w:t xml:space="preserve"> </w:t>
      </w:r>
      <w:r>
        <w:t>in</w:t>
      </w:r>
      <w:r>
        <w:rPr>
          <w:spacing w:val="-13"/>
        </w:rPr>
        <w:t xml:space="preserve"> </w:t>
      </w:r>
      <w:r>
        <w:t>liver</w:t>
      </w:r>
      <w:r>
        <w:rPr>
          <w:spacing w:val="-8"/>
        </w:rPr>
        <w:t xml:space="preserve"> </w:t>
      </w:r>
      <w:r>
        <w:t>function</w:t>
      </w:r>
      <w:r>
        <w:rPr>
          <w:spacing w:val="-11"/>
        </w:rPr>
        <w:t xml:space="preserve"> </w:t>
      </w:r>
      <w:r>
        <w:t>tests</w:t>
      </w:r>
      <w:r>
        <w:rPr>
          <w:spacing w:val="-8"/>
        </w:rPr>
        <w:t xml:space="preserve"> </w:t>
      </w:r>
      <w:r>
        <w:t>may</w:t>
      </w:r>
      <w:r>
        <w:rPr>
          <w:spacing w:val="-11"/>
        </w:rPr>
        <w:t xml:space="preserve"> </w:t>
      </w:r>
      <w:r>
        <w:t>precede</w:t>
      </w:r>
      <w:r>
        <w:rPr>
          <w:spacing w:val="-12"/>
        </w:rPr>
        <w:t xml:space="preserve"> </w:t>
      </w:r>
      <w:r>
        <w:t>appearance</w:t>
      </w:r>
      <w:r>
        <w:rPr>
          <w:spacing w:val="-12"/>
        </w:rPr>
        <w:t xml:space="preserve"> </w:t>
      </w:r>
      <w:r>
        <w:t>of</w:t>
      </w:r>
      <w:r>
        <w:rPr>
          <w:spacing w:val="-10"/>
        </w:rPr>
        <w:t xml:space="preserve"> </w:t>
      </w:r>
      <w:r>
        <w:t>fibrosis</w:t>
      </w:r>
      <w:r>
        <w:rPr>
          <w:spacing w:val="-8"/>
        </w:rPr>
        <w:t xml:space="preserve"> </w:t>
      </w:r>
      <w:r>
        <w:t>or</w:t>
      </w:r>
      <w:r>
        <w:rPr>
          <w:spacing w:val="-11"/>
        </w:rPr>
        <w:t xml:space="preserve"> </w:t>
      </w:r>
      <w:r>
        <w:t>cirrhosis</w:t>
      </w:r>
      <w:r>
        <w:rPr>
          <w:spacing w:val="-11"/>
        </w:rPr>
        <w:t xml:space="preserve"> </w:t>
      </w:r>
      <w:r>
        <w:t>in</w:t>
      </w:r>
      <w:r>
        <w:rPr>
          <w:spacing w:val="-11"/>
        </w:rPr>
        <w:t xml:space="preserve"> </w:t>
      </w:r>
      <w:r>
        <w:t>the</w:t>
      </w:r>
      <w:r>
        <w:rPr>
          <w:spacing w:val="-14"/>
        </w:rPr>
        <w:t xml:space="preserve"> </w:t>
      </w:r>
      <w:r>
        <w:t>rheumatoid arthritis</w:t>
      </w:r>
      <w:r>
        <w:rPr>
          <w:spacing w:val="-5"/>
        </w:rPr>
        <w:t xml:space="preserve"> </w:t>
      </w:r>
      <w:r>
        <w:t>population.</w:t>
      </w:r>
    </w:p>
    <w:p w:rsidR="00F037FD" w:rsidRDefault="00F037FD">
      <w:pPr>
        <w:pStyle w:val="BodyText"/>
        <w:spacing w:before="2"/>
      </w:pPr>
    </w:p>
    <w:p w:rsidR="00F037FD" w:rsidRDefault="00034C5C">
      <w:pPr>
        <w:pStyle w:val="BodyText"/>
        <w:ind w:left="141" w:right="137"/>
        <w:jc w:val="both"/>
      </w:pPr>
      <w:r>
        <w:t>The risk of developing acute hepatitis and chronic hepatotoxicity in psoriatic patients seems to be correlated not only to the cumulative dose of methotrexate but also to the presence of concurrent conditions such as alcoholism, obesity, diabetes, and advanced age. Chronic toxicity is potentially fatal; it generally has occurred after prolonged use (generally 2 years or more) and after a total cumulative dose of at least 1.5 grams.</w:t>
      </w:r>
    </w:p>
    <w:p w:rsidR="00F037FD" w:rsidRDefault="00F037FD">
      <w:pPr>
        <w:pStyle w:val="BodyText"/>
        <w:spacing w:before="5"/>
      </w:pPr>
    </w:p>
    <w:p w:rsidR="00F037FD" w:rsidRDefault="00034C5C">
      <w:pPr>
        <w:pStyle w:val="BodyText"/>
        <w:ind w:left="141" w:right="135"/>
        <w:jc w:val="both"/>
      </w:pPr>
      <w:r>
        <w:t>Methotrexate therapy has immunosuppressive activity, which can potentially lead to serious or even fatal infections. Bacterial infection may occur or be a threat if profound leukopenia occurs during therapy.</w:t>
      </w:r>
      <w:r>
        <w:rPr>
          <w:spacing w:val="-13"/>
        </w:rPr>
        <w:t xml:space="preserve"> </w:t>
      </w:r>
      <w:r>
        <w:t>In</w:t>
      </w:r>
      <w:r>
        <w:rPr>
          <w:spacing w:val="-16"/>
        </w:rPr>
        <w:t xml:space="preserve"> </w:t>
      </w:r>
      <w:r>
        <w:t>this</w:t>
      </w:r>
      <w:r>
        <w:rPr>
          <w:spacing w:val="-15"/>
        </w:rPr>
        <w:t xml:space="preserve"> </w:t>
      </w:r>
      <w:r>
        <w:t>instance,</w:t>
      </w:r>
      <w:r>
        <w:rPr>
          <w:spacing w:val="-11"/>
        </w:rPr>
        <w:t xml:space="preserve"> </w:t>
      </w:r>
      <w:r>
        <w:t>the</w:t>
      </w:r>
      <w:r>
        <w:rPr>
          <w:spacing w:val="-16"/>
        </w:rPr>
        <w:t xml:space="preserve"> </w:t>
      </w:r>
      <w:r>
        <w:t>drug</w:t>
      </w:r>
      <w:r>
        <w:rPr>
          <w:spacing w:val="-15"/>
        </w:rPr>
        <w:t xml:space="preserve"> </w:t>
      </w:r>
      <w:r>
        <w:t>should</w:t>
      </w:r>
      <w:r>
        <w:rPr>
          <w:spacing w:val="-13"/>
        </w:rPr>
        <w:t xml:space="preserve"> </w:t>
      </w:r>
      <w:r>
        <w:t>be</w:t>
      </w:r>
      <w:r>
        <w:rPr>
          <w:spacing w:val="-16"/>
        </w:rPr>
        <w:t xml:space="preserve"> </w:t>
      </w:r>
      <w:r>
        <w:t>discontinued</w:t>
      </w:r>
      <w:r>
        <w:rPr>
          <w:spacing w:val="-13"/>
        </w:rPr>
        <w:t xml:space="preserve"> </w:t>
      </w:r>
      <w:r>
        <w:t>and</w:t>
      </w:r>
      <w:r>
        <w:rPr>
          <w:spacing w:val="-15"/>
        </w:rPr>
        <w:t xml:space="preserve"> </w:t>
      </w:r>
      <w:r>
        <w:t>appropriate</w:t>
      </w:r>
      <w:r>
        <w:rPr>
          <w:spacing w:val="-16"/>
        </w:rPr>
        <w:t xml:space="preserve"> </w:t>
      </w:r>
      <w:r>
        <w:t>antibiotic</w:t>
      </w:r>
      <w:r>
        <w:rPr>
          <w:spacing w:val="-14"/>
        </w:rPr>
        <w:t xml:space="preserve"> </w:t>
      </w:r>
      <w:r>
        <w:t>therapy</w:t>
      </w:r>
      <w:r>
        <w:rPr>
          <w:spacing w:val="-15"/>
        </w:rPr>
        <w:t xml:space="preserve"> </w:t>
      </w:r>
      <w:r>
        <w:t>instituted. If severe bone marrow depression occurs, blood or platelet transfusions may be</w:t>
      </w:r>
      <w:r>
        <w:rPr>
          <w:spacing w:val="-24"/>
        </w:rPr>
        <w:t xml:space="preserve"> </w:t>
      </w:r>
      <w:r>
        <w:t>required.</w:t>
      </w:r>
    </w:p>
    <w:p w:rsidR="00F037FD" w:rsidRDefault="00F037FD">
      <w:pPr>
        <w:pStyle w:val="BodyText"/>
        <w:spacing w:before="4"/>
      </w:pPr>
    </w:p>
    <w:p w:rsidR="00F037FD" w:rsidRDefault="00034C5C">
      <w:pPr>
        <w:pStyle w:val="BodyText"/>
        <w:ind w:left="141" w:right="134"/>
        <w:jc w:val="both"/>
      </w:pPr>
      <w:r>
        <w:t xml:space="preserve">Pneumonia (in some cases leading to respiratory failure) may occur. Potentially fatal opportunistic infections, especially Pneumocystis </w:t>
      </w:r>
      <w:proofErr w:type="spellStart"/>
      <w:r>
        <w:t>jirovecii</w:t>
      </w:r>
      <w:proofErr w:type="spellEnd"/>
      <w:r>
        <w:t xml:space="preserve"> pneumonia, may occur with methotrexate therapy. When a patient presents with pulmonary symptoms, the possibility of </w:t>
      </w:r>
      <w:proofErr w:type="spellStart"/>
      <w:r>
        <w:t>Pnemocystis</w:t>
      </w:r>
      <w:proofErr w:type="spellEnd"/>
      <w:r>
        <w:t xml:space="preserve"> </w:t>
      </w:r>
      <w:proofErr w:type="spellStart"/>
      <w:r>
        <w:t>jirovecii</w:t>
      </w:r>
      <w:proofErr w:type="spellEnd"/>
      <w:r>
        <w:t xml:space="preserve"> pneumonia should be considered.</w:t>
      </w:r>
    </w:p>
    <w:p w:rsidR="00F037FD" w:rsidRDefault="00F037FD">
      <w:pPr>
        <w:pStyle w:val="BodyText"/>
        <w:spacing w:before="4"/>
      </w:pPr>
    </w:p>
    <w:p w:rsidR="00F037FD" w:rsidRDefault="00034C5C">
      <w:pPr>
        <w:pStyle w:val="BodyText"/>
        <w:ind w:left="141" w:right="134"/>
        <w:jc w:val="both"/>
      </w:pPr>
      <w:proofErr w:type="spellStart"/>
      <w:r>
        <w:t>Immunisation</w:t>
      </w:r>
      <w:proofErr w:type="spellEnd"/>
      <w:r>
        <w:t xml:space="preserve"> may be ineffective when given during methotrexate therapy. </w:t>
      </w:r>
      <w:proofErr w:type="spellStart"/>
      <w:r>
        <w:t>Immunisation</w:t>
      </w:r>
      <w:proofErr w:type="spellEnd"/>
      <w:r>
        <w:t xml:space="preserve"> with live virus vaccines is generally not recommended. There have been reports of disseminated vaccinia infections after smallpox </w:t>
      </w:r>
      <w:proofErr w:type="spellStart"/>
      <w:r>
        <w:t>immunisation</w:t>
      </w:r>
      <w:proofErr w:type="spellEnd"/>
      <w:r>
        <w:t xml:space="preserve"> in patients receiving methotrexate therapy (see </w:t>
      </w:r>
      <w:r>
        <w:rPr>
          <w:b/>
        </w:rPr>
        <w:t>INTERACTIONS WITH OTHER MEDICINES</w:t>
      </w:r>
      <w:r>
        <w:t>).</w:t>
      </w:r>
    </w:p>
    <w:p w:rsidR="00F037FD" w:rsidRDefault="00F037FD">
      <w:pPr>
        <w:pStyle w:val="BodyText"/>
        <w:spacing w:before="2"/>
      </w:pPr>
    </w:p>
    <w:p w:rsidR="00F037FD" w:rsidRDefault="00034C5C">
      <w:pPr>
        <w:pStyle w:val="BodyText"/>
        <w:ind w:left="141" w:right="133"/>
        <w:jc w:val="both"/>
      </w:pPr>
      <w:r>
        <w:t>Severe, occasionally fatal, skin reactions have been reported following single or multiple doses of methotrexate.</w:t>
      </w:r>
      <w:r>
        <w:rPr>
          <w:spacing w:val="-3"/>
        </w:rPr>
        <w:t xml:space="preserve"> </w:t>
      </w:r>
      <w:r>
        <w:t>Reactions</w:t>
      </w:r>
      <w:r>
        <w:rPr>
          <w:spacing w:val="-4"/>
        </w:rPr>
        <w:t xml:space="preserve"> </w:t>
      </w:r>
      <w:r>
        <w:t>have</w:t>
      </w:r>
      <w:r>
        <w:rPr>
          <w:spacing w:val="-7"/>
        </w:rPr>
        <w:t xml:space="preserve"> </w:t>
      </w:r>
      <w:r>
        <w:t>occurred</w:t>
      </w:r>
      <w:r>
        <w:rPr>
          <w:spacing w:val="-4"/>
        </w:rPr>
        <w:t xml:space="preserve"> </w:t>
      </w:r>
      <w:r>
        <w:t>within</w:t>
      </w:r>
      <w:r>
        <w:rPr>
          <w:spacing w:val="-7"/>
        </w:rPr>
        <w:t xml:space="preserve"> </w:t>
      </w:r>
      <w:r>
        <w:t>days</w:t>
      </w:r>
      <w:r>
        <w:rPr>
          <w:spacing w:val="-4"/>
        </w:rPr>
        <w:t xml:space="preserve"> </w:t>
      </w:r>
      <w:r>
        <w:t>of</w:t>
      </w:r>
      <w:r>
        <w:rPr>
          <w:spacing w:val="-5"/>
        </w:rPr>
        <w:t xml:space="preserve"> </w:t>
      </w:r>
      <w:r>
        <w:t>oral,</w:t>
      </w:r>
      <w:r>
        <w:rPr>
          <w:spacing w:val="-4"/>
        </w:rPr>
        <w:t xml:space="preserve"> </w:t>
      </w:r>
      <w:r>
        <w:t>intramuscular,</w:t>
      </w:r>
      <w:r>
        <w:rPr>
          <w:spacing w:val="-4"/>
        </w:rPr>
        <w:t xml:space="preserve"> </w:t>
      </w:r>
      <w:r>
        <w:t>intravenous,</w:t>
      </w:r>
      <w:r>
        <w:rPr>
          <w:spacing w:val="-2"/>
        </w:rPr>
        <w:t xml:space="preserve"> </w:t>
      </w:r>
      <w:r>
        <w:t>or</w:t>
      </w:r>
      <w:r>
        <w:rPr>
          <w:spacing w:val="-5"/>
        </w:rPr>
        <w:t xml:space="preserve"> </w:t>
      </w:r>
      <w:r>
        <w:t>intrathecal administration. Recovery has been reported with discontinuation of</w:t>
      </w:r>
      <w:r>
        <w:rPr>
          <w:spacing w:val="-23"/>
        </w:rPr>
        <w:t xml:space="preserve"> </w:t>
      </w:r>
      <w:r>
        <w:t>therapy.</w:t>
      </w:r>
    </w:p>
    <w:p w:rsidR="00F037FD" w:rsidRDefault="00F037FD">
      <w:pPr>
        <w:pStyle w:val="BodyText"/>
        <w:spacing w:before="4"/>
      </w:pPr>
    </w:p>
    <w:p w:rsidR="00F037FD" w:rsidRDefault="00034C5C">
      <w:pPr>
        <w:pStyle w:val="BodyText"/>
        <w:ind w:left="141" w:right="134"/>
        <w:jc w:val="both"/>
      </w:pPr>
      <w:r>
        <w:t xml:space="preserve">Even following low dose there have been occasional reports of significant CNS toxicity. Patients should be closely monitored for neurologic symptoms and if these occur treatment should be </w:t>
      </w:r>
      <w:r>
        <w:lastRenderedPageBreak/>
        <w:t>discontinued and appropriate therapy instituted.</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BodyText"/>
        <w:spacing w:before="90"/>
        <w:ind w:left="141" w:right="132"/>
        <w:jc w:val="both"/>
      </w:pPr>
      <w:r>
        <w:t xml:space="preserve">Encephalopathy/leukoencephalopathy </w:t>
      </w:r>
      <w:proofErr w:type="gramStart"/>
      <w:r>
        <w:t>have</w:t>
      </w:r>
      <w:proofErr w:type="gramEnd"/>
      <w:r>
        <w:t xml:space="preserve"> been reported in oncologic patients receiving methotrexate therapy and cannot be excluded for methotrexate therapy in non-oncologic indications.</w:t>
      </w:r>
    </w:p>
    <w:p w:rsidR="00F037FD" w:rsidRDefault="00F037FD">
      <w:pPr>
        <w:pStyle w:val="BodyText"/>
        <w:rPr>
          <w:sz w:val="25"/>
        </w:rPr>
      </w:pPr>
    </w:p>
    <w:p w:rsidR="00F037FD" w:rsidRDefault="00034C5C">
      <w:pPr>
        <w:pStyle w:val="Heading1"/>
      </w:pPr>
      <w:r>
        <w:t>Effects on fertility</w:t>
      </w:r>
    </w:p>
    <w:p w:rsidR="00F037FD" w:rsidRDefault="00F037FD">
      <w:pPr>
        <w:pStyle w:val="BodyText"/>
        <w:spacing w:before="3"/>
        <w:rPr>
          <w:b/>
          <w:sz w:val="23"/>
        </w:rPr>
      </w:pPr>
    </w:p>
    <w:p w:rsidR="00F037FD" w:rsidRDefault="00034C5C">
      <w:pPr>
        <w:spacing w:before="1" w:line="491" w:lineRule="auto"/>
        <w:ind w:left="141" w:right="2510"/>
        <w:rPr>
          <w:b/>
          <w:sz w:val="24"/>
        </w:rPr>
      </w:pPr>
      <w:r>
        <w:rPr>
          <w:sz w:val="24"/>
        </w:rPr>
        <w:t xml:space="preserve">Animal studies show that methotrexate impairs fertility (see </w:t>
      </w:r>
      <w:proofErr w:type="spellStart"/>
      <w:r>
        <w:rPr>
          <w:b/>
          <w:sz w:val="24"/>
        </w:rPr>
        <w:t>Genotoxicity</w:t>
      </w:r>
      <w:proofErr w:type="spellEnd"/>
      <w:r>
        <w:rPr>
          <w:sz w:val="24"/>
        </w:rPr>
        <w:t xml:space="preserve">). </w:t>
      </w:r>
      <w:r>
        <w:rPr>
          <w:b/>
          <w:sz w:val="24"/>
        </w:rPr>
        <w:t>Use in pregnancy (Category D)</w:t>
      </w:r>
    </w:p>
    <w:p w:rsidR="00F037FD" w:rsidRDefault="00034C5C">
      <w:pPr>
        <w:pStyle w:val="BodyText"/>
        <w:spacing w:before="2"/>
        <w:ind w:left="141" w:right="134"/>
        <w:jc w:val="both"/>
      </w:pPr>
      <w:r>
        <w:t xml:space="preserve">Methotrexate has caused </w:t>
      </w:r>
      <w:proofErr w:type="spellStart"/>
      <w:r>
        <w:t>foetal</w:t>
      </w:r>
      <w:proofErr w:type="spellEnd"/>
      <w:r>
        <w:t xml:space="preserve"> death and/or congenital abnormalities. Pregnant psoriatic or rheumatoid arthritis patients should not receive methotrexate. Women of childbearing potential should not be started on methotrexate until pregnancy is excluded and should be fully counselled on the serious risk to the </w:t>
      </w:r>
      <w:proofErr w:type="spellStart"/>
      <w:r>
        <w:t>foetus</w:t>
      </w:r>
      <w:proofErr w:type="spellEnd"/>
      <w:r>
        <w:t xml:space="preserve"> should they become pregnant while undergoing treatment. Pregnancy should be avoided if either partner is receiving methotrexate, during and for at least 12 weeks after cessation of therapy.</w:t>
      </w:r>
    </w:p>
    <w:p w:rsidR="00F037FD" w:rsidRDefault="00F037FD">
      <w:pPr>
        <w:pStyle w:val="BodyText"/>
        <w:spacing w:before="7"/>
        <w:rPr>
          <w:sz w:val="25"/>
        </w:rPr>
      </w:pPr>
    </w:p>
    <w:p w:rsidR="00F037FD" w:rsidRDefault="00034C5C">
      <w:pPr>
        <w:pStyle w:val="Heading1"/>
        <w:spacing w:before="1"/>
      </w:pPr>
      <w:r>
        <w:t>Use in lactation</w:t>
      </w:r>
    </w:p>
    <w:p w:rsidR="00F037FD" w:rsidRDefault="00F037FD">
      <w:pPr>
        <w:pStyle w:val="BodyText"/>
        <w:spacing w:before="2"/>
        <w:rPr>
          <w:b/>
          <w:sz w:val="23"/>
        </w:rPr>
      </w:pPr>
    </w:p>
    <w:p w:rsidR="00F037FD" w:rsidRDefault="00034C5C">
      <w:pPr>
        <w:pStyle w:val="BodyText"/>
        <w:ind w:left="141" w:right="137"/>
        <w:jc w:val="both"/>
      </w:pPr>
      <w:r>
        <w:t>Methotrexate has been detected in human breast milk and is contraindicated during breastfeeding. Women should be advised not to breast feed while being treated with methotrexate.</w:t>
      </w:r>
    </w:p>
    <w:p w:rsidR="00F037FD" w:rsidRDefault="00F037FD">
      <w:pPr>
        <w:pStyle w:val="BodyText"/>
        <w:spacing w:before="5"/>
        <w:rPr>
          <w:sz w:val="25"/>
        </w:rPr>
      </w:pPr>
    </w:p>
    <w:p w:rsidR="00F037FD" w:rsidRDefault="00034C5C">
      <w:pPr>
        <w:pStyle w:val="Heading1"/>
      </w:pPr>
      <w:proofErr w:type="spellStart"/>
      <w:r>
        <w:t>Paediatric</w:t>
      </w:r>
      <w:proofErr w:type="spellEnd"/>
      <w:r>
        <w:t xml:space="preserve"> Use</w:t>
      </w:r>
    </w:p>
    <w:p w:rsidR="00F037FD" w:rsidRDefault="00F037FD">
      <w:pPr>
        <w:pStyle w:val="BodyText"/>
        <w:spacing w:before="4"/>
        <w:rPr>
          <w:b/>
          <w:sz w:val="23"/>
        </w:rPr>
      </w:pPr>
    </w:p>
    <w:p w:rsidR="00F037FD" w:rsidRDefault="00034C5C">
      <w:pPr>
        <w:pStyle w:val="BodyText"/>
        <w:ind w:left="141"/>
        <w:jc w:val="both"/>
      </w:pPr>
      <w:r>
        <w:t xml:space="preserve">TREXJECT IN is not recommended for use in </w:t>
      </w:r>
      <w:proofErr w:type="spellStart"/>
      <w:r>
        <w:t>paediatric</w:t>
      </w:r>
      <w:proofErr w:type="spellEnd"/>
      <w:r>
        <w:t xml:space="preserve"> patients.</w:t>
      </w:r>
    </w:p>
    <w:p w:rsidR="00F037FD" w:rsidRDefault="00F037FD">
      <w:pPr>
        <w:pStyle w:val="BodyText"/>
        <w:spacing w:before="2"/>
        <w:rPr>
          <w:sz w:val="25"/>
        </w:rPr>
      </w:pPr>
    </w:p>
    <w:p w:rsidR="00F037FD" w:rsidRDefault="00034C5C">
      <w:pPr>
        <w:pStyle w:val="Heading1"/>
        <w:spacing w:before="1"/>
      </w:pPr>
      <w:r>
        <w:t>Use in the Elderly</w:t>
      </w:r>
    </w:p>
    <w:p w:rsidR="00F037FD" w:rsidRDefault="00F037FD">
      <w:pPr>
        <w:pStyle w:val="BodyText"/>
        <w:spacing w:before="4"/>
        <w:rPr>
          <w:b/>
          <w:sz w:val="23"/>
        </w:rPr>
      </w:pPr>
    </w:p>
    <w:p w:rsidR="00F037FD" w:rsidRDefault="00034C5C">
      <w:pPr>
        <w:pStyle w:val="BodyText"/>
        <w:spacing w:before="1"/>
        <w:ind w:left="141" w:right="138"/>
        <w:jc w:val="both"/>
      </w:pPr>
      <w:r>
        <w:t>Due to diminished hepatic and renal functions as well as decreased folate states in elderly patients, relatively low doses should be considered and these patients should be closely monitored.</w:t>
      </w:r>
    </w:p>
    <w:p w:rsidR="00F037FD" w:rsidRDefault="00F037FD">
      <w:pPr>
        <w:pStyle w:val="BodyText"/>
        <w:spacing w:before="4"/>
        <w:rPr>
          <w:sz w:val="23"/>
        </w:rPr>
      </w:pPr>
    </w:p>
    <w:p w:rsidR="00F037FD" w:rsidRDefault="00034C5C">
      <w:pPr>
        <w:pStyle w:val="Heading1"/>
      </w:pPr>
      <w:proofErr w:type="spellStart"/>
      <w:r>
        <w:t>Genotoxicity</w:t>
      </w:r>
      <w:proofErr w:type="spellEnd"/>
    </w:p>
    <w:p w:rsidR="00F037FD" w:rsidRDefault="00F037FD">
      <w:pPr>
        <w:pStyle w:val="BodyText"/>
        <w:spacing w:before="3"/>
        <w:rPr>
          <w:b/>
          <w:sz w:val="23"/>
        </w:rPr>
      </w:pPr>
    </w:p>
    <w:p w:rsidR="00F037FD" w:rsidRDefault="00034C5C">
      <w:pPr>
        <w:pStyle w:val="BodyText"/>
        <w:spacing w:before="1"/>
        <w:ind w:left="141" w:right="132"/>
        <w:jc w:val="both"/>
      </w:pPr>
      <w:r>
        <w:t>Methotrexate has been reported to cause chromosome damage. Methotrexate may cause defective oogenesis</w:t>
      </w:r>
      <w:r>
        <w:rPr>
          <w:spacing w:val="-5"/>
        </w:rPr>
        <w:t xml:space="preserve"> </w:t>
      </w:r>
      <w:r>
        <w:t>and</w:t>
      </w:r>
      <w:r>
        <w:rPr>
          <w:spacing w:val="-8"/>
        </w:rPr>
        <w:t xml:space="preserve"> </w:t>
      </w:r>
      <w:r>
        <w:t>spermatogenesis.</w:t>
      </w:r>
      <w:r>
        <w:rPr>
          <w:spacing w:val="-5"/>
        </w:rPr>
        <w:t xml:space="preserve"> </w:t>
      </w:r>
      <w:r>
        <w:t>Therefore,</w:t>
      </w:r>
      <w:r>
        <w:rPr>
          <w:spacing w:val="-6"/>
        </w:rPr>
        <w:t xml:space="preserve"> </w:t>
      </w:r>
      <w:r>
        <w:t>in</w:t>
      </w:r>
      <w:r>
        <w:rPr>
          <w:spacing w:val="-8"/>
        </w:rPr>
        <w:t xml:space="preserve"> </w:t>
      </w:r>
      <w:r>
        <w:t>men</w:t>
      </w:r>
      <w:r>
        <w:rPr>
          <w:spacing w:val="-6"/>
        </w:rPr>
        <w:t xml:space="preserve"> </w:t>
      </w:r>
      <w:r>
        <w:t>and</w:t>
      </w:r>
      <w:r>
        <w:rPr>
          <w:spacing w:val="-8"/>
        </w:rPr>
        <w:t xml:space="preserve"> </w:t>
      </w:r>
      <w:r>
        <w:t>women</w:t>
      </w:r>
      <w:r>
        <w:rPr>
          <w:spacing w:val="-6"/>
        </w:rPr>
        <w:t xml:space="preserve"> </w:t>
      </w:r>
      <w:r>
        <w:t>of</w:t>
      </w:r>
      <w:r>
        <w:rPr>
          <w:spacing w:val="-7"/>
        </w:rPr>
        <w:t xml:space="preserve"> </w:t>
      </w:r>
      <w:r>
        <w:t>fertile</w:t>
      </w:r>
      <w:r>
        <w:rPr>
          <w:spacing w:val="-8"/>
        </w:rPr>
        <w:t xml:space="preserve"> </w:t>
      </w:r>
      <w:r>
        <w:t>age,</w:t>
      </w:r>
      <w:r>
        <w:rPr>
          <w:spacing w:val="-6"/>
        </w:rPr>
        <w:t xml:space="preserve"> </w:t>
      </w:r>
      <w:r>
        <w:t>steps</w:t>
      </w:r>
      <w:r>
        <w:rPr>
          <w:spacing w:val="-6"/>
        </w:rPr>
        <w:t xml:space="preserve"> </w:t>
      </w:r>
      <w:r>
        <w:t>should</w:t>
      </w:r>
      <w:r>
        <w:rPr>
          <w:spacing w:val="-5"/>
        </w:rPr>
        <w:t xml:space="preserve"> </w:t>
      </w:r>
      <w:r>
        <w:t>be</w:t>
      </w:r>
      <w:r>
        <w:rPr>
          <w:spacing w:val="-9"/>
        </w:rPr>
        <w:t xml:space="preserve"> </w:t>
      </w:r>
      <w:r>
        <w:t>taken</w:t>
      </w:r>
      <w:r>
        <w:rPr>
          <w:spacing w:val="-6"/>
        </w:rPr>
        <w:t xml:space="preserve"> </w:t>
      </w:r>
      <w:r>
        <w:t xml:space="preserve">to avoid conception during methotrexate therapy. The risk of genetic abnormalities may persist after discontinuing methotrexate therapy. Thus, it is advised that both </w:t>
      </w:r>
      <w:r>
        <w:rPr>
          <w:spacing w:val="-2"/>
        </w:rPr>
        <w:t xml:space="preserve">men </w:t>
      </w:r>
      <w:r>
        <w:t>and women avoid intercourse leading to conception for an indefinite period (at least 12 weeks) after discontinuing methotrexate to ensure the re-establishment of normal germinal</w:t>
      </w:r>
      <w:r>
        <w:rPr>
          <w:spacing w:val="-15"/>
        </w:rPr>
        <w:t xml:space="preserve"> </w:t>
      </w:r>
      <w:r>
        <w:t>cells.</w:t>
      </w:r>
    </w:p>
    <w:p w:rsidR="00F037FD" w:rsidRDefault="00F037FD">
      <w:pPr>
        <w:pStyle w:val="BodyText"/>
        <w:spacing w:before="3"/>
        <w:rPr>
          <w:sz w:val="25"/>
        </w:rPr>
      </w:pPr>
    </w:p>
    <w:p w:rsidR="00F037FD" w:rsidRDefault="00034C5C">
      <w:pPr>
        <w:pStyle w:val="Heading1"/>
      </w:pPr>
      <w:r>
        <w:t>Carcinogenicity</w:t>
      </w:r>
    </w:p>
    <w:p w:rsidR="00F037FD" w:rsidRDefault="00F037FD">
      <w:pPr>
        <w:pStyle w:val="BodyText"/>
        <w:spacing w:before="4"/>
        <w:rPr>
          <w:b/>
          <w:sz w:val="23"/>
        </w:rPr>
      </w:pPr>
    </w:p>
    <w:p w:rsidR="00F037FD" w:rsidRDefault="00034C5C">
      <w:pPr>
        <w:pStyle w:val="BodyText"/>
        <w:spacing w:before="1"/>
        <w:ind w:left="141" w:right="135"/>
        <w:jc w:val="both"/>
      </w:pPr>
      <w:r>
        <w:t>As conventional carcinogenicity studies have not been performed and data from chronic toxicity studies</w:t>
      </w:r>
      <w:r>
        <w:rPr>
          <w:spacing w:val="-10"/>
        </w:rPr>
        <w:t xml:space="preserve"> </w:t>
      </w:r>
      <w:r>
        <w:t>in</w:t>
      </w:r>
      <w:r>
        <w:rPr>
          <w:spacing w:val="-13"/>
        </w:rPr>
        <w:t xml:space="preserve"> </w:t>
      </w:r>
      <w:r>
        <w:t>rodents</w:t>
      </w:r>
      <w:r>
        <w:rPr>
          <w:spacing w:val="-10"/>
        </w:rPr>
        <w:t xml:space="preserve"> </w:t>
      </w:r>
      <w:r>
        <w:t>are</w:t>
      </w:r>
      <w:r>
        <w:rPr>
          <w:spacing w:val="-14"/>
        </w:rPr>
        <w:t xml:space="preserve"> </w:t>
      </w:r>
      <w:r>
        <w:t>inconsistent,</w:t>
      </w:r>
      <w:r>
        <w:rPr>
          <w:spacing w:val="-8"/>
        </w:rPr>
        <w:t xml:space="preserve"> </w:t>
      </w:r>
      <w:r>
        <w:t>methotrexate</w:t>
      </w:r>
      <w:r>
        <w:rPr>
          <w:spacing w:val="-14"/>
        </w:rPr>
        <w:t xml:space="preserve"> </w:t>
      </w:r>
      <w:r>
        <w:t>is</w:t>
      </w:r>
      <w:r>
        <w:rPr>
          <w:spacing w:val="-15"/>
        </w:rPr>
        <w:t xml:space="preserve"> </w:t>
      </w:r>
      <w:r>
        <w:t>considered</w:t>
      </w:r>
      <w:r>
        <w:rPr>
          <w:spacing w:val="-11"/>
        </w:rPr>
        <w:t xml:space="preserve"> </w:t>
      </w:r>
      <w:r>
        <w:t>not</w:t>
      </w:r>
      <w:r>
        <w:rPr>
          <w:spacing w:val="-10"/>
        </w:rPr>
        <w:t xml:space="preserve"> </w:t>
      </w:r>
      <w:r>
        <w:t>classifiable</w:t>
      </w:r>
      <w:r>
        <w:rPr>
          <w:spacing w:val="-14"/>
        </w:rPr>
        <w:t xml:space="preserve"> </w:t>
      </w:r>
      <w:r>
        <w:t>as</w:t>
      </w:r>
      <w:r>
        <w:rPr>
          <w:spacing w:val="-13"/>
        </w:rPr>
        <w:t xml:space="preserve"> </w:t>
      </w:r>
      <w:r>
        <w:t>to</w:t>
      </w:r>
      <w:r>
        <w:rPr>
          <w:spacing w:val="-13"/>
        </w:rPr>
        <w:t xml:space="preserve"> </w:t>
      </w:r>
      <w:r>
        <w:t>its</w:t>
      </w:r>
      <w:r>
        <w:rPr>
          <w:spacing w:val="-15"/>
        </w:rPr>
        <w:t xml:space="preserve"> </w:t>
      </w:r>
      <w:r>
        <w:t>carcinogenicity to</w:t>
      </w:r>
      <w:r>
        <w:rPr>
          <w:spacing w:val="-2"/>
        </w:rPr>
        <w:t xml:space="preserve"> </w:t>
      </w:r>
      <w:r>
        <w:t>humans</w:t>
      </w:r>
    </w:p>
    <w:p w:rsidR="00F037FD" w:rsidRDefault="00F037FD">
      <w:pPr>
        <w:pStyle w:val="BodyText"/>
        <w:spacing w:before="5"/>
        <w:rPr>
          <w:sz w:val="25"/>
        </w:rPr>
      </w:pPr>
    </w:p>
    <w:p w:rsidR="00F037FD" w:rsidRDefault="00034C5C">
      <w:pPr>
        <w:pStyle w:val="Heading1"/>
      </w:pPr>
      <w:r>
        <w:t>Effects on ability to drive and use machines</w:t>
      </w:r>
    </w:p>
    <w:p w:rsidR="00F037FD" w:rsidRDefault="00F037FD">
      <w:pPr>
        <w:pStyle w:val="BodyText"/>
        <w:spacing w:before="1"/>
        <w:rPr>
          <w:b/>
          <w:sz w:val="23"/>
        </w:rPr>
      </w:pPr>
    </w:p>
    <w:p w:rsidR="00F037FD" w:rsidRDefault="00034C5C">
      <w:pPr>
        <w:pStyle w:val="BodyText"/>
        <w:ind w:left="141" w:right="136"/>
        <w:jc w:val="both"/>
      </w:pPr>
      <w:r>
        <w:t>Central nervous symptoms such as tiredness and dizziness can occur during treatment, TREXJECT IN has minor or moderate influence on the ability to drive and use machines.</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6"/>
        <w:rPr>
          <w:sz w:val="11"/>
        </w:rPr>
      </w:pPr>
    </w:p>
    <w:p w:rsidR="00F037FD" w:rsidRDefault="00034C5C">
      <w:pPr>
        <w:pStyle w:val="Heading1"/>
        <w:spacing w:before="90"/>
      </w:pPr>
      <w:r>
        <w:t>INTERACTIONS WITH OTHER MEDICINES</w:t>
      </w:r>
    </w:p>
    <w:p w:rsidR="00F037FD" w:rsidRDefault="00F037FD">
      <w:pPr>
        <w:pStyle w:val="BodyText"/>
        <w:spacing w:before="5"/>
        <w:rPr>
          <w:b/>
        </w:rPr>
      </w:pPr>
    </w:p>
    <w:p w:rsidR="00F037FD" w:rsidRDefault="00034C5C">
      <w:pPr>
        <w:ind w:left="141"/>
        <w:jc w:val="both"/>
        <w:rPr>
          <w:b/>
          <w:sz w:val="24"/>
        </w:rPr>
      </w:pPr>
      <w:r>
        <w:rPr>
          <w:b/>
          <w:sz w:val="24"/>
        </w:rPr>
        <w:t xml:space="preserve">Alcohol, hepatotoxic medicinal products, </w:t>
      </w:r>
      <w:proofErr w:type="spellStart"/>
      <w:r>
        <w:rPr>
          <w:b/>
          <w:sz w:val="24"/>
        </w:rPr>
        <w:t>haematotoxic</w:t>
      </w:r>
      <w:proofErr w:type="spellEnd"/>
      <w:r>
        <w:rPr>
          <w:b/>
          <w:sz w:val="24"/>
        </w:rPr>
        <w:t xml:space="preserve"> medicinal products</w:t>
      </w:r>
    </w:p>
    <w:p w:rsidR="00F037FD" w:rsidRDefault="00F037FD">
      <w:pPr>
        <w:pStyle w:val="BodyText"/>
        <w:spacing w:before="1"/>
        <w:rPr>
          <w:b/>
          <w:sz w:val="23"/>
        </w:rPr>
      </w:pPr>
    </w:p>
    <w:p w:rsidR="00F037FD" w:rsidRDefault="00034C5C">
      <w:pPr>
        <w:pStyle w:val="BodyText"/>
        <w:ind w:left="141" w:right="135"/>
        <w:jc w:val="both"/>
      </w:pPr>
      <w:r>
        <w:t xml:space="preserve">The probability of methotrexate exhibiting a hepatotoxic effect is increased by regular alcohol consumption and when other hepatotoxic medicinal products are taken at the same time. Patients taking other hepatotoxic medicinal products concomitantly (e.g. </w:t>
      </w:r>
      <w:proofErr w:type="spellStart"/>
      <w:r>
        <w:t>leflunomide</w:t>
      </w:r>
      <w:proofErr w:type="spellEnd"/>
      <w:r>
        <w:t xml:space="preserve">) should be monitored with special care. The same should be taken into account with the simultaneous administration of </w:t>
      </w:r>
      <w:proofErr w:type="spellStart"/>
      <w:r>
        <w:t>haematotoxic</w:t>
      </w:r>
      <w:proofErr w:type="spellEnd"/>
      <w:r>
        <w:t xml:space="preserve"> medicinal products (e.g. </w:t>
      </w:r>
      <w:proofErr w:type="spellStart"/>
      <w:r>
        <w:t>leflunomide</w:t>
      </w:r>
      <w:proofErr w:type="spellEnd"/>
      <w:r>
        <w:t xml:space="preserve">, azathioprine, </w:t>
      </w:r>
      <w:proofErr w:type="spellStart"/>
      <w:r>
        <w:t>retinoids</w:t>
      </w:r>
      <w:proofErr w:type="spellEnd"/>
      <w:r>
        <w:t xml:space="preserve">, </w:t>
      </w:r>
      <w:proofErr w:type="gramStart"/>
      <w:r>
        <w:t>sulfasalazine</w:t>
      </w:r>
      <w:proofErr w:type="gramEnd"/>
      <w:r>
        <w:t>).</w:t>
      </w:r>
    </w:p>
    <w:p w:rsidR="00F037FD" w:rsidRDefault="00F037FD">
      <w:pPr>
        <w:pStyle w:val="BodyText"/>
        <w:spacing w:before="4"/>
      </w:pPr>
    </w:p>
    <w:p w:rsidR="00F037FD" w:rsidRDefault="00034C5C">
      <w:pPr>
        <w:pStyle w:val="BodyText"/>
        <w:ind w:left="141" w:right="135"/>
        <w:jc w:val="both"/>
      </w:pPr>
      <w:r>
        <w:t>Combined</w:t>
      </w:r>
      <w:r>
        <w:rPr>
          <w:spacing w:val="-9"/>
        </w:rPr>
        <w:t xml:space="preserve"> </w:t>
      </w:r>
      <w:r>
        <w:t>treatment</w:t>
      </w:r>
      <w:r>
        <w:rPr>
          <w:spacing w:val="-9"/>
        </w:rPr>
        <w:t xml:space="preserve"> </w:t>
      </w:r>
      <w:r>
        <w:t>with</w:t>
      </w:r>
      <w:r>
        <w:rPr>
          <w:spacing w:val="-12"/>
        </w:rPr>
        <w:t xml:space="preserve"> </w:t>
      </w:r>
      <w:r>
        <w:t>methotrexate</w:t>
      </w:r>
      <w:r>
        <w:rPr>
          <w:spacing w:val="-12"/>
        </w:rPr>
        <w:t xml:space="preserve"> </w:t>
      </w:r>
      <w:r>
        <w:t>and</w:t>
      </w:r>
      <w:r>
        <w:rPr>
          <w:spacing w:val="-13"/>
        </w:rPr>
        <w:t xml:space="preserve"> </w:t>
      </w:r>
      <w:proofErr w:type="spellStart"/>
      <w:r>
        <w:t>retinoids</w:t>
      </w:r>
      <w:proofErr w:type="spellEnd"/>
      <w:r>
        <w:rPr>
          <w:spacing w:val="-11"/>
        </w:rPr>
        <w:t xml:space="preserve"> </w:t>
      </w:r>
      <w:r>
        <w:t>like</w:t>
      </w:r>
      <w:r>
        <w:rPr>
          <w:spacing w:val="-14"/>
        </w:rPr>
        <w:t xml:space="preserve"> </w:t>
      </w:r>
      <w:proofErr w:type="spellStart"/>
      <w:r>
        <w:t>acitretin</w:t>
      </w:r>
      <w:proofErr w:type="spellEnd"/>
      <w:r>
        <w:rPr>
          <w:spacing w:val="-12"/>
        </w:rPr>
        <w:t xml:space="preserve"> </w:t>
      </w:r>
      <w:r>
        <w:t>increases</w:t>
      </w:r>
      <w:r>
        <w:rPr>
          <w:spacing w:val="-11"/>
        </w:rPr>
        <w:t xml:space="preserve"> </w:t>
      </w:r>
      <w:r>
        <w:t>the</w:t>
      </w:r>
      <w:r>
        <w:rPr>
          <w:spacing w:val="-12"/>
        </w:rPr>
        <w:t xml:space="preserve"> </w:t>
      </w:r>
      <w:r>
        <w:t>risk</w:t>
      </w:r>
      <w:r>
        <w:rPr>
          <w:spacing w:val="-11"/>
        </w:rPr>
        <w:t xml:space="preserve"> </w:t>
      </w:r>
      <w:r>
        <w:t>of</w:t>
      </w:r>
      <w:r>
        <w:rPr>
          <w:spacing w:val="-12"/>
        </w:rPr>
        <w:t xml:space="preserve"> </w:t>
      </w:r>
      <w:r>
        <w:t>hepatotoxicity (see</w:t>
      </w:r>
      <w:r>
        <w:rPr>
          <w:spacing w:val="-7"/>
        </w:rPr>
        <w:t xml:space="preserve"> </w:t>
      </w:r>
      <w:r>
        <w:t>CONTRAINDICATIONS).</w:t>
      </w:r>
    </w:p>
    <w:p w:rsidR="00F037FD" w:rsidRDefault="00F037FD">
      <w:pPr>
        <w:pStyle w:val="BodyText"/>
        <w:spacing w:before="6"/>
      </w:pPr>
    </w:p>
    <w:p w:rsidR="00F037FD" w:rsidRDefault="00034C5C">
      <w:pPr>
        <w:pStyle w:val="Heading1"/>
        <w:spacing w:before="1"/>
      </w:pPr>
      <w:proofErr w:type="spellStart"/>
      <w:r>
        <w:t>Leflunomide</w:t>
      </w:r>
      <w:proofErr w:type="spellEnd"/>
    </w:p>
    <w:p w:rsidR="00F037FD" w:rsidRDefault="00F037FD">
      <w:pPr>
        <w:pStyle w:val="BodyText"/>
        <w:spacing w:before="5"/>
        <w:rPr>
          <w:b/>
          <w:sz w:val="23"/>
        </w:rPr>
      </w:pPr>
    </w:p>
    <w:p w:rsidR="00F037FD" w:rsidRDefault="00034C5C">
      <w:pPr>
        <w:pStyle w:val="BodyText"/>
        <w:ind w:left="141" w:right="135"/>
        <w:jc w:val="both"/>
      </w:pPr>
      <w:r>
        <w:t xml:space="preserve">The incidence of pancytopenia and hepatotoxicity can be increased when </w:t>
      </w:r>
      <w:proofErr w:type="spellStart"/>
      <w:r>
        <w:t>leflunomide</w:t>
      </w:r>
      <w:proofErr w:type="spellEnd"/>
      <w:r>
        <w:t xml:space="preserve"> is combined with methotrexate.</w:t>
      </w:r>
    </w:p>
    <w:p w:rsidR="00F037FD" w:rsidRDefault="00F037FD">
      <w:pPr>
        <w:pStyle w:val="BodyText"/>
        <w:spacing w:before="7"/>
      </w:pPr>
    </w:p>
    <w:p w:rsidR="00F037FD" w:rsidRDefault="00034C5C">
      <w:pPr>
        <w:pStyle w:val="Heading1"/>
      </w:pPr>
      <w:r>
        <w:t>Medicinal products with high plasma protein binding</w:t>
      </w:r>
    </w:p>
    <w:p w:rsidR="00F037FD" w:rsidRDefault="00F037FD">
      <w:pPr>
        <w:pStyle w:val="BodyText"/>
        <w:spacing w:before="4"/>
        <w:rPr>
          <w:b/>
          <w:sz w:val="23"/>
        </w:rPr>
      </w:pPr>
    </w:p>
    <w:p w:rsidR="00F037FD" w:rsidRDefault="00034C5C">
      <w:pPr>
        <w:pStyle w:val="BodyText"/>
        <w:ind w:left="141" w:right="131"/>
        <w:jc w:val="both"/>
      </w:pPr>
      <w:r>
        <w:t xml:space="preserve">As methotrexate is partly bound to serum proteins, its toxicity may be increased as a result of displacement by certain drugs such as salicylates, </w:t>
      </w:r>
      <w:proofErr w:type="spellStart"/>
      <w:r>
        <w:t>phenylbutazone</w:t>
      </w:r>
      <w:proofErr w:type="spellEnd"/>
      <w:r>
        <w:t xml:space="preserve">, </w:t>
      </w:r>
      <w:proofErr w:type="spellStart"/>
      <w:r>
        <w:t>sulphonamides</w:t>
      </w:r>
      <w:proofErr w:type="spellEnd"/>
      <w:r>
        <w:t xml:space="preserve">, </w:t>
      </w:r>
      <w:proofErr w:type="spellStart"/>
      <w:r>
        <w:t>sulphonylureas</w:t>
      </w:r>
      <w:proofErr w:type="spellEnd"/>
      <w:r>
        <w:t xml:space="preserve">, phenytoin, </w:t>
      </w:r>
      <w:proofErr w:type="spellStart"/>
      <w:r>
        <w:t>tetracyclines</w:t>
      </w:r>
      <w:proofErr w:type="spellEnd"/>
      <w:r>
        <w:t>, chloramphenicol and para-</w:t>
      </w:r>
      <w:proofErr w:type="spellStart"/>
      <w:r>
        <w:t>aminobenzoic</w:t>
      </w:r>
      <w:proofErr w:type="spellEnd"/>
      <w:r>
        <w:t xml:space="preserve"> acid. These drugs, particularly salicylates and </w:t>
      </w:r>
      <w:proofErr w:type="spellStart"/>
      <w:r>
        <w:t>sulphonamides</w:t>
      </w:r>
      <w:proofErr w:type="spellEnd"/>
      <w:r>
        <w:t>, should not be given concurrently until the significance of these findings is established.</w:t>
      </w:r>
    </w:p>
    <w:p w:rsidR="00F037FD" w:rsidRDefault="00F037FD">
      <w:pPr>
        <w:pStyle w:val="BodyText"/>
        <w:spacing w:before="5"/>
        <w:rPr>
          <w:sz w:val="25"/>
        </w:rPr>
      </w:pPr>
    </w:p>
    <w:p w:rsidR="00F037FD" w:rsidRDefault="00034C5C">
      <w:pPr>
        <w:pStyle w:val="Heading1"/>
      </w:pPr>
      <w:r>
        <w:t>Antibiotics</w:t>
      </w:r>
    </w:p>
    <w:p w:rsidR="00F037FD" w:rsidRDefault="00F037FD">
      <w:pPr>
        <w:pStyle w:val="BodyText"/>
        <w:spacing w:before="2"/>
        <w:rPr>
          <w:b/>
          <w:sz w:val="23"/>
        </w:rPr>
      </w:pPr>
    </w:p>
    <w:p w:rsidR="00F037FD" w:rsidRDefault="00034C5C">
      <w:pPr>
        <w:pStyle w:val="BodyText"/>
        <w:ind w:left="141" w:right="135"/>
        <w:jc w:val="both"/>
      </w:pPr>
      <w:r>
        <w:t>Oral</w:t>
      </w:r>
      <w:r>
        <w:rPr>
          <w:spacing w:val="-13"/>
        </w:rPr>
        <w:t xml:space="preserve"> </w:t>
      </w:r>
      <w:r>
        <w:t>antibiotics</w:t>
      </w:r>
      <w:r>
        <w:rPr>
          <w:spacing w:val="-10"/>
        </w:rPr>
        <w:t xml:space="preserve"> </w:t>
      </w:r>
      <w:r>
        <w:t>such</w:t>
      </w:r>
      <w:r>
        <w:rPr>
          <w:spacing w:val="-13"/>
        </w:rPr>
        <w:t xml:space="preserve"> </w:t>
      </w:r>
      <w:r>
        <w:t>as</w:t>
      </w:r>
      <w:r>
        <w:rPr>
          <w:spacing w:val="-10"/>
        </w:rPr>
        <w:t xml:space="preserve"> </w:t>
      </w:r>
      <w:r>
        <w:t>tetracycline,</w:t>
      </w:r>
      <w:r>
        <w:rPr>
          <w:spacing w:val="-9"/>
        </w:rPr>
        <w:t xml:space="preserve"> </w:t>
      </w:r>
      <w:r>
        <w:t>chloramphenicol</w:t>
      </w:r>
      <w:r>
        <w:rPr>
          <w:spacing w:val="-9"/>
        </w:rPr>
        <w:t xml:space="preserve"> </w:t>
      </w:r>
      <w:r>
        <w:t>and</w:t>
      </w:r>
      <w:r>
        <w:rPr>
          <w:spacing w:val="-10"/>
        </w:rPr>
        <w:t xml:space="preserve"> </w:t>
      </w:r>
      <w:proofErr w:type="spellStart"/>
      <w:r>
        <w:t>nonabsorbable</w:t>
      </w:r>
      <w:proofErr w:type="spellEnd"/>
      <w:r>
        <w:rPr>
          <w:spacing w:val="-12"/>
        </w:rPr>
        <w:t xml:space="preserve"> </w:t>
      </w:r>
      <w:r>
        <w:t>broad-spectrum</w:t>
      </w:r>
      <w:r>
        <w:rPr>
          <w:spacing w:val="-10"/>
        </w:rPr>
        <w:t xml:space="preserve"> </w:t>
      </w:r>
      <w:r>
        <w:t xml:space="preserve">antibiotics, may decrease intestinal absorption of methotrexate or interfere with the </w:t>
      </w:r>
      <w:proofErr w:type="spellStart"/>
      <w:r>
        <w:t>enterohepatic</w:t>
      </w:r>
      <w:proofErr w:type="spellEnd"/>
      <w:r>
        <w:t xml:space="preserve"> circulation by inhibiting intestinal and bowel flora and suppressing metabolism of the drug by</w:t>
      </w:r>
      <w:r>
        <w:rPr>
          <w:spacing w:val="-20"/>
        </w:rPr>
        <w:t xml:space="preserve"> </w:t>
      </w:r>
      <w:r>
        <w:t>bacteria.</w:t>
      </w:r>
    </w:p>
    <w:p w:rsidR="00F037FD" w:rsidRDefault="00F037FD">
      <w:pPr>
        <w:pStyle w:val="BodyText"/>
        <w:spacing w:before="4"/>
        <w:rPr>
          <w:sz w:val="28"/>
        </w:rPr>
      </w:pPr>
    </w:p>
    <w:p w:rsidR="00F037FD" w:rsidRDefault="00034C5C">
      <w:pPr>
        <w:pStyle w:val="BodyText"/>
        <w:ind w:left="141" w:right="135"/>
        <w:jc w:val="both"/>
      </w:pPr>
      <w:r>
        <w:t xml:space="preserve">The excretion of methotrexate from the body can be markedly reduced by the concurrent use of </w:t>
      </w:r>
      <w:proofErr w:type="spellStart"/>
      <w:r>
        <w:t>penicillins</w:t>
      </w:r>
      <w:proofErr w:type="spellEnd"/>
      <w:r>
        <w:t xml:space="preserve">, </w:t>
      </w:r>
      <w:proofErr w:type="spellStart"/>
      <w:r>
        <w:t>glycopeptides</w:t>
      </w:r>
      <w:proofErr w:type="spellEnd"/>
      <w:r>
        <w:t xml:space="preserve">, ciprofloxacin, </w:t>
      </w:r>
      <w:proofErr w:type="spellStart"/>
      <w:r>
        <w:t>cefalotin</w:t>
      </w:r>
      <w:proofErr w:type="spellEnd"/>
      <w:r>
        <w:t xml:space="preserve"> and sulfonamides. There is a considerable risk of methotrexate toxicity. Use of methotrexate with </w:t>
      </w:r>
      <w:proofErr w:type="spellStart"/>
      <w:r>
        <w:t>penicillins</w:t>
      </w:r>
      <w:proofErr w:type="spellEnd"/>
      <w:r>
        <w:t xml:space="preserve"> and these antibiotics should be carefully monitored.</w:t>
      </w:r>
    </w:p>
    <w:p w:rsidR="00F037FD" w:rsidRDefault="00F037FD">
      <w:pPr>
        <w:pStyle w:val="BodyText"/>
        <w:spacing w:before="4"/>
      </w:pPr>
    </w:p>
    <w:p w:rsidR="00F037FD" w:rsidRDefault="00034C5C">
      <w:pPr>
        <w:pStyle w:val="BodyText"/>
        <w:ind w:left="141" w:right="134"/>
        <w:jc w:val="both"/>
      </w:pPr>
      <w:proofErr w:type="spellStart"/>
      <w:r>
        <w:t>Hypolipidaemic</w:t>
      </w:r>
      <w:proofErr w:type="spellEnd"/>
      <w:r>
        <w:t xml:space="preserve"> compounds such as </w:t>
      </w:r>
      <w:proofErr w:type="spellStart"/>
      <w:r>
        <w:t>cholestyramine</w:t>
      </w:r>
      <w:proofErr w:type="spellEnd"/>
      <w:r>
        <w:t xml:space="preserve"> provided preferential binding sites compared to serum proteins when given in combination with methotrexate. This may lead to decreased methotrexate serum levels.</w:t>
      </w:r>
    </w:p>
    <w:p w:rsidR="00F037FD" w:rsidRDefault="00F037FD">
      <w:pPr>
        <w:pStyle w:val="BodyText"/>
        <w:spacing w:before="3"/>
        <w:rPr>
          <w:sz w:val="25"/>
        </w:rPr>
      </w:pPr>
    </w:p>
    <w:p w:rsidR="00F037FD" w:rsidRDefault="00034C5C">
      <w:pPr>
        <w:pStyle w:val="Heading1"/>
      </w:pPr>
      <w:r>
        <w:t xml:space="preserve">Products containing folic acid or </w:t>
      </w:r>
      <w:proofErr w:type="spellStart"/>
      <w:r>
        <w:t>folinic</w:t>
      </w:r>
      <w:proofErr w:type="spellEnd"/>
      <w:r>
        <w:t xml:space="preserve"> acid</w:t>
      </w:r>
    </w:p>
    <w:p w:rsidR="00F037FD" w:rsidRDefault="00F037FD">
      <w:pPr>
        <w:pStyle w:val="BodyText"/>
        <w:spacing w:before="6"/>
        <w:rPr>
          <w:b/>
          <w:sz w:val="23"/>
        </w:rPr>
      </w:pPr>
    </w:p>
    <w:p w:rsidR="00F037FD" w:rsidRDefault="00034C5C">
      <w:pPr>
        <w:pStyle w:val="BodyText"/>
        <w:ind w:left="141" w:right="133"/>
        <w:jc w:val="both"/>
      </w:pPr>
      <w:r>
        <w:t xml:space="preserve">Concomitant treatment with </w:t>
      </w:r>
      <w:proofErr w:type="spellStart"/>
      <w:r>
        <w:t>folinic</w:t>
      </w:r>
      <w:proofErr w:type="spellEnd"/>
      <w:r>
        <w:t xml:space="preserve"> acid or folic acid may decrease the incidence or severity of adverse effects from methotrexate therapy but also the efficacy of methotrexate. Medicinal products containing folic acid or </w:t>
      </w:r>
      <w:proofErr w:type="spellStart"/>
      <w:r>
        <w:t>folinic</w:t>
      </w:r>
      <w:proofErr w:type="spellEnd"/>
      <w:r>
        <w:t xml:space="preserve"> acid (including certain vitamin preparations) should not be given to patients on the same day as methotrexate treatment.</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6"/>
        <w:rPr>
          <w:sz w:val="11"/>
        </w:rPr>
      </w:pPr>
    </w:p>
    <w:p w:rsidR="00F037FD" w:rsidRDefault="00034C5C">
      <w:pPr>
        <w:pStyle w:val="Heading1"/>
        <w:spacing w:before="90"/>
      </w:pPr>
      <w:proofErr w:type="spellStart"/>
      <w:r>
        <w:t>Probenecid</w:t>
      </w:r>
      <w:proofErr w:type="spellEnd"/>
      <w:r>
        <w:t xml:space="preserve">, weak organic acids, </w:t>
      </w:r>
      <w:proofErr w:type="spellStart"/>
      <w:r>
        <w:t>pyrazoles</w:t>
      </w:r>
      <w:proofErr w:type="spellEnd"/>
      <w:r>
        <w:t xml:space="preserve"> and non-steroidal anti-inflammatory agents</w:t>
      </w:r>
    </w:p>
    <w:p w:rsidR="00F037FD" w:rsidRDefault="00F037FD">
      <w:pPr>
        <w:pStyle w:val="BodyText"/>
        <w:spacing w:before="2"/>
        <w:rPr>
          <w:b/>
          <w:sz w:val="23"/>
        </w:rPr>
      </w:pPr>
    </w:p>
    <w:p w:rsidR="00F037FD" w:rsidRDefault="00034C5C">
      <w:pPr>
        <w:pStyle w:val="BodyText"/>
        <w:ind w:left="141" w:right="136"/>
        <w:jc w:val="both"/>
      </w:pPr>
      <w:r>
        <w:t>Caution</w:t>
      </w:r>
      <w:r>
        <w:rPr>
          <w:spacing w:val="-14"/>
        </w:rPr>
        <w:t xml:space="preserve"> </w:t>
      </w:r>
      <w:r>
        <w:t>should</w:t>
      </w:r>
      <w:r>
        <w:rPr>
          <w:spacing w:val="-14"/>
        </w:rPr>
        <w:t xml:space="preserve"> </w:t>
      </w:r>
      <w:r>
        <w:t>be</w:t>
      </w:r>
      <w:r>
        <w:rPr>
          <w:spacing w:val="-17"/>
        </w:rPr>
        <w:t xml:space="preserve"> </w:t>
      </w:r>
      <w:r>
        <w:t>used</w:t>
      </w:r>
      <w:r>
        <w:rPr>
          <w:spacing w:val="-14"/>
        </w:rPr>
        <w:t xml:space="preserve"> </w:t>
      </w:r>
      <w:r>
        <w:t>when</w:t>
      </w:r>
      <w:r>
        <w:rPr>
          <w:spacing w:val="-14"/>
        </w:rPr>
        <w:t xml:space="preserve"> </w:t>
      </w:r>
      <w:r>
        <w:t>NSAIDs</w:t>
      </w:r>
      <w:r>
        <w:rPr>
          <w:spacing w:val="-14"/>
        </w:rPr>
        <w:t xml:space="preserve"> </w:t>
      </w:r>
      <w:r>
        <w:t>or</w:t>
      </w:r>
      <w:r>
        <w:rPr>
          <w:spacing w:val="-15"/>
        </w:rPr>
        <w:t xml:space="preserve"> </w:t>
      </w:r>
      <w:r>
        <w:t>salicylates</w:t>
      </w:r>
      <w:r>
        <w:rPr>
          <w:spacing w:val="-16"/>
        </w:rPr>
        <w:t xml:space="preserve"> </w:t>
      </w:r>
      <w:r>
        <w:t>are</w:t>
      </w:r>
      <w:r>
        <w:rPr>
          <w:spacing w:val="-17"/>
        </w:rPr>
        <w:t xml:space="preserve"> </w:t>
      </w:r>
      <w:r>
        <w:t>administered</w:t>
      </w:r>
      <w:r>
        <w:rPr>
          <w:spacing w:val="-14"/>
        </w:rPr>
        <w:t xml:space="preserve"> </w:t>
      </w:r>
      <w:r>
        <w:t>concomitantly</w:t>
      </w:r>
      <w:r>
        <w:rPr>
          <w:spacing w:val="-16"/>
        </w:rPr>
        <w:t xml:space="preserve"> </w:t>
      </w:r>
      <w:r>
        <w:t>with</w:t>
      </w:r>
      <w:r>
        <w:rPr>
          <w:spacing w:val="-16"/>
        </w:rPr>
        <w:t xml:space="preserve"> </w:t>
      </w:r>
      <w:r>
        <w:t>lower</w:t>
      </w:r>
      <w:r>
        <w:rPr>
          <w:spacing w:val="-12"/>
        </w:rPr>
        <w:t xml:space="preserve"> </w:t>
      </w:r>
      <w:r>
        <w:t>doses of methotrexate. These drugs have been reported to reduce the tubular secretion of methotrexate in an animal model and may enhance its</w:t>
      </w:r>
      <w:r>
        <w:rPr>
          <w:spacing w:val="-11"/>
        </w:rPr>
        <w:t xml:space="preserve"> </w:t>
      </w:r>
      <w:r>
        <w:t>toxicity.</w:t>
      </w:r>
    </w:p>
    <w:p w:rsidR="00F037FD" w:rsidRDefault="00F037FD">
      <w:pPr>
        <w:pStyle w:val="BodyText"/>
        <w:spacing w:before="4"/>
      </w:pPr>
    </w:p>
    <w:p w:rsidR="00F037FD" w:rsidRDefault="00034C5C">
      <w:pPr>
        <w:pStyle w:val="BodyText"/>
        <w:ind w:left="141" w:right="132"/>
        <w:jc w:val="both"/>
      </w:pPr>
      <w:r>
        <w:t>Despite the potential for interactions, studies of methotrexate in patients with rheumatoid arthritis have usually included concurrent use of dosage regimens of NSAIDs, without apparent problems. It should</w:t>
      </w:r>
      <w:r>
        <w:rPr>
          <w:spacing w:val="-15"/>
        </w:rPr>
        <w:t xml:space="preserve"> </w:t>
      </w:r>
      <w:r>
        <w:t>be</w:t>
      </w:r>
      <w:r>
        <w:rPr>
          <w:spacing w:val="-19"/>
        </w:rPr>
        <w:t xml:space="preserve"> </w:t>
      </w:r>
      <w:r>
        <w:t>appreciated,</w:t>
      </w:r>
      <w:r>
        <w:rPr>
          <w:spacing w:val="-13"/>
        </w:rPr>
        <w:t xml:space="preserve"> </w:t>
      </w:r>
      <w:r>
        <w:t>however,</w:t>
      </w:r>
      <w:r>
        <w:rPr>
          <w:spacing w:val="-15"/>
        </w:rPr>
        <w:t xml:space="preserve"> </w:t>
      </w:r>
      <w:r>
        <w:t>that</w:t>
      </w:r>
      <w:r>
        <w:rPr>
          <w:spacing w:val="-17"/>
        </w:rPr>
        <w:t xml:space="preserve"> </w:t>
      </w:r>
      <w:r>
        <w:t>the</w:t>
      </w:r>
      <w:r>
        <w:rPr>
          <w:spacing w:val="-18"/>
        </w:rPr>
        <w:t xml:space="preserve"> </w:t>
      </w:r>
      <w:r>
        <w:t>doses</w:t>
      </w:r>
      <w:r>
        <w:rPr>
          <w:spacing w:val="-15"/>
        </w:rPr>
        <w:t xml:space="preserve"> </w:t>
      </w:r>
      <w:r>
        <w:t>used</w:t>
      </w:r>
      <w:r>
        <w:rPr>
          <w:spacing w:val="-13"/>
        </w:rPr>
        <w:t xml:space="preserve"> </w:t>
      </w:r>
      <w:r>
        <w:t>in</w:t>
      </w:r>
      <w:r>
        <w:rPr>
          <w:spacing w:val="-20"/>
        </w:rPr>
        <w:t xml:space="preserve"> </w:t>
      </w:r>
      <w:r>
        <w:t>these</w:t>
      </w:r>
      <w:r>
        <w:rPr>
          <w:spacing w:val="-18"/>
        </w:rPr>
        <w:t xml:space="preserve"> </w:t>
      </w:r>
      <w:r>
        <w:t>studies</w:t>
      </w:r>
      <w:r>
        <w:rPr>
          <w:spacing w:val="-15"/>
        </w:rPr>
        <w:t xml:space="preserve"> </w:t>
      </w:r>
      <w:r>
        <w:t>and</w:t>
      </w:r>
      <w:r>
        <w:rPr>
          <w:spacing w:val="-18"/>
        </w:rPr>
        <w:t xml:space="preserve"> </w:t>
      </w:r>
      <w:r>
        <w:t>in</w:t>
      </w:r>
      <w:r>
        <w:rPr>
          <w:spacing w:val="-18"/>
        </w:rPr>
        <w:t xml:space="preserve"> </w:t>
      </w:r>
      <w:r>
        <w:t>the</w:t>
      </w:r>
      <w:r>
        <w:rPr>
          <w:spacing w:val="-18"/>
        </w:rPr>
        <w:t xml:space="preserve"> </w:t>
      </w:r>
      <w:r>
        <w:t>treatment</w:t>
      </w:r>
      <w:r>
        <w:rPr>
          <w:spacing w:val="-14"/>
        </w:rPr>
        <w:t xml:space="preserve"> </w:t>
      </w:r>
      <w:r>
        <w:t>of</w:t>
      </w:r>
      <w:r>
        <w:rPr>
          <w:spacing w:val="-16"/>
        </w:rPr>
        <w:t xml:space="preserve"> </w:t>
      </w:r>
      <w:r>
        <w:t>rheumatoid arthritis</w:t>
      </w:r>
      <w:r>
        <w:rPr>
          <w:spacing w:val="-14"/>
        </w:rPr>
        <w:t xml:space="preserve"> </w:t>
      </w:r>
      <w:r>
        <w:t>(generally</w:t>
      </w:r>
      <w:r>
        <w:rPr>
          <w:spacing w:val="-14"/>
        </w:rPr>
        <w:t xml:space="preserve"> </w:t>
      </w:r>
      <w:r>
        <w:t>7.5</w:t>
      </w:r>
      <w:r>
        <w:rPr>
          <w:spacing w:val="-14"/>
        </w:rPr>
        <w:t xml:space="preserve"> </w:t>
      </w:r>
      <w:r>
        <w:t>to</w:t>
      </w:r>
      <w:r>
        <w:rPr>
          <w:spacing w:val="-17"/>
        </w:rPr>
        <w:t xml:space="preserve"> </w:t>
      </w:r>
      <w:r>
        <w:t>15</w:t>
      </w:r>
      <w:r>
        <w:rPr>
          <w:spacing w:val="-12"/>
        </w:rPr>
        <w:t xml:space="preserve"> </w:t>
      </w:r>
      <w:r>
        <w:t>mg/week)</w:t>
      </w:r>
      <w:r>
        <w:rPr>
          <w:spacing w:val="-10"/>
        </w:rPr>
        <w:t xml:space="preserve"> </w:t>
      </w:r>
      <w:r>
        <w:t>are</w:t>
      </w:r>
      <w:r>
        <w:rPr>
          <w:spacing w:val="-15"/>
        </w:rPr>
        <w:t xml:space="preserve"> </w:t>
      </w:r>
      <w:r>
        <w:t>somewhat</w:t>
      </w:r>
      <w:r>
        <w:rPr>
          <w:spacing w:val="-14"/>
        </w:rPr>
        <w:t xml:space="preserve"> </w:t>
      </w:r>
      <w:r>
        <w:t>lower</w:t>
      </w:r>
      <w:r>
        <w:rPr>
          <w:spacing w:val="-10"/>
        </w:rPr>
        <w:t xml:space="preserve"> </w:t>
      </w:r>
      <w:r>
        <w:t>than</w:t>
      </w:r>
      <w:r>
        <w:rPr>
          <w:spacing w:val="-14"/>
        </w:rPr>
        <w:t xml:space="preserve"> </w:t>
      </w:r>
      <w:r>
        <w:t>those</w:t>
      </w:r>
      <w:r>
        <w:rPr>
          <w:spacing w:val="-15"/>
        </w:rPr>
        <w:t xml:space="preserve"> </w:t>
      </w:r>
      <w:r>
        <w:t>used</w:t>
      </w:r>
      <w:r>
        <w:rPr>
          <w:spacing w:val="-12"/>
        </w:rPr>
        <w:t xml:space="preserve"> </w:t>
      </w:r>
      <w:r>
        <w:t>in</w:t>
      </w:r>
      <w:r>
        <w:rPr>
          <w:spacing w:val="-12"/>
        </w:rPr>
        <w:t xml:space="preserve"> </w:t>
      </w:r>
      <w:r>
        <w:t>psoriasis</w:t>
      </w:r>
      <w:r>
        <w:rPr>
          <w:spacing w:val="-13"/>
        </w:rPr>
        <w:t xml:space="preserve"> </w:t>
      </w:r>
      <w:r>
        <w:t>and</w:t>
      </w:r>
      <w:r>
        <w:rPr>
          <w:spacing w:val="-14"/>
        </w:rPr>
        <w:t xml:space="preserve"> </w:t>
      </w:r>
      <w:r>
        <w:t>that</w:t>
      </w:r>
      <w:r>
        <w:rPr>
          <w:spacing w:val="-14"/>
        </w:rPr>
        <w:t xml:space="preserve"> </w:t>
      </w:r>
      <w:r>
        <w:t>larger doses could lead to unexpected toxicity. Therefore, until more is known about the NSAID/methotrexate</w:t>
      </w:r>
      <w:r>
        <w:rPr>
          <w:spacing w:val="-12"/>
        </w:rPr>
        <w:t xml:space="preserve"> </w:t>
      </w:r>
      <w:r>
        <w:t>interaction,</w:t>
      </w:r>
      <w:r>
        <w:rPr>
          <w:spacing w:val="-7"/>
        </w:rPr>
        <w:t xml:space="preserve"> </w:t>
      </w:r>
      <w:r>
        <w:t>it</w:t>
      </w:r>
      <w:r>
        <w:rPr>
          <w:spacing w:val="-10"/>
        </w:rPr>
        <w:t xml:space="preserve"> </w:t>
      </w:r>
      <w:r>
        <w:t>is</w:t>
      </w:r>
      <w:r>
        <w:rPr>
          <w:spacing w:val="-12"/>
        </w:rPr>
        <w:t xml:space="preserve"> </w:t>
      </w:r>
      <w:r>
        <w:t>recommended</w:t>
      </w:r>
      <w:r>
        <w:rPr>
          <w:spacing w:val="-8"/>
        </w:rPr>
        <w:t xml:space="preserve"> </w:t>
      </w:r>
      <w:r>
        <w:t>that</w:t>
      </w:r>
      <w:r>
        <w:rPr>
          <w:spacing w:val="-10"/>
        </w:rPr>
        <w:t xml:space="preserve"> </w:t>
      </w:r>
      <w:r>
        <w:t>methotrexate</w:t>
      </w:r>
      <w:r>
        <w:rPr>
          <w:spacing w:val="-12"/>
        </w:rPr>
        <w:t xml:space="preserve"> </w:t>
      </w:r>
      <w:r>
        <w:t>dosage</w:t>
      </w:r>
      <w:r>
        <w:rPr>
          <w:spacing w:val="-12"/>
        </w:rPr>
        <w:t xml:space="preserve"> </w:t>
      </w:r>
      <w:r>
        <w:t>be</w:t>
      </w:r>
      <w:r>
        <w:rPr>
          <w:spacing w:val="-12"/>
        </w:rPr>
        <w:t xml:space="preserve"> </w:t>
      </w:r>
      <w:r>
        <w:t>carefully</w:t>
      </w:r>
      <w:r>
        <w:rPr>
          <w:spacing w:val="-11"/>
        </w:rPr>
        <w:t xml:space="preserve"> </w:t>
      </w:r>
      <w:r>
        <w:t>controlled during treatment with</w:t>
      </w:r>
      <w:r>
        <w:rPr>
          <w:spacing w:val="-8"/>
        </w:rPr>
        <w:t xml:space="preserve"> </w:t>
      </w:r>
      <w:r>
        <w:t>NSAIDs.</w:t>
      </w:r>
    </w:p>
    <w:p w:rsidR="00F037FD" w:rsidRDefault="00F037FD">
      <w:pPr>
        <w:pStyle w:val="BodyText"/>
        <w:spacing w:before="2"/>
      </w:pPr>
    </w:p>
    <w:p w:rsidR="00F037FD" w:rsidRDefault="00034C5C">
      <w:pPr>
        <w:pStyle w:val="BodyText"/>
        <w:ind w:left="141" w:right="135"/>
        <w:jc w:val="both"/>
      </w:pPr>
      <w:proofErr w:type="spellStart"/>
      <w:r>
        <w:t>Probenecid</w:t>
      </w:r>
      <w:proofErr w:type="spellEnd"/>
      <w:r>
        <w:t xml:space="preserve"> and </w:t>
      </w:r>
      <w:proofErr w:type="spellStart"/>
      <w:r>
        <w:t>pyrazoles</w:t>
      </w:r>
      <w:proofErr w:type="spellEnd"/>
      <w:r>
        <w:t xml:space="preserve"> (</w:t>
      </w:r>
      <w:proofErr w:type="spellStart"/>
      <w:r>
        <w:t>phenylbutazone</w:t>
      </w:r>
      <w:proofErr w:type="spellEnd"/>
      <w:r>
        <w:t>) may increase the methotrexate plasma half-life and thereby increase blood levels.</w:t>
      </w:r>
    </w:p>
    <w:p w:rsidR="00F037FD" w:rsidRDefault="00F037FD">
      <w:pPr>
        <w:pStyle w:val="BodyText"/>
        <w:spacing w:before="4"/>
        <w:rPr>
          <w:sz w:val="25"/>
        </w:rPr>
      </w:pPr>
    </w:p>
    <w:p w:rsidR="00F037FD" w:rsidRDefault="00034C5C">
      <w:pPr>
        <w:pStyle w:val="Heading1"/>
      </w:pPr>
      <w:r>
        <w:t>Proton-pump inhibitors</w:t>
      </w:r>
    </w:p>
    <w:p w:rsidR="00F037FD" w:rsidRDefault="00F037FD">
      <w:pPr>
        <w:pStyle w:val="BodyText"/>
        <w:spacing w:before="3"/>
        <w:rPr>
          <w:b/>
          <w:sz w:val="23"/>
        </w:rPr>
      </w:pPr>
    </w:p>
    <w:p w:rsidR="00F037FD" w:rsidRDefault="00034C5C">
      <w:pPr>
        <w:pStyle w:val="BodyText"/>
        <w:ind w:left="141" w:right="134"/>
        <w:jc w:val="both"/>
      </w:pPr>
      <w:r>
        <w:t>A potential interaction may exist between methotrexate and proton pump inhibitors (</w:t>
      </w:r>
      <w:proofErr w:type="spellStart"/>
      <w:r>
        <w:t>eg</w:t>
      </w:r>
      <w:proofErr w:type="spellEnd"/>
      <w:r>
        <w:t xml:space="preserve"> omeprazole, pantoprazole). Concomitant administration of methotrexate and omeprazole has led to delayed renal elimination of methotrexate. In combination with pantoprazole inhibited renal elimination of the metabolite 7-hydroxymethotrexate with myalgia and shivering was reported in one case.</w:t>
      </w:r>
    </w:p>
    <w:p w:rsidR="00F037FD" w:rsidRDefault="00F037FD">
      <w:pPr>
        <w:pStyle w:val="BodyText"/>
        <w:spacing w:before="11"/>
      </w:pPr>
    </w:p>
    <w:p w:rsidR="00F037FD" w:rsidRDefault="00034C5C">
      <w:pPr>
        <w:pStyle w:val="Heading1"/>
      </w:pPr>
      <w:r>
        <w:t>Allopurinol</w:t>
      </w:r>
    </w:p>
    <w:p w:rsidR="00F037FD" w:rsidRDefault="00F037FD">
      <w:pPr>
        <w:pStyle w:val="BodyText"/>
        <w:spacing w:before="4"/>
        <w:rPr>
          <w:b/>
          <w:sz w:val="23"/>
        </w:rPr>
      </w:pPr>
    </w:p>
    <w:p w:rsidR="00F037FD" w:rsidRDefault="00034C5C">
      <w:pPr>
        <w:pStyle w:val="BodyText"/>
        <w:ind w:left="141" w:right="134"/>
        <w:jc w:val="both"/>
      </w:pPr>
      <w:r>
        <w:t>Concomitant use of allopurinol with methotrexate may result in an increased incidence of bone marrow depression.</w:t>
      </w:r>
    </w:p>
    <w:p w:rsidR="00F037FD" w:rsidRDefault="00F037FD">
      <w:pPr>
        <w:pStyle w:val="BodyText"/>
        <w:spacing w:before="5"/>
        <w:rPr>
          <w:sz w:val="25"/>
        </w:rPr>
      </w:pPr>
    </w:p>
    <w:p w:rsidR="00F037FD" w:rsidRDefault="00034C5C">
      <w:pPr>
        <w:pStyle w:val="Heading1"/>
      </w:pPr>
      <w:r>
        <w:t>Medicinal products which cause folate deficiency</w:t>
      </w:r>
    </w:p>
    <w:p w:rsidR="00F037FD" w:rsidRDefault="00F037FD">
      <w:pPr>
        <w:pStyle w:val="BodyText"/>
        <w:spacing w:before="4"/>
        <w:rPr>
          <w:b/>
          <w:sz w:val="23"/>
        </w:rPr>
      </w:pPr>
    </w:p>
    <w:p w:rsidR="00F037FD" w:rsidRDefault="00034C5C">
      <w:pPr>
        <w:pStyle w:val="BodyText"/>
        <w:ind w:left="141" w:right="132"/>
        <w:jc w:val="both"/>
      </w:pPr>
      <w:r>
        <w:t xml:space="preserve">Folate deficiency states may increase methotrexate toxicity. Trimethoprim alone and </w:t>
      </w:r>
      <w:proofErr w:type="spellStart"/>
      <w:r>
        <w:t>sulfamethoxazole</w:t>
      </w:r>
      <w:proofErr w:type="spellEnd"/>
      <w:r>
        <w:t xml:space="preserve">/trimethoprim have been reported rarely to increase the toxic effects (e.g. bone marrow suppression) of methotrexate, probably by decreased tubular secretion and/or an additive </w:t>
      </w:r>
      <w:proofErr w:type="spellStart"/>
      <w:r>
        <w:t>antifolate</w:t>
      </w:r>
      <w:proofErr w:type="spellEnd"/>
      <w:r>
        <w:t xml:space="preserve"> effect. Increased toxic effects (e.g. bone marrow suppression) have also been reported in patients receiving methotrexate and </w:t>
      </w:r>
      <w:proofErr w:type="spellStart"/>
      <w:r>
        <w:t>pyrimethamine</w:t>
      </w:r>
      <w:proofErr w:type="spellEnd"/>
      <w:r>
        <w:t>.</w:t>
      </w:r>
    </w:p>
    <w:p w:rsidR="00F037FD" w:rsidRDefault="00F037FD">
      <w:pPr>
        <w:pStyle w:val="BodyText"/>
        <w:spacing w:before="4"/>
      </w:pPr>
    </w:p>
    <w:p w:rsidR="00F037FD" w:rsidRDefault="00034C5C">
      <w:pPr>
        <w:pStyle w:val="BodyText"/>
        <w:spacing w:before="1"/>
        <w:ind w:left="141" w:right="133"/>
        <w:jc w:val="both"/>
      </w:pPr>
      <w:r>
        <w:t>Assay</w:t>
      </w:r>
      <w:r>
        <w:rPr>
          <w:spacing w:val="-12"/>
        </w:rPr>
        <w:t xml:space="preserve"> </w:t>
      </w:r>
      <w:r>
        <w:t>for</w:t>
      </w:r>
      <w:r>
        <w:rPr>
          <w:spacing w:val="-8"/>
        </w:rPr>
        <w:t xml:space="preserve"> </w:t>
      </w:r>
      <w:r>
        <w:t>folate:</w:t>
      </w:r>
      <w:r>
        <w:rPr>
          <w:spacing w:val="-9"/>
        </w:rPr>
        <w:t xml:space="preserve"> </w:t>
      </w:r>
      <w:r>
        <w:t>Methotrexate</w:t>
      </w:r>
      <w:r>
        <w:rPr>
          <w:spacing w:val="-12"/>
        </w:rPr>
        <w:t xml:space="preserve"> </w:t>
      </w:r>
      <w:r>
        <w:t>may</w:t>
      </w:r>
      <w:r>
        <w:rPr>
          <w:spacing w:val="-12"/>
        </w:rPr>
        <w:t xml:space="preserve"> </w:t>
      </w:r>
      <w:r>
        <w:t>inhibit</w:t>
      </w:r>
      <w:r>
        <w:rPr>
          <w:spacing w:val="-11"/>
        </w:rPr>
        <w:t xml:space="preserve"> </w:t>
      </w:r>
      <w:r>
        <w:t>the</w:t>
      </w:r>
      <w:r>
        <w:rPr>
          <w:spacing w:val="-13"/>
        </w:rPr>
        <w:t xml:space="preserve"> </w:t>
      </w:r>
      <w:r>
        <w:t>organism</w:t>
      </w:r>
      <w:r>
        <w:rPr>
          <w:spacing w:val="-11"/>
        </w:rPr>
        <w:t xml:space="preserve"> </w:t>
      </w:r>
      <w:r>
        <w:t>used</w:t>
      </w:r>
      <w:r>
        <w:rPr>
          <w:spacing w:val="-9"/>
        </w:rPr>
        <w:t xml:space="preserve"> </w:t>
      </w:r>
      <w:r>
        <w:t>in</w:t>
      </w:r>
      <w:r>
        <w:rPr>
          <w:spacing w:val="-12"/>
        </w:rPr>
        <w:t xml:space="preserve"> </w:t>
      </w:r>
      <w:r>
        <w:t>the</w:t>
      </w:r>
      <w:r>
        <w:rPr>
          <w:spacing w:val="-15"/>
        </w:rPr>
        <w:t xml:space="preserve"> </w:t>
      </w:r>
      <w:r>
        <w:t>assay</w:t>
      </w:r>
      <w:r>
        <w:rPr>
          <w:spacing w:val="-14"/>
        </w:rPr>
        <w:t xml:space="preserve"> </w:t>
      </w:r>
      <w:r>
        <w:t>and</w:t>
      </w:r>
      <w:r>
        <w:rPr>
          <w:spacing w:val="-10"/>
        </w:rPr>
        <w:t xml:space="preserve"> </w:t>
      </w:r>
      <w:r>
        <w:t>interfere</w:t>
      </w:r>
      <w:r>
        <w:rPr>
          <w:spacing w:val="-12"/>
        </w:rPr>
        <w:t xml:space="preserve"> </w:t>
      </w:r>
      <w:r>
        <w:t>with</w:t>
      </w:r>
      <w:r>
        <w:rPr>
          <w:spacing w:val="-12"/>
        </w:rPr>
        <w:t xml:space="preserve"> </w:t>
      </w:r>
      <w:r>
        <w:t>detection of folic acid</w:t>
      </w:r>
      <w:r>
        <w:rPr>
          <w:spacing w:val="-9"/>
        </w:rPr>
        <w:t xml:space="preserve"> </w:t>
      </w:r>
      <w:r>
        <w:t>deficiency.</w:t>
      </w:r>
    </w:p>
    <w:p w:rsidR="00F037FD" w:rsidRDefault="00F037FD">
      <w:pPr>
        <w:pStyle w:val="BodyText"/>
        <w:spacing w:before="3"/>
        <w:rPr>
          <w:sz w:val="25"/>
        </w:rPr>
      </w:pPr>
    </w:p>
    <w:p w:rsidR="00F037FD" w:rsidRDefault="00034C5C">
      <w:pPr>
        <w:pStyle w:val="Heading1"/>
      </w:pPr>
      <w:r>
        <w:t>Medicinal products with adverse reactions on the bone marrow</w:t>
      </w:r>
    </w:p>
    <w:p w:rsidR="00F037FD" w:rsidRDefault="00F037FD">
      <w:pPr>
        <w:pStyle w:val="BodyText"/>
        <w:spacing w:before="3"/>
        <w:rPr>
          <w:b/>
          <w:sz w:val="23"/>
        </w:rPr>
      </w:pPr>
    </w:p>
    <w:p w:rsidR="00F037FD" w:rsidRDefault="00034C5C">
      <w:pPr>
        <w:pStyle w:val="BodyText"/>
        <w:ind w:left="141" w:right="134"/>
        <w:jc w:val="both"/>
      </w:pPr>
      <w:r>
        <w:t xml:space="preserve">In the case of medication with medicinal products, which may have adverse reactions on the bone marrow (e.g. </w:t>
      </w:r>
      <w:proofErr w:type="spellStart"/>
      <w:r>
        <w:t>sulphonamides</w:t>
      </w:r>
      <w:proofErr w:type="spellEnd"/>
      <w:r>
        <w:t>, trimethoprim-</w:t>
      </w:r>
      <w:proofErr w:type="spellStart"/>
      <w:r>
        <w:t>sulphamethoxazole</w:t>
      </w:r>
      <w:proofErr w:type="spellEnd"/>
      <w:r>
        <w:t xml:space="preserve">, chloramphenicol, </w:t>
      </w:r>
      <w:proofErr w:type="spellStart"/>
      <w:r>
        <w:t>pyrimethamine</w:t>
      </w:r>
      <w:proofErr w:type="spellEnd"/>
      <w:r>
        <w:t>); attention should be paid to the possibility of pronounced impairment of blood formation.</w:t>
      </w:r>
    </w:p>
    <w:p w:rsidR="00F037FD" w:rsidRDefault="00F037FD">
      <w:pPr>
        <w:pStyle w:val="BodyText"/>
        <w:spacing w:before="4"/>
        <w:rPr>
          <w:sz w:val="25"/>
        </w:rPr>
      </w:pPr>
    </w:p>
    <w:p w:rsidR="00F037FD" w:rsidRDefault="00034C5C">
      <w:pPr>
        <w:pStyle w:val="Heading1"/>
      </w:pPr>
      <w:r>
        <w:t xml:space="preserve">Other </w:t>
      </w:r>
      <w:proofErr w:type="spellStart"/>
      <w:r>
        <w:t>antirheumatic</w:t>
      </w:r>
      <w:proofErr w:type="spellEnd"/>
      <w:r>
        <w:t xml:space="preserve"> medicinal products</w:t>
      </w:r>
    </w:p>
    <w:p w:rsidR="00F037FD" w:rsidRDefault="00F037FD">
      <w:pPr>
        <w:pStyle w:val="BodyText"/>
        <w:spacing w:before="1"/>
        <w:rPr>
          <w:b/>
          <w:sz w:val="23"/>
        </w:rPr>
      </w:pPr>
    </w:p>
    <w:p w:rsidR="00F037FD" w:rsidRDefault="00034C5C">
      <w:pPr>
        <w:pStyle w:val="BodyText"/>
        <w:ind w:left="141" w:right="135"/>
        <w:jc w:val="both"/>
      </w:pPr>
      <w:r>
        <w:t xml:space="preserve">An increase in the toxic effects of methotrexate is, in general, not to be expected when TREXJECT </w:t>
      </w:r>
      <w:r>
        <w:lastRenderedPageBreak/>
        <w:t>IN</w:t>
      </w:r>
      <w:r>
        <w:rPr>
          <w:spacing w:val="-16"/>
        </w:rPr>
        <w:t xml:space="preserve"> </w:t>
      </w:r>
      <w:r>
        <w:t>is</w:t>
      </w:r>
      <w:r>
        <w:rPr>
          <w:spacing w:val="-19"/>
        </w:rPr>
        <w:t xml:space="preserve"> </w:t>
      </w:r>
      <w:r>
        <w:t>administered</w:t>
      </w:r>
      <w:r>
        <w:rPr>
          <w:spacing w:val="-16"/>
        </w:rPr>
        <w:t xml:space="preserve"> </w:t>
      </w:r>
      <w:r>
        <w:t>simultaneously</w:t>
      </w:r>
      <w:r>
        <w:rPr>
          <w:spacing w:val="-19"/>
        </w:rPr>
        <w:t xml:space="preserve"> </w:t>
      </w:r>
      <w:r>
        <w:t>with</w:t>
      </w:r>
      <w:r>
        <w:rPr>
          <w:spacing w:val="-16"/>
        </w:rPr>
        <w:t xml:space="preserve"> </w:t>
      </w:r>
      <w:r>
        <w:t>other</w:t>
      </w:r>
      <w:r>
        <w:rPr>
          <w:spacing w:val="-15"/>
        </w:rPr>
        <w:t xml:space="preserve"> </w:t>
      </w:r>
      <w:proofErr w:type="spellStart"/>
      <w:r>
        <w:t>antirheumatic</w:t>
      </w:r>
      <w:proofErr w:type="spellEnd"/>
      <w:r>
        <w:rPr>
          <w:spacing w:val="-14"/>
        </w:rPr>
        <w:t xml:space="preserve"> </w:t>
      </w:r>
      <w:r>
        <w:t>medicinal</w:t>
      </w:r>
      <w:r>
        <w:rPr>
          <w:spacing w:val="-18"/>
        </w:rPr>
        <w:t xml:space="preserve"> </w:t>
      </w:r>
      <w:r>
        <w:t>products</w:t>
      </w:r>
      <w:r>
        <w:rPr>
          <w:spacing w:val="-19"/>
        </w:rPr>
        <w:t xml:space="preserve"> </w:t>
      </w:r>
      <w:r>
        <w:t>(e.g.</w:t>
      </w:r>
      <w:r>
        <w:rPr>
          <w:spacing w:val="-16"/>
        </w:rPr>
        <w:t xml:space="preserve"> </w:t>
      </w:r>
      <w:r>
        <w:t>gold</w:t>
      </w:r>
      <w:r>
        <w:rPr>
          <w:spacing w:val="-15"/>
        </w:rPr>
        <w:t xml:space="preserve"> </w:t>
      </w:r>
      <w:r>
        <w:t xml:space="preserve">compounds, </w:t>
      </w:r>
      <w:proofErr w:type="spellStart"/>
      <w:r>
        <w:t>penicillamine</w:t>
      </w:r>
      <w:proofErr w:type="spellEnd"/>
      <w:r>
        <w:t xml:space="preserve">, </w:t>
      </w:r>
      <w:proofErr w:type="spellStart"/>
      <w:r>
        <w:t>hydroxychloroquine</w:t>
      </w:r>
      <w:proofErr w:type="spellEnd"/>
      <w:r>
        <w:t xml:space="preserve">, </w:t>
      </w:r>
      <w:proofErr w:type="spellStart"/>
      <w:r>
        <w:t>sulphasalazine</w:t>
      </w:r>
      <w:proofErr w:type="spellEnd"/>
      <w:r>
        <w:t xml:space="preserve">, </w:t>
      </w:r>
      <w:proofErr w:type="spellStart"/>
      <w:r>
        <w:t>azathioprin</w:t>
      </w:r>
      <w:proofErr w:type="spellEnd"/>
      <w:r>
        <w:t>,</w:t>
      </w:r>
      <w:r>
        <w:rPr>
          <w:spacing w:val="-22"/>
        </w:rPr>
        <w:t xml:space="preserve"> </w:t>
      </w:r>
      <w:proofErr w:type="spellStart"/>
      <w:proofErr w:type="gramStart"/>
      <w:r>
        <w:t>cyclosporin</w:t>
      </w:r>
      <w:proofErr w:type="spellEnd"/>
      <w:proofErr w:type="gramEnd"/>
      <w:r>
        <w:t>).</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rPr>
          <w:sz w:val="20"/>
        </w:rPr>
      </w:pPr>
    </w:p>
    <w:p w:rsidR="00F037FD" w:rsidRDefault="00F037FD">
      <w:pPr>
        <w:pStyle w:val="BodyText"/>
        <w:spacing w:before="4"/>
        <w:rPr>
          <w:sz w:val="23"/>
        </w:rPr>
      </w:pPr>
    </w:p>
    <w:p w:rsidR="00F037FD" w:rsidRDefault="00034C5C">
      <w:pPr>
        <w:pStyle w:val="Heading1"/>
      </w:pPr>
      <w:r>
        <w:t>Sulfasalazine</w:t>
      </w:r>
    </w:p>
    <w:p w:rsidR="00F037FD" w:rsidRDefault="00F037FD">
      <w:pPr>
        <w:pStyle w:val="BodyText"/>
        <w:spacing w:before="4"/>
        <w:rPr>
          <w:b/>
          <w:sz w:val="23"/>
        </w:rPr>
      </w:pPr>
    </w:p>
    <w:p w:rsidR="00F037FD" w:rsidRDefault="00034C5C">
      <w:pPr>
        <w:pStyle w:val="BodyText"/>
        <w:ind w:left="141" w:right="135"/>
        <w:jc w:val="both"/>
      </w:pPr>
      <w:r>
        <w:t xml:space="preserve">Although the combination of methotrexate and </w:t>
      </w:r>
      <w:proofErr w:type="spellStart"/>
      <w:r>
        <w:t>sulphasalazine</w:t>
      </w:r>
      <w:proofErr w:type="spellEnd"/>
      <w:r>
        <w:t xml:space="preserve"> can cause an increase in efficacy of methotrexate and as a result more undesirable effects due to the inhibition of folic acid synthesis through </w:t>
      </w:r>
      <w:proofErr w:type="spellStart"/>
      <w:r>
        <w:t>sulphasalazine</w:t>
      </w:r>
      <w:proofErr w:type="spellEnd"/>
      <w:r>
        <w:t>, such undesirable effects have only been observed in rare individual cases in the course of several studies.</w:t>
      </w:r>
    </w:p>
    <w:p w:rsidR="00F037FD" w:rsidRDefault="00F037FD">
      <w:pPr>
        <w:pStyle w:val="BodyText"/>
        <w:rPr>
          <w:sz w:val="25"/>
        </w:rPr>
      </w:pPr>
    </w:p>
    <w:p w:rsidR="00F037FD" w:rsidRDefault="00034C5C">
      <w:pPr>
        <w:pStyle w:val="Heading1"/>
      </w:pPr>
      <w:proofErr w:type="spellStart"/>
      <w:r>
        <w:t>Amiodarone</w:t>
      </w:r>
      <w:proofErr w:type="spellEnd"/>
    </w:p>
    <w:p w:rsidR="00F037FD" w:rsidRDefault="00F037FD">
      <w:pPr>
        <w:pStyle w:val="BodyText"/>
        <w:spacing w:before="3"/>
        <w:rPr>
          <w:b/>
          <w:sz w:val="23"/>
        </w:rPr>
      </w:pPr>
    </w:p>
    <w:p w:rsidR="00F037FD" w:rsidRDefault="00034C5C">
      <w:pPr>
        <w:pStyle w:val="BodyText"/>
        <w:spacing w:before="1"/>
        <w:ind w:left="141"/>
      </w:pPr>
      <w:proofErr w:type="spellStart"/>
      <w:r>
        <w:t>Amiodarone</w:t>
      </w:r>
      <w:proofErr w:type="spellEnd"/>
      <w:r>
        <w:t xml:space="preserve"> administration to patients receiving methotrexate treatment for psoriasis has induced ulcerative skin lesions.</w:t>
      </w:r>
    </w:p>
    <w:p w:rsidR="00F037FD" w:rsidRDefault="00F037FD">
      <w:pPr>
        <w:pStyle w:val="BodyText"/>
        <w:spacing w:before="3"/>
        <w:rPr>
          <w:sz w:val="25"/>
        </w:rPr>
      </w:pPr>
    </w:p>
    <w:p w:rsidR="00F037FD" w:rsidRDefault="00034C5C">
      <w:pPr>
        <w:pStyle w:val="Heading1"/>
      </w:pPr>
      <w:r>
        <w:t>Theophylline</w:t>
      </w:r>
    </w:p>
    <w:p w:rsidR="00F037FD" w:rsidRDefault="00F037FD">
      <w:pPr>
        <w:pStyle w:val="BodyText"/>
        <w:spacing w:before="4"/>
        <w:rPr>
          <w:b/>
          <w:sz w:val="23"/>
        </w:rPr>
      </w:pPr>
    </w:p>
    <w:p w:rsidR="00F037FD" w:rsidRDefault="00034C5C">
      <w:pPr>
        <w:pStyle w:val="BodyText"/>
        <w:spacing w:before="1"/>
        <w:ind w:left="141"/>
      </w:pPr>
      <w:r>
        <w:t>Methotrexate may decrease the clearance of theophylline; theophylline levels should be monitored when used concurrently with methotrexate.</w:t>
      </w:r>
    </w:p>
    <w:p w:rsidR="00F037FD" w:rsidRDefault="00F037FD">
      <w:pPr>
        <w:pStyle w:val="BodyText"/>
        <w:spacing w:before="5"/>
        <w:rPr>
          <w:sz w:val="25"/>
        </w:rPr>
      </w:pPr>
    </w:p>
    <w:p w:rsidR="00F037FD" w:rsidRDefault="00034C5C">
      <w:pPr>
        <w:pStyle w:val="Heading1"/>
      </w:pPr>
      <w:proofErr w:type="spellStart"/>
      <w:r>
        <w:t>Mercaptopurine</w:t>
      </w:r>
      <w:proofErr w:type="spellEnd"/>
    </w:p>
    <w:p w:rsidR="00F037FD" w:rsidRDefault="00F037FD">
      <w:pPr>
        <w:pStyle w:val="BodyText"/>
        <w:spacing w:before="1"/>
        <w:rPr>
          <w:b/>
          <w:sz w:val="23"/>
        </w:rPr>
      </w:pPr>
    </w:p>
    <w:p w:rsidR="00F037FD" w:rsidRDefault="00034C5C">
      <w:pPr>
        <w:pStyle w:val="BodyText"/>
        <w:ind w:left="141"/>
      </w:pPr>
      <w:r>
        <w:t xml:space="preserve">Methotrexate increases the plasma levels of </w:t>
      </w:r>
      <w:proofErr w:type="spellStart"/>
      <w:r>
        <w:t>mercaptopurine</w:t>
      </w:r>
      <w:proofErr w:type="spellEnd"/>
      <w:r>
        <w:t xml:space="preserve">. Combination of methotrexate and </w:t>
      </w:r>
      <w:proofErr w:type="spellStart"/>
      <w:r>
        <w:t>mercaptopurine</w:t>
      </w:r>
      <w:proofErr w:type="spellEnd"/>
      <w:r>
        <w:t xml:space="preserve"> may therefore require dose adjustment.</w:t>
      </w:r>
    </w:p>
    <w:p w:rsidR="00F037FD" w:rsidRDefault="00F037FD">
      <w:pPr>
        <w:pStyle w:val="BodyText"/>
        <w:spacing w:before="4"/>
        <w:rPr>
          <w:sz w:val="25"/>
        </w:rPr>
      </w:pPr>
    </w:p>
    <w:p w:rsidR="00F037FD" w:rsidRDefault="00034C5C">
      <w:pPr>
        <w:pStyle w:val="Heading1"/>
        <w:spacing w:before="1"/>
      </w:pPr>
      <w:r>
        <w:t>PUVA Therapy</w:t>
      </w:r>
    </w:p>
    <w:p w:rsidR="00F037FD" w:rsidRDefault="00F037FD">
      <w:pPr>
        <w:pStyle w:val="BodyText"/>
        <w:spacing w:before="4"/>
        <w:rPr>
          <w:b/>
          <w:sz w:val="23"/>
        </w:rPr>
      </w:pPr>
    </w:p>
    <w:p w:rsidR="00F037FD" w:rsidRDefault="00034C5C">
      <w:pPr>
        <w:pStyle w:val="BodyText"/>
        <w:ind w:left="141" w:right="134"/>
        <w:jc w:val="both"/>
      </w:pPr>
      <w:r>
        <w:t xml:space="preserve">Skin cancer has been reported in a few patients with psoriasis or mycosis </w:t>
      </w:r>
      <w:proofErr w:type="spellStart"/>
      <w:r>
        <w:t>fungoides</w:t>
      </w:r>
      <w:proofErr w:type="spellEnd"/>
      <w:r>
        <w:t xml:space="preserve"> (a cutaneous T- cell</w:t>
      </w:r>
      <w:r>
        <w:rPr>
          <w:spacing w:val="-16"/>
        </w:rPr>
        <w:t xml:space="preserve"> </w:t>
      </w:r>
      <w:r>
        <w:t>lymphoma)</w:t>
      </w:r>
      <w:r>
        <w:rPr>
          <w:spacing w:val="-17"/>
        </w:rPr>
        <w:t xml:space="preserve"> </w:t>
      </w:r>
      <w:r>
        <w:t>receiving</w:t>
      </w:r>
      <w:r>
        <w:rPr>
          <w:spacing w:val="-16"/>
        </w:rPr>
        <w:t xml:space="preserve"> </w:t>
      </w:r>
      <w:r>
        <w:t>concomitant</w:t>
      </w:r>
      <w:r>
        <w:rPr>
          <w:spacing w:val="-16"/>
        </w:rPr>
        <w:t xml:space="preserve"> </w:t>
      </w:r>
      <w:r>
        <w:t>treatment</w:t>
      </w:r>
      <w:r>
        <w:rPr>
          <w:spacing w:val="-16"/>
        </w:rPr>
        <w:t xml:space="preserve"> </w:t>
      </w:r>
      <w:r>
        <w:t>with</w:t>
      </w:r>
      <w:r>
        <w:rPr>
          <w:spacing w:val="-16"/>
        </w:rPr>
        <w:t xml:space="preserve"> </w:t>
      </w:r>
      <w:r>
        <w:t>methotrexate</w:t>
      </w:r>
      <w:r>
        <w:rPr>
          <w:spacing w:val="-20"/>
        </w:rPr>
        <w:t xml:space="preserve"> </w:t>
      </w:r>
      <w:r>
        <w:t>plus</w:t>
      </w:r>
      <w:r>
        <w:rPr>
          <w:spacing w:val="-18"/>
        </w:rPr>
        <w:t xml:space="preserve"> </w:t>
      </w:r>
      <w:r>
        <w:t>PUVA</w:t>
      </w:r>
      <w:r>
        <w:rPr>
          <w:spacing w:val="-17"/>
        </w:rPr>
        <w:t xml:space="preserve"> </w:t>
      </w:r>
      <w:r>
        <w:t>therapy</w:t>
      </w:r>
      <w:r>
        <w:rPr>
          <w:spacing w:val="-18"/>
        </w:rPr>
        <w:t xml:space="preserve"> </w:t>
      </w:r>
      <w:r>
        <w:t>(</w:t>
      </w:r>
      <w:proofErr w:type="spellStart"/>
      <w:r>
        <w:t>methoxsalen</w:t>
      </w:r>
      <w:proofErr w:type="spellEnd"/>
      <w:r>
        <w:t xml:space="preserve"> and ultraviolet</w:t>
      </w:r>
      <w:r>
        <w:rPr>
          <w:spacing w:val="-8"/>
        </w:rPr>
        <w:t xml:space="preserve"> </w:t>
      </w:r>
      <w:r>
        <w:t>light).</w:t>
      </w:r>
    </w:p>
    <w:p w:rsidR="00F037FD" w:rsidRDefault="00F037FD">
      <w:pPr>
        <w:pStyle w:val="BodyText"/>
        <w:spacing w:before="2"/>
        <w:rPr>
          <w:sz w:val="25"/>
        </w:rPr>
      </w:pPr>
    </w:p>
    <w:p w:rsidR="00F037FD" w:rsidRDefault="00034C5C">
      <w:pPr>
        <w:pStyle w:val="Heading1"/>
      </w:pPr>
      <w:r>
        <w:t>Vaccines</w:t>
      </w:r>
    </w:p>
    <w:p w:rsidR="00F037FD" w:rsidRDefault="00F037FD">
      <w:pPr>
        <w:pStyle w:val="BodyText"/>
        <w:spacing w:before="3"/>
        <w:rPr>
          <w:b/>
          <w:sz w:val="23"/>
        </w:rPr>
      </w:pPr>
    </w:p>
    <w:p w:rsidR="00F037FD" w:rsidRDefault="00034C5C">
      <w:pPr>
        <w:pStyle w:val="BodyText"/>
        <w:spacing w:before="1"/>
        <w:ind w:left="141"/>
      </w:pPr>
      <w:r>
        <w:t>Methotrexate is an immunosuppressant and may reduce immunological response to concurrent vaccination. Severe antigenic reactions may occur if a live vaccine is given concurrently.</w:t>
      </w:r>
    </w:p>
    <w:p w:rsidR="00F037FD" w:rsidRDefault="00F037FD">
      <w:pPr>
        <w:pStyle w:val="BodyText"/>
        <w:spacing w:before="5"/>
        <w:rPr>
          <w:sz w:val="25"/>
        </w:rPr>
      </w:pPr>
    </w:p>
    <w:p w:rsidR="00F037FD" w:rsidRDefault="00034C5C">
      <w:pPr>
        <w:pStyle w:val="Heading1"/>
      </w:pPr>
      <w:r>
        <w:t>Caffeine- or theophylline-containing beverages</w:t>
      </w:r>
    </w:p>
    <w:p w:rsidR="00F037FD" w:rsidRDefault="00F037FD">
      <w:pPr>
        <w:pStyle w:val="BodyText"/>
        <w:spacing w:before="3"/>
        <w:rPr>
          <w:b/>
          <w:sz w:val="23"/>
        </w:rPr>
      </w:pPr>
    </w:p>
    <w:p w:rsidR="00F037FD" w:rsidRDefault="00034C5C">
      <w:pPr>
        <w:pStyle w:val="BodyText"/>
        <w:spacing w:before="1"/>
        <w:ind w:left="141"/>
      </w:pPr>
      <w:r>
        <w:t xml:space="preserve">An excessive consumption of caffeine- or theophylline-containing beverages (coffee, caffeine- containing soft drinks, </w:t>
      </w:r>
      <w:proofErr w:type="gramStart"/>
      <w:r>
        <w:t>black</w:t>
      </w:r>
      <w:proofErr w:type="gramEnd"/>
      <w:r>
        <w:t xml:space="preserve"> tea) should be avoided during methotrexate therapy.</w:t>
      </w:r>
    </w:p>
    <w:p w:rsidR="00F037FD" w:rsidRDefault="00F037FD">
      <w:pPr>
        <w:pStyle w:val="BodyText"/>
        <w:spacing w:before="5"/>
        <w:rPr>
          <w:sz w:val="25"/>
        </w:rPr>
      </w:pPr>
    </w:p>
    <w:p w:rsidR="00F037FD" w:rsidRDefault="00034C5C">
      <w:pPr>
        <w:pStyle w:val="Heading1"/>
      </w:pPr>
      <w:r>
        <w:t>INSTRUCTIONS TO PATIENTS</w:t>
      </w:r>
    </w:p>
    <w:p w:rsidR="00F037FD" w:rsidRDefault="00F037FD">
      <w:pPr>
        <w:pStyle w:val="BodyText"/>
        <w:spacing w:before="4"/>
        <w:rPr>
          <w:b/>
          <w:sz w:val="23"/>
        </w:rPr>
      </w:pPr>
    </w:p>
    <w:p w:rsidR="00F037FD" w:rsidRDefault="00034C5C">
      <w:pPr>
        <w:pStyle w:val="ListParagraph"/>
        <w:numPr>
          <w:ilvl w:val="0"/>
          <w:numId w:val="2"/>
        </w:numPr>
        <w:tabs>
          <w:tab w:val="left" w:pos="709"/>
        </w:tabs>
        <w:ind w:right="133"/>
        <w:rPr>
          <w:sz w:val="24"/>
        </w:rPr>
      </w:pPr>
      <w:r>
        <w:rPr>
          <w:sz w:val="24"/>
        </w:rPr>
        <w:t>Patients</w:t>
      </w:r>
      <w:r>
        <w:rPr>
          <w:spacing w:val="-9"/>
          <w:sz w:val="24"/>
        </w:rPr>
        <w:t xml:space="preserve"> </w:t>
      </w:r>
      <w:r>
        <w:rPr>
          <w:sz w:val="24"/>
        </w:rPr>
        <w:t>should</w:t>
      </w:r>
      <w:r>
        <w:rPr>
          <w:spacing w:val="-9"/>
          <w:sz w:val="24"/>
        </w:rPr>
        <w:t xml:space="preserve"> </w:t>
      </w:r>
      <w:r>
        <w:rPr>
          <w:sz w:val="24"/>
        </w:rPr>
        <w:t>be</w:t>
      </w:r>
      <w:r>
        <w:rPr>
          <w:spacing w:val="-13"/>
          <w:sz w:val="24"/>
        </w:rPr>
        <w:t xml:space="preserve"> </w:t>
      </w:r>
      <w:r>
        <w:rPr>
          <w:sz w:val="24"/>
        </w:rPr>
        <w:t>informed</w:t>
      </w:r>
      <w:r>
        <w:rPr>
          <w:spacing w:val="-7"/>
          <w:sz w:val="24"/>
        </w:rPr>
        <w:t xml:space="preserve"> </w:t>
      </w:r>
      <w:r>
        <w:rPr>
          <w:sz w:val="24"/>
        </w:rPr>
        <w:t>of</w:t>
      </w:r>
      <w:r>
        <w:rPr>
          <w:spacing w:val="-10"/>
          <w:sz w:val="24"/>
        </w:rPr>
        <w:t xml:space="preserve"> </w:t>
      </w:r>
      <w:r>
        <w:rPr>
          <w:sz w:val="24"/>
        </w:rPr>
        <w:t>the</w:t>
      </w:r>
      <w:r>
        <w:rPr>
          <w:spacing w:val="-13"/>
          <w:sz w:val="24"/>
        </w:rPr>
        <w:t xml:space="preserve"> </w:t>
      </w:r>
      <w:r>
        <w:rPr>
          <w:sz w:val="24"/>
        </w:rPr>
        <w:t>potential</w:t>
      </w:r>
      <w:r>
        <w:rPr>
          <w:spacing w:val="-8"/>
          <w:sz w:val="24"/>
        </w:rPr>
        <w:t xml:space="preserve"> </w:t>
      </w:r>
      <w:r>
        <w:rPr>
          <w:sz w:val="24"/>
        </w:rPr>
        <w:t>benefit</w:t>
      </w:r>
      <w:r>
        <w:rPr>
          <w:spacing w:val="-7"/>
          <w:sz w:val="24"/>
        </w:rPr>
        <w:t xml:space="preserve"> </w:t>
      </w:r>
      <w:r>
        <w:rPr>
          <w:sz w:val="24"/>
        </w:rPr>
        <w:t>and</w:t>
      </w:r>
      <w:r>
        <w:rPr>
          <w:spacing w:val="-14"/>
          <w:sz w:val="24"/>
        </w:rPr>
        <w:t xml:space="preserve"> </w:t>
      </w:r>
      <w:r>
        <w:rPr>
          <w:sz w:val="24"/>
        </w:rPr>
        <w:t>risk</w:t>
      </w:r>
      <w:r>
        <w:rPr>
          <w:spacing w:val="-11"/>
          <w:sz w:val="24"/>
        </w:rPr>
        <w:t xml:space="preserve"> </w:t>
      </w:r>
      <w:r>
        <w:rPr>
          <w:sz w:val="24"/>
        </w:rPr>
        <w:t>in</w:t>
      </w:r>
      <w:r>
        <w:rPr>
          <w:spacing w:val="-12"/>
          <w:sz w:val="24"/>
        </w:rPr>
        <w:t xml:space="preserve"> </w:t>
      </w:r>
      <w:r>
        <w:rPr>
          <w:sz w:val="24"/>
        </w:rPr>
        <w:t>the</w:t>
      </w:r>
      <w:r>
        <w:rPr>
          <w:spacing w:val="-13"/>
          <w:sz w:val="24"/>
        </w:rPr>
        <w:t xml:space="preserve"> </w:t>
      </w:r>
      <w:r>
        <w:rPr>
          <w:sz w:val="24"/>
        </w:rPr>
        <w:t>use</w:t>
      </w:r>
      <w:r>
        <w:rPr>
          <w:spacing w:val="-13"/>
          <w:sz w:val="24"/>
        </w:rPr>
        <w:t xml:space="preserve"> </w:t>
      </w:r>
      <w:r>
        <w:rPr>
          <w:sz w:val="24"/>
        </w:rPr>
        <w:t>of</w:t>
      </w:r>
      <w:r>
        <w:rPr>
          <w:spacing w:val="-10"/>
          <w:sz w:val="24"/>
        </w:rPr>
        <w:t xml:space="preserve"> </w:t>
      </w:r>
      <w:r>
        <w:rPr>
          <w:sz w:val="24"/>
        </w:rPr>
        <w:t>methotrexate.</w:t>
      </w:r>
      <w:r>
        <w:rPr>
          <w:spacing w:val="-7"/>
          <w:sz w:val="24"/>
        </w:rPr>
        <w:t xml:space="preserve"> </w:t>
      </w:r>
      <w:r>
        <w:rPr>
          <w:sz w:val="24"/>
        </w:rPr>
        <w:t>The</w:t>
      </w:r>
      <w:r>
        <w:rPr>
          <w:spacing w:val="-13"/>
          <w:sz w:val="24"/>
        </w:rPr>
        <w:t xml:space="preserve"> </w:t>
      </w:r>
      <w:r>
        <w:rPr>
          <w:sz w:val="24"/>
        </w:rPr>
        <w:t>risk of effects on reproduction should be discussed with both male and female patients taking methotrexate.</w:t>
      </w:r>
    </w:p>
    <w:p w:rsidR="00F037FD" w:rsidRDefault="00F037FD">
      <w:pPr>
        <w:pStyle w:val="BodyText"/>
        <w:spacing w:before="11"/>
        <w:rPr>
          <w:sz w:val="23"/>
        </w:rPr>
      </w:pPr>
    </w:p>
    <w:p w:rsidR="00F037FD" w:rsidRDefault="00034C5C">
      <w:pPr>
        <w:pStyle w:val="ListParagraph"/>
        <w:numPr>
          <w:ilvl w:val="0"/>
          <w:numId w:val="2"/>
        </w:numPr>
        <w:tabs>
          <w:tab w:val="left" w:pos="709"/>
        </w:tabs>
        <w:ind w:right="135"/>
        <w:rPr>
          <w:sz w:val="24"/>
        </w:rPr>
      </w:pPr>
      <w:r>
        <w:rPr>
          <w:sz w:val="24"/>
        </w:rPr>
        <w:t>Patients</w:t>
      </w:r>
      <w:r>
        <w:rPr>
          <w:spacing w:val="-8"/>
          <w:sz w:val="24"/>
        </w:rPr>
        <w:t xml:space="preserve"> </w:t>
      </w:r>
      <w:r>
        <w:rPr>
          <w:sz w:val="24"/>
        </w:rPr>
        <w:t>should</w:t>
      </w:r>
      <w:r>
        <w:rPr>
          <w:spacing w:val="-8"/>
          <w:sz w:val="24"/>
        </w:rPr>
        <w:t xml:space="preserve"> </w:t>
      </w:r>
      <w:r>
        <w:rPr>
          <w:sz w:val="24"/>
        </w:rPr>
        <w:t>be</w:t>
      </w:r>
      <w:r>
        <w:rPr>
          <w:spacing w:val="-12"/>
          <w:sz w:val="24"/>
        </w:rPr>
        <w:t xml:space="preserve"> </w:t>
      </w:r>
      <w:r>
        <w:rPr>
          <w:sz w:val="24"/>
        </w:rPr>
        <w:t>informed</w:t>
      </w:r>
      <w:r>
        <w:rPr>
          <w:spacing w:val="-8"/>
          <w:sz w:val="24"/>
        </w:rPr>
        <w:t xml:space="preserve"> </w:t>
      </w:r>
      <w:r>
        <w:rPr>
          <w:sz w:val="24"/>
        </w:rPr>
        <w:t>of</w:t>
      </w:r>
      <w:r>
        <w:rPr>
          <w:spacing w:val="-9"/>
          <w:sz w:val="24"/>
        </w:rPr>
        <w:t xml:space="preserve"> </w:t>
      </w:r>
      <w:r>
        <w:rPr>
          <w:sz w:val="24"/>
        </w:rPr>
        <w:t>the</w:t>
      </w:r>
      <w:r>
        <w:rPr>
          <w:spacing w:val="-11"/>
          <w:sz w:val="24"/>
        </w:rPr>
        <w:t xml:space="preserve"> </w:t>
      </w:r>
      <w:r>
        <w:rPr>
          <w:sz w:val="24"/>
        </w:rPr>
        <w:t>early</w:t>
      </w:r>
      <w:r>
        <w:rPr>
          <w:spacing w:val="-11"/>
          <w:sz w:val="24"/>
        </w:rPr>
        <w:t xml:space="preserve"> </w:t>
      </w:r>
      <w:r>
        <w:rPr>
          <w:sz w:val="24"/>
        </w:rPr>
        <w:t>signs</w:t>
      </w:r>
      <w:r>
        <w:rPr>
          <w:spacing w:val="-8"/>
          <w:sz w:val="24"/>
        </w:rPr>
        <w:t xml:space="preserve"> </w:t>
      </w:r>
      <w:r>
        <w:rPr>
          <w:sz w:val="24"/>
        </w:rPr>
        <w:t>and</w:t>
      </w:r>
      <w:r>
        <w:rPr>
          <w:spacing w:val="-11"/>
          <w:sz w:val="24"/>
        </w:rPr>
        <w:t xml:space="preserve"> </w:t>
      </w:r>
      <w:r>
        <w:rPr>
          <w:sz w:val="24"/>
        </w:rPr>
        <w:t>symptoms</w:t>
      </w:r>
      <w:r>
        <w:rPr>
          <w:spacing w:val="-8"/>
          <w:sz w:val="24"/>
        </w:rPr>
        <w:t xml:space="preserve"> </w:t>
      </w:r>
      <w:r>
        <w:rPr>
          <w:sz w:val="24"/>
        </w:rPr>
        <w:t>of</w:t>
      </w:r>
      <w:r>
        <w:rPr>
          <w:spacing w:val="-9"/>
          <w:sz w:val="24"/>
        </w:rPr>
        <w:t xml:space="preserve"> </w:t>
      </w:r>
      <w:r>
        <w:rPr>
          <w:sz w:val="24"/>
        </w:rPr>
        <w:t>toxicity,</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need</w:t>
      </w:r>
      <w:r>
        <w:rPr>
          <w:spacing w:val="-8"/>
          <w:sz w:val="24"/>
        </w:rPr>
        <w:t xml:space="preserve"> </w:t>
      </w:r>
      <w:r>
        <w:rPr>
          <w:sz w:val="24"/>
        </w:rPr>
        <w:t>to</w:t>
      </w:r>
      <w:r>
        <w:rPr>
          <w:spacing w:val="-11"/>
          <w:sz w:val="24"/>
        </w:rPr>
        <w:t xml:space="preserve"> </w:t>
      </w:r>
      <w:r>
        <w:rPr>
          <w:sz w:val="24"/>
        </w:rPr>
        <w:t>see</w:t>
      </w:r>
      <w:r>
        <w:rPr>
          <w:spacing w:val="-12"/>
          <w:sz w:val="24"/>
        </w:rPr>
        <w:t xml:space="preserve"> </w:t>
      </w:r>
      <w:r>
        <w:rPr>
          <w:sz w:val="24"/>
        </w:rPr>
        <w:t>their doctor promptly if they occur, and the need for close follow-up, including periodic laboratory tests to monitor</w:t>
      </w:r>
      <w:r>
        <w:rPr>
          <w:spacing w:val="-5"/>
          <w:sz w:val="24"/>
        </w:rPr>
        <w:t xml:space="preserve"> </w:t>
      </w:r>
      <w:r>
        <w:rPr>
          <w:sz w:val="24"/>
        </w:rPr>
        <w:t>toxicity.</w:t>
      </w:r>
    </w:p>
    <w:p w:rsidR="00F037FD" w:rsidRDefault="00F037FD">
      <w:pPr>
        <w:jc w:val="both"/>
        <w:rPr>
          <w:sz w:val="24"/>
        </w:rPr>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ListParagraph"/>
        <w:numPr>
          <w:ilvl w:val="0"/>
          <w:numId w:val="2"/>
        </w:numPr>
        <w:tabs>
          <w:tab w:val="left" w:pos="709"/>
        </w:tabs>
        <w:spacing w:before="90"/>
        <w:ind w:right="137"/>
        <w:rPr>
          <w:sz w:val="24"/>
        </w:rPr>
      </w:pPr>
      <w:r>
        <w:rPr>
          <w:sz w:val="24"/>
        </w:rPr>
        <w:t xml:space="preserve">If the clinical situation permits, the treating physician can delegate the subcutaneous administration to the patient or caregiver. In this case, appropriate instruction for self-injection or injection by a caregiver should be provided to the patient. See separate Product information for TREXJECT (with embedded </w:t>
      </w:r>
      <w:proofErr w:type="spellStart"/>
      <w:r>
        <w:rPr>
          <w:sz w:val="24"/>
        </w:rPr>
        <w:t>sc</w:t>
      </w:r>
      <w:proofErr w:type="spellEnd"/>
      <w:r>
        <w:rPr>
          <w:spacing w:val="-12"/>
          <w:sz w:val="24"/>
        </w:rPr>
        <w:t xml:space="preserve"> </w:t>
      </w:r>
      <w:r>
        <w:rPr>
          <w:sz w:val="24"/>
        </w:rPr>
        <w:t>needle).</w:t>
      </w:r>
    </w:p>
    <w:p w:rsidR="00F037FD" w:rsidRDefault="00F037FD">
      <w:pPr>
        <w:pStyle w:val="BodyText"/>
        <w:spacing w:before="11"/>
        <w:rPr>
          <w:sz w:val="23"/>
        </w:rPr>
      </w:pPr>
    </w:p>
    <w:p w:rsidR="00F037FD" w:rsidRDefault="00034C5C">
      <w:pPr>
        <w:pStyle w:val="ListParagraph"/>
        <w:numPr>
          <w:ilvl w:val="0"/>
          <w:numId w:val="2"/>
        </w:numPr>
        <w:tabs>
          <w:tab w:val="left" w:pos="709"/>
        </w:tabs>
        <w:ind w:right="137"/>
        <w:rPr>
          <w:sz w:val="24"/>
        </w:rPr>
      </w:pPr>
      <w:r>
        <w:rPr>
          <w:sz w:val="24"/>
        </w:rPr>
        <w:t>Patients receiving methotrexate should avoid excessive unprotected exposure to sun or sunlamps because of possible photosensitivity</w:t>
      </w:r>
      <w:r>
        <w:rPr>
          <w:spacing w:val="-16"/>
          <w:sz w:val="24"/>
        </w:rPr>
        <w:t xml:space="preserve"> </w:t>
      </w:r>
      <w:r>
        <w:rPr>
          <w:sz w:val="24"/>
        </w:rPr>
        <w:t>reactions.</w:t>
      </w:r>
    </w:p>
    <w:p w:rsidR="00F037FD" w:rsidRDefault="00F037FD">
      <w:pPr>
        <w:pStyle w:val="BodyText"/>
        <w:spacing w:before="11"/>
        <w:rPr>
          <w:sz w:val="23"/>
        </w:rPr>
      </w:pPr>
    </w:p>
    <w:p w:rsidR="00F037FD" w:rsidRDefault="00034C5C">
      <w:pPr>
        <w:pStyle w:val="ListParagraph"/>
        <w:numPr>
          <w:ilvl w:val="0"/>
          <w:numId w:val="2"/>
        </w:numPr>
        <w:tabs>
          <w:tab w:val="left" w:pos="709"/>
        </w:tabs>
        <w:ind w:right="134"/>
        <w:rPr>
          <w:sz w:val="24"/>
        </w:rPr>
      </w:pPr>
      <w:r>
        <w:rPr>
          <w:sz w:val="24"/>
        </w:rPr>
        <w:t>Adverse reactions to methotrexate, such as dizziness and fatigue may affect the ability to drive or operate</w:t>
      </w:r>
      <w:r>
        <w:rPr>
          <w:spacing w:val="-8"/>
          <w:sz w:val="24"/>
        </w:rPr>
        <w:t xml:space="preserve"> </w:t>
      </w:r>
      <w:r>
        <w:rPr>
          <w:sz w:val="24"/>
        </w:rPr>
        <w:t>machinery.</w:t>
      </w:r>
    </w:p>
    <w:p w:rsidR="00F037FD" w:rsidRDefault="00F037FD">
      <w:pPr>
        <w:pStyle w:val="BodyText"/>
        <w:rPr>
          <w:sz w:val="26"/>
        </w:rPr>
      </w:pPr>
    </w:p>
    <w:p w:rsidR="00F037FD" w:rsidRDefault="00F037FD">
      <w:pPr>
        <w:pStyle w:val="BodyText"/>
        <w:spacing w:before="7"/>
        <w:rPr>
          <w:sz w:val="22"/>
        </w:rPr>
      </w:pPr>
    </w:p>
    <w:p w:rsidR="00F037FD" w:rsidRDefault="00034C5C">
      <w:pPr>
        <w:pStyle w:val="Heading1"/>
      </w:pPr>
      <w:r>
        <w:t>ADVERSE EFFECTS</w:t>
      </w:r>
    </w:p>
    <w:p w:rsidR="00F037FD" w:rsidRDefault="00F037FD">
      <w:pPr>
        <w:pStyle w:val="BodyText"/>
        <w:spacing w:before="2"/>
        <w:rPr>
          <w:b/>
          <w:sz w:val="23"/>
        </w:rPr>
      </w:pPr>
    </w:p>
    <w:p w:rsidR="00F037FD" w:rsidRDefault="00034C5C">
      <w:pPr>
        <w:pStyle w:val="BodyText"/>
        <w:ind w:left="141" w:right="135"/>
        <w:jc w:val="both"/>
      </w:pPr>
      <w:r>
        <w:t>The major toxic effects of methotrexate occur on normal, rapidly proliferating tissues, particularly the bone marrow and gastrointestinal tract. Ulcerations of the oral mucosa are usually the earliest signs of toxicity.</w:t>
      </w:r>
    </w:p>
    <w:p w:rsidR="00F037FD" w:rsidRDefault="00F037FD">
      <w:pPr>
        <w:pStyle w:val="BodyText"/>
        <w:spacing w:before="4"/>
      </w:pPr>
    </w:p>
    <w:p w:rsidR="00F037FD" w:rsidRDefault="00034C5C">
      <w:pPr>
        <w:pStyle w:val="BodyText"/>
        <w:ind w:left="141" w:right="134"/>
        <w:jc w:val="both"/>
      </w:pPr>
      <w:r>
        <w:t>In clinical study MC-MTX.6/RH the overall incidence of adverse events (AEs) over the total period of study within the Safety-Analysis-Set was similar for both treatment groups, with AEs reported in 66.3% of patients in the SC group and 61.7% in the oral group.</w:t>
      </w:r>
    </w:p>
    <w:p w:rsidR="00F037FD" w:rsidRDefault="00F037FD">
      <w:pPr>
        <w:pStyle w:val="BodyText"/>
        <w:spacing w:before="4"/>
      </w:pPr>
    </w:p>
    <w:p w:rsidR="00F037FD" w:rsidRDefault="00034C5C">
      <w:pPr>
        <w:pStyle w:val="BodyText"/>
        <w:ind w:left="141" w:right="135"/>
        <w:jc w:val="both"/>
      </w:pPr>
      <w:r>
        <w:t>As expected, the most commonly reported AEs in both treatment groups belonged to the category gastrointestinal</w:t>
      </w:r>
      <w:r>
        <w:rPr>
          <w:spacing w:val="-5"/>
        </w:rPr>
        <w:t xml:space="preserve"> </w:t>
      </w:r>
      <w:r>
        <w:t>disorders</w:t>
      </w:r>
      <w:r>
        <w:rPr>
          <w:spacing w:val="-8"/>
        </w:rPr>
        <w:t xml:space="preserve"> </w:t>
      </w:r>
      <w:r>
        <w:t>with</w:t>
      </w:r>
      <w:r>
        <w:rPr>
          <w:spacing w:val="-7"/>
        </w:rPr>
        <w:t xml:space="preserve"> </w:t>
      </w:r>
      <w:r>
        <w:t>a</w:t>
      </w:r>
      <w:r>
        <w:rPr>
          <w:spacing w:val="-9"/>
        </w:rPr>
        <w:t xml:space="preserve"> </w:t>
      </w:r>
      <w:r>
        <w:t>total</w:t>
      </w:r>
      <w:r>
        <w:rPr>
          <w:spacing w:val="-8"/>
        </w:rPr>
        <w:t xml:space="preserve"> </w:t>
      </w:r>
      <w:r>
        <w:t>of</w:t>
      </w:r>
      <w:r>
        <w:rPr>
          <w:spacing w:val="-7"/>
        </w:rPr>
        <w:t xml:space="preserve"> </w:t>
      </w:r>
      <w:r>
        <w:t>42%</w:t>
      </w:r>
      <w:r>
        <w:rPr>
          <w:spacing w:val="-7"/>
        </w:rPr>
        <w:t xml:space="preserve"> </w:t>
      </w:r>
      <w:r>
        <w:t>of</w:t>
      </w:r>
      <w:r>
        <w:rPr>
          <w:spacing w:val="-7"/>
        </w:rPr>
        <w:t xml:space="preserve"> </w:t>
      </w:r>
      <w:r>
        <w:t>study</w:t>
      </w:r>
      <w:r>
        <w:rPr>
          <w:spacing w:val="-8"/>
        </w:rPr>
        <w:t xml:space="preserve"> </w:t>
      </w:r>
      <w:r>
        <w:t>patients.</w:t>
      </w:r>
      <w:r>
        <w:rPr>
          <w:spacing w:val="-5"/>
        </w:rPr>
        <w:t xml:space="preserve"> </w:t>
      </w:r>
      <w:r>
        <w:t>No</w:t>
      </w:r>
      <w:r>
        <w:rPr>
          <w:spacing w:val="-11"/>
        </w:rPr>
        <w:t xml:space="preserve"> </w:t>
      </w:r>
      <w:r>
        <w:t>statistically</w:t>
      </w:r>
      <w:r>
        <w:rPr>
          <w:spacing w:val="-8"/>
        </w:rPr>
        <w:t xml:space="preserve"> </w:t>
      </w:r>
      <w:r>
        <w:t>significant</w:t>
      </w:r>
      <w:r>
        <w:rPr>
          <w:spacing w:val="-10"/>
        </w:rPr>
        <w:t xml:space="preserve"> </w:t>
      </w:r>
      <w:r>
        <w:t xml:space="preserve">differences were observed between rates of gastrointestinal AEs in both treatment groups (SC group 45.6% </w:t>
      </w:r>
      <w:r>
        <w:rPr>
          <w:spacing w:val="-3"/>
        </w:rPr>
        <w:t xml:space="preserve">vs </w:t>
      </w:r>
      <w:r>
        <w:t>oral group: 38.3%). The overall incidence of serious adverse events was also similar for both treatment groups (5.7% vs</w:t>
      </w:r>
      <w:r>
        <w:rPr>
          <w:spacing w:val="-13"/>
        </w:rPr>
        <w:t xml:space="preserve"> </w:t>
      </w:r>
      <w:r>
        <w:t>4.3%).</w:t>
      </w:r>
    </w:p>
    <w:p w:rsidR="00F037FD" w:rsidRDefault="00F037FD">
      <w:pPr>
        <w:pStyle w:val="BodyText"/>
        <w:spacing w:before="2"/>
      </w:pPr>
    </w:p>
    <w:p w:rsidR="00F037FD" w:rsidRDefault="00034C5C">
      <w:pPr>
        <w:pStyle w:val="BodyText"/>
        <w:ind w:left="141" w:right="133"/>
        <w:jc w:val="both"/>
      </w:pPr>
      <w:r>
        <w:t>More</w:t>
      </w:r>
      <w:r>
        <w:rPr>
          <w:spacing w:val="-8"/>
        </w:rPr>
        <w:t xml:space="preserve"> </w:t>
      </w:r>
      <w:r>
        <w:t>patients</w:t>
      </w:r>
      <w:r>
        <w:rPr>
          <w:spacing w:val="-5"/>
        </w:rPr>
        <w:t xml:space="preserve"> </w:t>
      </w:r>
      <w:r>
        <w:t>reported</w:t>
      </w:r>
      <w:r>
        <w:rPr>
          <w:spacing w:val="-6"/>
        </w:rPr>
        <w:t xml:space="preserve"> </w:t>
      </w:r>
      <w:r>
        <w:t>nausea</w:t>
      </w:r>
      <w:r>
        <w:rPr>
          <w:spacing w:val="-6"/>
        </w:rPr>
        <w:t xml:space="preserve"> </w:t>
      </w:r>
      <w:r>
        <w:t>and</w:t>
      </w:r>
      <w:r>
        <w:rPr>
          <w:spacing w:val="-11"/>
        </w:rPr>
        <w:t xml:space="preserve"> </w:t>
      </w:r>
      <w:r>
        <w:t>anorexia</w:t>
      </w:r>
      <w:r>
        <w:rPr>
          <w:spacing w:val="-4"/>
        </w:rPr>
        <w:t xml:space="preserve"> </w:t>
      </w:r>
      <w:r>
        <w:t>in</w:t>
      </w:r>
      <w:r>
        <w:rPr>
          <w:spacing w:val="-11"/>
        </w:rPr>
        <w:t xml:space="preserve"> </w:t>
      </w:r>
      <w:r>
        <w:t>the</w:t>
      </w:r>
      <w:r>
        <w:rPr>
          <w:spacing w:val="-9"/>
        </w:rPr>
        <w:t xml:space="preserve"> </w:t>
      </w:r>
      <w:r>
        <w:t>SC</w:t>
      </w:r>
      <w:r>
        <w:rPr>
          <w:spacing w:val="-8"/>
        </w:rPr>
        <w:t xml:space="preserve"> </w:t>
      </w:r>
      <w:r>
        <w:t>group</w:t>
      </w:r>
      <w:r>
        <w:rPr>
          <w:spacing w:val="-5"/>
        </w:rPr>
        <w:t xml:space="preserve"> </w:t>
      </w:r>
      <w:r>
        <w:t>but</w:t>
      </w:r>
      <w:r>
        <w:rPr>
          <w:spacing w:val="-10"/>
        </w:rPr>
        <w:t xml:space="preserve"> </w:t>
      </w:r>
      <w:r>
        <w:t>stomatitis</w:t>
      </w:r>
      <w:r>
        <w:rPr>
          <w:spacing w:val="-10"/>
        </w:rPr>
        <w:t xml:space="preserve"> </w:t>
      </w:r>
      <w:r>
        <w:t>occurred</w:t>
      </w:r>
      <w:r>
        <w:rPr>
          <w:spacing w:val="-6"/>
        </w:rPr>
        <w:t xml:space="preserve"> </w:t>
      </w:r>
      <w:r>
        <w:t>more</w:t>
      </w:r>
      <w:r>
        <w:rPr>
          <w:spacing w:val="-9"/>
        </w:rPr>
        <w:t xml:space="preserve"> </w:t>
      </w:r>
      <w:r>
        <w:t>often</w:t>
      </w:r>
      <w:r>
        <w:rPr>
          <w:spacing w:val="-6"/>
        </w:rPr>
        <w:t xml:space="preserve"> </w:t>
      </w:r>
      <w:r>
        <w:t>in</w:t>
      </w:r>
      <w:r>
        <w:rPr>
          <w:spacing w:val="-8"/>
        </w:rPr>
        <w:t xml:space="preserve"> </w:t>
      </w:r>
      <w:r>
        <w:t>the oral group. Comparing the frequency distribution of at least moderate adverse events, no significant differences were found regarding nausea, stomatitis and</w:t>
      </w:r>
      <w:r>
        <w:rPr>
          <w:spacing w:val="-21"/>
        </w:rPr>
        <w:t xml:space="preserve"> </w:t>
      </w:r>
      <w:r>
        <w:t>anorexia.</w:t>
      </w:r>
    </w:p>
    <w:p w:rsidR="00F037FD" w:rsidRDefault="00F037FD">
      <w:pPr>
        <w:pStyle w:val="BodyText"/>
        <w:spacing w:before="8"/>
        <w:rPr>
          <w:sz w:val="28"/>
        </w:rPr>
      </w:pPr>
    </w:p>
    <w:p w:rsidR="00F037FD" w:rsidRDefault="00034C5C">
      <w:pPr>
        <w:pStyle w:val="BodyText"/>
        <w:spacing w:before="1" w:line="274" w:lineRule="exact"/>
        <w:ind w:left="141" w:right="138"/>
        <w:jc w:val="both"/>
      </w:pPr>
      <w:r>
        <w:t xml:space="preserve">The incidence of </w:t>
      </w:r>
      <w:proofErr w:type="spellStart"/>
      <w:r>
        <w:t>diarrhoea</w:t>
      </w:r>
      <w:proofErr w:type="spellEnd"/>
      <w:r>
        <w:t xml:space="preserve"> was significantly increased in the oral group. All other adverse events were not significantly increased in one or another treatment group.</w:t>
      </w:r>
    </w:p>
    <w:p w:rsidR="00F037FD" w:rsidRDefault="00F037FD">
      <w:pPr>
        <w:pStyle w:val="BodyText"/>
        <w:spacing w:before="2"/>
      </w:pPr>
    </w:p>
    <w:p w:rsidR="00F037FD" w:rsidRDefault="00034C5C">
      <w:pPr>
        <w:pStyle w:val="BodyText"/>
        <w:ind w:left="141" w:right="135"/>
        <w:jc w:val="both"/>
      </w:pPr>
      <w:r>
        <w:t xml:space="preserve">Other sources report ulcerative stomatitis, leukopenia, nausea and abdominal distress as the most common adverse reactions. Others reported include malaise, undue fatigue, chills and fever, dizziness, drowsiness, tinnitus, and decreased resistance to infection. The incidence and severity </w:t>
      </w:r>
      <w:r>
        <w:rPr>
          <w:spacing w:val="-3"/>
        </w:rPr>
        <w:t xml:space="preserve">of </w:t>
      </w:r>
      <w:r>
        <w:t>side</w:t>
      </w:r>
      <w:r>
        <w:rPr>
          <w:spacing w:val="-11"/>
        </w:rPr>
        <w:t xml:space="preserve"> </w:t>
      </w:r>
      <w:r>
        <w:t>effects</w:t>
      </w:r>
      <w:r>
        <w:rPr>
          <w:spacing w:val="-9"/>
        </w:rPr>
        <w:t xml:space="preserve"> </w:t>
      </w:r>
      <w:r>
        <w:t>generally</w:t>
      </w:r>
      <w:r>
        <w:rPr>
          <w:spacing w:val="-12"/>
        </w:rPr>
        <w:t xml:space="preserve"> </w:t>
      </w:r>
      <w:r>
        <w:t>appear</w:t>
      </w:r>
      <w:r>
        <w:rPr>
          <w:spacing w:val="-8"/>
        </w:rPr>
        <w:t xml:space="preserve"> </w:t>
      </w:r>
      <w:r>
        <w:t>to</w:t>
      </w:r>
      <w:r>
        <w:rPr>
          <w:spacing w:val="-11"/>
        </w:rPr>
        <w:t xml:space="preserve"> </w:t>
      </w:r>
      <w:r>
        <w:t>be</w:t>
      </w:r>
      <w:r>
        <w:rPr>
          <w:spacing w:val="-13"/>
        </w:rPr>
        <w:t xml:space="preserve"> </w:t>
      </w:r>
      <w:proofErr w:type="gramStart"/>
      <w:r>
        <w:t>dose-</w:t>
      </w:r>
      <w:r>
        <w:rPr>
          <w:spacing w:val="-8"/>
        </w:rPr>
        <w:t xml:space="preserve"> </w:t>
      </w:r>
      <w:r>
        <w:t>and</w:t>
      </w:r>
      <w:r>
        <w:rPr>
          <w:spacing w:val="-12"/>
        </w:rPr>
        <w:t xml:space="preserve"> </w:t>
      </w:r>
      <w:r>
        <w:t>frequency-related</w:t>
      </w:r>
      <w:proofErr w:type="gramEnd"/>
      <w:r>
        <w:t>.</w:t>
      </w:r>
      <w:r>
        <w:rPr>
          <w:spacing w:val="-7"/>
        </w:rPr>
        <w:t xml:space="preserve"> </w:t>
      </w:r>
      <w:r>
        <w:t>Adverse</w:t>
      </w:r>
      <w:r>
        <w:rPr>
          <w:spacing w:val="-12"/>
        </w:rPr>
        <w:t xml:space="preserve"> </w:t>
      </w:r>
      <w:r>
        <w:t>reactions</w:t>
      </w:r>
      <w:r>
        <w:rPr>
          <w:spacing w:val="-9"/>
        </w:rPr>
        <w:t xml:space="preserve"> </w:t>
      </w:r>
      <w:r>
        <w:t>have</w:t>
      </w:r>
      <w:r>
        <w:rPr>
          <w:spacing w:val="-12"/>
        </w:rPr>
        <w:t xml:space="preserve"> </w:t>
      </w:r>
      <w:r>
        <w:t>been</w:t>
      </w:r>
      <w:r>
        <w:rPr>
          <w:spacing w:val="-9"/>
        </w:rPr>
        <w:t xml:space="preserve"> </w:t>
      </w:r>
      <w:r>
        <w:t>reported for the various</w:t>
      </w:r>
      <w:r>
        <w:rPr>
          <w:spacing w:val="-10"/>
        </w:rPr>
        <w:t xml:space="preserve"> </w:t>
      </w:r>
      <w:r>
        <w:t>systems:</w:t>
      </w:r>
    </w:p>
    <w:p w:rsidR="00F037FD" w:rsidRDefault="00F037FD">
      <w:pPr>
        <w:pStyle w:val="BodyText"/>
        <w:spacing w:before="5"/>
      </w:pPr>
    </w:p>
    <w:p w:rsidR="00F037FD" w:rsidRDefault="00034C5C">
      <w:pPr>
        <w:pStyle w:val="BodyText"/>
        <w:ind w:left="141" w:right="130"/>
        <w:jc w:val="both"/>
      </w:pPr>
      <w:r>
        <w:rPr>
          <w:b/>
        </w:rPr>
        <w:t xml:space="preserve">Skin: </w:t>
      </w:r>
      <w:r>
        <w:t xml:space="preserve">dermatitis, erythematous rashes, pruritus, </w:t>
      </w:r>
      <w:proofErr w:type="spellStart"/>
      <w:r>
        <w:t>urticaria</w:t>
      </w:r>
      <w:proofErr w:type="spellEnd"/>
      <w:r>
        <w:t xml:space="preserve">, photosensitivity, depigmentation/ hyperpigmentation, alopecia, vasculitis, </w:t>
      </w:r>
      <w:proofErr w:type="spellStart"/>
      <w:r>
        <w:t>petechiae</w:t>
      </w:r>
      <w:proofErr w:type="spellEnd"/>
      <w:r>
        <w:t xml:space="preserve">, ecchymosis, telangiectasia, acne, folliculitis, </w:t>
      </w:r>
      <w:proofErr w:type="spellStart"/>
      <w:r>
        <w:t>furunculosis</w:t>
      </w:r>
      <w:proofErr w:type="spellEnd"/>
      <w:r>
        <w:t>, nail changes. Burning and erythema may appear in psoriatic areas for 1 to 2 days following each dose. Rarely, painful plaque erosions may appear. Lesions of psoriasis may be aggravated by concomitant exposure to ultraviolet radiation. Skin ulceration has been reported in psoriatic</w:t>
      </w:r>
      <w:r>
        <w:rPr>
          <w:spacing w:val="-15"/>
        </w:rPr>
        <w:t xml:space="preserve"> </w:t>
      </w:r>
      <w:r>
        <w:t>patients.</w:t>
      </w:r>
      <w:r>
        <w:rPr>
          <w:spacing w:val="-11"/>
        </w:rPr>
        <w:t xml:space="preserve"> </w:t>
      </w:r>
      <w:r>
        <w:t>Anaphylactic</w:t>
      </w:r>
      <w:r>
        <w:rPr>
          <w:spacing w:val="-17"/>
        </w:rPr>
        <w:t xml:space="preserve"> </w:t>
      </w:r>
      <w:r>
        <w:t>reactions</w:t>
      </w:r>
      <w:r>
        <w:rPr>
          <w:spacing w:val="-16"/>
        </w:rPr>
        <w:t xml:space="preserve"> </w:t>
      </w:r>
      <w:r>
        <w:t>and</w:t>
      </w:r>
      <w:r>
        <w:rPr>
          <w:spacing w:val="-16"/>
        </w:rPr>
        <w:t xml:space="preserve"> </w:t>
      </w:r>
      <w:r>
        <w:t>skin</w:t>
      </w:r>
      <w:r>
        <w:rPr>
          <w:spacing w:val="-18"/>
        </w:rPr>
        <w:t xml:space="preserve"> </w:t>
      </w:r>
      <w:r>
        <w:t>ulceration/necrosis</w:t>
      </w:r>
      <w:r>
        <w:rPr>
          <w:spacing w:val="-13"/>
        </w:rPr>
        <w:t xml:space="preserve"> </w:t>
      </w:r>
      <w:r>
        <w:t>consistent</w:t>
      </w:r>
      <w:r>
        <w:rPr>
          <w:spacing w:val="-14"/>
        </w:rPr>
        <w:t xml:space="preserve"> </w:t>
      </w:r>
      <w:r>
        <w:t>with</w:t>
      </w:r>
      <w:r>
        <w:rPr>
          <w:spacing w:val="-14"/>
        </w:rPr>
        <w:t xml:space="preserve"> </w:t>
      </w:r>
      <w:r>
        <w:t>toxic</w:t>
      </w:r>
      <w:r>
        <w:rPr>
          <w:spacing w:val="-14"/>
        </w:rPr>
        <w:t xml:space="preserve"> </w:t>
      </w:r>
      <w:r>
        <w:t xml:space="preserve">epidermal </w:t>
      </w:r>
      <w:proofErr w:type="spellStart"/>
      <w:r>
        <w:t>necrolysis</w:t>
      </w:r>
      <w:proofErr w:type="spellEnd"/>
      <w:r>
        <w:t>, soft tissue necrosis and osteonecrosis have also been reported. Severe, occasionally fatal, dermatologic</w:t>
      </w:r>
      <w:r>
        <w:rPr>
          <w:spacing w:val="-15"/>
        </w:rPr>
        <w:t xml:space="preserve"> </w:t>
      </w:r>
      <w:r>
        <w:t>reactions,</w:t>
      </w:r>
      <w:r>
        <w:rPr>
          <w:spacing w:val="-16"/>
        </w:rPr>
        <w:t xml:space="preserve"> </w:t>
      </w:r>
      <w:r>
        <w:t>including</w:t>
      </w:r>
      <w:r>
        <w:rPr>
          <w:spacing w:val="-17"/>
        </w:rPr>
        <w:t xml:space="preserve"> </w:t>
      </w:r>
      <w:r>
        <w:t>toxic</w:t>
      </w:r>
      <w:r>
        <w:rPr>
          <w:spacing w:val="-17"/>
        </w:rPr>
        <w:t xml:space="preserve"> </w:t>
      </w:r>
      <w:r>
        <w:t>epidermal</w:t>
      </w:r>
      <w:r>
        <w:rPr>
          <w:spacing w:val="-18"/>
        </w:rPr>
        <w:t xml:space="preserve"> </w:t>
      </w:r>
      <w:proofErr w:type="spellStart"/>
      <w:r>
        <w:t>necrolysis</w:t>
      </w:r>
      <w:proofErr w:type="spellEnd"/>
      <w:r>
        <w:t>,</w:t>
      </w:r>
      <w:r>
        <w:rPr>
          <w:spacing w:val="-15"/>
        </w:rPr>
        <w:t xml:space="preserve"> </w:t>
      </w:r>
      <w:r>
        <w:t>Stevens-</w:t>
      </w:r>
      <w:r>
        <w:rPr>
          <w:spacing w:val="-14"/>
        </w:rPr>
        <w:t xml:space="preserve"> </w:t>
      </w:r>
      <w:r>
        <w:t>Johnson</w:t>
      </w:r>
      <w:r>
        <w:rPr>
          <w:spacing w:val="-16"/>
        </w:rPr>
        <w:t xml:space="preserve"> </w:t>
      </w:r>
      <w:r>
        <w:t>syndrome,</w:t>
      </w:r>
      <w:r>
        <w:rPr>
          <w:spacing w:val="-14"/>
        </w:rPr>
        <w:t xml:space="preserve"> </w:t>
      </w:r>
      <w:proofErr w:type="spellStart"/>
      <w:r>
        <w:t>exfoliative</w:t>
      </w:r>
      <w:proofErr w:type="spellEnd"/>
      <w:r>
        <w:t xml:space="preserve"> </w:t>
      </w:r>
      <w:r>
        <w:lastRenderedPageBreak/>
        <w:t xml:space="preserve">dermatitis, skin necrosis, and erythema </w:t>
      </w:r>
      <w:proofErr w:type="spellStart"/>
      <w:r>
        <w:t>multiforme</w:t>
      </w:r>
      <w:proofErr w:type="spellEnd"/>
      <w:r>
        <w:t xml:space="preserve"> have been reported in children and adults within days of oral, intramuscular, intravenous or intrathecal methotrexate administration. Reactions  </w:t>
      </w:r>
      <w:r>
        <w:rPr>
          <w:spacing w:val="5"/>
        </w:rPr>
        <w:t xml:space="preserve"> </w:t>
      </w:r>
      <w:r>
        <w:t>were</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BodyText"/>
        <w:spacing w:before="90"/>
        <w:ind w:left="141"/>
        <w:jc w:val="both"/>
      </w:pPr>
      <w:proofErr w:type="gramStart"/>
      <w:r>
        <w:t>noted</w:t>
      </w:r>
      <w:proofErr w:type="gramEnd"/>
      <w:r>
        <w:t xml:space="preserve"> after single or multiple low, intermediate or high doses of methotrexate.</w:t>
      </w:r>
    </w:p>
    <w:p w:rsidR="00F037FD" w:rsidRDefault="00F037FD">
      <w:pPr>
        <w:pStyle w:val="BodyText"/>
        <w:spacing w:before="5"/>
      </w:pPr>
    </w:p>
    <w:p w:rsidR="00F037FD" w:rsidRDefault="00034C5C">
      <w:pPr>
        <w:pStyle w:val="BodyText"/>
        <w:ind w:left="141" w:right="133"/>
        <w:jc w:val="both"/>
      </w:pPr>
      <w:r>
        <w:rPr>
          <w:b/>
        </w:rPr>
        <w:t xml:space="preserve">Blood and lymphatic system: </w:t>
      </w:r>
      <w:r>
        <w:t xml:space="preserve">bone marrow depression, leukopenia, neutropenia, eosinophilia, pancytopenia, agranulocytosis, thrombocytopenia, </w:t>
      </w:r>
      <w:proofErr w:type="spellStart"/>
      <w:r>
        <w:t>anaemia</w:t>
      </w:r>
      <w:proofErr w:type="spellEnd"/>
      <w:r>
        <w:t xml:space="preserve"> (including aplastic </w:t>
      </w:r>
      <w:proofErr w:type="spellStart"/>
      <w:r>
        <w:t>anaemia</w:t>
      </w:r>
      <w:proofErr w:type="spellEnd"/>
      <w:r>
        <w:t xml:space="preserve">), </w:t>
      </w:r>
      <w:proofErr w:type="spellStart"/>
      <w:r>
        <w:t>hypogammaglobulinaemia</w:t>
      </w:r>
      <w:proofErr w:type="spellEnd"/>
      <w:r>
        <w:t xml:space="preserve">, decrease in serum albumin. Clinical </w:t>
      </w:r>
      <w:proofErr w:type="spellStart"/>
      <w:r>
        <w:t>sequelae</w:t>
      </w:r>
      <w:proofErr w:type="spellEnd"/>
      <w:r>
        <w:t xml:space="preserve"> such as fever, infections, </w:t>
      </w:r>
      <w:proofErr w:type="spellStart"/>
      <w:r>
        <w:t>haemorrhage</w:t>
      </w:r>
      <w:proofErr w:type="spellEnd"/>
      <w:r>
        <w:t xml:space="preserve"> from various sites, </w:t>
      </w:r>
      <w:proofErr w:type="spellStart"/>
      <w:r>
        <w:t>septicaemia</w:t>
      </w:r>
      <w:proofErr w:type="spellEnd"/>
      <w:r>
        <w:t xml:space="preserve">, </w:t>
      </w:r>
      <w:proofErr w:type="gramStart"/>
      <w:r>
        <w:t>lymphadenopathy</w:t>
      </w:r>
      <w:proofErr w:type="gramEnd"/>
      <w:r>
        <w:t xml:space="preserve"> and lymphoproliferative disorders may</w:t>
      </w:r>
      <w:r>
        <w:rPr>
          <w:spacing w:val="-6"/>
        </w:rPr>
        <w:t xml:space="preserve"> </w:t>
      </w:r>
      <w:r>
        <w:t>be</w:t>
      </w:r>
      <w:r>
        <w:rPr>
          <w:spacing w:val="-7"/>
        </w:rPr>
        <w:t xml:space="preserve"> </w:t>
      </w:r>
      <w:r>
        <w:t>expected.</w:t>
      </w:r>
      <w:r>
        <w:rPr>
          <w:spacing w:val="-2"/>
        </w:rPr>
        <w:t xml:space="preserve"> </w:t>
      </w:r>
      <w:proofErr w:type="spellStart"/>
      <w:r>
        <w:t>Megaloblastic</w:t>
      </w:r>
      <w:proofErr w:type="spellEnd"/>
      <w:r>
        <w:rPr>
          <w:spacing w:val="-4"/>
        </w:rPr>
        <w:t xml:space="preserve"> </w:t>
      </w:r>
      <w:proofErr w:type="spellStart"/>
      <w:r>
        <w:t>anaemia</w:t>
      </w:r>
      <w:proofErr w:type="spellEnd"/>
      <w:r>
        <w:rPr>
          <w:spacing w:val="-3"/>
        </w:rPr>
        <w:t xml:space="preserve"> </w:t>
      </w:r>
      <w:r>
        <w:t>has</w:t>
      </w:r>
      <w:r>
        <w:rPr>
          <w:spacing w:val="-6"/>
        </w:rPr>
        <w:t xml:space="preserve"> </w:t>
      </w:r>
      <w:r>
        <w:t>also</w:t>
      </w:r>
      <w:r>
        <w:rPr>
          <w:spacing w:val="-5"/>
        </w:rPr>
        <w:t xml:space="preserve"> </w:t>
      </w:r>
      <w:r>
        <w:t>been</w:t>
      </w:r>
      <w:r>
        <w:rPr>
          <w:spacing w:val="-3"/>
        </w:rPr>
        <w:t xml:space="preserve"> </w:t>
      </w:r>
      <w:r>
        <w:t>reported,</w:t>
      </w:r>
      <w:r>
        <w:rPr>
          <w:spacing w:val="-2"/>
        </w:rPr>
        <w:t xml:space="preserve"> </w:t>
      </w:r>
      <w:r>
        <w:t>mainly</w:t>
      </w:r>
      <w:r>
        <w:rPr>
          <w:spacing w:val="-6"/>
        </w:rPr>
        <w:t xml:space="preserve"> </w:t>
      </w:r>
      <w:r>
        <w:t>in</w:t>
      </w:r>
      <w:r>
        <w:rPr>
          <w:spacing w:val="-6"/>
        </w:rPr>
        <w:t xml:space="preserve"> </w:t>
      </w:r>
      <w:r>
        <w:t>elderly</w:t>
      </w:r>
      <w:r>
        <w:rPr>
          <w:spacing w:val="-6"/>
        </w:rPr>
        <w:t xml:space="preserve"> </w:t>
      </w:r>
      <w:r>
        <w:t>patients</w:t>
      </w:r>
      <w:r>
        <w:rPr>
          <w:spacing w:val="-3"/>
        </w:rPr>
        <w:t xml:space="preserve"> </w:t>
      </w:r>
      <w:r>
        <w:t>receiving long-term methotrexate therapy. Folate supplementation may permit continuation of methotrexate therapy with resolution of</w:t>
      </w:r>
      <w:r>
        <w:rPr>
          <w:spacing w:val="-9"/>
        </w:rPr>
        <w:t xml:space="preserve"> </w:t>
      </w:r>
      <w:proofErr w:type="spellStart"/>
      <w:r>
        <w:t>anaemia</w:t>
      </w:r>
      <w:proofErr w:type="spellEnd"/>
      <w:r>
        <w:t>.</w:t>
      </w:r>
    </w:p>
    <w:p w:rsidR="00F037FD" w:rsidRDefault="00F037FD">
      <w:pPr>
        <w:pStyle w:val="BodyText"/>
        <w:spacing w:before="2"/>
      </w:pPr>
    </w:p>
    <w:p w:rsidR="00F037FD" w:rsidRDefault="00034C5C">
      <w:pPr>
        <w:pStyle w:val="BodyText"/>
        <w:ind w:left="141" w:right="135"/>
        <w:jc w:val="both"/>
      </w:pPr>
      <w:r>
        <w:rPr>
          <w:b/>
        </w:rPr>
        <w:t xml:space="preserve">Cardiovascular system: </w:t>
      </w:r>
      <w:r>
        <w:t>Pericarditis, vasculitis, pericardial effusion, hypotension and thromboembolic events (including arterial thrombosis, cerebral thrombosis, deep vein thrombosis, retinal vein thrombosis, thrombophlebitis and pulmonary embolus) have been reported with methotrexate therapy.</w:t>
      </w:r>
    </w:p>
    <w:p w:rsidR="00F037FD" w:rsidRDefault="00F037FD">
      <w:pPr>
        <w:pStyle w:val="BodyText"/>
        <w:spacing w:before="2"/>
      </w:pPr>
    </w:p>
    <w:p w:rsidR="00F037FD" w:rsidRDefault="00034C5C">
      <w:pPr>
        <w:pStyle w:val="BodyText"/>
        <w:ind w:left="141" w:right="132"/>
        <w:jc w:val="both"/>
      </w:pPr>
      <w:r>
        <w:rPr>
          <w:b/>
        </w:rPr>
        <w:t xml:space="preserve">Alimentary system: </w:t>
      </w:r>
      <w:proofErr w:type="spellStart"/>
      <w:r>
        <w:t>mucositis</w:t>
      </w:r>
      <w:proofErr w:type="spellEnd"/>
      <w:r>
        <w:t xml:space="preserve"> (gingivitis, pharyngitis, stomatitis, </w:t>
      </w:r>
      <w:proofErr w:type="spellStart"/>
      <w:r>
        <w:t>glossitis</w:t>
      </w:r>
      <w:proofErr w:type="spellEnd"/>
      <w:r>
        <w:t xml:space="preserve">), anorexia, nausea, vomiting, </w:t>
      </w:r>
      <w:proofErr w:type="spellStart"/>
      <w:r>
        <w:t>diarrhoea</w:t>
      </w:r>
      <w:proofErr w:type="spellEnd"/>
      <w:r>
        <w:t xml:space="preserve">, abdominal distress, </w:t>
      </w:r>
      <w:proofErr w:type="spellStart"/>
      <w:r>
        <w:t>haematemesis</w:t>
      </w:r>
      <w:proofErr w:type="spellEnd"/>
      <w:r>
        <w:t xml:space="preserve">, melena, gastrointestinal ulceration and bleeding, intestinal perforation, pancreatitis, enteritis, acute and chronic hepatic toxicity resulting in acute liver atrophy, necrosis, fatty metamorphosis, acute hepatitis, </w:t>
      </w:r>
      <w:proofErr w:type="spellStart"/>
      <w:r>
        <w:t>periportal</w:t>
      </w:r>
      <w:proofErr w:type="spellEnd"/>
      <w:r>
        <w:t xml:space="preserve"> fibrosis, or hepatic cirrhosis’, elevated liver enzymes, decreased serum albumin and hepatic failure. In rare cases, the effect of methotrexate on the intestinal mucosa has led to malabsorption or toxic </w:t>
      </w:r>
      <w:proofErr w:type="spellStart"/>
      <w:r>
        <w:t>megacolon</w:t>
      </w:r>
      <w:proofErr w:type="spellEnd"/>
      <w:r>
        <w:t>. Alteration of liver function tests (increases in transaminases and LDH levels) is commonly reported but usually resolves within one month of cessation of therapy.</w:t>
      </w:r>
    </w:p>
    <w:p w:rsidR="00F037FD" w:rsidRDefault="00F037FD">
      <w:pPr>
        <w:pStyle w:val="BodyText"/>
        <w:spacing w:before="4"/>
      </w:pPr>
    </w:p>
    <w:p w:rsidR="00F037FD" w:rsidRDefault="00034C5C">
      <w:pPr>
        <w:pStyle w:val="BodyText"/>
        <w:ind w:left="141" w:right="135"/>
        <w:jc w:val="both"/>
      </w:pPr>
      <w:r>
        <w:rPr>
          <w:b/>
        </w:rPr>
        <w:t xml:space="preserve">Urogenital system: </w:t>
      </w:r>
      <w:r>
        <w:t xml:space="preserve">renal failure, dysuria, </w:t>
      </w:r>
      <w:proofErr w:type="spellStart"/>
      <w:r>
        <w:t>azotaemia</w:t>
      </w:r>
      <w:proofErr w:type="spellEnd"/>
      <w:r>
        <w:t xml:space="preserve">, cystitis, </w:t>
      </w:r>
      <w:proofErr w:type="spellStart"/>
      <w:r>
        <w:t>haematuria</w:t>
      </w:r>
      <w:proofErr w:type="spellEnd"/>
      <w:r>
        <w:t xml:space="preserve">, defective oogenesis or spermatogenesis, transient </w:t>
      </w:r>
      <w:proofErr w:type="spellStart"/>
      <w:r>
        <w:t>oligospermia</w:t>
      </w:r>
      <w:proofErr w:type="spellEnd"/>
      <w:r>
        <w:t xml:space="preserve">, urogenital or menstrual dysfunction, infertility, abortion, </w:t>
      </w:r>
      <w:proofErr w:type="spellStart"/>
      <w:r>
        <w:t>foetal</w:t>
      </w:r>
      <w:proofErr w:type="spellEnd"/>
      <w:r>
        <w:t xml:space="preserve"> defects, </w:t>
      </w:r>
      <w:proofErr w:type="spellStart"/>
      <w:r>
        <w:t>foetal</w:t>
      </w:r>
      <w:proofErr w:type="spellEnd"/>
      <w:r>
        <w:t xml:space="preserve"> death, severe nephropathy, vaginitis, vaginal discharge.</w:t>
      </w:r>
    </w:p>
    <w:p w:rsidR="00F037FD" w:rsidRDefault="00F037FD">
      <w:pPr>
        <w:pStyle w:val="BodyText"/>
        <w:spacing w:before="5"/>
      </w:pPr>
    </w:p>
    <w:p w:rsidR="00F037FD" w:rsidRDefault="00034C5C">
      <w:pPr>
        <w:pStyle w:val="BodyText"/>
        <w:ind w:left="141" w:right="132"/>
        <w:jc w:val="both"/>
      </w:pPr>
      <w:r>
        <w:rPr>
          <w:b/>
        </w:rPr>
        <w:t xml:space="preserve">Pulmonary system: </w:t>
      </w:r>
      <w:r>
        <w:t xml:space="preserve">interstitial pneumonitis, interstitial fibrosis, reversible eosinophilic pulmonary infiltrates, respiratory fibrosis, respiratory failure, chronic interstitial obstructive pulmonary disease, </w:t>
      </w:r>
      <w:proofErr w:type="spellStart"/>
      <w:r>
        <w:t>alveolitis</w:t>
      </w:r>
      <w:proofErr w:type="spellEnd"/>
      <w:r>
        <w:t xml:space="preserve">, death. Manifestations of methotrexate-induced pulmonary toxicity commonly include fever, cough (especially dry and non-productive), </w:t>
      </w:r>
      <w:proofErr w:type="spellStart"/>
      <w:r>
        <w:t>dyspnoea</w:t>
      </w:r>
      <w:proofErr w:type="spellEnd"/>
      <w:r>
        <w:t xml:space="preserve">, chest pain, </w:t>
      </w:r>
      <w:proofErr w:type="spellStart"/>
      <w:r>
        <w:t>hypoxaemia</w:t>
      </w:r>
      <w:proofErr w:type="spellEnd"/>
      <w:r>
        <w:t xml:space="preserve"> and/or radiological evidence of pulmonary infiltrates (usually diffuse and/or alveolar).</w:t>
      </w:r>
    </w:p>
    <w:p w:rsidR="00F037FD" w:rsidRDefault="00F037FD">
      <w:pPr>
        <w:pStyle w:val="BodyText"/>
        <w:spacing w:before="2"/>
      </w:pPr>
    </w:p>
    <w:p w:rsidR="00F037FD" w:rsidRDefault="00034C5C">
      <w:pPr>
        <w:pStyle w:val="BodyText"/>
        <w:ind w:left="141" w:right="133"/>
        <w:jc w:val="both"/>
      </w:pPr>
      <w:r>
        <w:rPr>
          <w:b/>
        </w:rPr>
        <w:t xml:space="preserve">Central nervous system: </w:t>
      </w:r>
      <w:r>
        <w:t xml:space="preserve">headaches, drowsiness, blurred vision, speech impairment including dysarthria and aphasia, and coma. Aphasia, hemiparesis and convulsions have occurred possibly related to </w:t>
      </w:r>
      <w:proofErr w:type="spellStart"/>
      <w:r>
        <w:t>haemorrhage</w:t>
      </w:r>
      <w:proofErr w:type="spellEnd"/>
      <w:r>
        <w:t xml:space="preserve"> or to complications from intra-arterial catheterization. Following low doses, occasional patients have reported transient subtle cognitive dysfunction, mood alteration or unusual cranial sensations.</w:t>
      </w:r>
    </w:p>
    <w:p w:rsidR="00F037FD" w:rsidRDefault="00F037FD">
      <w:pPr>
        <w:pStyle w:val="BodyText"/>
        <w:spacing w:before="5"/>
      </w:pPr>
    </w:p>
    <w:p w:rsidR="00F037FD" w:rsidRDefault="00034C5C">
      <w:pPr>
        <w:pStyle w:val="BodyText"/>
        <w:ind w:left="141" w:right="140"/>
        <w:jc w:val="both"/>
      </w:pPr>
      <w:r>
        <w:rPr>
          <w:b/>
        </w:rPr>
        <w:t xml:space="preserve">Ophthalmic: </w:t>
      </w:r>
      <w:r>
        <w:t xml:space="preserve">conjunctivitis, eye discomfort, blurred vision and serious visual changes of unknown </w:t>
      </w:r>
      <w:proofErr w:type="spellStart"/>
      <w:r>
        <w:t>aetiology</w:t>
      </w:r>
      <w:proofErr w:type="spellEnd"/>
      <w:r>
        <w:t xml:space="preserve"> including transient blindness have been reported in patients receiving methotrexate.</w:t>
      </w:r>
    </w:p>
    <w:p w:rsidR="00F037FD" w:rsidRDefault="00F037FD">
      <w:pPr>
        <w:pStyle w:val="BodyText"/>
        <w:spacing w:before="2"/>
      </w:pPr>
    </w:p>
    <w:p w:rsidR="00F037FD" w:rsidRDefault="00034C5C">
      <w:pPr>
        <w:pStyle w:val="BodyText"/>
        <w:ind w:left="141" w:right="133"/>
        <w:jc w:val="both"/>
      </w:pPr>
      <w:r>
        <w:rPr>
          <w:b/>
        </w:rPr>
        <w:t xml:space="preserve">Infections: </w:t>
      </w:r>
      <w:r>
        <w:t xml:space="preserve">There have been case reports of sometimes fatal opportunistic infections in patients receiving methotrexate therapy for neoplastic and non-neoplastic diseases. Pneumocystis </w:t>
      </w:r>
      <w:proofErr w:type="spellStart"/>
      <w:r>
        <w:t>jirovecii</w:t>
      </w:r>
      <w:proofErr w:type="spellEnd"/>
      <w:r>
        <w:t xml:space="preserve"> pneumonia was the most common infection. Other reported infections include pneumonia, sepsis, </w:t>
      </w:r>
      <w:proofErr w:type="spellStart"/>
      <w:r>
        <w:t>nocardiosis</w:t>
      </w:r>
      <w:proofErr w:type="spellEnd"/>
      <w:r>
        <w:t xml:space="preserve">, histoplasmosis, </w:t>
      </w:r>
      <w:proofErr w:type="spellStart"/>
      <w:r>
        <w:t>cryptococcosis</w:t>
      </w:r>
      <w:proofErr w:type="spellEnd"/>
      <w:r>
        <w:t xml:space="preserve">, </w:t>
      </w:r>
      <w:r>
        <w:rPr>
          <w:i/>
        </w:rPr>
        <w:t>Herpes Zoster</w:t>
      </w:r>
      <w:r>
        <w:t xml:space="preserve">, </w:t>
      </w:r>
      <w:proofErr w:type="spellStart"/>
      <w:r>
        <w:rPr>
          <w:i/>
        </w:rPr>
        <w:t>H.simplex</w:t>
      </w:r>
      <w:proofErr w:type="spellEnd"/>
      <w:r>
        <w:rPr>
          <w:i/>
        </w:rPr>
        <w:t xml:space="preserve"> </w:t>
      </w:r>
      <w:r>
        <w:t xml:space="preserve">hepatitis, disseminated </w:t>
      </w:r>
      <w:proofErr w:type="spellStart"/>
      <w:r>
        <w:rPr>
          <w:i/>
        </w:rPr>
        <w:t>H.simplex</w:t>
      </w:r>
      <w:proofErr w:type="spellEnd"/>
      <w:r>
        <w:t xml:space="preserve">, fatal sepsis and cytomegalovirus, including </w:t>
      </w:r>
      <w:proofErr w:type="spellStart"/>
      <w:r>
        <w:t>cytomegaloviral</w:t>
      </w:r>
      <w:proofErr w:type="spellEnd"/>
      <w:r>
        <w:t xml:space="preserve"> pneumonia.</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spacing w:before="10"/>
        <w:rPr>
          <w:sz w:val="10"/>
        </w:rPr>
      </w:pPr>
    </w:p>
    <w:p w:rsidR="00F037FD" w:rsidRDefault="00034C5C">
      <w:pPr>
        <w:pStyle w:val="BodyText"/>
        <w:spacing w:before="90"/>
        <w:ind w:left="141" w:right="134"/>
        <w:jc w:val="both"/>
      </w:pPr>
      <w:r>
        <w:rPr>
          <w:b/>
        </w:rPr>
        <w:t xml:space="preserve">Carcinogenicity: </w:t>
      </w:r>
      <w:r>
        <w:t xml:space="preserve">Cytotoxic drugs have been reported to be associated with an increased risk of development of secondary </w:t>
      </w:r>
      <w:proofErr w:type="spellStart"/>
      <w:r>
        <w:t>tumours</w:t>
      </w:r>
      <w:proofErr w:type="spellEnd"/>
      <w:r>
        <w:t xml:space="preserve"> in humans. Evidence of chromosomal damage to animal somatic cells and human bone marrow cells has been reported with methotrexate. Reports of lymphoma, including reversible lymphomas have been documented in patients treated with methotrexate.</w:t>
      </w:r>
    </w:p>
    <w:p w:rsidR="00F037FD" w:rsidRDefault="00F037FD">
      <w:pPr>
        <w:pStyle w:val="BodyText"/>
        <w:spacing w:before="11"/>
        <w:rPr>
          <w:sz w:val="23"/>
        </w:rPr>
      </w:pPr>
    </w:p>
    <w:p w:rsidR="00F037FD" w:rsidRDefault="00034C5C">
      <w:pPr>
        <w:pStyle w:val="BodyText"/>
        <w:ind w:left="141" w:right="135"/>
        <w:jc w:val="both"/>
      </w:pPr>
      <w:r>
        <w:t xml:space="preserve">Other reactions related to or attributed to the use of methotrexate, such as metabolic changes, precipitation of diabetes, osteoporotic effects (including aseptic necrosis of the femoral head), abnormal changes in tissue cells, arthralgia/myalgia, proteinuria, </w:t>
      </w:r>
      <w:proofErr w:type="spellStart"/>
      <w:r>
        <w:t>nodulosis</w:t>
      </w:r>
      <w:proofErr w:type="spellEnd"/>
      <w:r>
        <w:t xml:space="preserve">, stress fractures, loss </w:t>
      </w:r>
      <w:r>
        <w:rPr>
          <w:spacing w:val="-3"/>
        </w:rPr>
        <w:t xml:space="preserve">of </w:t>
      </w:r>
      <w:r>
        <w:t>libido, impotence, encephalopathy/leukoencephalopathy and even sudden death, have been</w:t>
      </w:r>
      <w:r>
        <w:rPr>
          <w:spacing w:val="-39"/>
        </w:rPr>
        <w:t xml:space="preserve"> </w:t>
      </w:r>
      <w:r>
        <w:t>reported.</w:t>
      </w:r>
    </w:p>
    <w:p w:rsidR="00F037FD" w:rsidRDefault="00F037FD">
      <w:pPr>
        <w:pStyle w:val="BodyText"/>
        <w:spacing w:before="4"/>
      </w:pPr>
    </w:p>
    <w:p w:rsidR="00F037FD" w:rsidRDefault="00034C5C">
      <w:pPr>
        <w:pStyle w:val="BodyText"/>
        <w:ind w:left="141" w:right="136"/>
        <w:jc w:val="both"/>
      </w:pPr>
      <w:r>
        <w:t xml:space="preserve">Radiation dermatitis and sunburn may be “recalled”. A few cases of </w:t>
      </w:r>
      <w:proofErr w:type="spellStart"/>
      <w:r>
        <w:t>anaphylactoid</w:t>
      </w:r>
      <w:proofErr w:type="spellEnd"/>
      <w:r>
        <w:t xml:space="preserve"> reactions have been reported.</w:t>
      </w:r>
    </w:p>
    <w:p w:rsidR="00F037FD" w:rsidRDefault="00F037FD">
      <w:pPr>
        <w:pStyle w:val="BodyText"/>
        <w:spacing w:before="7"/>
        <w:rPr>
          <w:sz w:val="25"/>
        </w:rPr>
      </w:pPr>
    </w:p>
    <w:p w:rsidR="00F037FD" w:rsidRDefault="00034C5C">
      <w:pPr>
        <w:pStyle w:val="Heading1"/>
      </w:pPr>
      <w:r>
        <w:t>DOSAGE AND ADMINISTRATION</w:t>
      </w:r>
    </w:p>
    <w:p w:rsidR="00F037FD" w:rsidRDefault="005D3ABA">
      <w:pPr>
        <w:pStyle w:val="BodyText"/>
        <w:rPr>
          <w:b/>
          <w:sz w:val="20"/>
        </w:rPr>
      </w:pPr>
      <w:r>
        <w:pict>
          <v:shapetype id="_x0000_t202" coordsize="21600,21600" o:spt="202" path="m,l,21600r21600,l21600,xe">
            <v:stroke joinstyle="miter"/>
            <v:path gradientshapeok="t" o:connecttype="rect"/>
          </v:shapetype>
          <v:shape id="_x0000_s1026" type="#_x0000_t202" style="position:absolute;margin-left:58.3pt;margin-top:13.75pt;width:481.9pt;height:54pt;z-index:1096;mso-wrap-distance-left:0;mso-wrap-distance-right:0;mso-position-horizontal-relative:page" filled="f" strokeweight=".48pt">
            <v:textbox inset="0,0,0,0">
              <w:txbxContent>
                <w:p w:rsidR="00F037FD" w:rsidRDefault="00034C5C">
                  <w:pPr>
                    <w:pStyle w:val="BodyText"/>
                    <w:spacing w:before="112"/>
                    <w:ind w:left="103" w:right="109"/>
                    <w:jc w:val="both"/>
                  </w:pPr>
                  <w:r>
                    <w:t>Because of its potential to cause severe toxicity, methotrexate therapy requires close supervision with particular caution to distinguish between daily and weekly dosage regimens. Weekly dosage prescriptions should specify a particular day of the week.</w:t>
                  </w:r>
                </w:p>
              </w:txbxContent>
            </v:textbox>
            <w10:wrap type="topAndBottom" anchorx="page"/>
          </v:shape>
        </w:pict>
      </w:r>
    </w:p>
    <w:p w:rsidR="00F037FD" w:rsidRDefault="00F037FD">
      <w:pPr>
        <w:pStyle w:val="BodyText"/>
        <w:spacing w:before="7"/>
        <w:rPr>
          <w:b/>
        </w:rPr>
      </w:pPr>
    </w:p>
    <w:p w:rsidR="00F037FD" w:rsidRDefault="00034C5C">
      <w:pPr>
        <w:pStyle w:val="BodyText"/>
        <w:spacing w:before="90"/>
        <w:ind w:left="141" w:right="133"/>
        <w:jc w:val="both"/>
      </w:pPr>
      <w:r>
        <w:t xml:space="preserve">TREXJECT IN should only be prescribed by physicians who are familiar with the various characteristics of the medicinal product and its mode of action. TREXJECT IN is injected once weekly by a healthcare professional. If the clinical situation permits, the treating physician can delegate subcutaneous administration to the patient or caregiver. See separate Product information for TREXJECT (with embedded </w:t>
      </w:r>
      <w:proofErr w:type="spellStart"/>
      <w:r>
        <w:t>sc</w:t>
      </w:r>
      <w:proofErr w:type="spellEnd"/>
      <w:r>
        <w:t xml:space="preserve"> needle).</w:t>
      </w:r>
    </w:p>
    <w:p w:rsidR="00F037FD" w:rsidRDefault="00F037FD">
      <w:pPr>
        <w:pStyle w:val="BodyText"/>
      </w:pPr>
    </w:p>
    <w:p w:rsidR="00F037FD" w:rsidRDefault="00034C5C">
      <w:pPr>
        <w:pStyle w:val="BodyText"/>
        <w:ind w:left="141" w:right="132"/>
        <w:jc w:val="both"/>
      </w:pPr>
      <w:r>
        <w:t>The patient is to be explicitly informed about the fact of administration once weekly. It is advisable to determine a fixed, appropriate weekday as the day of injection.</w:t>
      </w:r>
    </w:p>
    <w:p w:rsidR="00F037FD" w:rsidRDefault="00F037FD">
      <w:pPr>
        <w:pStyle w:val="BodyText"/>
        <w:spacing w:before="11"/>
        <w:rPr>
          <w:sz w:val="23"/>
        </w:rPr>
      </w:pPr>
    </w:p>
    <w:p w:rsidR="00F037FD" w:rsidRDefault="00034C5C">
      <w:pPr>
        <w:pStyle w:val="BodyText"/>
        <w:ind w:left="141" w:right="132"/>
        <w:jc w:val="both"/>
      </w:pPr>
      <w:r>
        <w:t>Methotrexate elimination is reduced in patients with a third distribution space (ascites, pleural effusions).</w:t>
      </w:r>
      <w:r>
        <w:rPr>
          <w:spacing w:val="-14"/>
        </w:rPr>
        <w:t xml:space="preserve"> </w:t>
      </w:r>
      <w:r>
        <w:t>Such</w:t>
      </w:r>
      <w:r>
        <w:rPr>
          <w:spacing w:val="-16"/>
        </w:rPr>
        <w:t xml:space="preserve"> </w:t>
      </w:r>
      <w:r>
        <w:t>patients</w:t>
      </w:r>
      <w:r>
        <w:rPr>
          <w:spacing w:val="-13"/>
        </w:rPr>
        <w:t xml:space="preserve"> </w:t>
      </w:r>
      <w:r>
        <w:t>require</w:t>
      </w:r>
      <w:r>
        <w:rPr>
          <w:spacing w:val="-14"/>
        </w:rPr>
        <w:t xml:space="preserve"> </w:t>
      </w:r>
      <w:r>
        <w:t>especially</w:t>
      </w:r>
      <w:r>
        <w:rPr>
          <w:spacing w:val="-16"/>
        </w:rPr>
        <w:t xml:space="preserve"> </w:t>
      </w:r>
      <w:r>
        <w:t>careful</w:t>
      </w:r>
      <w:r>
        <w:rPr>
          <w:spacing w:val="-14"/>
        </w:rPr>
        <w:t xml:space="preserve"> </w:t>
      </w:r>
      <w:r>
        <w:t>monitoring</w:t>
      </w:r>
      <w:r>
        <w:rPr>
          <w:spacing w:val="-15"/>
        </w:rPr>
        <w:t xml:space="preserve"> </w:t>
      </w:r>
      <w:r>
        <w:t>for</w:t>
      </w:r>
      <w:r>
        <w:rPr>
          <w:spacing w:val="-12"/>
        </w:rPr>
        <w:t xml:space="preserve"> </w:t>
      </w:r>
      <w:r>
        <w:t>toxicity,</w:t>
      </w:r>
      <w:r>
        <w:rPr>
          <w:spacing w:val="-14"/>
        </w:rPr>
        <w:t xml:space="preserve"> </w:t>
      </w:r>
      <w:r>
        <w:t>and</w:t>
      </w:r>
      <w:r>
        <w:rPr>
          <w:spacing w:val="-14"/>
        </w:rPr>
        <w:t xml:space="preserve"> </w:t>
      </w:r>
      <w:r>
        <w:t>require</w:t>
      </w:r>
      <w:r>
        <w:rPr>
          <w:spacing w:val="-17"/>
        </w:rPr>
        <w:t xml:space="preserve"> </w:t>
      </w:r>
      <w:r>
        <w:t>dose</w:t>
      </w:r>
      <w:r>
        <w:rPr>
          <w:spacing w:val="-17"/>
        </w:rPr>
        <w:t xml:space="preserve"> </w:t>
      </w:r>
      <w:r>
        <w:t xml:space="preserve">reduction or, in some cases, discontinuation of methotrexate administration (see </w:t>
      </w:r>
      <w:r>
        <w:rPr>
          <w:b/>
        </w:rPr>
        <w:t xml:space="preserve">Pharmacokinetics </w:t>
      </w:r>
      <w:r>
        <w:t xml:space="preserve">and </w:t>
      </w:r>
      <w:r>
        <w:rPr>
          <w:b/>
        </w:rPr>
        <w:t>PRECAUTIONS</w:t>
      </w:r>
      <w:r>
        <w:t>).</w:t>
      </w:r>
    </w:p>
    <w:p w:rsidR="00F037FD" w:rsidRDefault="00F037FD">
      <w:pPr>
        <w:pStyle w:val="BodyText"/>
        <w:spacing w:before="11"/>
        <w:rPr>
          <w:sz w:val="23"/>
        </w:rPr>
      </w:pPr>
    </w:p>
    <w:p w:rsidR="00F037FD" w:rsidRDefault="00034C5C">
      <w:pPr>
        <w:pStyle w:val="BodyText"/>
        <w:ind w:left="141" w:right="131"/>
        <w:jc w:val="both"/>
      </w:pPr>
      <w:r>
        <w:t xml:space="preserve">Assessment of renal function, liver function and blood elements should be made by history, physical examination and laboratory tests (such as </w:t>
      </w:r>
      <w:proofErr w:type="spellStart"/>
      <w:r>
        <w:t>haemogram</w:t>
      </w:r>
      <w:proofErr w:type="spellEnd"/>
      <w:r>
        <w:t>, urinalysis, serum creatinine, liver function studies</w:t>
      </w:r>
      <w:r>
        <w:rPr>
          <w:spacing w:val="-13"/>
        </w:rPr>
        <w:t xml:space="preserve"> </w:t>
      </w:r>
      <w:r>
        <w:t>and</w:t>
      </w:r>
      <w:r>
        <w:rPr>
          <w:spacing w:val="-13"/>
        </w:rPr>
        <w:t xml:space="preserve"> </w:t>
      </w:r>
      <w:r>
        <w:t>liver</w:t>
      </w:r>
      <w:r>
        <w:rPr>
          <w:spacing w:val="-11"/>
        </w:rPr>
        <w:t xml:space="preserve"> </w:t>
      </w:r>
      <w:r>
        <w:t>biopsy</w:t>
      </w:r>
      <w:r>
        <w:rPr>
          <w:spacing w:val="-15"/>
        </w:rPr>
        <w:t xml:space="preserve"> </w:t>
      </w:r>
      <w:r>
        <w:t>if</w:t>
      </w:r>
      <w:r>
        <w:rPr>
          <w:spacing w:val="-14"/>
        </w:rPr>
        <w:t xml:space="preserve"> </w:t>
      </w:r>
      <w:r>
        <w:t>indicated)</w:t>
      </w:r>
      <w:r>
        <w:rPr>
          <w:spacing w:val="-11"/>
        </w:rPr>
        <w:t xml:space="preserve"> </w:t>
      </w:r>
      <w:r>
        <w:t>before</w:t>
      </w:r>
      <w:r>
        <w:rPr>
          <w:spacing w:val="-16"/>
        </w:rPr>
        <w:t xml:space="preserve"> </w:t>
      </w:r>
      <w:r>
        <w:t>beginning</w:t>
      </w:r>
      <w:r>
        <w:rPr>
          <w:spacing w:val="-15"/>
        </w:rPr>
        <w:t xml:space="preserve"> </w:t>
      </w:r>
      <w:r>
        <w:t>methotrexate,</w:t>
      </w:r>
      <w:r>
        <w:rPr>
          <w:spacing w:val="-11"/>
        </w:rPr>
        <w:t xml:space="preserve"> </w:t>
      </w:r>
      <w:r>
        <w:t>periodically</w:t>
      </w:r>
      <w:r>
        <w:rPr>
          <w:spacing w:val="-15"/>
        </w:rPr>
        <w:t xml:space="preserve"> </w:t>
      </w:r>
      <w:r>
        <w:t>during</w:t>
      </w:r>
      <w:r>
        <w:rPr>
          <w:spacing w:val="-15"/>
        </w:rPr>
        <w:t xml:space="preserve"> </w:t>
      </w:r>
      <w:r>
        <w:t>methotrexate therapy and before reinstituting methotrexate therapy after a rest period. Additional monitoring may also be required when changing from oral to parenteral routes of administration. Appropriate steps should be taken to avoid conception for at least 12 weeks following methotrexate</w:t>
      </w:r>
      <w:r>
        <w:rPr>
          <w:spacing w:val="-23"/>
        </w:rPr>
        <w:t xml:space="preserve"> </w:t>
      </w:r>
      <w:r>
        <w:t>therapy.</w:t>
      </w:r>
    </w:p>
    <w:p w:rsidR="00F037FD" w:rsidRDefault="00F037FD">
      <w:pPr>
        <w:pStyle w:val="BodyText"/>
        <w:spacing w:before="3"/>
      </w:pPr>
    </w:p>
    <w:p w:rsidR="00F037FD" w:rsidRDefault="00034C5C">
      <w:pPr>
        <w:pStyle w:val="BodyText"/>
        <w:spacing w:before="1" w:line="272" w:lineRule="exact"/>
        <w:ind w:left="141" w:right="131"/>
        <w:jc w:val="both"/>
      </w:pPr>
      <w:r>
        <w:t xml:space="preserve">If changing the oral application to parenteral administration a reduction of the dose may be required due to the variable bioavailability of methotrexate after oral administration. (See also </w:t>
      </w:r>
      <w:r>
        <w:rPr>
          <w:b/>
        </w:rPr>
        <w:t>PHARMACOLOGY</w:t>
      </w:r>
      <w:r>
        <w:t xml:space="preserve">, </w:t>
      </w:r>
      <w:r>
        <w:rPr>
          <w:u w:val="single"/>
        </w:rPr>
        <w:t>Studies comparing Oral with Parenteral Administration</w:t>
      </w:r>
      <w:r>
        <w:t>.) Folic acid supplementation may be considered according to current treatment guidelines.</w:t>
      </w:r>
    </w:p>
    <w:p w:rsidR="00F037FD" w:rsidRDefault="00F037FD">
      <w:pPr>
        <w:pStyle w:val="BodyText"/>
        <w:spacing w:before="9"/>
        <w:rPr>
          <w:sz w:val="23"/>
        </w:rPr>
      </w:pPr>
    </w:p>
    <w:p w:rsidR="00F037FD" w:rsidRDefault="00034C5C">
      <w:pPr>
        <w:pStyle w:val="BodyText"/>
        <w:spacing w:line="268" w:lineRule="exact"/>
        <w:ind w:left="141" w:right="136"/>
        <w:jc w:val="both"/>
      </w:pPr>
      <w:r>
        <w:t>No</w:t>
      </w:r>
      <w:r>
        <w:rPr>
          <w:spacing w:val="-8"/>
        </w:rPr>
        <w:t xml:space="preserve"> </w:t>
      </w:r>
      <w:r>
        <w:t>dose</w:t>
      </w:r>
      <w:r>
        <w:rPr>
          <w:spacing w:val="-8"/>
        </w:rPr>
        <w:t xml:space="preserve"> </w:t>
      </w:r>
      <w:r>
        <w:t>adjustment</w:t>
      </w:r>
      <w:r>
        <w:rPr>
          <w:spacing w:val="-4"/>
        </w:rPr>
        <w:t xml:space="preserve"> </w:t>
      </w:r>
      <w:r>
        <w:t>is</w:t>
      </w:r>
      <w:r>
        <w:rPr>
          <w:spacing w:val="-7"/>
        </w:rPr>
        <w:t xml:space="preserve"> </w:t>
      </w:r>
      <w:r>
        <w:t>necessary</w:t>
      </w:r>
      <w:r>
        <w:rPr>
          <w:spacing w:val="-7"/>
        </w:rPr>
        <w:t xml:space="preserve"> </w:t>
      </w:r>
      <w:r>
        <w:t>when</w:t>
      </w:r>
      <w:r>
        <w:rPr>
          <w:spacing w:val="-5"/>
        </w:rPr>
        <w:t xml:space="preserve"> </w:t>
      </w:r>
      <w:r>
        <w:t>switching</w:t>
      </w:r>
      <w:r>
        <w:rPr>
          <w:spacing w:val="-7"/>
        </w:rPr>
        <w:t xml:space="preserve"> </w:t>
      </w:r>
      <w:r>
        <w:t>from</w:t>
      </w:r>
      <w:r>
        <w:rPr>
          <w:spacing w:val="-7"/>
        </w:rPr>
        <w:t xml:space="preserve"> </w:t>
      </w:r>
      <w:r>
        <w:t>the</w:t>
      </w:r>
      <w:r>
        <w:rPr>
          <w:spacing w:val="-8"/>
        </w:rPr>
        <w:t xml:space="preserve"> </w:t>
      </w:r>
      <w:r>
        <w:t>intramuscular</w:t>
      </w:r>
      <w:r>
        <w:rPr>
          <w:spacing w:val="-8"/>
        </w:rPr>
        <w:t xml:space="preserve"> </w:t>
      </w:r>
      <w:r>
        <w:t>to</w:t>
      </w:r>
      <w:r>
        <w:rPr>
          <w:spacing w:val="-9"/>
        </w:rPr>
        <w:t xml:space="preserve"> </w:t>
      </w:r>
      <w:r>
        <w:t>the</w:t>
      </w:r>
      <w:r>
        <w:rPr>
          <w:spacing w:val="-8"/>
        </w:rPr>
        <w:t xml:space="preserve"> </w:t>
      </w:r>
      <w:r>
        <w:t>subcutaneous</w:t>
      </w:r>
      <w:r>
        <w:rPr>
          <w:spacing w:val="-5"/>
        </w:rPr>
        <w:t xml:space="preserve"> </w:t>
      </w:r>
      <w:r>
        <w:t>route</w:t>
      </w:r>
      <w:r>
        <w:rPr>
          <w:spacing w:val="-3"/>
        </w:rPr>
        <w:t xml:space="preserve"> </w:t>
      </w:r>
      <w:r>
        <w:t>or vice</w:t>
      </w:r>
      <w:r>
        <w:rPr>
          <w:spacing w:val="-3"/>
        </w:rPr>
        <w:t xml:space="preserve"> </w:t>
      </w:r>
      <w:r>
        <w:t>versa.</w:t>
      </w:r>
    </w:p>
    <w:p w:rsidR="00F037FD" w:rsidRDefault="00F037FD">
      <w:pPr>
        <w:spacing w:line="268" w:lineRule="exact"/>
        <w:jc w:val="both"/>
        <w:sectPr w:rsidR="00F037FD">
          <w:pgSz w:w="11910" w:h="16850"/>
          <w:pgMar w:top="1160" w:right="960" w:bottom="1000" w:left="1020" w:header="883" w:footer="816" w:gutter="0"/>
          <w:cols w:space="720"/>
        </w:sectPr>
      </w:pPr>
    </w:p>
    <w:p w:rsidR="00F037FD" w:rsidRDefault="00F037FD">
      <w:pPr>
        <w:pStyle w:val="BodyText"/>
        <w:spacing w:before="6"/>
        <w:rPr>
          <w:sz w:val="11"/>
        </w:rPr>
      </w:pPr>
    </w:p>
    <w:p w:rsidR="00F037FD" w:rsidRDefault="00034C5C">
      <w:pPr>
        <w:pStyle w:val="Heading1"/>
        <w:spacing w:before="90"/>
      </w:pPr>
      <w:r>
        <w:t>Dosage of TREXJECT IN for adult patients with rheumatoid arthritis:</w:t>
      </w:r>
    </w:p>
    <w:p w:rsidR="00F037FD" w:rsidRDefault="00F037FD">
      <w:pPr>
        <w:pStyle w:val="BodyText"/>
        <w:spacing w:before="6"/>
        <w:rPr>
          <w:b/>
          <w:sz w:val="23"/>
        </w:rPr>
      </w:pPr>
    </w:p>
    <w:p w:rsidR="00F037FD" w:rsidRDefault="00034C5C">
      <w:pPr>
        <w:pStyle w:val="BodyText"/>
        <w:spacing w:line="272" w:lineRule="exact"/>
        <w:ind w:left="141" w:right="131"/>
        <w:jc w:val="both"/>
      </w:pPr>
      <w:r>
        <w:t xml:space="preserve">A weekly dose of 7.5 to 25 mg is recommended, depending on response and tolerability. The recommended initial dose is 7.5 mg of methotrexate once weekly, administered subcutaneously </w:t>
      </w:r>
      <w:r>
        <w:rPr>
          <w:spacing w:val="-3"/>
        </w:rPr>
        <w:t xml:space="preserve">or </w:t>
      </w:r>
      <w:r>
        <w:t>intramuscularly. Depending on the individual activity of the disease and tolerability by the patient, the initial dose may be increased gradually by 2.5 mg per week. A weekly dose of 25 mg should not be</w:t>
      </w:r>
      <w:r>
        <w:rPr>
          <w:spacing w:val="-8"/>
        </w:rPr>
        <w:t xml:space="preserve"> </w:t>
      </w:r>
      <w:r>
        <w:t>exceeded.</w:t>
      </w:r>
      <w:r>
        <w:rPr>
          <w:spacing w:val="-5"/>
        </w:rPr>
        <w:t xml:space="preserve"> </w:t>
      </w:r>
      <w:r>
        <w:t>Dosage</w:t>
      </w:r>
      <w:r>
        <w:rPr>
          <w:spacing w:val="-11"/>
        </w:rPr>
        <w:t xml:space="preserve"> </w:t>
      </w:r>
      <w:r>
        <w:t>should</w:t>
      </w:r>
      <w:r>
        <w:rPr>
          <w:spacing w:val="-7"/>
        </w:rPr>
        <w:t xml:space="preserve"> </w:t>
      </w:r>
      <w:r>
        <w:t>not</w:t>
      </w:r>
      <w:r>
        <w:rPr>
          <w:spacing w:val="-7"/>
        </w:rPr>
        <w:t xml:space="preserve"> </w:t>
      </w:r>
      <w:r>
        <w:t>ordinarily</w:t>
      </w:r>
      <w:r>
        <w:rPr>
          <w:spacing w:val="-8"/>
        </w:rPr>
        <w:t xml:space="preserve"> </w:t>
      </w:r>
      <w:r>
        <w:t>exceed</w:t>
      </w:r>
      <w:r>
        <w:rPr>
          <w:spacing w:val="-7"/>
        </w:rPr>
        <w:t xml:space="preserve"> </w:t>
      </w:r>
      <w:r>
        <w:t>20</w:t>
      </w:r>
      <w:r>
        <w:rPr>
          <w:spacing w:val="-7"/>
        </w:rPr>
        <w:t xml:space="preserve"> </w:t>
      </w:r>
      <w:r>
        <w:t>mg/week</w:t>
      </w:r>
      <w:r>
        <w:rPr>
          <w:spacing w:val="-7"/>
        </w:rPr>
        <w:t xml:space="preserve"> </w:t>
      </w:r>
      <w:r>
        <w:t>due</w:t>
      </w:r>
      <w:r>
        <w:rPr>
          <w:spacing w:val="-11"/>
        </w:rPr>
        <w:t xml:space="preserve"> </w:t>
      </w:r>
      <w:r>
        <w:t>to</w:t>
      </w:r>
      <w:r>
        <w:rPr>
          <w:spacing w:val="-9"/>
        </w:rPr>
        <w:t xml:space="preserve"> </w:t>
      </w:r>
      <w:r>
        <w:t>significant</w:t>
      </w:r>
      <w:r>
        <w:rPr>
          <w:spacing w:val="-7"/>
        </w:rPr>
        <w:t xml:space="preserve"> </w:t>
      </w:r>
      <w:r>
        <w:t>increase</w:t>
      </w:r>
      <w:r>
        <w:rPr>
          <w:spacing w:val="-10"/>
        </w:rPr>
        <w:t xml:space="preserve"> </w:t>
      </w:r>
      <w:r>
        <w:t>in</w:t>
      </w:r>
      <w:r>
        <w:rPr>
          <w:spacing w:val="-7"/>
        </w:rPr>
        <w:t xml:space="preserve"> </w:t>
      </w:r>
      <w:r>
        <w:t>toxicity, especially bone marrow</w:t>
      </w:r>
      <w:r>
        <w:rPr>
          <w:spacing w:val="-16"/>
        </w:rPr>
        <w:t xml:space="preserve"> </w:t>
      </w:r>
      <w:r>
        <w:t>suppression.</w:t>
      </w:r>
    </w:p>
    <w:p w:rsidR="00F037FD" w:rsidRDefault="00F037FD">
      <w:pPr>
        <w:pStyle w:val="BodyText"/>
        <w:spacing w:before="8"/>
        <w:rPr>
          <w:sz w:val="22"/>
        </w:rPr>
      </w:pPr>
    </w:p>
    <w:p w:rsidR="00F037FD" w:rsidRDefault="00034C5C">
      <w:pPr>
        <w:pStyle w:val="BodyText"/>
        <w:ind w:left="141"/>
        <w:jc w:val="both"/>
      </w:pPr>
      <w:r>
        <w:t>Response to treatment can be expected after approximately 4 – 8 weeks.</w:t>
      </w:r>
    </w:p>
    <w:p w:rsidR="00F037FD" w:rsidRDefault="00F037FD">
      <w:pPr>
        <w:pStyle w:val="BodyText"/>
      </w:pPr>
    </w:p>
    <w:p w:rsidR="00F037FD" w:rsidRDefault="00034C5C">
      <w:pPr>
        <w:pStyle w:val="BodyText"/>
        <w:ind w:left="141" w:right="130"/>
        <w:jc w:val="both"/>
      </w:pPr>
      <w:r>
        <w:t>Upon</w:t>
      </w:r>
      <w:r>
        <w:rPr>
          <w:spacing w:val="-2"/>
        </w:rPr>
        <w:t xml:space="preserve"> </w:t>
      </w:r>
      <w:r>
        <w:t>achieving</w:t>
      </w:r>
      <w:r>
        <w:rPr>
          <w:spacing w:val="-5"/>
        </w:rPr>
        <w:t xml:space="preserve"> </w:t>
      </w:r>
      <w:r>
        <w:t>the</w:t>
      </w:r>
      <w:r>
        <w:rPr>
          <w:spacing w:val="-5"/>
        </w:rPr>
        <w:t xml:space="preserve"> </w:t>
      </w:r>
      <w:r>
        <w:t>therapeutically</w:t>
      </w:r>
      <w:r>
        <w:rPr>
          <w:spacing w:val="-5"/>
        </w:rPr>
        <w:t xml:space="preserve"> </w:t>
      </w:r>
      <w:r>
        <w:t>desired</w:t>
      </w:r>
      <w:r>
        <w:rPr>
          <w:spacing w:val="-2"/>
        </w:rPr>
        <w:t xml:space="preserve"> </w:t>
      </w:r>
      <w:r>
        <w:t>result,</w:t>
      </w:r>
      <w:r>
        <w:rPr>
          <w:spacing w:val="-5"/>
        </w:rPr>
        <w:t xml:space="preserve"> </w:t>
      </w:r>
      <w:r>
        <w:t>the</w:t>
      </w:r>
      <w:r>
        <w:rPr>
          <w:spacing w:val="-5"/>
        </w:rPr>
        <w:t xml:space="preserve"> </w:t>
      </w:r>
      <w:r>
        <w:t>dose</w:t>
      </w:r>
      <w:r>
        <w:rPr>
          <w:spacing w:val="-5"/>
        </w:rPr>
        <w:t xml:space="preserve"> </w:t>
      </w:r>
      <w:r>
        <w:t>should</w:t>
      </w:r>
      <w:r>
        <w:rPr>
          <w:spacing w:val="-2"/>
        </w:rPr>
        <w:t xml:space="preserve"> </w:t>
      </w:r>
      <w:r>
        <w:t>be</w:t>
      </w:r>
      <w:r>
        <w:rPr>
          <w:spacing w:val="-6"/>
        </w:rPr>
        <w:t xml:space="preserve"> </w:t>
      </w:r>
      <w:r>
        <w:t>reduced</w:t>
      </w:r>
      <w:r>
        <w:rPr>
          <w:spacing w:val="-2"/>
        </w:rPr>
        <w:t xml:space="preserve"> </w:t>
      </w:r>
      <w:r>
        <w:t>gradually</w:t>
      </w:r>
      <w:r>
        <w:rPr>
          <w:spacing w:val="-5"/>
        </w:rPr>
        <w:t xml:space="preserve"> </w:t>
      </w:r>
      <w:r>
        <w:t>to</w:t>
      </w:r>
      <w:r>
        <w:rPr>
          <w:spacing w:val="-7"/>
        </w:rPr>
        <w:t xml:space="preserve"> </w:t>
      </w:r>
      <w:r>
        <w:t>the</w:t>
      </w:r>
      <w:r>
        <w:rPr>
          <w:spacing w:val="-6"/>
        </w:rPr>
        <w:t xml:space="preserve"> </w:t>
      </w:r>
      <w:r>
        <w:t>lowest possible effective maintenance</w:t>
      </w:r>
      <w:r>
        <w:rPr>
          <w:spacing w:val="-12"/>
        </w:rPr>
        <w:t xml:space="preserve"> </w:t>
      </w:r>
      <w:r>
        <w:t>dose.</w:t>
      </w:r>
    </w:p>
    <w:p w:rsidR="00F037FD" w:rsidRDefault="00F037FD">
      <w:pPr>
        <w:pStyle w:val="BodyText"/>
        <w:spacing w:before="1"/>
        <w:rPr>
          <w:sz w:val="25"/>
        </w:rPr>
      </w:pPr>
    </w:p>
    <w:p w:rsidR="00F037FD" w:rsidRDefault="00034C5C">
      <w:pPr>
        <w:pStyle w:val="Heading1"/>
      </w:pPr>
      <w:r>
        <w:t>Dosage of TREXJECT IN for patients with psoriasis vulgaris:</w:t>
      </w:r>
    </w:p>
    <w:p w:rsidR="00F037FD" w:rsidRDefault="00F037FD">
      <w:pPr>
        <w:pStyle w:val="BodyText"/>
        <w:spacing w:before="8"/>
        <w:rPr>
          <w:b/>
          <w:sz w:val="23"/>
        </w:rPr>
      </w:pPr>
    </w:p>
    <w:p w:rsidR="00F037FD" w:rsidRDefault="00034C5C">
      <w:pPr>
        <w:pStyle w:val="BodyText"/>
        <w:spacing w:line="272" w:lineRule="exact"/>
        <w:ind w:left="141" w:right="131"/>
        <w:jc w:val="both"/>
      </w:pPr>
      <w:r>
        <w:t xml:space="preserve">A weekly dose of 7.5 to 25 mg is recommended, depending on response and tolerability. The recommended initial dose is 7.5 mg of methotrexate once weekly, administered subcutaneously </w:t>
      </w:r>
      <w:r>
        <w:rPr>
          <w:spacing w:val="-3"/>
        </w:rPr>
        <w:t xml:space="preserve">or </w:t>
      </w:r>
      <w:r>
        <w:t>intramuscularly.</w:t>
      </w:r>
      <w:r>
        <w:rPr>
          <w:spacing w:val="-2"/>
        </w:rPr>
        <w:t xml:space="preserve"> </w:t>
      </w:r>
      <w:r>
        <w:t>The</w:t>
      </w:r>
      <w:r>
        <w:rPr>
          <w:spacing w:val="-6"/>
        </w:rPr>
        <w:t xml:space="preserve"> </w:t>
      </w:r>
      <w:r>
        <w:t>dose</w:t>
      </w:r>
      <w:r>
        <w:rPr>
          <w:spacing w:val="-6"/>
        </w:rPr>
        <w:t xml:space="preserve"> </w:t>
      </w:r>
      <w:r>
        <w:t>is</w:t>
      </w:r>
      <w:r>
        <w:rPr>
          <w:spacing w:val="-2"/>
        </w:rPr>
        <w:t xml:space="preserve"> </w:t>
      </w:r>
      <w:r>
        <w:t>to</w:t>
      </w:r>
      <w:r>
        <w:rPr>
          <w:spacing w:val="-5"/>
        </w:rPr>
        <w:t xml:space="preserve"> </w:t>
      </w:r>
      <w:r>
        <w:t>be</w:t>
      </w:r>
      <w:r>
        <w:rPr>
          <w:spacing w:val="-6"/>
        </w:rPr>
        <w:t xml:space="preserve"> </w:t>
      </w:r>
      <w:r>
        <w:t>increased</w:t>
      </w:r>
      <w:r>
        <w:rPr>
          <w:spacing w:val="-2"/>
        </w:rPr>
        <w:t xml:space="preserve"> </w:t>
      </w:r>
      <w:r>
        <w:t>gradually</w:t>
      </w:r>
      <w:r>
        <w:rPr>
          <w:spacing w:val="-5"/>
        </w:rPr>
        <w:t xml:space="preserve"> </w:t>
      </w:r>
      <w:r>
        <w:t>but</w:t>
      </w:r>
      <w:r>
        <w:rPr>
          <w:spacing w:val="-4"/>
        </w:rPr>
        <w:t xml:space="preserve"> </w:t>
      </w:r>
      <w:r>
        <w:t>should</w:t>
      </w:r>
      <w:r>
        <w:rPr>
          <w:spacing w:val="-2"/>
        </w:rPr>
        <w:t xml:space="preserve"> </w:t>
      </w:r>
      <w:r>
        <w:t>not</w:t>
      </w:r>
      <w:r>
        <w:rPr>
          <w:spacing w:val="-2"/>
        </w:rPr>
        <w:t xml:space="preserve"> </w:t>
      </w:r>
      <w:r>
        <w:t>exceed</w:t>
      </w:r>
      <w:r>
        <w:rPr>
          <w:spacing w:val="-5"/>
        </w:rPr>
        <w:t xml:space="preserve"> </w:t>
      </w:r>
      <w:r>
        <w:t>a</w:t>
      </w:r>
      <w:r>
        <w:rPr>
          <w:spacing w:val="-3"/>
        </w:rPr>
        <w:t xml:space="preserve"> </w:t>
      </w:r>
      <w:r>
        <w:t>weekly</w:t>
      </w:r>
      <w:r>
        <w:rPr>
          <w:spacing w:val="-5"/>
        </w:rPr>
        <w:t xml:space="preserve"> </w:t>
      </w:r>
      <w:r>
        <w:t>dose</w:t>
      </w:r>
      <w:r>
        <w:rPr>
          <w:spacing w:val="-6"/>
        </w:rPr>
        <w:t xml:space="preserve"> </w:t>
      </w:r>
      <w:r>
        <w:t>of</w:t>
      </w:r>
      <w:r>
        <w:rPr>
          <w:spacing w:val="-2"/>
        </w:rPr>
        <w:t xml:space="preserve"> </w:t>
      </w:r>
      <w:r>
        <w:t>25</w:t>
      </w:r>
      <w:r>
        <w:rPr>
          <w:spacing w:val="-2"/>
        </w:rPr>
        <w:t xml:space="preserve"> </w:t>
      </w:r>
      <w:r>
        <w:t>mg of methotrexate. Dosage should not ordinarily exceed 20 mg/week due to significant increase in toxicity, especially bone marrow</w:t>
      </w:r>
      <w:r>
        <w:rPr>
          <w:spacing w:val="-18"/>
        </w:rPr>
        <w:t xml:space="preserve"> </w:t>
      </w:r>
      <w:r>
        <w:t>suppression.</w:t>
      </w:r>
    </w:p>
    <w:p w:rsidR="00F037FD" w:rsidRDefault="00F037FD">
      <w:pPr>
        <w:pStyle w:val="BodyText"/>
        <w:spacing w:before="5"/>
        <w:rPr>
          <w:sz w:val="22"/>
        </w:rPr>
      </w:pPr>
    </w:p>
    <w:p w:rsidR="00F037FD" w:rsidRDefault="00034C5C">
      <w:pPr>
        <w:pStyle w:val="BodyText"/>
        <w:spacing w:before="1"/>
        <w:ind w:left="141"/>
        <w:jc w:val="both"/>
      </w:pPr>
      <w:r>
        <w:t>Response to treatment can generally be expected after approximately 2-6 weeks.</w:t>
      </w:r>
    </w:p>
    <w:p w:rsidR="00F037FD" w:rsidRDefault="00F037FD">
      <w:pPr>
        <w:pStyle w:val="BodyText"/>
      </w:pPr>
    </w:p>
    <w:p w:rsidR="00F037FD" w:rsidRDefault="00034C5C">
      <w:pPr>
        <w:pStyle w:val="BodyText"/>
        <w:ind w:left="141" w:right="133"/>
        <w:jc w:val="both"/>
      </w:pPr>
      <w:r>
        <w:t>Upon</w:t>
      </w:r>
      <w:r>
        <w:rPr>
          <w:spacing w:val="-3"/>
        </w:rPr>
        <w:t xml:space="preserve"> </w:t>
      </w:r>
      <w:r>
        <w:t>achieving</w:t>
      </w:r>
      <w:r>
        <w:rPr>
          <w:spacing w:val="-5"/>
        </w:rPr>
        <w:t xml:space="preserve"> </w:t>
      </w:r>
      <w:r>
        <w:t>the</w:t>
      </w:r>
      <w:r>
        <w:rPr>
          <w:spacing w:val="-5"/>
        </w:rPr>
        <w:t xml:space="preserve"> </w:t>
      </w:r>
      <w:r>
        <w:t>therapeutically</w:t>
      </w:r>
      <w:r>
        <w:rPr>
          <w:spacing w:val="-5"/>
        </w:rPr>
        <w:t xml:space="preserve"> </w:t>
      </w:r>
      <w:r>
        <w:t>desired</w:t>
      </w:r>
      <w:r>
        <w:rPr>
          <w:spacing w:val="-3"/>
        </w:rPr>
        <w:t xml:space="preserve"> </w:t>
      </w:r>
      <w:r>
        <w:t>result,</w:t>
      </w:r>
      <w:r>
        <w:rPr>
          <w:spacing w:val="-5"/>
        </w:rPr>
        <w:t xml:space="preserve"> </w:t>
      </w:r>
      <w:r>
        <w:t>the</w:t>
      </w:r>
      <w:r>
        <w:rPr>
          <w:spacing w:val="-5"/>
        </w:rPr>
        <w:t xml:space="preserve"> </w:t>
      </w:r>
      <w:r>
        <w:t>dose</w:t>
      </w:r>
      <w:r>
        <w:rPr>
          <w:spacing w:val="-5"/>
        </w:rPr>
        <w:t xml:space="preserve"> </w:t>
      </w:r>
      <w:r>
        <w:t>should</w:t>
      </w:r>
      <w:r>
        <w:rPr>
          <w:spacing w:val="-3"/>
        </w:rPr>
        <w:t xml:space="preserve"> </w:t>
      </w:r>
      <w:r>
        <w:t>be</w:t>
      </w:r>
      <w:r>
        <w:rPr>
          <w:spacing w:val="-6"/>
        </w:rPr>
        <w:t xml:space="preserve"> </w:t>
      </w:r>
      <w:r>
        <w:t>reduced</w:t>
      </w:r>
      <w:r>
        <w:rPr>
          <w:spacing w:val="-3"/>
        </w:rPr>
        <w:t xml:space="preserve"> </w:t>
      </w:r>
      <w:r>
        <w:t>gradually</w:t>
      </w:r>
      <w:r>
        <w:rPr>
          <w:spacing w:val="-5"/>
        </w:rPr>
        <w:t xml:space="preserve"> </w:t>
      </w:r>
      <w:r>
        <w:t>to</w:t>
      </w:r>
      <w:r>
        <w:rPr>
          <w:spacing w:val="-7"/>
        </w:rPr>
        <w:t xml:space="preserve"> </w:t>
      </w:r>
      <w:r>
        <w:t>the</w:t>
      </w:r>
      <w:r>
        <w:rPr>
          <w:spacing w:val="-5"/>
        </w:rPr>
        <w:t xml:space="preserve"> </w:t>
      </w:r>
      <w:r>
        <w:t>lowest possible effective maintenance</w:t>
      </w:r>
      <w:r>
        <w:rPr>
          <w:spacing w:val="-12"/>
        </w:rPr>
        <w:t xml:space="preserve"> </w:t>
      </w:r>
      <w:r>
        <w:t>dose.</w:t>
      </w:r>
    </w:p>
    <w:p w:rsidR="00F037FD" w:rsidRDefault="00F037FD">
      <w:pPr>
        <w:pStyle w:val="BodyText"/>
        <w:rPr>
          <w:sz w:val="25"/>
        </w:rPr>
      </w:pPr>
    </w:p>
    <w:p w:rsidR="00F037FD" w:rsidRDefault="00034C5C">
      <w:pPr>
        <w:pStyle w:val="Heading1"/>
        <w:spacing w:line="274" w:lineRule="exact"/>
      </w:pPr>
      <w:r>
        <w:t>Patients with renal impairment:</w:t>
      </w:r>
    </w:p>
    <w:p w:rsidR="00F037FD" w:rsidRDefault="00034C5C">
      <w:pPr>
        <w:pStyle w:val="BodyText"/>
        <w:spacing w:before="3" w:line="272" w:lineRule="exact"/>
        <w:ind w:left="141" w:right="138"/>
        <w:jc w:val="both"/>
      </w:pPr>
      <w:r>
        <w:t>TREXJECT</w:t>
      </w:r>
      <w:r>
        <w:rPr>
          <w:spacing w:val="-11"/>
        </w:rPr>
        <w:t xml:space="preserve"> </w:t>
      </w:r>
      <w:r>
        <w:t>IN</w:t>
      </w:r>
      <w:r>
        <w:rPr>
          <w:spacing w:val="-11"/>
        </w:rPr>
        <w:t xml:space="preserve"> </w:t>
      </w:r>
      <w:r>
        <w:t>should</w:t>
      </w:r>
      <w:r>
        <w:rPr>
          <w:spacing w:val="-10"/>
        </w:rPr>
        <w:t xml:space="preserve"> </w:t>
      </w:r>
      <w:r>
        <w:t>be</w:t>
      </w:r>
      <w:r>
        <w:rPr>
          <w:spacing w:val="-12"/>
        </w:rPr>
        <w:t xml:space="preserve"> </w:t>
      </w:r>
      <w:r>
        <w:t>used</w:t>
      </w:r>
      <w:r>
        <w:rPr>
          <w:spacing w:val="-10"/>
        </w:rPr>
        <w:t xml:space="preserve"> </w:t>
      </w:r>
      <w:r>
        <w:t>with</w:t>
      </w:r>
      <w:r>
        <w:rPr>
          <w:spacing w:val="-10"/>
        </w:rPr>
        <w:t xml:space="preserve"> </w:t>
      </w:r>
      <w:r>
        <w:t>caution</w:t>
      </w:r>
      <w:r>
        <w:rPr>
          <w:spacing w:val="-10"/>
        </w:rPr>
        <w:t xml:space="preserve"> </w:t>
      </w:r>
      <w:r>
        <w:t>in</w:t>
      </w:r>
      <w:r>
        <w:rPr>
          <w:spacing w:val="-11"/>
        </w:rPr>
        <w:t xml:space="preserve"> </w:t>
      </w:r>
      <w:r>
        <w:t>patients</w:t>
      </w:r>
      <w:r>
        <w:rPr>
          <w:spacing w:val="-10"/>
        </w:rPr>
        <w:t xml:space="preserve"> </w:t>
      </w:r>
      <w:r>
        <w:t>with</w:t>
      </w:r>
      <w:r>
        <w:rPr>
          <w:spacing w:val="-10"/>
        </w:rPr>
        <w:t xml:space="preserve"> </w:t>
      </w:r>
      <w:r>
        <w:t>impaired</w:t>
      </w:r>
      <w:r>
        <w:rPr>
          <w:spacing w:val="-11"/>
        </w:rPr>
        <w:t xml:space="preserve"> </w:t>
      </w:r>
      <w:r>
        <w:t>renal</w:t>
      </w:r>
      <w:r>
        <w:rPr>
          <w:spacing w:val="-10"/>
        </w:rPr>
        <w:t xml:space="preserve"> </w:t>
      </w:r>
      <w:r>
        <w:t>function.</w:t>
      </w:r>
      <w:r>
        <w:rPr>
          <w:spacing w:val="-10"/>
        </w:rPr>
        <w:t xml:space="preserve"> </w:t>
      </w:r>
      <w:r>
        <w:t>The</w:t>
      </w:r>
      <w:r>
        <w:rPr>
          <w:spacing w:val="-14"/>
        </w:rPr>
        <w:t xml:space="preserve"> </w:t>
      </w:r>
      <w:r>
        <w:t>dose</w:t>
      </w:r>
      <w:r>
        <w:rPr>
          <w:spacing w:val="-14"/>
        </w:rPr>
        <w:t xml:space="preserve"> </w:t>
      </w:r>
      <w:r>
        <w:t>should be adjusted as</w:t>
      </w:r>
      <w:r>
        <w:rPr>
          <w:spacing w:val="-8"/>
        </w:rPr>
        <w:t xml:space="preserve"> </w:t>
      </w:r>
      <w:r>
        <w:t>follows:</w:t>
      </w:r>
    </w:p>
    <w:p w:rsidR="00F037FD" w:rsidRDefault="00F037FD">
      <w:pPr>
        <w:pStyle w:val="BodyText"/>
        <w:spacing w:before="7"/>
        <w:rPr>
          <w:sz w:val="23"/>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69"/>
        <w:gridCol w:w="2268"/>
        <w:gridCol w:w="2269"/>
      </w:tblGrid>
      <w:tr w:rsidR="00F037FD">
        <w:trPr>
          <w:trHeight w:hRule="exact" w:val="530"/>
        </w:trPr>
        <w:tc>
          <w:tcPr>
            <w:tcW w:w="2268" w:type="dxa"/>
          </w:tcPr>
          <w:p w:rsidR="00F037FD" w:rsidRDefault="00034C5C">
            <w:pPr>
              <w:pStyle w:val="TableParagraph"/>
              <w:spacing w:before="39" w:line="242" w:lineRule="auto"/>
              <w:rPr>
                <w:b/>
                <w:sz w:val="20"/>
              </w:rPr>
            </w:pPr>
            <w:r>
              <w:rPr>
                <w:b/>
                <w:sz w:val="20"/>
              </w:rPr>
              <w:t>Chronic kidney disease stage</w:t>
            </w:r>
          </w:p>
        </w:tc>
        <w:tc>
          <w:tcPr>
            <w:tcW w:w="2269" w:type="dxa"/>
          </w:tcPr>
          <w:p w:rsidR="00F037FD" w:rsidRDefault="00034C5C">
            <w:pPr>
              <w:pStyle w:val="TableParagraph"/>
              <w:spacing w:before="39" w:line="242" w:lineRule="auto"/>
              <w:rPr>
                <w:b/>
                <w:sz w:val="20"/>
              </w:rPr>
            </w:pPr>
            <w:r>
              <w:rPr>
                <w:b/>
                <w:sz w:val="20"/>
              </w:rPr>
              <w:t>Estimated glomerular filtration rate*</w:t>
            </w:r>
          </w:p>
        </w:tc>
        <w:tc>
          <w:tcPr>
            <w:tcW w:w="2268" w:type="dxa"/>
          </w:tcPr>
          <w:p w:rsidR="00F037FD" w:rsidRDefault="00034C5C">
            <w:pPr>
              <w:pStyle w:val="TableParagraph"/>
              <w:spacing w:before="39" w:line="242" w:lineRule="auto"/>
              <w:ind w:right="364"/>
              <w:rPr>
                <w:b/>
                <w:sz w:val="20"/>
              </w:rPr>
            </w:pPr>
            <w:r>
              <w:rPr>
                <w:b/>
                <w:sz w:val="20"/>
              </w:rPr>
              <w:t>Creatinine clearance (mL/min)</w:t>
            </w:r>
          </w:p>
        </w:tc>
        <w:tc>
          <w:tcPr>
            <w:tcW w:w="2269" w:type="dxa"/>
          </w:tcPr>
          <w:p w:rsidR="00F037FD" w:rsidRDefault="00034C5C">
            <w:pPr>
              <w:pStyle w:val="TableParagraph"/>
              <w:spacing w:before="154"/>
              <w:rPr>
                <w:b/>
                <w:sz w:val="20"/>
              </w:rPr>
            </w:pPr>
            <w:r>
              <w:rPr>
                <w:b/>
                <w:sz w:val="20"/>
              </w:rPr>
              <w:t>Dose</w:t>
            </w:r>
          </w:p>
        </w:tc>
      </w:tr>
      <w:tr w:rsidR="00F037FD">
        <w:trPr>
          <w:trHeight w:hRule="exact" w:val="300"/>
        </w:trPr>
        <w:tc>
          <w:tcPr>
            <w:tcW w:w="2268" w:type="dxa"/>
          </w:tcPr>
          <w:p w:rsidR="00F037FD" w:rsidRDefault="00034C5C">
            <w:pPr>
              <w:pStyle w:val="TableParagraph"/>
              <w:spacing w:before="34"/>
              <w:rPr>
                <w:sz w:val="20"/>
              </w:rPr>
            </w:pPr>
            <w:r>
              <w:rPr>
                <w:sz w:val="20"/>
              </w:rPr>
              <w:t>I, II</w:t>
            </w:r>
          </w:p>
        </w:tc>
        <w:tc>
          <w:tcPr>
            <w:tcW w:w="2269" w:type="dxa"/>
          </w:tcPr>
          <w:p w:rsidR="00F037FD" w:rsidRDefault="00034C5C">
            <w:pPr>
              <w:pStyle w:val="TableParagraph"/>
              <w:spacing w:before="34"/>
              <w:rPr>
                <w:sz w:val="20"/>
              </w:rPr>
            </w:pPr>
            <w:r>
              <w:rPr>
                <w:sz w:val="20"/>
              </w:rPr>
              <w:t>≥ 60</w:t>
            </w:r>
          </w:p>
        </w:tc>
        <w:tc>
          <w:tcPr>
            <w:tcW w:w="2268" w:type="dxa"/>
          </w:tcPr>
          <w:p w:rsidR="00F037FD" w:rsidRDefault="00034C5C">
            <w:pPr>
              <w:pStyle w:val="TableParagraph"/>
              <w:spacing w:before="34"/>
              <w:rPr>
                <w:sz w:val="20"/>
              </w:rPr>
            </w:pPr>
            <w:r>
              <w:rPr>
                <w:sz w:val="20"/>
              </w:rPr>
              <w:t>≥ 60</w:t>
            </w:r>
          </w:p>
        </w:tc>
        <w:tc>
          <w:tcPr>
            <w:tcW w:w="2269" w:type="dxa"/>
          </w:tcPr>
          <w:p w:rsidR="00F037FD" w:rsidRDefault="00034C5C">
            <w:pPr>
              <w:pStyle w:val="TableParagraph"/>
              <w:spacing w:before="34"/>
              <w:rPr>
                <w:sz w:val="20"/>
              </w:rPr>
            </w:pPr>
            <w:r>
              <w:rPr>
                <w:sz w:val="20"/>
              </w:rPr>
              <w:t>100%</w:t>
            </w:r>
          </w:p>
        </w:tc>
      </w:tr>
      <w:tr w:rsidR="00F037FD">
        <w:trPr>
          <w:trHeight w:hRule="exact" w:val="300"/>
        </w:trPr>
        <w:tc>
          <w:tcPr>
            <w:tcW w:w="2268" w:type="dxa"/>
          </w:tcPr>
          <w:p w:rsidR="00F037FD" w:rsidRDefault="00034C5C">
            <w:pPr>
              <w:pStyle w:val="TableParagraph"/>
              <w:spacing w:before="34"/>
              <w:rPr>
                <w:sz w:val="20"/>
              </w:rPr>
            </w:pPr>
            <w:r>
              <w:rPr>
                <w:sz w:val="20"/>
              </w:rPr>
              <w:t>III</w:t>
            </w:r>
          </w:p>
        </w:tc>
        <w:tc>
          <w:tcPr>
            <w:tcW w:w="2269" w:type="dxa"/>
          </w:tcPr>
          <w:p w:rsidR="00F037FD" w:rsidRDefault="00034C5C">
            <w:pPr>
              <w:pStyle w:val="TableParagraph"/>
              <w:spacing w:before="34"/>
              <w:rPr>
                <w:sz w:val="20"/>
              </w:rPr>
            </w:pPr>
            <w:r>
              <w:rPr>
                <w:sz w:val="20"/>
              </w:rPr>
              <w:t>30 - 60</w:t>
            </w:r>
          </w:p>
        </w:tc>
        <w:tc>
          <w:tcPr>
            <w:tcW w:w="2268" w:type="dxa"/>
          </w:tcPr>
          <w:p w:rsidR="00F037FD" w:rsidRDefault="00034C5C">
            <w:pPr>
              <w:pStyle w:val="TableParagraph"/>
              <w:spacing w:before="34"/>
              <w:rPr>
                <w:sz w:val="20"/>
              </w:rPr>
            </w:pPr>
            <w:r>
              <w:rPr>
                <w:sz w:val="20"/>
              </w:rPr>
              <w:t>30 - 60</w:t>
            </w:r>
          </w:p>
        </w:tc>
        <w:tc>
          <w:tcPr>
            <w:tcW w:w="2269" w:type="dxa"/>
          </w:tcPr>
          <w:p w:rsidR="00F037FD" w:rsidRDefault="00034C5C">
            <w:pPr>
              <w:pStyle w:val="TableParagraph"/>
              <w:spacing w:before="34"/>
              <w:rPr>
                <w:sz w:val="20"/>
              </w:rPr>
            </w:pPr>
            <w:r>
              <w:rPr>
                <w:sz w:val="20"/>
              </w:rPr>
              <w:t>50%</w:t>
            </w:r>
          </w:p>
        </w:tc>
      </w:tr>
      <w:tr w:rsidR="00F037FD">
        <w:trPr>
          <w:trHeight w:hRule="exact" w:val="530"/>
        </w:trPr>
        <w:tc>
          <w:tcPr>
            <w:tcW w:w="2268" w:type="dxa"/>
          </w:tcPr>
          <w:p w:rsidR="00F037FD" w:rsidRDefault="00034C5C">
            <w:pPr>
              <w:pStyle w:val="TableParagraph"/>
              <w:spacing w:before="149"/>
              <w:rPr>
                <w:sz w:val="20"/>
              </w:rPr>
            </w:pPr>
            <w:r>
              <w:rPr>
                <w:sz w:val="20"/>
              </w:rPr>
              <w:t>IV, V</w:t>
            </w:r>
          </w:p>
        </w:tc>
        <w:tc>
          <w:tcPr>
            <w:tcW w:w="2269" w:type="dxa"/>
          </w:tcPr>
          <w:p w:rsidR="00F037FD" w:rsidRDefault="00034C5C">
            <w:pPr>
              <w:pStyle w:val="TableParagraph"/>
              <w:spacing w:before="149"/>
              <w:rPr>
                <w:sz w:val="20"/>
              </w:rPr>
            </w:pPr>
            <w:r>
              <w:rPr>
                <w:sz w:val="20"/>
              </w:rPr>
              <w:t>&lt; 30</w:t>
            </w:r>
          </w:p>
        </w:tc>
        <w:tc>
          <w:tcPr>
            <w:tcW w:w="2268" w:type="dxa"/>
          </w:tcPr>
          <w:p w:rsidR="00F037FD" w:rsidRDefault="00034C5C">
            <w:pPr>
              <w:pStyle w:val="TableParagraph"/>
              <w:spacing w:before="149"/>
              <w:rPr>
                <w:sz w:val="20"/>
              </w:rPr>
            </w:pPr>
            <w:r>
              <w:rPr>
                <w:sz w:val="20"/>
              </w:rPr>
              <w:t>&lt; 30</w:t>
            </w:r>
          </w:p>
        </w:tc>
        <w:tc>
          <w:tcPr>
            <w:tcW w:w="2269" w:type="dxa"/>
          </w:tcPr>
          <w:p w:rsidR="00F037FD" w:rsidRDefault="00034C5C">
            <w:pPr>
              <w:pStyle w:val="TableParagraph"/>
              <w:spacing w:before="29" w:line="242" w:lineRule="auto"/>
              <w:ind w:right="377"/>
              <w:rPr>
                <w:sz w:val="20"/>
              </w:rPr>
            </w:pPr>
            <w:r>
              <w:rPr>
                <w:sz w:val="20"/>
              </w:rPr>
              <w:t>TREXJECT IN</w:t>
            </w:r>
            <w:r>
              <w:rPr>
                <w:position w:val="7"/>
                <w:sz w:val="13"/>
              </w:rPr>
              <w:t xml:space="preserve">® </w:t>
            </w:r>
            <w:r>
              <w:rPr>
                <w:sz w:val="20"/>
              </w:rPr>
              <w:t>must not be used</w:t>
            </w:r>
          </w:p>
        </w:tc>
      </w:tr>
      <w:tr w:rsidR="00F037FD">
        <w:trPr>
          <w:trHeight w:hRule="exact" w:val="254"/>
        </w:trPr>
        <w:tc>
          <w:tcPr>
            <w:tcW w:w="9074" w:type="dxa"/>
            <w:gridSpan w:val="4"/>
          </w:tcPr>
          <w:p w:rsidR="00F037FD" w:rsidRDefault="00034C5C">
            <w:pPr>
              <w:pStyle w:val="TableParagraph"/>
              <w:spacing w:before="35"/>
              <w:rPr>
                <w:i/>
                <w:sz w:val="16"/>
              </w:rPr>
            </w:pPr>
            <w:r>
              <w:rPr>
                <w:i/>
                <w:sz w:val="16"/>
              </w:rPr>
              <w:t>* Normalized to an average body surface area of 1.73m²</w:t>
            </w:r>
          </w:p>
        </w:tc>
      </w:tr>
    </w:tbl>
    <w:p w:rsidR="00F037FD" w:rsidRDefault="00F037FD">
      <w:pPr>
        <w:pStyle w:val="BodyText"/>
        <w:spacing w:before="1"/>
      </w:pPr>
    </w:p>
    <w:p w:rsidR="00F037FD" w:rsidRDefault="00034C5C">
      <w:pPr>
        <w:pStyle w:val="Heading1"/>
      </w:pPr>
      <w:r>
        <w:t>Patients with hepatic impairment:</w:t>
      </w:r>
    </w:p>
    <w:p w:rsidR="00F037FD" w:rsidRDefault="00034C5C">
      <w:pPr>
        <w:pStyle w:val="BodyText"/>
        <w:spacing w:before="12"/>
        <w:ind w:left="141" w:right="134"/>
        <w:jc w:val="both"/>
      </w:pPr>
      <w:r>
        <w:t>Methotrexate should be administered with great caution, if at all, to patients with significant current or previous liver disease, especially if due to alcohol. If bilirubin is &gt; 5 mg/dl µ</w:t>
      </w:r>
      <w:proofErr w:type="spellStart"/>
      <w:r>
        <w:t>mol</w:t>
      </w:r>
      <w:proofErr w:type="spellEnd"/>
      <w:r>
        <w:t>/l), methotrexate is contraindicated.</w:t>
      </w:r>
    </w:p>
    <w:p w:rsidR="00F037FD" w:rsidRDefault="00F037FD">
      <w:pPr>
        <w:pStyle w:val="BodyText"/>
        <w:rPr>
          <w:sz w:val="25"/>
        </w:rPr>
      </w:pPr>
    </w:p>
    <w:p w:rsidR="00F037FD" w:rsidRDefault="00034C5C">
      <w:pPr>
        <w:pStyle w:val="Heading1"/>
        <w:spacing w:line="274" w:lineRule="exact"/>
      </w:pPr>
      <w:r>
        <w:t>Use in elderly patients:</w:t>
      </w:r>
    </w:p>
    <w:p w:rsidR="00F037FD" w:rsidRDefault="00034C5C">
      <w:pPr>
        <w:pStyle w:val="BodyText"/>
        <w:spacing w:before="3" w:line="272" w:lineRule="exact"/>
        <w:ind w:left="141" w:right="133"/>
        <w:jc w:val="both"/>
      </w:pPr>
      <w:r>
        <w:t>Dose reduction should be considered in elderly patients due to reduced liver and kidney function as well as lower folate reserves which occur with increased age.</w:t>
      </w:r>
    </w:p>
    <w:p w:rsidR="00F037FD" w:rsidRDefault="00F037FD">
      <w:pPr>
        <w:spacing w:line="272" w:lineRule="exact"/>
        <w:jc w:val="both"/>
        <w:sectPr w:rsidR="00F037FD">
          <w:pgSz w:w="11910" w:h="16850"/>
          <w:pgMar w:top="1160" w:right="960" w:bottom="1000" w:left="1020" w:header="883" w:footer="816" w:gutter="0"/>
          <w:cols w:space="720"/>
        </w:sectPr>
      </w:pPr>
    </w:p>
    <w:p w:rsidR="00F037FD" w:rsidRDefault="00F037FD">
      <w:pPr>
        <w:pStyle w:val="BodyText"/>
        <w:spacing w:before="1"/>
        <w:rPr>
          <w:sz w:val="11"/>
        </w:rPr>
      </w:pPr>
    </w:p>
    <w:p w:rsidR="00F037FD" w:rsidRDefault="00034C5C">
      <w:pPr>
        <w:spacing w:before="90"/>
        <w:ind w:left="141"/>
        <w:rPr>
          <w:i/>
          <w:sz w:val="24"/>
        </w:rPr>
      </w:pPr>
      <w:r>
        <w:rPr>
          <w:i/>
          <w:sz w:val="24"/>
          <w:u w:val="single"/>
        </w:rPr>
        <w:t xml:space="preserve">Use in patient with a third distribution space (pleural effusions, </w:t>
      </w:r>
      <w:proofErr w:type="spellStart"/>
      <w:r>
        <w:rPr>
          <w:i/>
          <w:sz w:val="24"/>
          <w:u w:val="single"/>
        </w:rPr>
        <w:t>ascitis</w:t>
      </w:r>
      <w:proofErr w:type="spellEnd"/>
      <w:r>
        <w:rPr>
          <w:i/>
          <w:sz w:val="24"/>
        </w:rPr>
        <w:t>):</w:t>
      </w:r>
    </w:p>
    <w:p w:rsidR="00F037FD" w:rsidRDefault="00F037FD">
      <w:pPr>
        <w:pStyle w:val="BodyText"/>
        <w:spacing w:before="2"/>
        <w:rPr>
          <w:i/>
          <w:sz w:val="20"/>
        </w:rPr>
      </w:pPr>
    </w:p>
    <w:p w:rsidR="00F037FD" w:rsidRDefault="00034C5C">
      <w:pPr>
        <w:pStyle w:val="BodyText"/>
        <w:spacing w:before="90"/>
        <w:ind w:left="141" w:right="134"/>
        <w:jc w:val="both"/>
      </w:pPr>
      <w:r>
        <w:t>As</w:t>
      </w:r>
      <w:r>
        <w:rPr>
          <w:spacing w:val="-11"/>
        </w:rPr>
        <w:t xml:space="preserve"> </w:t>
      </w:r>
      <w:r>
        <w:t>the</w:t>
      </w:r>
      <w:r>
        <w:rPr>
          <w:spacing w:val="-15"/>
        </w:rPr>
        <w:t xml:space="preserve"> </w:t>
      </w:r>
      <w:r>
        <w:t>half-life</w:t>
      </w:r>
      <w:r>
        <w:rPr>
          <w:spacing w:val="-15"/>
        </w:rPr>
        <w:t xml:space="preserve"> </w:t>
      </w:r>
      <w:r>
        <w:t>of</w:t>
      </w:r>
      <w:r>
        <w:rPr>
          <w:spacing w:val="-13"/>
        </w:rPr>
        <w:t xml:space="preserve"> </w:t>
      </w:r>
      <w:r>
        <w:t>Methotrexate</w:t>
      </w:r>
      <w:r>
        <w:rPr>
          <w:spacing w:val="-15"/>
        </w:rPr>
        <w:t xml:space="preserve"> </w:t>
      </w:r>
      <w:r>
        <w:t>can</w:t>
      </w:r>
      <w:r>
        <w:rPr>
          <w:spacing w:val="-12"/>
        </w:rPr>
        <w:t xml:space="preserve"> </w:t>
      </w:r>
      <w:r>
        <w:t>be</w:t>
      </w:r>
      <w:r>
        <w:rPr>
          <w:spacing w:val="-15"/>
        </w:rPr>
        <w:t xml:space="preserve"> </w:t>
      </w:r>
      <w:r>
        <w:t>prolonged</w:t>
      </w:r>
      <w:r>
        <w:rPr>
          <w:spacing w:val="-12"/>
        </w:rPr>
        <w:t xml:space="preserve"> </w:t>
      </w:r>
      <w:r>
        <w:t>to</w:t>
      </w:r>
      <w:r>
        <w:rPr>
          <w:spacing w:val="-14"/>
        </w:rPr>
        <w:t xml:space="preserve"> </w:t>
      </w:r>
      <w:r>
        <w:t>4</w:t>
      </w:r>
      <w:r>
        <w:rPr>
          <w:spacing w:val="-12"/>
        </w:rPr>
        <w:t xml:space="preserve"> </w:t>
      </w:r>
      <w:r>
        <w:t>times</w:t>
      </w:r>
      <w:r>
        <w:rPr>
          <w:spacing w:val="-11"/>
        </w:rPr>
        <w:t xml:space="preserve"> </w:t>
      </w:r>
      <w:r>
        <w:t>the</w:t>
      </w:r>
      <w:r>
        <w:rPr>
          <w:spacing w:val="-15"/>
        </w:rPr>
        <w:t xml:space="preserve"> </w:t>
      </w:r>
      <w:r>
        <w:t>normal</w:t>
      </w:r>
      <w:r>
        <w:rPr>
          <w:spacing w:val="-11"/>
        </w:rPr>
        <w:t xml:space="preserve"> </w:t>
      </w:r>
      <w:r>
        <w:t>length</w:t>
      </w:r>
      <w:r>
        <w:rPr>
          <w:spacing w:val="-12"/>
        </w:rPr>
        <w:t xml:space="preserve"> </w:t>
      </w:r>
      <w:r>
        <w:t>in</w:t>
      </w:r>
      <w:r>
        <w:rPr>
          <w:spacing w:val="-14"/>
        </w:rPr>
        <w:t xml:space="preserve"> </w:t>
      </w:r>
      <w:r>
        <w:t>patients</w:t>
      </w:r>
      <w:r>
        <w:rPr>
          <w:spacing w:val="-11"/>
        </w:rPr>
        <w:t xml:space="preserve"> </w:t>
      </w:r>
      <w:r>
        <w:t>who</w:t>
      </w:r>
      <w:r>
        <w:rPr>
          <w:spacing w:val="-14"/>
        </w:rPr>
        <w:t xml:space="preserve"> </w:t>
      </w:r>
      <w:r>
        <w:t>possess a third distribution space dose reduction or, in some cases, discontinuation of methotrexate administration may be</w:t>
      </w:r>
      <w:r>
        <w:rPr>
          <w:spacing w:val="-8"/>
        </w:rPr>
        <w:t xml:space="preserve"> </w:t>
      </w:r>
      <w:r>
        <w:t>required.</w:t>
      </w:r>
    </w:p>
    <w:p w:rsidR="00F037FD" w:rsidRDefault="00F037FD">
      <w:pPr>
        <w:pStyle w:val="BodyText"/>
        <w:rPr>
          <w:sz w:val="25"/>
        </w:rPr>
      </w:pPr>
    </w:p>
    <w:p w:rsidR="00F037FD" w:rsidRDefault="00034C5C">
      <w:pPr>
        <w:pStyle w:val="Heading1"/>
        <w:spacing w:line="274" w:lineRule="exact"/>
      </w:pPr>
      <w:r>
        <w:t>Duration and method of administration:</w:t>
      </w:r>
    </w:p>
    <w:p w:rsidR="00F037FD" w:rsidRDefault="00034C5C">
      <w:pPr>
        <w:pStyle w:val="BodyText"/>
        <w:spacing w:line="274" w:lineRule="exact"/>
        <w:ind w:left="141"/>
        <w:jc w:val="both"/>
      </w:pPr>
      <w:r>
        <w:t>The medicine is for single use only.</w:t>
      </w:r>
    </w:p>
    <w:p w:rsidR="00F037FD" w:rsidRDefault="00F037FD">
      <w:pPr>
        <w:pStyle w:val="BodyText"/>
        <w:spacing w:before="4"/>
        <w:rPr>
          <w:sz w:val="23"/>
        </w:rPr>
      </w:pPr>
    </w:p>
    <w:p w:rsidR="00F037FD" w:rsidRDefault="00034C5C">
      <w:pPr>
        <w:pStyle w:val="BodyText"/>
        <w:spacing w:before="1"/>
        <w:ind w:left="141" w:right="135"/>
        <w:jc w:val="both"/>
      </w:pPr>
      <w:r>
        <w:t>TREXJECT IN solution for injection is administered by the intramuscular or subcutaneous route by a healthcare professional.  TREXJECT IN is not approved for intravenous use.</w:t>
      </w:r>
    </w:p>
    <w:p w:rsidR="00F037FD" w:rsidRDefault="00F037FD">
      <w:pPr>
        <w:pStyle w:val="BodyText"/>
      </w:pPr>
    </w:p>
    <w:p w:rsidR="00F037FD" w:rsidRDefault="00034C5C">
      <w:pPr>
        <w:pStyle w:val="BodyText"/>
        <w:ind w:left="141"/>
        <w:jc w:val="both"/>
      </w:pPr>
      <w:r>
        <w:t>The overall duration of the treatment is decided by the physician.</w:t>
      </w:r>
    </w:p>
    <w:p w:rsidR="00F037FD" w:rsidRDefault="00F037FD">
      <w:pPr>
        <w:pStyle w:val="BodyText"/>
        <w:spacing w:before="7"/>
      </w:pPr>
    </w:p>
    <w:p w:rsidR="00F037FD" w:rsidRDefault="00034C5C">
      <w:pPr>
        <w:pStyle w:val="Heading1"/>
      </w:pPr>
      <w:r>
        <w:t>Instructions for handling:</w:t>
      </w:r>
    </w:p>
    <w:p w:rsidR="00F037FD" w:rsidRDefault="00F037FD">
      <w:pPr>
        <w:pStyle w:val="BodyText"/>
        <w:spacing w:before="3"/>
        <w:rPr>
          <w:b/>
          <w:sz w:val="23"/>
        </w:rPr>
      </w:pPr>
    </w:p>
    <w:p w:rsidR="00F037FD" w:rsidRDefault="00034C5C">
      <w:pPr>
        <w:pStyle w:val="BodyText"/>
        <w:ind w:left="141"/>
        <w:jc w:val="both"/>
      </w:pPr>
      <w:r>
        <w:t>The following protective recommendations are given due to the toxic nature of this substance:</w:t>
      </w:r>
    </w:p>
    <w:p w:rsidR="00F037FD" w:rsidRDefault="00F037FD">
      <w:pPr>
        <w:pStyle w:val="BodyText"/>
        <w:spacing w:before="1"/>
      </w:pPr>
    </w:p>
    <w:p w:rsidR="00F037FD" w:rsidRDefault="00034C5C">
      <w:pPr>
        <w:pStyle w:val="ListParagraph"/>
        <w:numPr>
          <w:ilvl w:val="0"/>
          <w:numId w:val="4"/>
        </w:numPr>
        <w:tabs>
          <w:tab w:val="left" w:pos="709"/>
        </w:tabs>
        <w:spacing w:line="293" w:lineRule="exact"/>
        <w:ind w:left="708" w:hanging="567"/>
        <w:rPr>
          <w:sz w:val="24"/>
        </w:rPr>
      </w:pPr>
      <w:r>
        <w:rPr>
          <w:sz w:val="24"/>
        </w:rPr>
        <w:t>personnel should be trained in good handling</w:t>
      </w:r>
      <w:r>
        <w:rPr>
          <w:spacing w:val="-14"/>
          <w:sz w:val="24"/>
        </w:rPr>
        <w:t xml:space="preserve"> </w:t>
      </w:r>
      <w:r>
        <w:rPr>
          <w:sz w:val="24"/>
        </w:rPr>
        <w:t>technique</w:t>
      </w:r>
    </w:p>
    <w:p w:rsidR="00F037FD" w:rsidRDefault="00034C5C">
      <w:pPr>
        <w:pStyle w:val="ListParagraph"/>
        <w:numPr>
          <w:ilvl w:val="0"/>
          <w:numId w:val="4"/>
        </w:numPr>
        <w:tabs>
          <w:tab w:val="left" w:pos="709"/>
        </w:tabs>
        <w:spacing w:line="293" w:lineRule="exact"/>
        <w:ind w:left="708" w:hanging="567"/>
        <w:rPr>
          <w:sz w:val="24"/>
        </w:rPr>
      </w:pPr>
      <w:r>
        <w:rPr>
          <w:sz w:val="24"/>
        </w:rPr>
        <w:t>pregnant staff should be excluded from working with this</w:t>
      </w:r>
      <w:r>
        <w:rPr>
          <w:spacing w:val="-13"/>
          <w:sz w:val="24"/>
        </w:rPr>
        <w:t xml:space="preserve"> </w:t>
      </w:r>
      <w:r>
        <w:rPr>
          <w:sz w:val="24"/>
        </w:rPr>
        <w:t>drug</w:t>
      </w:r>
    </w:p>
    <w:p w:rsidR="00F037FD" w:rsidRDefault="00034C5C">
      <w:pPr>
        <w:pStyle w:val="ListParagraph"/>
        <w:numPr>
          <w:ilvl w:val="0"/>
          <w:numId w:val="4"/>
        </w:numPr>
        <w:tabs>
          <w:tab w:val="left" w:pos="709"/>
        </w:tabs>
        <w:spacing w:line="293" w:lineRule="exact"/>
        <w:ind w:left="708" w:hanging="567"/>
        <w:rPr>
          <w:sz w:val="24"/>
        </w:rPr>
      </w:pPr>
      <w:r>
        <w:rPr>
          <w:sz w:val="24"/>
        </w:rPr>
        <w:t>personnel handling methotrexate injection should wear disposable</w:t>
      </w:r>
      <w:r>
        <w:rPr>
          <w:spacing w:val="-21"/>
          <w:sz w:val="24"/>
        </w:rPr>
        <w:t xml:space="preserve"> </w:t>
      </w:r>
      <w:r>
        <w:rPr>
          <w:sz w:val="24"/>
        </w:rPr>
        <w:t>gloves</w:t>
      </w:r>
    </w:p>
    <w:p w:rsidR="00F037FD" w:rsidRDefault="00034C5C">
      <w:pPr>
        <w:pStyle w:val="ListParagraph"/>
        <w:numPr>
          <w:ilvl w:val="0"/>
          <w:numId w:val="4"/>
        </w:numPr>
        <w:tabs>
          <w:tab w:val="left" w:pos="708"/>
          <w:tab w:val="left" w:pos="709"/>
        </w:tabs>
        <w:ind w:left="708" w:right="135" w:hanging="567"/>
        <w:jc w:val="left"/>
        <w:rPr>
          <w:sz w:val="24"/>
        </w:rPr>
      </w:pPr>
      <w:r>
        <w:rPr>
          <w:sz w:val="24"/>
        </w:rPr>
        <w:t>all items used for administration or cleaning, including gloves, should be placed in high-risk, waste disposal bags for disposal in a cytotoxic waste</w:t>
      </w:r>
      <w:r>
        <w:rPr>
          <w:spacing w:val="-17"/>
          <w:sz w:val="24"/>
        </w:rPr>
        <w:t xml:space="preserve"> </w:t>
      </w:r>
      <w:r>
        <w:rPr>
          <w:sz w:val="24"/>
        </w:rPr>
        <w:t>bin</w:t>
      </w:r>
    </w:p>
    <w:p w:rsidR="00F037FD" w:rsidRDefault="00034C5C">
      <w:pPr>
        <w:pStyle w:val="ListParagraph"/>
        <w:numPr>
          <w:ilvl w:val="0"/>
          <w:numId w:val="4"/>
        </w:numPr>
        <w:tabs>
          <w:tab w:val="left" w:pos="708"/>
          <w:tab w:val="left" w:pos="709"/>
        </w:tabs>
        <w:spacing w:before="25" w:line="274" w:lineRule="exact"/>
        <w:ind w:left="708" w:right="135" w:hanging="567"/>
        <w:jc w:val="left"/>
        <w:rPr>
          <w:sz w:val="24"/>
        </w:rPr>
      </w:pPr>
      <w:proofErr w:type="gramStart"/>
      <w:r>
        <w:rPr>
          <w:sz w:val="24"/>
        </w:rPr>
        <w:t>accidental</w:t>
      </w:r>
      <w:proofErr w:type="gramEnd"/>
      <w:r>
        <w:rPr>
          <w:sz w:val="24"/>
        </w:rPr>
        <w:t xml:space="preserve"> contact with the skin or eyes should be treated immediately by copious lavage with water or sodium bicarbonate solution; medical attention should be</w:t>
      </w:r>
      <w:r>
        <w:rPr>
          <w:spacing w:val="-20"/>
          <w:sz w:val="24"/>
        </w:rPr>
        <w:t xml:space="preserve"> </w:t>
      </w:r>
      <w:r>
        <w:rPr>
          <w:sz w:val="24"/>
        </w:rPr>
        <w:t>sought.</w:t>
      </w:r>
    </w:p>
    <w:p w:rsidR="00F037FD" w:rsidRDefault="00F037FD">
      <w:pPr>
        <w:pStyle w:val="BodyText"/>
        <w:rPr>
          <w:sz w:val="26"/>
        </w:rPr>
      </w:pPr>
    </w:p>
    <w:p w:rsidR="00F037FD" w:rsidRDefault="00034C5C">
      <w:pPr>
        <w:pStyle w:val="Heading1"/>
        <w:spacing w:before="221"/>
      </w:pPr>
      <w:r>
        <w:t>OVERDOSAGE</w:t>
      </w:r>
    </w:p>
    <w:p w:rsidR="00F037FD" w:rsidRDefault="00F037FD">
      <w:pPr>
        <w:pStyle w:val="BodyText"/>
        <w:spacing w:before="1"/>
        <w:rPr>
          <w:b/>
          <w:sz w:val="23"/>
        </w:rPr>
      </w:pPr>
    </w:p>
    <w:p w:rsidR="00F037FD" w:rsidRDefault="00034C5C">
      <w:pPr>
        <w:pStyle w:val="BodyText"/>
        <w:ind w:left="141" w:right="137"/>
        <w:jc w:val="both"/>
      </w:pPr>
      <w:r>
        <w:t xml:space="preserve">Discontinue methotrexate at the first sign of ulceration or bleeding, </w:t>
      </w:r>
      <w:proofErr w:type="spellStart"/>
      <w:r>
        <w:t>diarrhoea</w:t>
      </w:r>
      <w:proofErr w:type="spellEnd"/>
      <w:r>
        <w:t xml:space="preserve"> or marked depression of the </w:t>
      </w:r>
      <w:proofErr w:type="spellStart"/>
      <w:r>
        <w:t>haematopoietic</w:t>
      </w:r>
      <w:proofErr w:type="spellEnd"/>
      <w:r>
        <w:t xml:space="preserve"> system.</w:t>
      </w:r>
    </w:p>
    <w:p w:rsidR="00F037FD" w:rsidRDefault="00F037FD">
      <w:pPr>
        <w:pStyle w:val="BodyText"/>
        <w:spacing w:before="4"/>
      </w:pPr>
    </w:p>
    <w:p w:rsidR="00F037FD" w:rsidRDefault="00034C5C">
      <w:pPr>
        <w:pStyle w:val="BodyText"/>
        <w:spacing w:line="242" w:lineRule="auto"/>
        <w:ind w:left="141" w:right="134"/>
        <w:jc w:val="both"/>
        <w:rPr>
          <w:b/>
        </w:rPr>
      </w:pPr>
      <w:r>
        <w:t>Symptoms</w:t>
      </w:r>
      <w:r>
        <w:rPr>
          <w:spacing w:val="-8"/>
        </w:rPr>
        <w:t xml:space="preserve"> </w:t>
      </w:r>
      <w:r>
        <w:t>following</w:t>
      </w:r>
      <w:r>
        <w:rPr>
          <w:spacing w:val="-11"/>
        </w:rPr>
        <w:t xml:space="preserve"> </w:t>
      </w:r>
      <w:proofErr w:type="spellStart"/>
      <w:r>
        <w:t>overdosage</w:t>
      </w:r>
      <w:proofErr w:type="spellEnd"/>
      <w:r>
        <w:rPr>
          <w:spacing w:val="-12"/>
        </w:rPr>
        <w:t xml:space="preserve"> </w:t>
      </w:r>
      <w:r>
        <w:t>would</w:t>
      </w:r>
      <w:r>
        <w:rPr>
          <w:spacing w:val="-8"/>
        </w:rPr>
        <w:t xml:space="preserve"> </w:t>
      </w:r>
      <w:r>
        <w:t>be</w:t>
      </w:r>
      <w:r>
        <w:rPr>
          <w:spacing w:val="-12"/>
        </w:rPr>
        <w:t xml:space="preserve"> </w:t>
      </w:r>
      <w:r>
        <w:t>expected</w:t>
      </w:r>
      <w:r>
        <w:rPr>
          <w:spacing w:val="-8"/>
        </w:rPr>
        <w:t xml:space="preserve"> </w:t>
      </w:r>
      <w:r>
        <w:t>to</w:t>
      </w:r>
      <w:r>
        <w:rPr>
          <w:spacing w:val="-11"/>
        </w:rPr>
        <w:t xml:space="preserve"> </w:t>
      </w:r>
      <w:r>
        <w:t>produce</w:t>
      </w:r>
      <w:r>
        <w:rPr>
          <w:spacing w:val="-12"/>
        </w:rPr>
        <w:t xml:space="preserve"> </w:t>
      </w:r>
      <w:r>
        <w:t>effects,</w:t>
      </w:r>
      <w:r>
        <w:rPr>
          <w:spacing w:val="-8"/>
        </w:rPr>
        <w:t xml:space="preserve"> </w:t>
      </w:r>
      <w:r>
        <w:t>which</w:t>
      </w:r>
      <w:r>
        <w:rPr>
          <w:spacing w:val="-11"/>
        </w:rPr>
        <w:t xml:space="preserve"> </w:t>
      </w:r>
      <w:r>
        <w:t>are</w:t>
      </w:r>
      <w:r>
        <w:rPr>
          <w:spacing w:val="-12"/>
        </w:rPr>
        <w:t xml:space="preserve"> </w:t>
      </w:r>
      <w:r>
        <w:t>an</w:t>
      </w:r>
      <w:r>
        <w:rPr>
          <w:spacing w:val="-11"/>
        </w:rPr>
        <w:t xml:space="preserve"> </w:t>
      </w:r>
      <w:r>
        <w:t>extension</w:t>
      </w:r>
      <w:r>
        <w:rPr>
          <w:spacing w:val="-8"/>
        </w:rPr>
        <w:t xml:space="preserve"> </w:t>
      </w:r>
      <w:r>
        <w:t>of</w:t>
      </w:r>
      <w:r>
        <w:rPr>
          <w:spacing w:val="-9"/>
        </w:rPr>
        <w:t xml:space="preserve"> </w:t>
      </w:r>
      <w:r>
        <w:t xml:space="preserve">the pharmacological effects. The toxic reactions expected would include those listed under </w:t>
      </w:r>
      <w:r>
        <w:rPr>
          <w:b/>
        </w:rPr>
        <w:t>ADVERSE EFFECTS.</w:t>
      </w:r>
    </w:p>
    <w:p w:rsidR="00F037FD" w:rsidRDefault="00F037FD">
      <w:pPr>
        <w:pStyle w:val="BodyText"/>
        <w:spacing w:before="5"/>
        <w:rPr>
          <w:b/>
          <w:sz w:val="23"/>
        </w:rPr>
      </w:pPr>
    </w:p>
    <w:p w:rsidR="00F037FD" w:rsidRDefault="00034C5C">
      <w:pPr>
        <w:pStyle w:val="BodyText"/>
        <w:spacing w:before="1"/>
        <w:ind w:left="141" w:right="131"/>
        <w:jc w:val="both"/>
      </w:pPr>
      <w:r>
        <w:t xml:space="preserve">Calcium </w:t>
      </w:r>
      <w:proofErr w:type="spellStart"/>
      <w:r>
        <w:t>folinate</w:t>
      </w:r>
      <w:proofErr w:type="spellEnd"/>
      <w:r>
        <w:t xml:space="preserve"> (</w:t>
      </w:r>
      <w:proofErr w:type="spellStart"/>
      <w:r>
        <w:t>leucovorin</w:t>
      </w:r>
      <w:proofErr w:type="spellEnd"/>
      <w:r>
        <w:t xml:space="preserve"> calcium) is a potent agent for </w:t>
      </w:r>
      <w:proofErr w:type="spellStart"/>
      <w:r>
        <w:t>neutralising</w:t>
      </w:r>
      <w:proofErr w:type="spellEnd"/>
      <w:r>
        <w:t xml:space="preserve"> the immediate toxic effects of</w:t>
      </w:r>
      <w:r>
        <w:rPr>
          <w:spacing w:val="-4"/>
        </w:rPr>
        <w:t xml:space="preserve"> </w:t>
      </w:r>
      <w:r>
        <w:t>methotrexate</w:t>
      </w:r>
      <w:r>
        <w:rPr>
          <w:spacing w:val="-7"/>
        </w:rPr>
        <w:t xml:space="preserve"> </w:t>
      </w:r>
      <w:r>
        <w:t>on</w:t>
      </w:r>
      <w:r>
        <w:rPr>
          <w:spacing w:val="-3"/>
        </w:rPr>
        <w:t xml:space="preserve"> </w:t>
      </w:r>
      <w:r>
        <w:t>the</w:t>
      </w:r>
      <w:r>
        <w:rPr>
          <w:spacing w:val="-6"/>
        </w:rPr>
        <w:t xml:space="preserve"> </w:t>
      </w:r>
      <w:proofErr w:type="spellStart"/>
      <w:r>
        <w:t>haematopoietic</w:t>
      </w:r>
      <w:proofErr w:type="spellEnd"/>
      <w:r>
        <w:t xml:space="preserve"> system.</w:t>
      </w:r>
      <w:r>
        <w:rPr>
          <w:spacing w:val="-3"/>
        </w:rPr>
        <w:t xml:space="preserve"> </w:t>
      </w:r>
      <w:r>
        <w:t>In</w:t>
      </w:r>
      <w:r>
        <w:rPr>
          <w:spacing w:val="-8"/>
        </w:rPr>
        <w:t xml:space="preserve"> </w:t>
      </w:r>
      <w:r>
        <w:t>general,</w:t>
      </w:r>
      <w:r>
        <w:rPr>
          <w:spacing w:val="-3"/>
        </w:rPr>
        <w:t xml:space="preserve"> </w:t>
      </w:r>
      <w:r>
        <w:t>when</w:t>
      </w:r>
      <w:r>
        <w:rPr>
          <w:spacing w:val="-3"/>
        </w:rPr>
        <w:t xml:space="preserve"> </w:t>
      </w:r>
      <w:proofErr w:type="spellStart"/>
      <w:r>
        <w:t>overdosage</w:t>
      </w:r>
      <w:proofErr w:type="spellEnd"/>
      <w:r>
        <w:rPr>
          <w:spacing w:val="-6"/>
        </w:rPr>
        <w:t xml:space="preserve"> </w:t>
      </w:r>
      <w:r>
        <w:t>is</w:t>
      </w:r>
      <w:r>
        <w:rPr>
          <w:spacing w:val="-3"/>
        </w:rPr>
        <w:t xml:space="preserve"> </w:t>
      </w:r>
      <w:r>
        <w:t>suspected,</w:t>
      </w:r>
      <w:r>
        <w:rPr>
          <w:spacing w:val="-3"/>
        </w:rPr>
        <w:t xml:space="preserve"> </w:t>
      </w:r>
      <w:r>
        <w:t>the</w:t>
      </w:r>
      <w:r>
        <w:rPr>
          <w:spacing w:val="-6"/>
        </w:rPr>
        <w:t xml:space="preserve"> </w:t>
      </w:r>
      <w:r>
        <w:t>dose</w:t>
      </w:r>
      <w:r>
        <w:rPr>
          <w:spacing w:val="-7"/>
        </w:rPr>
        <w:t xml:space="preserve"> </w:t>
      </w:r>
      <w:r>
        <w:t xml:space="preserve">of calcium </w:t>
      </w:r>
      <w:proofErr w:type="spellStart"/>
      <w:r>
        <w:t>folinate</w:t>
      </w:r>
      <w:proofErr w:type="spellEnd"/>
      <w:r>
        <w:t xml:space="preserve"> should be equal to or higher than the offending dose of methotrexate, and should be given</w:t>
      </w:r>
      <w:r>
        <w:rPr>
          <w:spacing w:val="-15"/>
        </w:rPr>
        <w:t xml:space="preserve"> </w:t>
      </w:r>
      <w:r>
        <w:t>as</w:t>
      </w:r>
      <w:r>
        <w:rPr>
          <w:spacing w:val="-18"/>
        </w:rPr>
        <w:t xml:space="preserve"> </w:t>
      </w:r>
      <w:r>
        <w:t>soon</w:t>
      </w:r>
      <w:r>
        <w:rPr>
          <w:spacing w:val="-16"/>
        </w:rPr>
        <w:t xml:space="preserve"> </w:t>
      </w:r>
      <w:r>
        <w:t>as</w:t>
      </w:r>
      <w:r>
        <w:rPr>
          <w:spacing w:val="-18"/>
        </w:rPr>
        <w:t xml:space="preserve"> </w:t>
      </w:r>
      <w:r>
        <w:t>possible,</w:t>
      </w:r>
      <w:r>
        <w:rPr>
          <w:spacing w:val="-14"/>
        </w:rPr>
        <w:t xml:space="preserve"> </w:t>
      </w:r>
      <w:r>
        <w:t>preferably</w:t>
      </w:r>
      <w:r>
        <w:rPr>
          <w:spacing w:val="-18"/>
        </w:rPr>
        <w:t xml:space="preserve"> </w:t>
      </w:r>
      <w:r>
        <w:t>within</w:t>
      </w:r>
      <w:r>
        <w:rPr>
          <w:spacing w:val="-18"/>
        </w:rPr>
        <w:t xml:space="preserve"> </w:t>
      </w:r>
      <w:r>
        <w:t>the</w:t>
      </w:r>
      <w:r>
        <w:rPr>
          <w:spacing w:val="-18"/>
        </w:rPr>
        <w:t xml:space="preserve"> </w:t>
      </w:r>
      <w:r>
        <w:t>first</w:t>
      </w:r>
      <w:r>
        <w:rPr>
          <w:spacing w:val="-15"/>
        </w:rPr>
        <w:t xml:space="preserve"> </w:t>
      </w:r>
      <w:r>
        <w:t>hour</w:t>
      </w:r>
      <w:r>
        <w:rPr>
          <w:spacing w:val="-19"/>
        </w:rPr>
        <w:t xml:space="preserve"> </w:t>
      </w:r>
      <w:r>
        <w:t>after</w:t>
      </w:r>
      <w:r>
        <w:rPr>
          <w:spacing w:val="-14"/>
        </w:rPr>
        <w:t xml:space="preserve"> </w:t>
      </w:r>
      <w:r>
        <w:t>which</w:t>
      </w:r>
      <w:r>
        <w:rPr>
          <w:spacing w:val="-18"/>
        </w:rPr>
        <w:t xml:space="preserve"> </w:t>
      </w:r>
      <w:r>
        <w:t>it</w:t>
      </w:r>
      <w:r>
        <w:rPr>
          <w:spacing w:val="-20"/>
        </w:rPr>
        <w:t xml:space="preserve"> </w:t>
      </w:r>
      <w:r>
        <w:t>is</w:t>
      </w:r>
      <w:r>
        <w:rPr>
          <w:spacing w:val="-18"/>
        </w:rPr>
        <w:t xml:space="preserve"> </w:t>
      </w:r>
      <w:r>
        <w:t>much</w:t>
      </w:r>
      <w:r>
        <w:rPr>
          <w:spacing w:val="-18"/>
        </w:rPr>
        <w:t xml:space="preserve"> </w:t>
      </w:r>
      <w:r>
        <w:t>less</w:t>
      </w:r>
      <w:r>
        <w:rPr>
          <w:spacing w:val="-15"/>
        </w:rPr>
        <w:t xml:space="preserve"> </w:t>
      </w:r>
      <w:r>
        <w:t>effective.</w:t>
      </w:r>
      <w:r>
        <w:rPr>
          <w:spacing w:val="-14"/>
        </w:rPr>
        <w:t xml:space="preserve"> </w:t>
      </w:r>
      <w:r>
        <w:t xml:space="preserve">Calcium </w:t>
      </w:r>
      <w:proofErr w:type="spellStart"/>
      <w:r>
        <w:t>folinate</w:t>
      </w:r>
      <w:proofErr w:type="spellEnd"/>
      <w:r>
        <w:rPr>
          <w:spacing w:val="-6"/>
        </w:rPr>
        <w:t xml:space="preserve"> </w:t>
      </w:r>
      <w:r>
        <w:t>may</w:t>
      </w:r>
      <w:r>
        <w:rPr>
          <w:spacing w:val="-5"/>
        </w:rPr>
        <w:t xml:space="preserve"> </w:t>
      </w:r>
      <w:r>
        <w:t>be</w:t>
      </w:r>
      <w:r>
        <w:rPr>
          <w:spacing w:val="-6"/>
        </w:rPr>
        <w:t xml:space="preserve"> </w:t>
      </w:r>
      <w:r>
        <w:t>administered</w:t>
      </w:r>
      <w:r>
        <w:rPr>
          <w:spacing w:val="-2"/>
        </w:rPr>
        <w:t xml:space="preserve"> </w:t>
      </w:r>
      <w:r>
        <w:t>by</w:t>
      </w:r>
      <w:r>
        <w:rPr>
          <w:spacing w:val="-5"/>
        </w:rPr>
        <w:t xml:space="preserve"> </w:t>
      </w:r>
      <w:r>
        <w:t>IV</w:t>
      </w:r>
      <w:r>
        <w:rPr>
          <w:spacing w:val="-8"/>
        </w:rPr>
        <w:t xml:space="preserve"> </w:t>
      </w:r>
      <w:r>
        <w:t>infusion</w:t>
      </w:r>
      <w:r>
        <w:rPr>
          <w:spacing w:val="-2"/>
        </w:rPr>
        <w:t xml:space="preserve"> </w:t>
      </w:r>
      <w:r>
        <w:t>in</w:t>
      </w:r>
      <w:r>
        <w:rPr>
          <w:spacing w:val="-4"/>
        </w:rPr>
        <w:t xml:space="preserve"> </w:t>
      </w:r>
      <w:r>
        <w:t>doses</w:t>
      </w:r>
      <w:r>
        <w:rPr>
          <w:spacing w:val="-2"/>
        </w:rPr>
        <w:t xml:space="preserve"> </w:t>
      </w:r>
      <w:r>
        <w:t>of</w:t>
      </w:r>
      <w:r>
        <w:rPr>
          <w:spacing w:val="-3"/>
        </w:rPr>
        <w:t xml:space="preserve"> </w:t>
      </w:r>
      <w:r>
        <w:t>up</w:t>
      </w:r>
      <w:r>
        <w:rPr>
          <w:spacing w:val="-4"/>
        </w:rPr>
        <w:t xml:space="preserve"> </w:t>
      </w:r>
      <w:r>
        <w:t>to</w:t>
      </w:r>
      <w:r>
        <w:rPr>
          <w:spacing w:val="-5"/>
        </w:rPr>
        <w:t xml:space="preserve"> </w:t>
      </w:r>
      <w:r>
        <w:t>75</w:t>
      </w:r>
      <w:r>
        <w:rPr>
          <w:spacing w:val="-5"/>
        </w:rPr>
        <w:t xml:space="preserve"> </w:t>
      </w:r>
      <w:r>
        <w:t>mg</w:t>
      </w:r>
      <w:r>
        <w:rPr>
          <w:spacing w:val="-5"/>
        </w:rPr>
        <w:t xml:space="preserve"> </w:t>
      </w:r>
      <w:r>
        <w:t>within</w:t>
      </w:r>
      <w:r>
        <w:rPr>
          <w:spacing w:val="-5"/>
        </w:rPr>
        <w:t xml:space="preserve"> </w:t>
      </w:r>
      <w:r>
        <w:t>12</w:t>
      </w:r>
      <w:r>
        <w:rPr>
          <w:spacing w:val="-7"/>
        </w:rPr>
        <w:t xml:space="preserve"> </w:t>
      </w:r>
      <w:r>
        <w:t>hours,</w:t>
      </w:r>
      <w:r>
        <w:rPr>
          <w:spacing w:val="-1"/>
        </w:rPr>
        <w:t xml:space="preserve"> </w:t>
      </w:r>
      <w:r>
        <w:t>followed</w:t>
      </w:r>
      <w:r>
        <w:rPr>
          <w:spacing w:val="-2"/>
        </w:rPr>
        <w:t xml:space="preserve"> </w:t>
      </w:r>
      <w:r>
        <w:t>by</w:t>
      </w:r>
      <w:r>
        <w:rPr>
          <w:spacing w:val="-5"/>
        </w:rPr>
        <w:t xml:space="preserve"> </w:t>
      </w:r>
      <w:r>
        <w:rPr>
          <w:spacing w:val="-3"/>
        </w:rPr>
        <w:t xml:space="preserve">12 </w:t>
      </w:r>
      <w:r>
        <w:t xml:space="preserve">mg IM every 6 hours for 4 doses. When average doses of methotrexate appear to have an adverse effect, 6 to 12 mg of calcium </w:t>
      </w:r>
      <w:proofErr w:type="spellStart"/>
      <w:r>
        <w:t>folinate</w:t>
      </w:r>
      <w:proofErr w:type="spellEnd"/>
      <w:r>
        <w:t xml:space="preserve"> may be given IM every 6 hours for 4</w:t>
      </w:r>
      <w:r>
        <w:rPr>
          <w:spacing w:val="-26"/>
        </w:rPr>
        <w:t xml:space="preserve"> </w:t>
      </w:r>
      <w:r>
        <w:t>doses.</w:t>
      </w:r>
    </w:p>
    <w:p w:rsidR="00F037FD" w:rsidRDefault="00F037FD">
      <w:pPr>
        <w:pStyle w:val="BodyText"/>
        <w:spacing w:before="2"/>
        <w:rPr>
          <w:sz w:val="28"/>
        </w:rPr>
      </w:pPr>
    </w:p>
    <w:p w:rsidR="00F037FD" w:rsidRDefault="00034C5C">
      <w:pPr>
        <w:pStyle w:val="BodyText"/>
        <w:ind w:left="141" w:right="130"/>
        <w:jc w:val="both"/>
      </w:pPr>
      <w:r>
        <w:t xml:space="preserve">Concomitant hydration and </w:t>
      </w:r>
      <w:proofErr w:type="spellStart"/>
      <w:r>
        <w:t>alkalinisation</w:t>
      </w:r>
      <w:proofErr w:type="spellEnd"/>
      <w:r>
        <w:t xml:space="preserve"> of the urine with sodium bicarbonate is recommended to prevent precipitation of methotrexate or its metabolite in the renal tubules. Patients undergoing methotrexate therapy should be advised to increase fluid intake. Neither standard </w:t>
      </w:r>
      <w:proofErr w:type="spellStart"/>
      <w:r>
        <w:t>haemodialysis</w:t>
      </w:r>
      <w:proofErr w:type="spellEnd"/>
      <w:r>
        <w:t xml:space="preserve"> nor peritoneal </w:t>
      </w:r>
      <w:proofErr w:type="gramStart"/>
      <w:r>
        <w:t>dialysis have</w:t>
      </w:r>
      <w:proofErr w:type="gramEnd"/>
      <w:r>
        <w:t xml:space="preserve"> been shown to significantly improve methotrexate elimination. Some clearance of methotrexate may be obtained by </w:t>
      </w:r>
      <w:proofErr w:type="spellStart"/>
      <w:r>
        <w:t>haemodialysis</w:t>
      </w:r>
      <w:proofErr w:type="spellEnd"/>
      <w:r>
        <w:t xml:space="preserve"> if the patient is totally </w:t>
      </w:r>
      <w:proofErr w:type="spellStart"/>
      <w:r>
        <w:t>anuric</w:t>
      </w:r>
      <w:proofErr w:type="spellEnd"/>
      <w:r>
        <w:t xml:space="preserve"> and no </w:t>
      </w:r>
      <w:r>
        <w:lastRenderedPageBreak/>
        <w:t xml:space="preserve">other therapeutic options are available. Effective clearance of methotrexate has been reported with acute, intermittent </w:t>
      </w:r>
      <w:proofErr w:type="spellStart"/>
      <w:r>
        <w:t>haemodialysis</w:t>
      </w:r>
      <w:proofErr w:type="spellEnd"/>
      <w:r>
        <w:t xml:space="preserve"> using a high-flux dialyzer.</w:t>
      </w:r>
    </w:p>
    <w:p w:rsidR="00F037FD" w:rsidRDefault="00F037FD">
      <w:pPr>
        <w:jc w:val="both"/>
        <w:sectPr w:rsidR="00F037FD">
          <w:pgSz w:w="11910" w:h="16850"/>
          <w:pgMar w:top="1160" w:right="960" w:bottom="1000" w:left="1020" w:header="883" w:footer="816" w:gutter="0"/>
          <w:cols w:space="720"/>
        </w:sectPr>
      </w:pPr>
    </w:p>
    <w:p w:rsidR="00F037FD" w:rsidRDefault="00F037FD">
      <w:pPr>
        <w:pStyle w:val="BodyText"/>
        <w:rPr>
          <w:sz w:val="20"/>
        </w:rPr>
      </w:pPr>
    </w:p>
    <w:p w:rsidR="00F037FD" w:rsidRDefault="00F037FD">
      <w:pPr>
        <w:pStyle w:val="BodyText"/>
        <w:spacing w:before="10"/>
        <w:rPr>
          <w:sz w:val="22"/>
        </w:rPr>
      </w:pPr>
    </w:p>
    <w:p w:rsidR="00F037FD" w:rsidRDefault="00034C5C">
      <w:pPr>
        <w:pStyle w:val="BodyText"/>
        <w:spacing w:before="1"/>
        <w:ind w:left="141" w:right="129"/>
        <w:jc w:val="both"/>
      </w:pPr>
      <w:r>
        <w:t xml:space="preserve">Patients who experience delayed early methotrexate elimination are likely to develop non reversible </w:t>
      </w:r>
      <w:proofErr w:type="spellStart"/>
      <w:r>
        <w:t>oliguric</w:t>
      </w:r>
      <w:proofErr w:type="spellEnd"/>
      <w:r>
        <w:t xml:space="preserve"> renal failure. In addition to appropriate </w:t>
      </w:r>
      <w:proofErr w:type="spellStart"/>
      <w:r>
        <w:t>leucovorin</w:t>
      </w:r>
      <w:proofErr w:type="spellEnd"/>
      <w:r>
        <w:t xml:space="preserve"> therapy, these patients require continuing hydration and urinary </w:t>
      </w:r>
      <w:proofErr w:type="spellStart"/>
      <w:r>
        <w:t>alkalinisation</w:t>
      </w:r>
      <w:proofErr w:type="spellEnd"/>
      <w:r>
        <w:t xml:space="preserve">, and close monitoring of fluid and electrolyte status, until the serum methotrexate level has fallen to below 0.05 </w:t>
      </w:r>
      <w:proofErr w:type="spellStart"/>
      <w:proofErr w:type="gramStart"/>
      <w:r>
        <w:t>micromolar</w:t>
      </w:r>
      <w:proofErr w:type="spellEnd"/>
      <w:proofErr w:type="gramEnd"/>
      <w:r>
        <w:t xml:space="preserve"> and the renal failure has resolved. If necessary,</w:t>
      </w:r>
      <w:r>
        <w:rPr>
          <w:spacing w:val="-3"/>
        </w:rPr>
        <w:t xml:space="preserve"> </w:t>
      </w:r>
      <w:r>
        <w:t>acute,</w:t>
      </w:r>
      <w:r>
        <w:rPr>
          <w:spacing w:val="-3"/>
        </w:rPr>
        <w:t xml:space="preserve"> </w:t>
      </w:r>
      <w:r>
        <w:t>intermittent</w:t>
      </w:r>
      <w:r>
        <w:rPr>
          <w:spacing w:val="-2"/>
        </w:rPr>
        <w:t xml:space="preserve"> </w:t>
      </w:r>
      <w:proofErr w:type="spellStart"/>
      <w:r>
        <w:t>haemodialysis</w:t>
      </w:r>
      <w:proofErr w:type="spellEnd"/>
      <w:r>
        <w:rPr>
          <w:spacing w:val="-3"/>
        </w:rPr>
        <w:t xml:space="preserve"> </w:t>
      </w:r>
      <w:r>
        <w:t>with</w:t>
      </w:r>
      <w:r>
        <w:rPr>
          <w:spacing w:val="-5"/>
        </w:rPr>
        <w:t xml:space="preserve"> </w:t>
      </w:r>
      <w:r>
        <w:t>a</w:t>
      </w:r>
      <w:r>
        <w:rPr>
          <w:spacing w:val="-4"/>
        </w:rPr>
        <w:t xml:space="preserve"> </w:t>
      </w:r>
      <w:r>
        <w:t>high-flux</w:t>
      </w:r>
      <w:r>
        <w:rPr>
          <w:spacing w:val="-6"/>
        </w:rPr>
        <w:t xml:space="preserve"> </w:t>
      </w:r>
      <w:r>
        <w:t>dialyzer</w:t>
      </w:r>
      <w:r>
        <w:rPr>
          <w:spacing w:val="-2"/>
        </w:rPr>
        <w:t xml:space="preserve"> </w:t>
      </w:r>
      <w:r>
        <w:t>may</w:t>
      </w:r>
      <w:r>
        <w:rPr>
          <w:spacing w:val="-8"/>
        </w:rPr>
        <w:t xml:space="preserve"> </w:t>
      </w:r>
      <w:r>
        <w:t>also</w:t>
      </w:r>
      <w:r>
        <w:rPr>
          <w:spacing w:val="-5"/>
        </w:rPr>
        <w:t xml:space="preserve"> </w:t>
      </w:r>
      <w:r>
        <w:t>be</w:t>
      </w:r>
      <w:r>
        <w:rPr>
          <w:spacing w:val="-7"/>
        </w:rPr>
        <w:t xml:space="preserve"> </w:t>
      </w:r>
      <w:r>
        <w:t>beneficial</w:t>
      </w:r>
      <w:r>
        <w:rPr>
          <w:spacing w:val="-8"/>
        </w:rPr>
        <w:t xml:space="preserve"> </w:t>
      </w:r>
      <w:r>
        <w:t>in</w:t>
      </w:r>
      <w:r>
        <w:rPr>
          <w:spacing w:val="-5"/>
        </w:rPr>
        <w:t xml:space="preserve"> </w:t>
      </w:r>
      <w:r>
        <w:t>these patients.</w:t>
      </w:r>
    </w:p>
    <w:p w:rsidR="00F037FD" w:rsidRDefault="00F037FD">
      <w:pPr>
        <w:pStyle w:val="BodyText"/>
        <w:spacing w:before="2"/>
      </w:pPr>
    </w:p>
    <w:p w:rsidR="00F037FD" w:rsidRDefault="00034C5C">
      <w:pPr>
        <w:pStyle w:val="BodyText"/>
        <w:ind w:left="141" w:right="65"/>
      </w:pPr>
      <w:r>
        <w:t>For advice on the management of overdose please contact the Poisons Information Centre anywhere in Australia on 13 11 26.</w:t>
      </w:r>
    </w:p>
    <w:p w:rsidR="00F037FD" w:rsidRDefault="00F037FD">
      <w:pPr>
        <w:pStyle w:val="BodyText"/>
        <w:spacing w:before="4"/>
        <w:rPr>
          <w:sz w:val="25"/>
        </w:rPr>
      </w:pPr>
    </w:p>
    <w:p w:rsidR="00F037FD" w:rsidRDefault="00034C5C">
      <w:pPr>
        <w:pStyle w:val="Heading1"/>
        <w:spacing w:before="1"/>
      </w:pPr>
      <w:r>
        <w:t>PRESENTATION AND STORAGE CONDITIONS</w:t>
      </w:r>
    </w:p>
    <w:p w:rsidR="00F037FD" w:rsidRDefault="00F037FD">
      <w:pPr>
        <w:pStyle w:val="BodyText"/>
        <w:spacing w:before="4"/>
        <w:rPr>
          <w:b/>
          <w:sz w:val="23"/>
        </w:rPr>
      </w:pPr>
    </w:p>
    <w:p w:rsidR="00F037FD" w:rsidRDefault="00034C5C">
      <w:pPr>
        <w:pStyle w:val="BodyText"/>
        <w:ind w:left="141"/>
      </w:pPr>
      <w:r>
        <w:t xml:space="preserve">TREXJECT IN is supplied in a pre- -filled syringe of </w:t>
      </w:r>
      <w:proofErr w:type="spellStart"/>
      <w:r>
        <w:t>colourless</w:t>
      </w:r>
      <w:proofErr w:type="spellEnd"/>
      <w:r>
        <w:t xml:space="preserve"> glass (type I) of 1 mL capacity for subcutaneous or intramuscular administration by a healthcare professional.</w:t>
      </w:r>
    </w:p>
    <w:p w:rsidR="00F037FD" w:rsidRDefault="00F037FD">
      <w:pPr>
        <w:pStyle w:val="BodyText"/>
        <w:spacing w:before="10"/>
        <w:rPr>
          <w:sz w:val="23"/>
        </w:rPr>
      </w:pPr>
    </w:p>
    <w:p w:rsidR="00F037FD" w:rsidRDefault="00034C5C">
      <w:pPr>
        <w:pStyle w:val="BodyText"/>
        <w:spacing w:before="1" w:line="237" w:lineRule="auto"/>
        <w:ind w:left="141" w:right="133"/>
        <w:jc w:val="both"/>
      </w:pPr>
      <w:r>
        <w:t xml:space="preserve">Plunger stoppers of </w:t>
      </w:r>
      <w:proofErr w:type="spellStart"/>
      <w:r>
        <w:t>chlorobutyl</w:t>
      </w:r>
      <w:proofErr w:type="spellEnd"/>
      <w:r>
        <w:t xml:space="preserve"> rubber (type I) and HDPE polystyrene or polypropylene rods form the syringe plunger. Each syringe is marked with graduation marks, the name and strength of the medicine, and the expiry date and batch number. The syringe barrel includes a </w:t>
      </w:r>
      <w:proofErr w:type="spellStart"/>
      <w:r>
        <w:t>colour</w:t>
      </w:r>
      <w:proofErr w:type="spellEnd"/>
      <w:r>
        <w:t xml:space="preserve"> coded plastic back stop </w:t>
      </w:r>
      <w:proofErr w:type="gramStart"/>
      <w:r>
        <w:t>for each strength</w:t>
      </w:r>
      <w:proofErr w:type="gramEnd"/>
      <w:r>
        <w:t xml:space="preserve"> as described below:-</w:t>
      </w:r>
    </w:p>
    <w:p w:rsidR="00F037FD" w:rsidRDefault="00F037FD">
      <w:pPr>
        <w:pStyle w:val="BodyText"/>
        <w:spacing w:before="7"/>
      </w:pPr>
    </w:p>
    <w:p w:rsidR="00F037FD" w:rsidRDefault="00034C5C">
      <w:pPr>
        <w:spacing w:before="1"/>
        <w:ind w:left="141"/>
        <w:jc w:val="both"/>
        <w:rPr>
          <w:i/>
          <w:sz w:val="24"/>
        </w:rPr>
      </w:pPr>
      <w:r>
        <w:rPr>
          <w:i/>
          <w:sz w:val="24"/>
        </w:rPr>
        <w:t>Pack sizes:</w:t>
      </w:r>
    </w:p>
    <w:p w:rsidR="00F037FD" w:rsidRDefault="00F037FD">
      <w:pPr>
        <w:pStyle w:val="BodyText"/>
        <w:spacing w:before="9"/>
        <w:rPr>
          <w:i/>
          <w:sz w:val="23"/>
        </w:rPr>
      </w:pPr>
    </w:p>
    <w:p w:rsidR="00F037FD" w:rsidRDefault="00034C5C">
      <w:pPr>
        <w:pStyle w:val="ListParagraph"/>
        <w:numPr>
          <w:ilvl w:val="0"/>
          <w:numId w:val="1"/>
        </w:numPr>
        <w:tabs>
          <w:tab w:val="left" w:pos="708"/>
          <w:tab w:val="left" w:pos="709"/>
        </w:tabs>
        <w:ind w:right="1530"/>
        <w:rPr>
          <w:sz w:val="24"/>
        </w:rPr>
      </w:pPr>
      <w:r>
        <w:rPr>
          <w:sz w:val="24"/>
        </w:rPr>
        <w:t xml:space="preserve">Syringe with 0.15 mL solution for injection, equivalent to 7.5 mg methotrexate. The syringe barrel is made of glass and has a </w:t>
      </w:r>
      <w:r>
        <w:rPr>
          <w:b/>
          <w:sz w:val="24"/>
        </w:rPr>
        <w:t xml:space="preserve">red </w:t>
      </w:r>
      <w:proofErr w:type="spellStart"/>
      <w:r>
        <w:rPr>
          <w:sz w:val="24"/>
        </w:rPr>
        <w:t>colour</w:t>
      </w:r>
      <w:proofErr w:type="spellEnd"/>
      <w:r>
        <w:rPr>
          <w:sz w:val="24"/>
        </w:rPr>
        <w:t xml:space="preserve"> coded plastic</w:t>
      </w:r>
      <w:r>
        <w:rPr>
          <w:spacing w:val="-22"/>
          <w:sz w:val="24"/>
        </w:rPr>
        <w:t xml:space="preserve"> </w:t>
      </w:r>
      <w:r>
        <w:rPr>
          <w:sz w:val="24"/>
        </w:rPr>
        <w:t>backstop.</w:t>
      </w:r>
    </w:p>
    <w:p w:rsidR="00F037FD" w:rsidRDefault="00F037FD">
      <w:pPr>
        <w:pStyle w:val="BodyText"/>
        <w:spacing w:before="11"/>
        <w:rPr>
          <w:sz w:val="23"/>
        </w:rPr>
      </w:pPr>
    </w:p>
    <w:p w:rsidR="00F037FD" w:rsidRDefault="00034C5C">
      <w:pPr>
        <w:pStyle w:val="ListParagraph"/>
        <w:numPr>
          <w:ilvl w:val="0"/>
          <w:numId w:val="1"/>
        </w:numPr>
        <w:tabs>
          <w:tab w:val="left" w:pos="708"/>
          <w:tab w:val="left" w:pos="709"/>
        </w:tabs>
        <w:ind w:right="1304"/>
        <w:rPr>
          <w:sz w:val="24"/>
        </w:rPr>
      </w:pPr>
      <w:r>
        <w:rPr>
          <w:sz w:val="24"/>
        </w:rPr>
        <w:t xml:space="preserve">Syringe with 0.20 mL solution for injection, equivalent to 10 mg methotrexate. The syringe barrel is made of glass and has a </w:t>
      </w:r>
      <w:r>
        <w:rPr>
          <w:b/>
          <w:sz w:val="24"/>
        </w:rPr>
        <w:t xml:space="preserve">green </w:t>
      </w:r>
      <w:proofErr w:type="spellStart"/>
      <w:r>
        <w:rPr>
          <w:sz w:val="24"/>
        </w:rPr>
        <w:t>colour</w:t>
      </w:r>
      <w:proofErr w:type="spellEnd"/>
      <w:r>
        <w:rPr>
          <w:sz w:val="24"/>
        </w:rPr>
        <w:t xml:space="preserve"> coded plastic</w:t>
      </w:r>
      <w:r>
        <w:rPr>
          <w:spacing w:val="-21"/>
          <w:sz w:val="24"/>
        </w:rPr>
        <w:t xml:space="preserve"> </w:t>
      </w:r>
      <w:r>
        <w:rPr>
          <w:sz w:val="24"/>
        </w:rPr>
        <w:t>backstop.</w:t>
      </w:r>
    </w:p>
    <w:p w:rsidR="00F037FD" w:rsidRDefault="00F037FD">
      <w:pPr>
        <w:pStyle w:val="BodyText"/>
        <w:spacing w:before="11"/>
        <w:rPr>
          <w:sz w:val="23"/>
        </w:rPr>
      </w:pPr>
    </w:p>
    <w:p w:rsidR="00F037FD" w:rsidRDefault="00034C5C">
      <w:pPr>
        <w:pStyle w:val="ListParagraph"/>
        <w:numPr>
          <w:ilvl w:val="0"/>
          <w:numId w:val="1"/>
        </w:numPr>
        <w:tabs>
          <w:tab w:val="left" w:pos="709"/>
        </w:tabs>
        <w:rPr>
          <w:sz w:val="24"/>
        </w:rPr>
      </w:pPr>
      <w:r>
        <w:rPr>
          <w:sz w:val="24"/>
        </w:rPr>
        <w:t>Syringe with 0.25 mL solution for injection, equivalent to 12.5 mg</w:t>
      </w:r>
      <w:r>
        <w:rPr>
          <w:spacing w:val="-25"/>
          <w:sz w:val="24"/>
        </w:rPr>
        <w:t xml:space="preserve"> </w:t>
      </w:r>
      <w:r>
        <w:rPr>
          <w:sz w:val="24"/>
        </w:rPr>
        <w:t>methotrexate.</w:t>
      </w:r>
    </w:p>
    <w:p w:rsidR="00F037FD" w:rsidRDefault="00034C5C">
      <w:pPr>
        <w:pStyle w:val="BodyText"/>
        <w:ind w:left="708"/>
      </w:pPr>
      <w:r>
        <w:t xml:space="preserve">The syringe barrel is made of glass and has a </w:t>
      </w:r>
      <w:r>
        <w:rPr>
          <w:b/>
        </w:rPr>
        <w:t xml:space="preserve">light blue </w:t>
      </w:r>
      <w:proofErr w:type="spellStart"/>
      <w:r>
        <w:t>colour</w:t>
      </w:r>
      <w:proofErr w:type="spellEnd"/>
      <w:r>
        <w:t xml:space="preserve"> coded plastic backstop.</w:t>
      </w:r>
    </w:p>
    <w:p w:rsidR="00F037FD" w:rsidRDefault="00F037FD">
      <w:pPr>
        <w:pStyle w:val="BodyText"/>
      </w:pPr>
    </w:p>
    <w:p w:rsidR="00F037FD" w:rsidRDefault="00034C5C">
      <w:pPr>
        <w:pStyle w:val="ListParagraph"/>
        <w:numPr>
          <w:ilvl w:val="0"/>
          <w:numId w:val="1"/>
        </w:numPr>
        <w:tabs>
          <w:tab w:val="left" w:pos="709"/>
        </w:tabs>
        <w:rPr>
          <w:sz w:val="24"/>
        </w:rPr>
      </w:pPr>
      <w:r>
        <w:rPr>
          <w:sz w:val="24"/>
        </w:rPr>
        <w:t>Syringe with 0.30 mL solution for injection, equivalent to 15 mg</w:t>
      </w:r>
      <w:r>
        <w:rPr>
          <w:spacing w:val="-24"/>
          <w:sz w:val="24"/>
        </w:rPr>
        <w:t xml:space="preserve"> </w:t>
      </w:r>
      <w:r>
        <w:rPr>
          <w:sz w:val="24"/>
        </w:rPr>
        <w:t>methotrexate.</w:t>
      </w:r>
    </w:p>
    <w:p w:rsidR="00F037FD" w:rsidRDefault="00034C5C">
      <w:pPr>
        <w:pStyle w:val="BodyText"/>
        <w:ind w:left="708"/>
      </w:pPr>
      <w:r>
        <w:t xml:space="preserve">The syringe barrel is made of glass and has a </w:t>
      </w:r>
      <w:r>
        <w:rPr>
          <w:b/>
        </w:rPr>
        <w:t xml:space="preserve">purple </w:t>
      </w:r>
      <w:proofErr w:type="spellStart"/>
      <w:r>
        <w:t>colour</w:t>
      </w:r>
      <w:proofErr w:type="spellEnd"/>
      <w:r>
        <w:t xml:space="preserve"> coded plastic backstop.</w:t>
      </w:r>
    </w:p>
    <w:p w:rsidR="00F037FD" w:rsidRDefault="00F037FD">
      <w:pPr>
        <w:pStyle w:val="BodyText"/>
      </w:pPr>
    </w:p>
    <w:p w:rsidR="00F037FD" w:rsidRDefault="00034C5C">
      <w:pPr>
        <w:pStyle w:val="ListParagraph"/>
        <w:numPr>
          <w:ilvl w:val="0"/>
          <w:numId w:val="1"/>
        </w:numPr>
        <w:tabs>
          <w:tab w:val="left" w:pos="708"/>
          <w:tab w:val="left" w:pos="709"/>
        </w:tabs>
        <w:ind w:right="1412"/>
        <w:rPr>
          <w:sz w:val="24"/>
        </w:rPr>
      </w:pPr>
      <w:r>
        <w:rPr>
          <w:sz w:val="24"/>
        </w:rPr>
        <w:t xml:space="preserve">Syringe with 0.35 mL solution for injection, equivalent to 17.5 mg methotrexate. The syringe barrel is made of glass and has a </w:t>
      </w:r>
      <w:r>
        <w:rPr>
          <w:b/>
          <w:sz w:val="24"/>
        </w:rPr>
        <w:t xml:space="preserve">pink </w:t>
      </w:r>
      <w:proofErr w:type="spellStart"/>
      <w:r>
        <w:rPr>
          <w:sz w:val="24"/>
        </w:rPr>
        <w:t>colour</w:t>
      </w:r>
      <w:proofErr w:type="spellEnd"/>
      <w:r>
        <w:rPr>
          <w:sz w:val="24"/>
        </w:rPr>
        <w:t xml:space="preserve"> coded plastic</w:t>
      </w:r>
      <w:r>
        <w:rPr>
          <w:spacing w:val="-24"/>
          <w:sz w:val="24"/>
        </w:rPr>
        <w:t xml:space="preserve"> </w:t>
      </w:r>
      <w:r>
        <w:rPr>
          <w:sz w:val="24"/>
        </w:rPr>
        <w:t>backstop.</w:t>
      </w:r>
    </w:p>
    <w:p w:rsidR="00F037FD" w:rsidRDefault="00F037FD">
      <w:pPr>
        <w:pStyle w:val="BodyText"/>
        <w:spacing w:before="11"/>
        <w:rPr>
          <w:sz w:val="23"/>
        </w:rPr>
      </w:pPr>
    </w:p>
    <w:p w:rsidR="00F037FD" w:rsidRDefault="00034C5C">
      <w:pPr>
        <w:pStyle w:val="ListParagraph"/>
        <w:numPr>
          <w:ilvl w:val="0"/>
          <w:numId w:val="1"/>
        </w:numPr>
        <w:tabs>
          <w:tab w:val="left" w:pos="709"/>
        </w:tabs>
        <w:rPr>
          <w:sz w:val="24"/>
        </w:rPr>
      </w:pPr>
      <w:r>
        <w:rPr>
          <w:sz w:val="24"/>
        </w:rPr>
        <w:t>Syringe with 0.40 mL solution for injection, equivalent to 20 mg</w:t>
      </w:r>
      <w:r>
        <w:rPr>
          <w:spacing w:val="-24"/>
          <w:sz w:val="24"/>
        </w:rPr>
        <w:t xml:space="preserve"> </w:t>
      </w:r>
      <w:r>
        <w:rPr>
          <w:sz w:val="24"/>
        </w:rPr>
        <w:t>methotrexate.</w:t>
      </w:r>
    </w:p>
    <w:p w:rsidR="00F037FD" w:rsidRDefault="00034C5C">
      <w:pPr>
        <w:pStyle w:val="BodyText"/>
        <w:ind w:left="708"/>
      </w:pPr>
      <w:r>
        <w:t xml:space="preserve">The syringe barrel is made of glass and has a </w:t>
      </w:r>
      <w:r>
        <w:rPr>
          <w:b/>
        </w:rPr>
        <w:t xml:space="preserve">dark red </w:t>
      </w:r>
      <w:proofErr w:type="spellStart"/>
      <w:r>
        <w:t>colour</w:t>
      </w:r>
      <w:proofErr w:type="spellEnd"/>
      <w:r>
        <w:t xml:space="preserve"> coded plastic backstop.</w:t>
      </w:r>
    </w:p>
    <w:p w:rsidR="00F037FD" w:rsidRDefault="00F037FD">
      <w:pPr>
        <w:pStyle w:val="BodyText"/>
      </w:pPr>
    </w:p>
    <w:p w:rsidR="00F037FD" w:rsidRDefault="00034C5C">
      <w:pPr>
        <w:pStyle w:val="ListParagraph"/>
        <w:numPr>
          <w:ilvl w:val="0"/>
          <w:numId w:val="1"/>
        </w:numPr>
        <w:tabs>
          <w:tab w:val="left" w:pos="709"/>
        </w:tabs>
        <w:spacing w:before="1"/>
        <w:rPr>
          <w:sz w:val="24"/>
        </w:rPr>
      </w:pPr>
      <w:r>
        <w:rPr>
          <w:sz w:val="24"/>
        </w:rPr>
        <w:t>Syringe with 0.45 mL solution for injection, equivalent to 22.5 mg</w:t>
      </w:r>
      <w:r>
        <w:rPr>
          <w:spacing w:val="-25"/>
          <w:sz w:val="24"/>
        </w:rPr>
        <w:t xml:space="preserve"> </w:t>
      </w:r>
      <w:r>
        <w:rPr>
          <w:sz w:val="24"/>
        </w:rPr>
        <w:t>methotrexate.</w:t>
      </w:r>
    </w:p>
    <w:p w:rsidR="00F037FD" w:rsidRDefault="00034C5C">
      <w:pPr>
        <w:pStyle w:val="BodyText"/>
        <w:ind w:left="708"/>
      </w:pPr>
      <w:r>
        <w:t xml:space="preserve">The syringe barrel is made of glass and has a </w:t>
      </w:r>
      <w:r>
        <w:rPr>
          <w:b/>
        </w:rPr>
        <w:t xml:space="preserve">dark green </w:t>
      </w:r>
      <w:proofErr w:type="spellStart"/>
      <w:r>
        <w:t>colour</w:t>
      </w:r>
      <w:proofErr w:type="spellEnd"/>
      <w:r>
        <w:t xml:space="preserve"> coded plastic backstop.</w:t>
      </w:r>
    </w:p>
    <w:p w:rsidR="00F037FD" w:rsidRDefault="00F037FD">
      <w:pPr>
        <w:pStyle w:val="BodyText"/>
        <w:rPr>
          <w:sz w:val="30"/>
        </w:rPr>
      </w:pPr>
    </w:p>
    <w:p w:rsidR="00F037FD" w:rsidRDefault="00034C5C">
      <w:pPr>
        <w:pStyle w:val="ListParagraph"/>
        <w:numPr>
          <w:ilvl w:val="0"/>
          <w:numId w:val="1"/>
        </w:numPr>
        <w:tabs>
          <w:tab w:val="left" w:pos="708"/>
          <w:tab w:val="left" w:pos="709"/>
        </w:tabs>
        <w:ind w:right="1439"/>
        <w:rPr>
          <w:sz w:val="24"/>
        </w:rPr>
      </w:pPr>
      <w:r>
        <w:rPr>
          <w:sz w:val="24"/>
        </w:rPr>
        <w:t xml:space="preserve">Syringe with 0.50 mL solution for injection, equivalent to 25 mg methotrexate. The syringe barrel is made of glass and has a </w:t>
      </w:r>
      <w:r>
        <w:rPr>
          <w:b/>
          <w:sz w:val="24"/>
        </w:rPr>
        <w:t xml:space="preserve">blue </w:t>
      </w:r>
      <w:proofErr w:type="spellStart"/>
      <w:r>
        <w:rPr>
          <w:sz w:val="24"/>
        </w:rPr>
        <w:t>colour</w:t>
      </w:r>
      <w:proofErr w:type="spellEnd"/>
      <w:r>
        <w:rPr>
          <w:sz w:val="24"/>
        </w:rPr>
        <w:t xml:space="preserve"> coded plastic</w:t>
      </w:r>
      <w:r>
        <w:rPr>
          <w:spacing w:val="-23"/>
          <w:sz w:val="24"/>
        </w:rPr>
        <w:t xml:space="preserve"> </w:t>
      </w:r>
      <w:r>
        <w:rPr>
          <w:sz w:val="24"/>
        </w:rPr>
        <w:t>backstop.</w:t>
      </w:r>
    </w:p>
    <w:p w:rsidR="00F037FD" w:rsidRDefault="00F037FD">
      <w:pPr>
        <w:pStyle w:val="BodyText"/>
        <w:rPr>
          <w:sz w:val="26"/>
        </w:rPr>
      </w:pPr>
    </w:p>
    <w:p w:rsidR="00F037FD" w:rsidRDefault="00034C5C">
      <w:pPr>
        <w:pStyle w:val="BodyText"/>
        <w:spacing w:before="211" w:line="480" w:lineRule="auto"/>
        <w:ind w:left="141" w:right="3376"/>
      </w:pPr>
      <w:r>
        <w:t xml:space="preserve">TREXJECT IN is available in packs of 1, 4, 6, 12 and 24 syringes. </w:t>
      </w:r>
      <w:r>
        <w:lastRenderedPageBreak/>
        <w:t>Not all presentations and pack sizes may be marketed.</w:t>
      </w:r>
    </w:p>
    <w:p w:rsidR="00F037FD" w:rsidRDefault="00F037FD">
      <w:pPr>
        <w:spacing w:line="480" w:lineRule="auto"/>
        <w:sectPr w:rsidR="00F037FD">
          <w:pgSz w:w="11910" w:h="16850"/>
          <w:pgMar w:top="1160" w:right="960" w:bottom="1000" w:left="1020" w:header="883" w:footer="816" w:gutter="0"/>
          <w:cols w:space="720"/>
        </w:sectPr>
      </w:pPr>
    </w:p>
    <w:p w:rsidR="00F037FD" w:rsidRDefault="00F037FD">
      <w:pPr>
        <w:pStyle w:val="BodyText"/>
        <w:rPr>
          <w:sz w:val="20"/>
        </w:rPr>
      </w:pPr>
    </w:p>
    <w:p w:rsidR="00F037FD" w:rsidRDefault="00F037FD">
      <w:pPr>
        <w:pStyle w:val="BodyText"/>
        <w:spacing w:before="3"/>
        <w:rPr>
          <w:sz w:val="21"/>
        </w:rPr>
      </w:pPr>
    </w:p>
    <w:p w:rsidR="00F037FD" w:rsidRDefault="00034C5C">
      <w:pPr>
        <w:pStyle w:val="BodyText"/>
        <w:ind w:left="141"/>
      </w:pPr>
      <w:r>
        <w:t>Store below 25°C. Keep the pre-filled syringes in the outer carton in order to protect from light.</w:t>
      </w:r>
    </w:p>
    <w:p w:rsidR="00F037FD" w:rsidRDefault="00F037FD">
      <w:pPr>
        <w:pStyle w:val="BodyText"/>
        <w:spacing w:before="4"/>
      </w:pPr>
    </w:p>
    <w:p w:rsidR="00F037FD" w:rsidRDefault="00034C5C">
      <w:pPr>
        <w:pStyle w:val="BodyText"/>
        <w:ind w:left="141" w:right="337"/>
      </w:pPr>
      <w:r>
        <w:t xml:space="preserve">TREXJECT IN is intended for single use in one patient on one occasion only. Discard any residue in accordance with </w:t>
      </w:r>
      <w:r>
        <w:rPr>
          <w:b/>
        </w:rPr>
        <w:t>Instructions for handling</w:t>
      </w:r>
      <w:r>
        <w:t>, above.</w:t>
      </w:r>
    </w:p>
    <w:p w:rsidR="00F037FD" w:rsidRDefault="00F037FD">
      <w:pPr>
        <w:pStyle w:val="BodyText"/>
        <w:spacing w:before="4"/>
        <w:rPr>
          <w:sz w:val="25"/>
        </w:rPr>
      </w:pPr>
    </w:p>
    <w:p w:rsidR="00F037FD" w:rsidRDefault="00034C5C">
      <w:pPr>
        <w:pStyle w:val="Heading1"/>
        <w:jc w:val="left"/>
      </w:pPr>
      <w:r>
        <w:t>NAME AND ADDRESS OF THE SPONSOR</w:t>
      </w:r>
    </w:p>
    <w:p w:rsidR="00F037FD" w:rsidRDefault="00F037FD">
      <w:pPr>
        <w:pStyle w:val="BodyText"/>
        <w:spacing w:before="1"/>
        <w:rPr>
          <w:b/>
          <w:sz w:val="23"/>
        </w:rPr>
      </w:pPr>
    </w:p>
    <w:p w:rsidR="00F037FD" w:rsidRDefault="00034C5C">
      <w:pPr>
        <w:pStyle w:val="BodyText"/>
        <w:ind w:left="141" w:right="6795"/>
      </w:pPr>
      <w:r>
        <w:t>Link Medical Products Pty Ltd 5 Apollo Street</w:t>
      </w:r>
    </w:p>
    <w:p w:rsidR="00F037FD" w:rsidRDefault="00034C5C">
      <w:pPr>
        <w:pStyle w:val="BodyText"/>
        <w:spacing w:line="480" w:lineRule="auto"/>
        <w:ind w:left="141" w:right="6496"/>
      </w:pPr>
      <w:proofErr w:type="spellStart"/>
      <w:r>
        <w:t>Warriewood</w:t>
      </w:r>
      <w:proofErr w:type="spellEnd"/>
      <w:r>
        <w:t xml:space="preserve"> NSW 2102 Australia Tel: (61) 2 9997 7176</w:t>
      </w:r>
    </w:p>
    <w:p w:rsidR="00F037FD" w:rsidRDefault="00034C5C">
      <w:pPr>
        <w:pStyle w:val="BodyText"/>
        <w:spacing w:before="11"/>
        <w:ind w:left="141"/>
      </w:pPr>
      <w:r>
        <w:t xml:space="preserve">Website: </w:t>
      </w:r>
      <w:hyperlink r:id="rId11">
        <w:r>
          <w:rPr>
            <w:color w:val="0000FF"/>
            <w:u w:val="single" w:color="0000FF"/>
          </w:rPr>
          <w:t>http://www.linkhealthcare.com.au</w:t>
        </w:r>
      </w:hyperlink>
    </w:p>
    <w:p w:rsidR="00F037FD" w:rsidRDefault="00F037FD">
      <w:pPr>
        <w:pStyle w:val="BodyText"/>
        <w:spacing w:before="9"/>
        <w:rPr>
          <w:sz w:val="16"/>
        </w:rPr>
      </w:pPr>
    </w:p>
    <w:p w:rsidR="00F037FD" w:rsidRDefault="00034C5C">
      <w:pPr>
        <w:pStyle w:val="Heading1"/>
        <w:spacing w:before="90"/>
        <w:jc w:val="left"/>
      </w:pPr>
      <w:r>
        <w:t>POISON SCHEDULE OF THE MEDICINE:</w:t>
      </w:r>
    </w:p>
    <w:p w:rsidR="00F037FD" w:rsidRDefault="00F037FD">
      <w:pPr>
        <w:pStyle w:val="BodyText"/>
        <w:spacing w:before="4"/>
        <w:rPr>
          <w:b/>
          <w:sz w:val="23"/>
        </w:rPr>
      </w:pPr>
    </w:p>
    <w:p w:rsidR="00F037FD" w:rsidRDefault="00034C5C">
      <w:pPr>
        <w:pStyle w:val="BodyText"/>
        <w:ind w:left="141"/>
      </w:pPr>
      <w:r>
        <w:t>S4</w:t>
      </w:r>
    </w:p>
    <w:p w:rsidR="00F037FD" w:rsidRDefault="00F037FD">
      <w:pPr>
        <w:pStyle w:val="BodyText"/>
        <w:spacing w:before="7"/>
      </w:pPr>
    </w:p>
    <w:p w:rsidR="00F037FD" w:rsidRDefault="00034C5C">
      <w:pPr>
        <w:pStyle w:val="Heading1"/>
        <w:ind w:right="467"/>
        <w:jc w:val="left"/>
      </w:pPr>
      <w:r>
        <w:t>DATE OF FIRST INCLUSION IN THE AUSTRALIAN REGISTER OF THERAPEUTIC GOODS (THE ARTG)</w:t>
      </w:r>
    </w:p>
    <w:p w:rsidR="00F037FD" w:rsidRDefault="00F037FD">
      <w:pPr>
        <w:pStyle w:val="BodyText"/>
        <w:spacing w:before="10"/>
        <w:rPr>
          <w:b/>
          <w:sz w:val="22"/>
        </w:rPr>
      </w:pPr>
    </w:p>
    <w:p w:rsidR="00F037FD" w:rsidRDefault="00034C5C">
      <w:pPr>
        <w:pStyle w:val="BodyText"/>
        <w:spacing w:before="1"/>
        <w:ind w:left="141"/>
      </w:pPr>
      <w:r>
        <w:t>XXXXXXX</w:t>
      </w:r>
    </w:p>
    <w:sectPr w:rsidR="00F037FD">
      <w:pgSz w:w="11910" w:h="16850"/>
      <w:pgMar w:top="1160" w:right="960" w:bottom="1000" w:left="1020" w:header="883" w:footer="8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C9" w:rsidRDefault="00034C5C">
      <w:r>
        <w:separator/>
      </w:r>
    </w:p>
  </w:endnote>
  <w:endnote w:type="continuationSeparator" w:id="0">
    <w:p w:rsidR="008D71C9" w:rsidRDefault="0003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7FD" w:rsidRDefault="005D3ABA">
    <w:pPr>
      <w:pStyle w:val="BodyText"/>
      <w:spacing w:line="14" w:lineRule="auto"/>
      <w:rPr>
        <w:sz w:val="20"/>
      </w:rPr>
    </w:pPr>
    <w:r>
      <w:pict>
        <v:line id="_x0000_s2050" style="position:absolute;z-index:-22816;mso-position-horizontal-relative:page;mso-position-vertical-relative:page" from="56.65pt,788.5pt" to="541.9pt,788.5pt" strokeweight=".16936mm">
          <w10:wrap anchorx="page" anchory="page"/>
        </v:line>
      </w:pict>
    </w:r>
    <w:r>
      <w:pict>
        <v:shapetype id="_x0000_t202" coordsize="21600,21600" o:spt="202" path="m,l,21600r21600,l21600,xe">
          <v:stroke joinstyle="miter"/>
          <v:path gradientshapeok="t" o:connecttype="rect"/>
        </v:shapetype>
        <v:shape id="_x0000_s2049" type="#_x0000_t202" style="position:absolute;margin-left:473.1pt;margin-top:788.8pt;width:68.4pt;height:15.3pt;z-index:-22792;mso-position-horizontal-relative:page;mso-position-vertical-relative:page" filled="f" stroked="f">
          <v:textbox style="mso-next-textbox:#_x0000_s2049" inset="0,0,0,0">
            <w:txbxContent>
              <w:p w:rsidR="00F037FD" w:rsidRDefault="00034C5C">
                <w:pPr>
                  <w:pStyle w:val="BodyText"/>
                  <w:spacing w:before="10"/>
                  <w:ind w:left="20"/>
                </w:pPr>
                <w:r>
                  <w:t xml:space="preserve">Page </w:t>
                </w:r>
                <w:r>
                  <w:fldChar w:fldCharType="begin"/>
                </w:r>
                <w:r>
                  <w:instrText xml:space="preserve"> PAGE </w:instrText>
                </w:r>
                <w:r>
                  <w:fldChar w:fldCharType="separate"/>
                </w:r>
                <w:r w:rsidR="005D3ABA">
                  <w:rPr>
                    <w:noProof/>
                  </w:rPr>
                  <w:t>29</w:t>
                </w:r>
                <w:r>
                  <w:fldChar w:fldCharType="end"/>
                </w:r>
                <w:r>
                  <w:t xml:space="preserve"> of 22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C9" w:rsidRDefault="00034C5C">
      <w:r>
        <w:separator/>
      </w:r>
    </w:p>
  </w:footnote>
  <w:footnote w:type="continuationSeparator" w:id="0">
    <w:p w:rsidR="008D71C9" w:rsidRDefault="0003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D3ABA" w:rsidTr="00AF294F">
      <w:tc>
        <w:tcPr>
          <w:tcW w:w="8720" w:type="dxa"/>
          <w:shd w:val="clear" w:color="auto" w:fill="E4F2E0"/>
        </w:tcPr>
        <w:p w:rsidR="005D3ABA" w:rsidRPr="00D361CA" w:rsidRDefault="005D3ABA" w:rsidP="00AF294F">
          <w:pPr>
            <w:spacing w:before="40" w:after="40"/>
            <w:rPr>
              <w:b/>
              <w:sz w:val="20"/>
              <w:szCs w:val="20"/>
            </w:rPr>
          </w:pPr>
          <w:r w:rsidRPr="00D361CA">
            <w:rPr>
              <w:b/>
              <w:sz w:val="20"/>
              <w:szCs w:val="20"/>
            </w:rPr>
            <w:t xml:space="preserve">Attachment 1: Product information for </w:t>
          </w:r>
          <w:proofErr w:type="spellStart"/>
          <w:r w:rsidRPr="005D3ABA">
            <w:rPr>
              <w:b/>
              <w:sz w:val="20"/>
              <w:szCs w:val="20"/>
            </w:rPr>
            <w:t>AusPAR</w:t>
          </w:r>
          <w:proofErr w:type="spellEnd"/>
          <w:r w:rsidRPr="005D3ABA">
            <w:rPr>
              <w:b/>
              <w:sz w:val="20"/>
              <w:szCs w:val="20"/>
            </w:rPr>
            <w:t xml:space="preserve"> - TREXJECT &amp; TREXJECT IN - Methotrexate - Link Medical Products Pty Ltd T/A Link Pharmaceuticals - PM-2014-01050-1-3 FINAL  7 June 2017</w:t>
          </w:r>
          <w:r>
            <w:rPr>
              <w:b/>
              <w:sz w:val="20"/>
              <w:szCs w:val="20"/>
            </w:rPr>
            <w:t>.</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5D3ABA" w:rsidRPr="005D3ABA" w:rsidRDefault="005D3ABA" w:rsidP="005D3ABA">
    <w:pPr>
      <w:rPr>
        <w:b/>
        <w:i/>
        <w:sz w:val="24"/>
        <w:szCs w:val="24"/>
      </w:rPr>
    </w:pPr>
    <w:r w:rsidRPr="005D3ABA">
      <w:rPr>
        <w:b/>
        <w:sz w:val="24"/>
        <w:szCs w:val="24"/>
      </w:rPr>
      <w:t>TREXJECT IN, methotrexate (as sodium) Injection</w:t>
    </w:r>
    <w:r>
      <w:rPr>
        <w:b/>
        <w:sz w:val="24"/>
        <w:szCs w:val="24"/>
      </w:rPr>
      <w:tab/>
    </w:r>
    <w:r>
      <w:rPr>
        <w:b/>
        <w:sz w:val="24"/>
        <w:szCs w:val="24"/>
      </w:rPr>
      <w:tab/>
    </w:r>
    <w:r>
      <w:rPr>
        <w:b/>
        <w:sz w:val="24"/>
        <w:szCs w:val="24"/>
      </w:rPr>
      <w:tab/>
    </w:r>
    <w:r w:rsidRPr="005D3ABA">
      <w:rPr>
        <w:b/>
        <w:sz w:val="24"/>
        <w:szCs w:val="24"/>
      </w:rPr>
      <w:t xml:space="preserve">Version: </w:t>
    </w:r>
    <w:r w:rsidRPr="005D3ABA">
      <w:rPr>
        <w:b/>
        <w:i/>
        <w:sz w:val="24"/>
        <w:szCs w:val="24"/>
      </w:rPr>
      <w:t>DRAFT 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801"/>
    <w:multiLevelType w:val="hybridMultilevel"/>
    <w:tmpl w:val="801668B0"/>
    <w:lvl w:ilvl="0" w:tplc="AF863E62">
      <w:start w:val="1"/>
      <w:numFmt w:val="decimal"/>
      <w:lvlText w:val="%1."/>
      <w:lvlJc w:val="left"/>
      <w:pPr>
        <w:ind w:left="708" w:hanging="567"/>
      </w:pPr>
      <w:rPr>
        <w:rFonts w:ascii="Times New Roman" w:eastAsia="Times New Roman" w:hAnsi="Times New Roman" w:cs="Times New Roman" w:hint="default"/>
        <w:spacing w:val="-4"/>
        <w:w w:val="99"/>
        <w:sz w:val="24"/>
        <w:szCs w:val="24"/>
      </w:rPr>
    </w:lvl>
    <w:lvl w:ilvl="1" w:tplc="C67E8390">
      <w:numFmt w:val="bullet"/>
      <w:lvlText w:val="•"/>
      <w:lvlJc w:val="left"/>
      <w:pPr>
        <w:ind w:left="1622" w:hanging="567"/>
      </w:pPr>
      <w:rPr>
        <w:rFonts w:hint="default"/>
      </w:rPr>
    </w:lvl>
    <w:lvl w:ilvl="2" w:tplc="90E2D5EA">
      <w:numFmt w:val="bullet"/>
      <w:lvlText w:val="•"/>
      <w:lvlJc w:val="left"/>
      <w:pPr>
        <w:ind w:left="2545" w:hanging="567"/>
      </w:pPr>
      <w:rPr>
        <w:rFonts w:hint="default"/>
      </w:rPr>
    </w:lvl>
    <w:lvl w:ilvl="3" w:tplc="0A7A7010">
      <w:numFmt w:val="bullet"/>
      <w:lvlText w:val="•"/>
      <w:lvlJc w:val="left"/>
      <w:pPr>
        <w:ind w:left="3467" w:hanging="567"/>
      </w:pPr>
      <w:rPr>
        <w:rFonts w:hint="default"/>
      </w:rPr>
    </w:lvl>
    <w:lvl w:ilvl="4" w:tplc="9402A27C">
      <w:numFmt w:val="bullet"/>
      <w:lvlText w:val="•"/>
      <w:lvlJc w:val="left"/>
      <w:pPr>
        <w:ind w:left="4390" w:hanging="567"/>
      </w:pPr>
      <w:rPr>
        <w:rFonts w:hint="default"/>
      </w:rPr>
    </w:lvl>
    <w:lvl w:ilvl="5" w:tplc="DA2A3CEC">
      <w:numFmt w:val="bullet"/>
      <w:lvlText w:val="•"/>
      <w:lvlJc w:val="left"/>
      <w:pPr>
        <w:ind w:left="5313" w:hanging="567"/>
      </w:pPr>
      <w:rPr>
        <w:rFonts w:hint="default"/>
      </w:rPr>
    </w:lvl>
    <w:lvl w:ilvl="6" w:tplc="7602C3B2">
      <w:numFmt w:val="bullet"/>
      <w:lvlText w:val="•"/>
      <w:lvlJc w:val="left"/>
      <w:pPr>
        <w:ind w:left="6235" w:hanging="567"/>
      </w:pPr>
      <w:rPr>
        <w:rFonts w:hint="default"/>
      </w:rPr>
    </w:lvl>
    <w:lvl w:ilvl="7" w:tplc="078E56B8">
      <w:numFmt w:val="bullet"/>
      <w:lvlText w:val="•"/>
      <w:lvlJc w:val="left"/>
      <w:pPr>
        <w:ind w:left="7158" w:hanging="567"/>
      </w:pPr>
      <w:rPr>
        <w:rFonts w:hint="default"/>
      </w:rPr>
    </w:lvl>
    <w:lvl w:ilvl="8" w:tplc="49D878D2">
      <w:numFmt w:val="bullet"/>
      <w:lvlText w:val="•"/>
      <w:lvlJc w:val="left"/>
      <w:pPr>
        <w:ind w:left="8081" w:hanging="567"/>
      </w:pPr>
      <w:rPr>
        <w:rFonts w:hint="default"/>
      </w:rPr>
    </w:lvl>
  </w:abstractNum>
  <w:abstractNum w:abstractNumId="1">
    <w:nsid w:val="1FF00377"/>
    <w:multiLevelType w:val="hybridMultilevel"/>
    <w:tmpl w:val="494407B4"/>
    <w:lvl w:ilvl="0" w:tplc="05C830D8">
      <w:start w:val="1"/>
      <w:numFmt w:val="decimal"/>
      <w:lvlText w:val="%1."/>
      <w:lvlJc w:val="left"/>
      <w:pPr>
        <w:ind w:left="708" w:hanging="567"/>
      </w:pPr>
      <w:rPr>
        <w:rFonts w:ascii="Times New Roman" w:eastAsia="Times New Roman" w:hAnsi="Times New Roman" w:cs="Times New Roman" w:hint="default"/>
        <w:spacing w:val="-8"/>
        <w:w w:val="110"/>
        <w:sz w:val="24"/>
        <w:szCs w:val="24"/>
      </w:rPr>
    </w:lvl>
    <w:lvl w:ilvl="1" w:tplc="4EBCDFF8">
      <w:numFmt w:val="bullet"/>
      <w:lvlText w:val="•"/>
      <w:lvlJc w:val="left"/>
      <w:pPr>
        <w:ind w:left="1622" w:hanging="567"/>
      </w:pPr>
      <w:rPr>
        <w:rFonts w:hint="default"/>
      </w:rPr>
    </w:lvl>
    <w:lvl w:ilvl="2" w:tplc="DB2CB334">
      <w:numFmt w:val="bullet"/>
      <w:lvlText w:val="•"/>
      <w:lvlJc w:val="left"/>
      <w:pPr>
        <w:ind w:left="2545" w:hanging="567"/>
      </w:pPr>
      <w:rPr>
        <w:rFonts w:hint="default"/>
      </w:rPr>
    </w:lvl>
    <w:lvl w:ilvl="3" w:tplc="59C0A758">
      <w:numFmt w:val="bullet"/>
      <w:lvlText w:val="•"/>
      <w:lvlJc w:val="left"/>
      <w:pPr>
        <w:ind w:left="3467" w:hanging="567"/>
      </w:pPr>
      <w:rPr>
        <w:rFonts w:hint="default"/>
      </w:rPr>
    </w:lvl>
    <w:lvl w:ilvl="4" w:tplc="8DD008F2">
      <w:numFmt w:val="bullet"/>
      <w:lvlText w:val="•"/>
      <w:lvlJc w:val="left"/>
      <w:pPr>
        <w:ind w:left="4390" w:hanging="567"/>
      </w:pPr>
      <w:rPr>
        <w:rFonts w:hint="default"/>
      </w:rPr>
    </w:lvl>
    <w:lvl w:ilvl="5" w:tplc="81D65492">
      <w:numFmt w:val="bullet"/>
      <w:lvlText w:val="•"/>
      <w:lvlJc w:val="left"/>
      <w:pPr>
        <w:ind w:left="5313" w:hanging="567"/>
      </w:pPr>
      <w:rPr>
        <w:rFonts w:hint="default"/>
      </w:rPr>
    </w:lvl>
    <w:lvl w:ilvl="6" w:tplc="C61EFC6A">
      <w:numFmt w:val="bullet"/>
      <w:lvlText w:val="•"/>
      <w:lvlJc w:val="left"/>
      <w:pPr>
        <w:ind w:left="6235" w:hanging="567"/>
      </w:pPr>
      <w:rPr>
        <w:rFonts w:hint="default"/>
      </w:rPr>
    </w:lvl>
    <w:lvl w:ilvl="7" w:tplc="2346C09A">
      <w:numFmt w:val="bullet"/>
      <w:lvlText w:val="•"/>
      <w:lvlJc w:val="left"/>
      <w:pPr>
        <w:ind w:left="7158" w:hanging="567"/>
      </w:pPr>
      <w:rPr>
        <w:rFonts w:hint="default"/>
      </w:rPr>
    </w:lvl>
    <w:lvl w:ilvl="8" w:tplc="85EE5AA6">
      <w:numFmt w:val="bullet"/>
      <w:lvlText w:val="•"/>
      <w:lvlJc w:val="left"/>
      <w:pPr>
        <w:ind w:left="8081" w:hanging="567"/>
      </w:pPr>
      <w:rPr>
        <w:rFonts w:hint="default"/>
      </w:rPr>
    </w:lvl>
  </w:abstractNum>
  <w:abstractNum w:abstractNumId="2">
    <w:nsid w:val="2A1A6500"/>
    <w:multiLevelType w:val="hybridMultilevel"/>
    <w:tmpl w:val="F7C03CAE"/>
    <w:lvl w:ilvl="0" w:tplc="57CC8EC4">
      <w:start w:val="1"/>
      <w:numFmt w:val="decimal"/>
      <w:lvlText w:val="%1."/>
      <w:lvlJc w:val="left"/>
      <w:pPr>
        <w:ind w:left="708" w:hanging="567"/>
      </w:pPr>
      <w:rPr>
        <w:rFonts w:ascii="Times New Roman" w:eastAsia="Times New Roman" w:hAnsi="Times New Roman" w:cs="Times New Roman" w:hint="default"/>
        <w:spacing w:val="-4"/>
        <w:w w:val="99"/>
        <w:sz w:val="24"/>
        <w:szCs w:val="24"/>
      </w:rPr>
    </w:lvl>
    <w:lvl w:ilvl="1" w:tplc="5E28A134">
      <w:numFmt w:val="bullet"/>
      <w:lvlText w:val="•"/>
      <w:lvlJc w:val="left"/>
      <w:pPr>
        <w:ind w:left="1622" w:hanging="567"/>
      </w:pPr>
      <w:rPr>
        <w:rFonts w:hint="default"/>
      </w:rPr>
    </w:lvl>
    <w:lvl w:ilvl="2" w:tplc="F2BA81CA">
      <w:numFmt w:val="bullet"/>
      <w:lvlText w:val="•"/>
      <w:lvlJc w:val="left"/>
      <w:pPr>
        <w:ind w:left="2545" w:hanging="567"/>
      </w:pPr>
      <w:rPr>
        <w:rFonts w:hint="default"/>
      </w:rPr>
    </w:lvl>
    <w:lvl w:ilvl="3" w:tplc="879046B4">
      <w:numFmt w:val="bullet"/>
      <w:lvlText w:val="•"/>
      <w:lvlJc w:val="left"/>
      <w:pPr>
        <w:ind w:left="3467" w:hanging="567"/>
      </w:pPr>
      <w:rPr>
        <w:rFonts w:hint="default"/>
      </w:rPr>
    </w:lvl>
    <w:lvl w:ilvl="4" w:tplc="D47629A8">
      <w:numFmt w:val="bullet"/>
      <w:lvlText w:val="•"/>
      <w:lvlJc w:val="left"/>
      <w:pPr>
        <w:ind w:left="4390" w:hanging="567"/>
      </w:pPr>
      <w:rPr>
        <w:rFonts w:hint="default"/>
      </w:rPr>
    </w:lvl>
    <w:lvl w:ilvl="5" w:tplc="5F801EE8">
      <w:numFmt w:val="bullet"/>
      <w:lvlText w:val="•"/>
      <w:lvlJc w:val="left"/>
      <w:pPr>
        <w:ind w:left="5313" w:hanging="567"/>
      </w:pPr>
      <w:rPr>
        <w:rFonts w:hint="default"/>
      </w:rPr>
    </w:lvl>
    <w:lvl w:ilvl="6" w:tplc="26B663E8">
      <w:numFmt w:val="bullet"/>
      <w:lvlText w:val="•"/>
      <w:lvlJc w:val="left"/>
      <w:pPr>
        <w:ind w:left="6235" w:hanging="567"/>
      </w:pPr>
      <w:rPr>
        <w:rFonts w:hint="default"/>
      </w:rPr>
    </w:lvl>
    <w:lvl w:ilvl="7" w:tplc="5AE0A310">
      <w:numFmt w:val="bullet"/>
      <w:lvlText w:val="•"/>
      <w:lvlJc w:val="left"/>
      <w:pPr>
        <w:ind w:left="7158" w:hanging="567"/>
      </w:pPr>
      <w:rPr>
        <w:rFonts w:hint="default"/>
      </w:rPr>
    </w:lvl>
    <w:lvl w:ilvl="8" w:tplc="246EE720">
      <w:numFmt w:val="bullet"/>
      <w:lvlText w:val="•"/>
      <w:lvlJc w:val="left"/>
      <w:pPr>
        <w:ind w:left="8081" w:hanging="567"/>
      </w:pPr>
      <w:rPr>
        <w:rFonts w:hint="default"/>
      </w:rPr>
    </w:lvl>
  </w:abstractNum>
  <w:abstractNum w:abstractNumId="3">
    <w:nsid w:val="53FE00A4"/>
    <w:multiLevelType w:val="hybridMultilevel"/>
    <w:tmpl w:val="8EC6D7BA"/>
    <w:lvl w:ilvl="0" w:tplc="85323840">
      <w:numFmt w:val="bullet"/>
      <w:lvlText w:val=""/>
      <w:lvlJc w:val="left"/>
      <w:pPr>
        <w:ind w:left="502" w:hanging="361"/>
      </w:pPr>
      <w:rPr>
        <w:rFonts w:ascii="Symbol" w:eastAsia="Symbol" w:hAnsi="Symbol" w:cs="Symbol" w:hint="default"/>
        <w:w w:val="100"/>
        <w:sz w:val="24"/>
        <w:szCs w:val="24"/>
      </w:rPr>
    </w:lvl>
    <w:lvl w:ilvl="1" w:tplc="4F689788">
      <w:numFmt w:val="bullet"/>
      <w:lvlText w:val="•"/>
      <w:lvlJc w:val="left"/>
      <w:pPr>
        <w:ind w:left="1442" w:hanging="361"/>
      </w:pPr>
      <w:rPr>
        <w:rFonts w:hint="default"/>
      </w:rPr>
    </w:lvl>
    <w:lvl w:ilvl="2" w:tplc="CAC45FCE">
      <w:numFmt w:val="bullet"/>
      <w:lvlText w:val="•"/>
      <w:lvlJc w:val="left"/>
      <w:pPr>
        <w:ind w:left="2385" w:hanging="361"/>
      </w:pPr>
      <w:rPr>
        <w:rFonts w:hint="default"/>
      </w:rPr>
    </w:lvl>
    <w:lvl w:ilvl="3" w:tplc="C380BF82">
      <w:numFmt w:val="bullet"/>
      <w:lvlText w:val="•"/>
      <w:lvlJc w:val="left"/>
      <w:pPr>
        <w:ind w:left="3327" w:hanging="361"/>
      </w:pPr>
      <w:rPr>
        <w:rFonts w:hint="default"/>
      </w:rPr>
    </w:lvl>
    <w:lvl w:ilvl="4" w:tplc="6A4C5340">
      <w:numFmt w:val="bullet"/>
      <w:lvlText w:val="•"/>
      <w:lvlJc w:val="left"/>
      <w:pPr>
        <w:ind w:left="4270" w:hanging="361"/>
      </w:pPr>
      <w:rPr>
        <w:rFonts w:hint="default"/>
      </w:rPr>
    </w:lvl>
    <w:lvl w:ilvl="5" w:tplc="3852FCF2">
      <w:numFmt w:val="bullet"/>
      <w:lvlText w:val="•"/>
      <w:lvlJc w:val="left"/>
      <w:pPr>
        <w:ind w:left="5213" w:hanging="361"/>
      </w:pPr>
      <w:rPr>
        <w:rFonts w:hint="default"/>
      </w:rPr>
    </w:lvl>
    <w:lvl w:ilvl="6" w:tplc="8BE0B628">
      <w:numFmt w:val="bullet"/>
      <w:lvlText w:val="•"/>
      <w:lvlJc w:val="left"/>
      <w:pPr>
        <w:ind w:left="6155" w:hanging="361"/>
      </w:pPr>
      <w:rPr>
        <w:rFonts w:hint="default"/>
      </w:rPr>
    </w:lvl>
    <w:lvl w:ilvl="7" w:tplc="8DD6DB34">
      <w:numFmt w:val="bullet"/>
      <w:lvlText w:val="•"/>
      <w:lvlJc w:val="left"/>
      <w:pPr>
        <w:ind w:left="7098" w:hanging="361"/>
      </w:pPr>
      <w:rPr>
        <w:rFonts w:hint="default"/>
      </w:rPr>
    </w:lvl>
    <w:lvl w:ilvl="8" w:tplc="0BB46594">
      <w:numFmt w:val="bullet"/>
      <w:lvlText w:val="•"/>
      <w:lvlJc w:val="left"/>
      <w:pPr>
        <w:ind w:left="8041" w:hanging="361"/>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037FD"/>
    <w:rsid w:val="00034C5C"/>
    <w:rsid w:val="00247E75"/>
    <w:rsid w:val="005D3ABA"/>
    <w:rsid w:val="008D71C9"/>
    <w:rsid w:val="00F037FD"/>
    <w:rsid w:val="00F35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8" w:hanging="567"/>
      <w:jc w:val="both"/>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F35EE8"/>
    <w:pPr>
      <w:tabs>
        <w:tab w:val="center" w:pos="4513"/>
        <w:tab w:val="right" w:pos="9026"/>
      </w:tabs>
    </w:pPr>
  </w:style>
  <w:style w:type="character" w:customStyle="1" w:styleId="HeaderChar">
    <w:name w:val="Header Char"/>
    <w:basedOn w:val="DefaultParagraphFont"/>
    <w:link w:val="Header"/>
    <w:uiPriority w:val="99"/>
    <w:rsid w:val="00F35EE8"/>
    <w:rPr>
      <w:rFonts w:ascii="Times New Roman" w:eastAsia="Times New Roman" w:hAnsi="Times New Roman" w:cs="Times New Roman"/>
    </w:rPr>
  </w:style>
  <w:style w:type="paragraph" w:styleId="Footer">
    <w:name w:val="footer"/>
    <w:basedOn w:val="Normal"/>
    <w:link w:val="FooterChar"/>
    <w:uiPriority w:val="99"/>
    <w:unhideWhenUsed/>
    <w:rsid w:val="00F35EE8"/>
    <w:pPr>
      <w:tabs>
        <w:tab w:val="center" w:pos="4513"/>
        <w:tab w:val="right" w:pos="9026"/>
      </w:tabs>
    </w:pPr>
  </w:style>
  <w:style w:type="character" w:customStyle="1" w:styleId="FooterChar">
    <w:name w:val="Footer Char"/>
    <w:basedOn w:val="DefaultParagraphFont"/>
    <w:link w:val="Footer"/>
    <w:uiPriority w:val="99"/>
    <w:rsid w:val="00F35EE8"/>
    <w:rPr>
      <w:rFonts w:ascii="Times New Roman" w:eastAsia="Times New Roman" w:hAnsi="Times New Roman" w:cs="Times New Roman"/>
    </w:rPr>
  </w:style>
  <w:style w:type="table" w:styleId="TableGrid">
    <w:name w:val="Table Grid"/>
    <w:basedOn w:val="TableNormal"/>
    <w:uiPriority w:val="59"/>
    <w:rsid w:val="00F35EE8"/>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nkhealthcare.com.a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29</Pages>
  <Words>8664</Words>
  <Characters>49390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eoject 50 mg/ml soluton for injection, pre-filled syringe</vt:lpstr>
    </vt:vector>
  </TitlesOfParts>
  <Company/>
  <LinksUpToDate>false</LinksUpToDate>
  <CharactersWithSpaces>57939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Methotrexate</dc:title>
  <dc:subject>Prescription medicines</dc:subject>
  <dc:creator>Link Medical Products Pty Ltd</dc:creator>
  <cp:keywords>AusPARs</cp:keywords>
  <cp:lastModifiedBy>MORENO, David</cp:lastModifiedBy>
  <cp:revision>5</cp:revision>
  <dcterms:created xsi:type="dcterms:W3CDTF">2017-06-07T04:37:00Z</dcterms:created>
  <dcterms:modified xsi:type="dcterms:W3CDTF">2017-06-13T05:41:00Z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2015-07-28T00:00:00Z</vt:filetime>
  </property>
  <property fmtid="{D5CDD505-2E9C-101B-9397-08002B2CF9AE}" pid="3" name="Creator">
    <vt:lpwstr>Microsoft® Word 2013</vt:lpwstr>
  </property>
  <property fmtid="{D5CDD505-2E9C-101B-9397-08002B2CF9AE}" pid="4" name="LastSaved">
    <vt:filetime>2017-06-07T00:00:00Z</vt:filetime>
  </property>
</Properties>
</file>