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52"/>
      </w:tblGrid>
      <w:tr w:rsidR="008E7846" w:rsidRPr="00487162" w14:paraId="334C8C4C" w14:textId="77777777" w:rsidTr="00BF1190">
        <w:trPr>
          <w:trHeight w:val="1863"/>
        </w:trPr>
        <w:tc>
          <w:tcPr>
            <w:tcW w:w="3652" w:type="dxa"/>
            <w:tcBorders>
              <w:top w:val="nil"/>
              <w:left w:val="nil"/>
              <w:bottom w:val="nil"/>
              <w:right w:val="nil"/>
            </w:tcBorders>
          </w:tcPr>
          <w:p w14:paraId="7867704F" w14:textId="15958DBC" w:rsidR="008E7846" w:rsidRPr="00096AA7" w:rsidRDefault="00C74383" w:rsidP="00096AA7">
            <w:pPr>
              <w:rPr>
                <w:rFonts w:ascii="Arial" w:hAnsi="Arial" w:cs="Arial"/>
                <w:b/>
                <w:color w:val="002C47"/>
                <w:sz w:val="36"/>
                <w:szCs w:val="36"/>
              </w:rPr>
            </w:pPr>
            <w:bookmarkStart w:id="0" w:name="_GoBack"/>
            <w:bookmarkEnd w:id="0"/>
            <w:r>
              <w:rPr>
                <w:rFonts w:ascii="Arial" w:hAnsi="Arial" w:cs="Arial"/>
                <w:b/>
                <w:color w:val="002C47"/>
                <w:sz w:val="36"/>
                <w:szCs w:val="36"/>
              </w:rPr>
              <w:t>February 2020</w:t>
            </w:r>
          </w:p>
        </w:tc>
      </w:tr>
    </w:tbl>
    <w:tbl>
      <w:tblPr>
        <w:tblpPr w:leftFromText="180" w:rightFromText="180" w:vertAnchor="page" w:tblpY="3316"/>
        <w:tblW w:w="9079" w:type="dxa"/>
        <w:tblLayout w:type="fixed"/>
        <w:tblLook w:val="04A0" w:firstRow="1" w:lastRow="0" w:firstColumn="1" w:lastColumn="0" w:noHBand="0" w:noVBand="1"/>
      </w:tblPr>
      <w:tblGrid>
        <w:gridCol w:w="9079"/>
      </w:tblGrid>
      <w:tr w:rsidR="0032583B" w:rsidRPr="00A964D1" w14:paraId="49ACAB3E" w14:textId="77777777" w:rsidTr="0032583B">
        <w:trPr>
          <w:trHeight w:val="868"/>
        </w:trPr>
        <w:tc>
          <w:tcPr>
            <w:tcW w:w="9079" w:type="dxa"/>
          </w:tcPr>
          <w:p w14:paraId="1AAF145B" w14:textId="77777777" w:rsidR="0032583B" w:rsidRPr="00A964D1" w:rsidRDefault="0032583B" w:rsidP="005512C2">
            <w:pPr>
              <w:pStyle w:val="Title"/>
              <w:framePr w:hSpace="0" w:wrap="auto" w:vAnchor="margin" w:yAlign="inline"/>
            </w:pPr>
            <w:r w:rsidRPr="00A964D1">
              <w:t xml:space="preserve">Australian Public Assessment Report for </w:t>
            </w:r>
            <w:r w:rsidR="00AF2C86" w:rsidRPr="00AF2C86">
              <w:t>Mepolizumab</w:t>
            </w:r>
          </w:p>
        </w:tc>
      </w:tr>
      <w:tr w:rsidR="0032583B" w:rsidRPr="00B64760" w14:paraId="24FE450F" w14:textId="77777777" w:rsidTr="0032583B">
        <w:tc>
          <w:tcPr>
            <w:tcW w:w="9079" w:type="dxa"/>
          </w:tcPr>
          <w:p w14:paraId="00324E9B" w14:textId="77777777" w:rsidR="0032583B" w:rsidRPr="008E7846" w:rsidRDefault="0032583B" w:rsidP="005512C2">
            <w:pPr>
              <w:pStyle w:val="Subtitle"/>
              <w:framePr w:hSpace="0" w:wrap="auto" w:vAnchor="margin" w:yAlign="inline"/>
            </w:pPr>
            <w:r w:rsidRPr="008E7846">
              <w:t xml:space="preserve">Proprietary Product Name: </w:t>
            </w:r>
            <w:r w:rsidR="00AF2C86" w:rsidRPr="00AF2C86">
              <w:t>Nucala</w:t>
            </w:r>
          </w:p>
        </w:tc>
      </w:tr>
      <w:tr w:rsidR="0032583B" w:rsidRPr="00B64760" w14:paraId="6C274137" w14:textId="77777777" w:rsidTr="0032583B">
        <w:trPr>
          <w:trHeight w:val="486"/>
        </w:trPr>
        <w:tc>
          <w:tcPr>
            <w:tcW w:w="9079" w:type="dxa"/>
          </w:tcPr>
          <w:p w14:paraId="49AC257E" w14:textId="77777777" w:rsidR="0032583B" w:rsidRPr="008E7846" w:rsidRDefault="0032583B" w:rsidP="005512C2">
            <w:pPr>
              <w:pStyle w:val="Subtitle"/>
              <w:framePr w:hSpace="0" w:wrap="auto" w:vAnchor="margin" w:yAlign="inline"/>
            </w:pPr>
            <w:r w:rsidRPr="008E7846">
              <w:t xml:space="preserve">Sponsor: </w:t>
            </w:r>
            <w:r w:rsidR="00AF2C86" w:rsidRPr="00AF2C86">
              <w:t>GlaxoSmithKline Australia Pty Ltd</w:t>
            </w:r>
          </w:p>
        </w:tc>
      </w:tr>
    </w:tbl>
    <w:p w14:paraId="38FDD125" w14:textId="77777777" w:rsidR="008E7846" w:rsidRPr="0085156D" w:rsidRDefault="008E7846" w:rsidP="0085156D">
      <w:r w:rsidRPr="0085156D">
        <w:br w:type="page"/>
      </w:r>
    </w:p>
    <w:p w14:paraId="7C4D3D26" w14:textId="77777777" w:rsidR="008E7846" w:rsidRPr="001F6CBA" w:rsidRDefault="008E7846" w:rsidP="008E7846">
      <w:pPr>
        <w:pStyle w:val="NonTOCHeading2"/>
      </w:pPr>
      <w:r w:rsidRPr="001F6CBA">
        <w:lastRenderedPageBreak/>
        <w:t>About the Therapeutic Goods Administration (TGA)</w:t>
      </w:r>
    </w:p>
    <w:p w14:paraId="3A2FCA4C" w14:textId="77777777" w:rsidR="008E7846" w:rsidRDefault="008E7846" w:rsidP="005512C2">
      <w:pPr>
        <w:pStyle w:val="ListBullet"/>
      </w:pPr>
      <w:r>
        <w:t xml:space="preserve">The Therapeutic Goods Administration (TGA) is </w:t>
      </w:r>
      <w:r w:rsidR="00E624A5">
        <w:t xml:space="preserve">part </w:t>
      </w:r>
      <w:r>
        <w:t>of the Australian Government Department of Health and is responsible for regulating medicines and medical devices.</w:t>
      </w:r>
    </w:p>
    <w:p w14:paraId="5670AA3D" w14:textId="77777777" w:rsidR="008E7846" w:rsidRDefault="00C80137" w:rsidP="008E7846">
      <w:pPr>
        <w:pStyle w:val="ListBullet"/>
        <w:numPr>
          <w:ilvl w:val="0"/>
          <w:numId w:val="3"/>
        </w:numPr>
        <w:ind w:left="357" w:hanging="357"/>
      </w:pPr>
      <w:r>
        <w:t xml:space="preserve">The </w:t>
      </w:r>
      <w:r w:rsidR="008E7846">
        <w:t xml:space="preserve">TGA administers the </w:t>
      </w:r>
      <w:r w:rsidR="008E7846" w:rsidRPr="00F640B6">
        <w:rPr>
          <w:i/>
        </w:rPr>
        <w:t>Therapeutic Goods Act 1989</w:t>
      </w:r>
      <w:r w:rsidR="00785717">
        <w:rPr>
          <w:i/>
        </w:rPr>
        <w:t xml:space="preserve"> </w:t>
      </w:r>
      <w:r w:rsidR="00785717" w:rsidRPr="00785717">
        <w:t>(the Act)</w:t>
      </w:r>
      <w:r w:rsidR="008E7846" w:rsidRPr="00785717">
        <w:t>,</w:t>
      </w:r>
      <w:r w:rsidR="008E7846">
        <w:t xml:space="preserve"> applying a risk management approach designed to ensure therapeutic goods supplied in Australia meet acceptable standards of quality, safety and efficacy (performance) when necessary.</w:t>
      </w:r>
    </w:p>
    <w:p w14:paraId="3B3FBDD4" w14:textId="77777777" w:rsidR="008E7846" w:rsidRDefault="008E7846" w:rsidP="008E7846">
      <w:pPr>
        <w:pStyle w:val="ListBullet"/>
        <w:numPr>
          <w:ilvl w:val="0"/>
          <w:numId w:val="3"/>
        </w:numPr>
        <w:ind w:left="357" w:hanging="357"/>
      </w:pPr>
      <w:r>
        <w:t>The work of the TGA is based on applying scientific and clinical expertise to decision-making, to ensure that the benefits to consumers outweigh any risks associated with the use of medicines and medical devices.</w:t>
      </w:r>
    </w:p>
    <w:p w14:paraId="1762356D" w14:textId="77777777" w:rsidR="008E7846" w:rsidRDefault="008E7846" w:rsidP="008E7846">
      <w:pPr>
        <w:pStyle w:val="ListBullet"/>
        <w:numPr>
          <w:ilvl w:val="0"/>
          <w:numId w:val="3"/>
        </w:numPr>
        <w:ind w:left="357" w:hanging="357"/>
      </w:pPr>
      <w:r>
        <w:t>The TGA relies on the public, healthcare professionals and industry to report problems with medicines or medical devices. TGA investigates reports received by it to determine any necessary regulatory action.</w:t>
      </w:r>
    </w:p>
    <w:p w14:paraId="2DA84E0C" w14:textId="77777777" w:rsidR="00441C3F" w:rsidRDefault="008E7846" w:rsidP="00441C3F">
      <w:pPr>
        <w:pStyle w:val="ListBullet"/>
        <w:numPr>
          <w:ilvl w:val="0"/>
          <w:numId w:val="3"/>
        </w:numPr>
        <w:ind w:left="357" w:hanging="357"/>
      </w:pPr>
      <w:r>
        <w:t xml:space="preserve">To report a problem with a medicine or medical device, please see the information on </w:t>
      </w:r>
      <w:r w:rsidR="00441C3F">
        <w:t>the TGA website &lt;</w:t>
      </w:r>
      <w:hyperlink r:id="rId8" w:history="1">
        <w:r w:rsidR="00441C3F">
          <w:rPr>
            <w:rStyle w:val="Hyperlink"/>
          </w:rPr>
          <w:t>https://www.tga.gov.au</w:t>
        </w:r>
      </w:hyperlink>
      <w:r w:rsidR="00441C3F">
        <w:t>&gt;.</w:t>
      </w:r>
    </w:p>
    <w:p w14:paraId="2CC6E5B9" w14:textId="77777777" w:rsidR="008E7846" w:rsidRDefault="008E7846" w:rsidP="005512C2">
      <w:pPr>
        <w:pStyle w:val="NonTOCHeading2"/>
      </w:pPr>
      <w:r>
        <w:t>About AusPARs</w:t>
      </w:r>
    </w:p>
    <w:p w14:paraId="6567A8FF" w14:textId="77777777" w:rsidR="008E7846" w:rsidRDefault="008E7846" w:rsidP="008E7846">
      <w:pPr>
        <w:pStyle w:val="ListBullet"/>
        <w:numPr>
          <w:ilvl w:val="0"/>
          <w:numId w:val="3"/>
        </w:numPr>
        <w:ind w:left="357" w:hanging="357"/>
      </w:pPr>
      <w:r>
        <w:t>An Australian Public Assessment Re</w:t>
      </w:r>
      <w:r w:rsidR="00133A1B">
        <w:t>port</w:t>
      </w:r>
      <w:r>
        <w:t xml:space="preserve"> (AusPAR) provides information about the evaluation of a prescription medicine and the considerations that led the TGA to approve or not approve a pr</w:t>
      </w:r>
      <w:r w:rsidR="00441C3F">
        <w:t>escription medicine submission.</w:t>
      </w:r>
    </w:p>
    <w:p w14:paraId="54CB20B8" w14:textId="77777777" w:rsidR="008E7846" w:rsidRDefault="008E7846" w:rsidP="008E7846">
      <w:pPr>
        <w:pStyle w:val="ListBullet"/>
        <w:numPr>
          <w:ilvl w:val="0"/>
          <w:numId w:val="3"/>
        </w:numPr>
        <w:ind w:left="357" w:hanging="357"/>
      </w:pPr>
      <w:r>
        <w:t>AusPARs are prepared and published by the TGA.</w:t>
      </w:r>
    </w:p>
    <w:p w14:paraId="0FB303C5" w14:textId="77777777" w:rsidR="008E7846" w:rsidRDefault="008E7846" w:rsidP="008E7846">
      <w:pPr>
        <w:pStyle w:val="ListBullet"/>
        <w:numPr>
          <w:ilvl w:val="0"/>
          <w:numId w:val="3"/>
        </w:numPr>
        <w:ind w:left="357" w:hanging="357"/>
      </w:pPr>
      <w:r>
        <w:t>An AusPAR is prepared for submissions that relate to new chemical entities, generic medicines, major variations and extensions of indications.</w:t>
      </w:r>
    </w:p>
    <w:p w14:paraId="61A456A2" w14:textId="77777777" w:rsidR="008E7846" w:rsidRDefault="008E7846" w:rsidP="008E7846">
      <w:pPr>
        <w:pStyle w:val="ListBullet"/>
        <w:numPr>
          <w:ilvl w:val="0"/>
          <w:numId w:val="3"/>
        </w:numPr>
        <w:ind w:left="357" w:hanging="357"/>
      </w:pPr>
      <w:r>
        <w:t>An AusPAR is a static document</w:t>
      </w:r>
      <w:r w:rsidR="00133A1B">
        <w:t>;</w:t>
      </w:r>
      <w:r>
        <w:t xml:space="preserve"> it provide</w:t>
      </w:r>
      <w:r w:rsidR="00133A1B">
        <w:t>s</w:t>
      </w:r>
      <w:r>
        <w:t xml:space="preserve"> information that relates to a submission at a particular point in time.</w:t>
      </w:r>
    </w:p>
    <w:p w14:paraId="789C7C49" w14:textId="77777777" w:rsidR="00B452CE" w:rsidRDefault="008E7846" w:rsidP="005512C2">
      <w:pPr>
        <w:pStyle w:val="ListBullet"/>
      </w:pPr>
      <w:r>
        <w:t>A new AusPAR will be developed to reflect changes to indications and/or major variations to a prescription medicine subject to evaluation by the TGA.</w:t>
      </w:r>
    </w:p>
    <w:p w14:paraId="2658EAE4" w14:textId="77777777" w:rsidR="00924482" w:rsidRPr="00DF1D7F" w:rsidRDefault="00924482" w:rsidP="00F54B65">
      <w:pPr>
        <w:pStyle w:val="LegalSubheading"/>
        <w:spacing w:before="3120"/>
      </w:pPr>
      <w:r w:rsidRPr="00DF1D7F">
        <w:t>Copyright</w:t>
      </w:r>
    </w:p>
    <w:p w14:paraId="3C37F5BC" w14:textId="2D1A1329" w:rsidR="00924482" w:rsidRDefault="00924482" w:rsidP="00924482">
      <w:pPr>
        <w:pStyle w:val="LegalCopy"/>
      </w:pPr>
      <w:r w:rsidRPr="00191B3B">
        <w:rPr>
          <w:rFonts w:cs="Arial"/>
          <w:lang w:val="en-GB"/>
        </w:rPr>
        <w:t>© Comm</w:t>
      </w:r>
      <w:r>
        <w:rPr>
          <w:rFonts w:cs="Arial"/>
          <w:lang w:val="en-GB"/>
        </w:rPr>
        <w:t>onwealth of Australia 20</w:t>
      </w:r>
      <w:r w:rsidR="00E26AAB">
        <w:rPr>
          <w:rFonts w:cs="Arial"/>
          <w:lang w:val="en-GB"/>
        </w:rPr>
        <w:t>20</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&lt;</w:t>
      </w:r>
      <w:hyperlink r:id="rId9" w:history="1">
        <w:r w:rsidRPr="00191B3B">
          <w:rPr>
            <w:rStyle w:val="Hyperlink"/>
            <w:rFonts w:cs="Arial"/>
            <w:lang w:val="en-GB"/>
          </w:rPr>
          <w:t>tga.copyright@tga.gov.au</w:t>
        </w:r>
      </w:hyperlink>
      <w:r w:rsidRPr="00191B3B">
        <w:rPr>
          <w:rFonts w:cs="Arial"/>
        </w:rPr>
        <w:t>&gt;.</w:t>
      </w:r>
    </w:p>
    <w:p w14:paraId="49DAFD05" w14:textId="77777777" w:rsidR="00924482" w:rsidRDefault="00924482" w:rsidP="00924482">
      <w:pPr>
        <w:pStyle w:val="LegalCopy"/>
        <w:sectPr w:rsidR="00924482" w:rsidSect="003D1E62">
          <w:headerReference w:type="default" r:id="rId10"/>
          <w:footerReference w:type="default" r:id="rId11"/>
          <w:headerReference w:type="first" r:id="rId12"/>
          <w:pgSz w:w="11906" w:h="16838" w:code="9"/>
          <w:pgMar w:top="426" w:right="1701" w:bottom="0" w:left="1701" w:header="907" w:footer="142" w:gutter="0"/>
          <w:pgNumType w:fmt="lowerRoman" w:start="1"/>
          <w:cols w:space="708"/>
          <w:titlePg/>
          <w:docGrid w:linePitch="360"/>
        </w:sectPr>
      </w:pPr>
    </w:p>
    <w:bookmarkStart w:id="1" w:name="_Toc247691501" w:displacedByCustomXml="next"/>
    <w:bookmarkStart w:id="2" w:name="_Toc196046425" w:displacedByCustomXml="next"/>
    <w:sdt>
      <w:sdtPr>
        <w:rPr>
          <w:rFonts w:ascii="Cambria" w:hAnsi="Cambria"/>
          <w:b w:val="0"/>
          <w:bCs/>
          <w:sz w:val="22"/>
        </w:rPr>
        <w:id w:val="5618007"/>
        <w:docPartObj>
          <w:docPartGallery w:val="Table of Contents"/>
          <w:docPartUnique/>
        </w:docPartObj>
      </w:sdtPr>
      <w:sdtEndPr>
        <w:rPr>
          <w:b/>
          <w:bCs w:val="0"/>
          <w:sz w:val="25"/>
        </w:rPr>
      </w:sdtEndPr>
      <w:sdtContent>
        <w:p w14:paraId="71298CD8" w14:textId="77777777" w:rsidR="0089635C" w:rsidRPr="0089635C" w:rsidRDefault="0089635C" w:rsidP="0010788A">
          <w:pPr>
            <w:pStyle w:val="Contents"/>
          </w:pPr>
          <w:r w:rsidRPr="0010788A">
            <w:t>Contents</w:t>
          </w:r>
        </w:p>
        <w:p w14:paraId="7B90F6F6" w14:textId="6FDEBBE3" w:rsidR="0066247B" w:rsidRDefault="00960520">
          <w:pPr>
            <w:pStyle w:val="TOC2"/>
            <w:rPr>
              <w:rFonts w:asciiTheme="minorHAnsi" w:eastAsiaTheme="minorEastAsia" w:hAnsiTheme="minorHAnsi" w:cstheme="minorBidi"/>
              <w:b w:val="0"/>
              <w:noProof/>
              <w:sz w:val="22"/>
              <w:lang w:eastAsia="en-AU"/>
            </w:rPr>
          </w:pPr>
          <w:r>
            <w:fldChar w:fldCharType="begin"/>
          </w:r>
          <w:r>
            <w:instrText xml:space="preserve"> TOC \o "3-3" \h \z \t "Heading 1,1,Heading 2,2" </w:instrText>
          </w:r>
          <w:r>
            <w:fldChar w:fldCharType="separate"/>
          </w:r>
          <w:hyperlink w:anchor="_Toc32941685" w:history="1">
            <w:r w:rsidR="0066247B" w:rsidRPr="00D234FE">
              <w:rPr>
                <w:rStyle w:val="Hyperlink"/>
                <w:noProof/>
              </w:rPr>
              <w:t>Common abbreviations</w:t>
            </w:r>
            <w:r w:rsidR="0066247B">
              <w:rPr>
                <w:noProof/>
                <w:webHidden/>
              </w:rPr>
              <w:tab/>
            </w:r>
            <w:r w:rsidR="0066247B">
              <w:rPr>
                <w:noProof/>
                <w:webHidden/>
              </w:rPr>
              <w:fldChar w:fldCharType="begin"/>
            </w:r>
            <w:r w:rsidR="0066247B">
              <w:rPr>
                <w:noProof/>
                <w:webHidden/>
              </w:rPr>
              <w:instrText xml:space="preserve"> PAGEREF _Toc32941685 \h </w:instrText>
            </w:r>
            <w:r w:rsidR="0066247B">
              <w:rPr>
                <w:noProof/>
                <w:webHidden/>
              </w:rPr>
            </w:r>
            <w:r w:rsidR="0066247B">
              <w:rPr>
                <w:noProof/>
                <w:webHidden/>
              </w:rPr>
              <w:fldChar w:fldCharType="separate"/>
            </w:r>
            <w:r w:rsidR="0066247B">
              <w:rPr>
                <w:noProof/>
                <w:webHidden/>
              </w:rPr>
              <w:t>4</w:t>
            </w:r>
            <w:r w:rsidR="0066247B">
              <w:rPr>
                <w:noProof/>
                <w:webHidden/>
              </w:rPr>
              <w:fldChar w:fldCharType="end"/>
            </w:r>
          </w:hyperlink>
        </w:p>
        <w:p w14:paraId="035F3F3F" w14:textId="44F79FE0" w:rsidR="0066247B" w:rsidRDefault="006F6AF8">
          <w:pPr>
            <w:pStyle w:val="TOC2"/>
            <w:rPr>
              <w:rFonts w:asciiTheme="minorHAnsi" w:eastAsiaTheme="minorEastAsia" w:hAnsiTheme="minorHAnsi" w:cstheme="minorBidi"/>
              <w:b w:val="0"/>
              <w:noProof/>
              <w:sz w:val="22"/>
              <w:lang w:eastAsia="en-AU"/>
            </w:rPr>
          </w:pPr>
          <w:hyperlink w:anchor="_Toc32941686" w:history="1">
            <w:r w:rsidR="0066247B" w:rsidRPr="00D234FE">
              <w:rPr>
                <w:rStyle w:val="Hyperlink"/>
                <w:noProof/>
              </w:rPr>
              <w:t>I. Introduction to product submission</w:t>
            </w:r>
            <w:r w:rsidR="0066247B">
              <w:rPr>
                <w:noProof/>
                <w:webHidden/>
              </w:rPr>
              <w:tab/>
            </w:r>
            <w:r w:rsidR="0066247B">
              <w:rPr>
                <w:noProof/>
                <w:webHidden/>
              </w:rPr>
              <w:fldChar w:fldCharType="begin"/>
            </w:r>
            <w:r w:rsidR="0066247B">
              <w:rPr>
                <w:noProof/>
                <w:webHidden/>
              </w:rPr>
              <w:instrText xml:space="preserve"> PAGEREF _Toc32941686 \h </w:instrText>
            </w:r>
            <w:r w:rsidR="0066247B">
              <w:rPr>
                <w:noProof/>
                <w:webHidden/>
              </w:rPr>
            </w:r>
            <w:r w:rsidR="0066247B">
              <w:rPr>
                <w:noProof/>
                <w:webHidden/>
              </w:rPr>
              <w:fldChar w:fldCharType="separate"/>
            </w:r>
            <w:r w:rsidR="0066247B">
              <w:rPr>
                <w:noProof/>
                <w:webHidden/>
              </w:rPr>
              <w:t>6</w:t>
            </w:r>
            <w:r w:rsidR="0066247B">
              <w:rPr>
                <w:noProof/>
                <w:webHidden/>
              </w:rPr>
              <w:fldChar w:fldCharType="end"/>
            </w:r>
          </w:hyperlink>
        </w:p>
        <w:p w14:paraId="7809FB5F" w14:textId="1B74C470" w:rsidR="0066247B" w:rsidRDefault="006F6AF8">
          <w:pPr>
            <w:pStyle w:val="TOC3"/>
            <w:rPr>
              <w:rFonts w:asciiTheme="minorHAnsi" w:eastAsiaTheme="minorEastAsia" w:hAnsiTheme="minorHAnsi" w:cstheme="minorBidi"/>
              <w:noProof/>
              <w:lang w:eastAsia="en-AU"/>
            </w:rPr>
          </w:pPr>
          <w:hyperlink w:anchor="_Toc32941687" w:history="1">
            <w:r w:rsidR="0066247B" w:rsidRPr="00D234FE">
              <w:rPr>
                <w:rStyle w:val="Hyperlink"/>
                <w:noProof/>
                <w:lang w:eastAsia="en-AU"/>
              </w:rPr>
              <w:t>Submission details</w:t>
            </w:r>
            <w:r w:rsidR="0066247B">
              <w:rPr>
                <w:noProof/>
                <w:webHidden/>
              </w:rPr>
              <w:tab/>
            </w:r>
            <w:r w:rsidR="0066247B">
              <w:rPr>
                <w:noProof/>
                <w:webHidden/>
              </w:rPr>
              <w:fldChar w:fldCharType="begin"/>
            </w:r>
            <w:r w:rsidR="0066247B">
              <w:rPr>
                <w:noProof/>
                <w:webHidden/>
              </w:rPr>
              <w:instrText xml:space="preserve"> PAGEREF _Toc32941687 \h </w:instrText>
            </w:r>
            <w:r w:rsidR="0066247B">
              <w:rPr>
                <w:noProof/>
                <w:webHidden/>
              </w:rPr>
            </w:r>
            <w:r w:rsidR="0066247B">
              <w:rPr>
                <w:noProof/>
                <w:webHidden/>
              </w:rPr>
              <w:fldChar w:fldCharType="separate"/>
            </w:r>
            <w:r w:rsidR="0066247B">
              <w:rPr>
                <w:noProof/>
                <w:webHidden/>
              </w:rPr>
              <w:t>6</w:t>
            </w:r>
            <w:r w:rsidR="0066247B">
              <w:rPr>
                <w:noProof/>
                <w:webHidden/>
              </w:rPr>
              <w:fldChar w:fldCharType="end"/>
            </w:r>
          </w:hyperlink>
        </w:p>
        <w:p w14:paraId="31FD6126" w14:textId="522169AF" w:rsidR="0066247B" w:rsidRDefault="006F6AF8">
          <w:pPr>
            <w:pStyle w:val="TOC3"/>
            <w:rPr>
              <w:rFonts w:asciiTheme="minorHAnsi" w:eastAsiaTheme="minorEastAsia" w:hAnsiTheme="minorHAnsi" w:cstheme="minorBidi"/>
              <w:noProof/>
              <w:lang w:eastAsia="en-AU"/>
            </w:rPr>
          </w:pPr>
          <w:hyperlink w:anchor="_Toc32941688" w:history="1">
            <w:r w:rsidR="0066247B" w:rsidRPr="00D234FE">
              <w:rPr>
                <w:rStyle w:val="Hyperlink"/>
                <w:noProof/>
              </w:rPr>
              <w:t>Product background</w:t>
            </w:r>
            <w:r w:rsidR="0066247B">
              <w:rPr>
                <w:noProof/>
                <w:webHidden/>
              </w:rPr>
              <w:tab/>
            </w:r>
            <w:r w:rsidR="0066247B">
              <w:rPr>
                <w:noProof/>
                <w:webHidden/>
              </w:rPr>
              <w:fldChar w:fldCharType="begin"/>
            </w:r>
            <w:r w:rsidR="0066247B">
              <w:rPr>
                <w:noProof/>
                <w:webHidden/>
              </w:rPr>
              <w:instrText xml:space="preserve"> PAGEREF _Toc32941688 \h </w:instrText>
            </w:r>
            <w:r w:rsidR="0066247B">
              <w:rPr>
                <w:noProof/>
                <w:webHidden/>
              </w:rPr>
            </w:r>
            <w:r w:rsidR="0066247B">
              <w:rPr>
                <w:noProof/>
                <w:webHidden/>
              </w:rPr>
              <w:fldChar w:fldCharType="separate"/>
            </w:r>
            <w:r w:rsidR="0066247B">
              <w:rPr>
                <w:noProof/>
                <w:webHidden/>
              </w:rPr>
              <w:t>7</w:t>
            </w:r>
            <w:r w:rsidR="0066247B">
              <w:rPr>
                <w:noProof/>
                <w:webHidden/>
              </w:rPr>
              <w:fldChar w:fldCharType="end"/>
            </w:r>
          </w:hyperlink>
        </w:p>
        <w:p w14:paraId="6084CF89" w14:textId="41AFBF2D" w:rsidR="0066247B" w:rsidRDefault="006F6AF8">
          <w:pPr>
            <w:pStyle w:val="TOC3"/>
            <w:rPr>
              <w:rFonts w:asciiTheme="minorHAnsi" w:eastAsiaTheme="minorEastAsia" w:hAnsiTheme="minorHAnsi" w:cstheme="minorBidi"/>
              <w:noProof/>
              <w:lang w:eastAsia="en-AU"/>
            </w:rPr>
          </w:pPr>
          <w:hyperlink w:anchor="_Toc32941689" w:history="1">
            <w:r w:rsidR="0066247B" w:rsidRPr="00D234FE">
              <w:rPr>
                <w:rStyle w:val="Hyperlink"/>
                <w:noProof/>
              </w:rPr>
              <w:t>Regulatory status</w:t>
            </w:r>
            <w:r w:rsidR="0066247B">
              <w:rPr>
                <w:noProof/>
                <w:webHidden/>
              </w:rPr>
              <w:tab/>
            </w:r>
            <w:r w:rsidR="0066247B">
              <w:rPr>
                <w:noProof/>
                <w:webHidden/>
              </w:rPr>
              <w:fldChar w:fldCharType="begin"/>
            </w:r>
            <w:r w:rsidR="0066247B">
              <w:rPr>
                <w:noProof/>
                <w:webHidden/>
              </w:rPr>
              <w:instrText xml:space="preserve"> PAGEREF _Toc32941689 \h </w:instrText>
            </w:r>
            <w:r w:rsidR="0066247B">
              <w:rPr>
                <w:noProof/>
                <w:webHidden/>
              </w:rPr>
            </w:r>
            <w:r w:rsidR="0066247B">
              <w:rPr>
                <w:noProof/>
                <w:webHidden/>
              </w:rPr>
              <w:fldChar w:fldCharType="separate"/>
            </w:r>
            <w:r w:rsidR="0066247B">
              <w:rPr>
                <w:noProof/>
                <w:webHidden/>
              </w:rPr>
              <w:t>8</w:t>
            </w:r>
            <w:r w:rsidR="0066247B">
              <w:rPr>
                <w:noProof/>
                <w:webHidden/>
              </w:rPr>
              <w:fldChar w:fldCharType="end"/>
            </w:r>
          </w:hyperlink>
        </w:p>
        <w:p w14:paraId="621AA7B7" w14:textId="4C627C0A" w:rsidR="0066247B" w:rsidRDefault="006F6AF8">
          <w:pPr>
            <w:pStyle w:val="TOC2"/>
            <w:rPr>
              <w:rFonts w:asciiTheme="minorHAnsi" w:eastAsiaTheme="minorEastAsia" w:hAnsiTheme="minorHAnsi" w:cstheme="minorBidi"/>
              <w:b w:val="0"/>
              <w:noProof/>
              <w:sz w:val="22"/>
              <w:lang w:eastAsia="en-AU"/>
            </w:rPr>
          </w:pPr>
          <w:hyperlink w:anchor="_Toc32941690" w:history="1">
            <w:r w:rsidR="0066247B" w:rsidRPr="00D234FE">
              <w:rPr>
                <w:rStyle w:val="Hyperlink"/>
                <w:noProof/>
              </w:rPr>
              <w:t>II. Registration timeline</w:t>
            </w:r>
            <w:r w:rsidR="0066247B">
              <w:rPr>
                <w:noProof/>
                <w:webHidden/>
              </w:rPr>
              <w:tab/>
            </w:r>
            <w:r w:rsidR="0066247B">
              <w:rPr>
                <w:noProof/>
                <w:webHidden/>
              </w:rPr>
              <w:fldChar w:fldCharType="begin"/>
            </w:r>
            <w:r w:rsidR="0066247B">
              <w:rPr>
                <w:noProof/>
                <w:webHidden/>
              </w:rPr>
              <w:instrText xml:space="preserve"> PAGEREF _Toc32941690 \h </w:instrText>
            </w:r>
            <w:r w:rsidR="0066247B">
              <w:rPr>
                <w:noProof/>
                <w:webHidden/>
              </w:rPr>
            </w:r>
            <w:r w:rsidR="0066247B">
              <w:rPr>
                <w:noProof/>
                <w:webHidden/>
              </w:rPr>
              <w:fldChar w:fldCharType="separate"/>
            </w:r>
            <w:r w:rsidR="0066247B">
              <w:rPr>
                <w:noProof/>
                <w:webHidden/>
              </w:rPr>
              <w:t>9</w:t>
            </w:r>
            <w:r w:rsidR="0066247B">
              <w:rPr>
                <w:noProof/>
                <w:webHidden/>
              </w:rPr>
              <w:fldChar w:fldCharType="end"/>
            </w:r>
          </w:hyperlink>
        </w:p>
        <w:p w14:paraId="33A0F55E" w14:textId="41FE1507" w:rsidR="0066247B" w:rsidRDefault="006F6AF8">
          <w:pPr>
            <w:pStyle w:val="TOC2"/>
            <w:rPr>
              <w:rFonts w:asciiTheme="minorHAnsi" w:eastAsiaTheme="minorEastAsia" w:hAnsiTheme="minorHAnsi" w:cstheme="minorBidi"/>
              <w:b w:val="0"/>
              <w:noProof/>
              <w:sz w:val="22"/>
              <w:lang w:eastAsia="en-AU"/>
            </w:rPr>
          </w:pPr>
          <w:hyperlink w:anchor="_Toc32941691" w:history="1">
            <w:r w:rsidR="0066247B" w:rsidRPr="00D234FE">
              <w:rPr>
                <w:rStyle w:val="Hyperlink"/>
                <w:noProof/>
              </w:rPr>
              <w:t>III. Submission overview and risk/benefit assessment</w:t>
            </w:r>
            <w:r w:rsidR="0066247B">
              <w:rPr>
                <w:noProof/>
                <w:webHidden/>
              </w:rPr>
              <w:tab/>
            </w:r>
            <w:r w:rsidR="0066247B">
              <w:rPr>
                <w:noProof/>
                <w:webHidden/>
              </w:rPr>
              <w:fldChar w:fldCharType="begin"/>
            </w:r>
            <w:r w:rsidR="0066247B">
              <w:rPr>
                <w:noProof/>
                <w:webHidden/>
              </w:rPr>
              <w:instrText xml:space="preserve"> PAGEREF _Toc32941691 \h </w:instrText>
            </w:r>
            <w:r w:rsidR="0066247B">
              <w:rPr>
                <w:noProof/>
                <w:webHidden/>
              </w:rPr>
            </w:r>
            <w:r w:rsidR="0066247B">
              <w:rPr>
                <w:noProof/>
                <w:webHidden/>
              </w:rPr>
              <w:fldChar w:fldCharType="separate"/>
            </w:r>
            <w:r w:rsidR="0066247B">
              <w:rPr>
                <w:noProof/>
                <w:webHidden/>
              </w:rPr>
              <w:t>10</w:t>
            </w:r>
            <w:r w:rsidR="0066247B">
              <w:rPr>
                <w:noProof/>
                <w:webHidden/>
              </w:rPr>
              <w:fldChar w:fldCharType="end"/>
            </w:r>
          </w:hyperlink>
        </w:p>
        <w:p w14:paraId="40F1E17A" w14:textId="1116166C" w:rsidR="0066247B" w:rsidRDefault="006F6AF8">
          <w:pPr>
            <w:pStyle w:val="TOC3"/>
            <w:rPr>
              <w:rFonts w:asciiTheme="minorHAnsi" w:eastAsiaTheme="minorEastAsia" w:hAnsiTheme="minorHAnsi" w:cstheme="minorBidi"/>
              <w:noProof/>
              <w:lang w:eastAsia="en-AU"/>
            </w:rPr>
          </w:pPr>
          <w:hyperlink w:anchor="_Toc32941692" w:history="1">
            <w:r w:rsidR="0066247B" w:rsidRPr="00D234FE">
              <w:rPr>
                <w:rStyle w:val="Hyperlink"/>
                <w:noProof/>
              </w:rPr>
              <w:t>Quality</w:t>
            </w:r>
            <w:r w:rsidR="0066247B">
              <w:rPr>
                <w:noProof/>
                <w:webHidden/>
              </w:rPr>
              <w:tab/>
            </w:r>
            <w:r w:rsidR="0066247B">
              <w:rPr>
                <w:noProof/>
                <w:webHidden/>
              </w:rPr>
              <w:fldChar w:fldCharType="begin"/>
            </w:r>
            <w:r w:rsidR="0066247B">
              <w:rPr>
                <w:noProof/>
                <w:webHidden/>
              </w:rPr>
              <w:instrText xml:space="preserve"> PAGEREF _Toc32941692 \h </w:instrText>
            </w:r>
            <w:r w:rsidR="0066247B">
              <w:rPr>
                <w:noProof/>
                <w:webHidden/>
              </w:rPr>
            </w:r>
            <w:r w:rsidR="0066247B">
              <w:rPr>
                <w:noProof/>
                <w:webHidden/>
              </w:rPr>
              <w:fldChar w:fldCharType="separate"/>
            </w:r>
            <w:r w:rsidR="0066247B">
              <w:rPr>
                <w:noProof/>
                <w:webHidden/>
              </w:rPr>
              <w:t>10</w:t>
            </w:r>
            <w:r w:rsidR="0066247B">
              <w:rPr>
                <w:noProof/>
                <w:webHidden/>
              </w:rPr>
              <w:fldChar w:fldCharType="end"/>
            </w:r>
          </w:hyperlink>
        </w:p>
        <w:p w14:paraId="1A63E65B" w14:textId="79D9E616" w:rsidR="0066247B" w:rsidRDefault="006F6AF8">
          <w:pPr>
            <w:pStyle w:val="TOC3"/>
            <w:rPr>
              <w:rFonts w:asciiTheme="minorHAnsi" w:eastAsiaTheme="minorEastAsia" w:hAnsiTheme="minorHAnsi" w:cstheme="minorBidi"/>
              <w:noProof/>
              <w:lang w:eastAsia="en-AU"/>
            </w:rPr>
          </w:pPr>
          <w:hyperlink w:anchor="_Toc32941693" w:history="1">
            <w:r w:rsidR="0066247B" w:rsidRPr="00D234FE">
              <w:rPr>
                <w:rStyle w:val="Hyperlink"/>
                <w:noProof/>
              </w:rPr>
              <w:t>Nonclinical</w:t>
            </w:r>
            <w:r w:rsidR="0066247B">
              <w:rPr>
                <w:noProof/>
                <w:webHidden/>
              </w:rPr>
              <w:tab/>
            </w:r>
            <w:r w:rsidR="0066247B">
              <w:rPr>
                <w:noProof/>
                <w:webHidden/>
              </w:rPr>
              <w:fldChar w:fldCharType="begin"/>
            </w:r>
            <w:r w:rsidR="0066247B">
              <w:rPr>
                <w:noProof/>
                <w:webHidden/>
              </w:rPr>
              <w:instrText xml:space="preserve"> PAGEREF _Toc32941693 \h </w:instrText>
            </w:r>
            <w:r w:rsidR="0066247B">
              <w:rPr>
                <w:noProof/>
                <w:webHidden/>
              </w:rPr>
            </w:r>
            <w:r w:rsidR="0066247B">
              <w:rPr>
                <w:noProof/>
                <w:webHidden/>
              </w:rPr>
              <w:fldChar w:fldCharType="separate"/>
            </w:r>
            <w:r w:rsidR="0066247B">
              <w:rPr>
                <w:noProof/>
                <w:webHidden/>
              </w:rPr>
              <w:t>10</w:t>
            </w:r>
            <w:r w:rsidR="0066247B">
              <w:rPr>
                <w:noProof/>
                <w:webHidden/>
              </w:rPr>
              <w:fldChar w:fldCharType="end"/>
            </w:r>
          </w:hyperlink>
        </w:p>
        <w:p w14:paraId="0588ED28" w14:textId="5B8B71CB" w:rsidR="0066247B" w:rsidRDefault="006F6AF8">
          <w:pPr>
            <w:pStyle w:val="TOC3"/>
            <w:rPr>
              <w:rFonts w:asciiTheme="minorHAnsi" w:eastAsiaTheme="minorEastAsia" w:hAnsiTheme="minorHAnsi" w:cstheme="minorBidi"/>
              <w:noProof/>
              <w:lang w:eastAsia="en-AU"/>
            </w:rPr>
          </w:pPr>
          <w:hyperlink w:anchor="_Toc32941694" w:history="1">
            <w:r w:rsidR="0066247B" w:rsidRPr="00D234FE">
              <w:rPr>
                <w:rStyle w:val="Hyperlink"/>
                <w:noProof/>
              </w:rPr>
              <w:t>Clinical</w:t>
            </w:r>
            <w:r w:rsidR="0066247B">
              <w:rPr>
                <w:noProof/>
                <w:webHidden/>
              </w:rPr>
              <w:tab/>
            </w:r>
            <w:r w:rsidR="0066247B">
              <w:rPr>
                <w:noProof/>
                <w:webHidden/>
              </w:rPr>
              <w:fldChar w:fldCharType="begin"/>
            </w:r>
            <w:r w:rsidR="0066247B">
              <w:rPr>
                <w:noProof/>
                <w:webHidden/>
              </w:rPr>
              <w:instrText xml:space="preserve"> PAGEREF _Toc32941694 \h </w:instrText>
            </w:r>
            <w:r w:rsidR="0066247B">
              <w:rPr>
                <w:noProof/>
                <w:webHidden/>
              </w:rPr>
            </w:r>
            <w:r w:rsidR="0066247B">
              <w:rPr>
                <w:noProof/>
                <w:webHidden/>
              </w:rPr>
              <w:fldChar w:fldCharType="separate"/>
            </w:r>
            <w:r w:rsidR="0066247B">
              <w:rPr>
                <w:noProof/>
                <w:webHidden/>
              </w:rPr>
              <w:t>10</w:t>
            </w:r>
            <w:r w:rsidR="0066247B">
              <w:rPr>
                <w:noProof/>
                <w:webHidden/>
              </w:rPr>
              <w:fldChar w:fldCharType="end"/>
            </w:r>
          </w:hyperlink>
        </w:p>
        <w:p w14:paraId="70FEBE91" w14:textId="07A85338" w:rsidR="0066247B" w:rsidRDefault="006F6AF8">
          <w:pPr>
            <w:pStyle w:val="TOC3"/>
            <w:rPr>
              <w:rFonts w:asciiTheme="minorHAnsi" w:eastAsiaTheme="minorEastAsia" w:hAnsiTheme="minorHAnsi" w:cstheme="minorBidi"/>
              <w:noProof/>
              <w:lang w:eastAsia="en-AU"/>
            </w:rPr>
          </w:pPr>
          <w:hyperlink w:anchor="_Toc32941695" w:history="1">
            <w:r w:rsidR="0066247B" w:rsidRPr="00D234FE">
              <w:rPr>
                <w:rStyle w:val="Hyperlink"/>
                <w:noProof/>
                <w:lang w:eastAsia="en-AU"/>
              </w:rPr>
              <w:t>Risk management plan</w:t>
            </w:r>
            <w:r w:rsidR="0066247B">
              <w:rPr>
                <w:noProof/>
                <w:webHidden/>
              </w:rPr>
              <w:tab/>
            </w:r>
            <w:r w:rsidR="0066247B">
              <w:rPr>
                <w:noProof/>
                <w:webHidden/>
              </w:rPr>
              <w:fldChar w:fldCharType="begin"/>
            </w:r>
            <w:r w:rsidR="0066247B">
              <w:rPr>
                <w:noProof/>
                <w:webHidden/>
              </w:rPr>
              <w:instrText xml:space="preserve"> PAGEREF _Toc32941695 \h </w:instrText>
            </w:r>
            <w:r w:rsidR="0066247B">
              <w:rPr>
                <w:noProof/>
                <w:webHidden/>
              </w:rPr>
            </w:r>
            <w:r w:rsidR="0066247B">
              <w:rPr>
                <w:noProof/>
                <w:webHidden/>
              </w:rPr>
              <w:fldChar w:fldCharType="separate"/>
            </w:r>
            <w:r w:rsidR="0066247B">
              <w:rPr>
                <w:noProof/>
                <w:webHidden/>
              </w:rPr>
              <w:t>14</w:t>
            </w:r>
            <w:r w:rsidR="0066247B">
              <w:rPr>
                <w:noProof/>
                <w:webHidden/>
              </w:rPr>
              <w:fldChar w:fldCharType="end"/>
            </w:r>
          </w:hyperlink>
        </w:p>
        <w:p w14:paraId="77E1B2DD" w14:textId="3815F60F" w:rsidR="0066247B" w:rsidRDefault="006F6AF8">
          <w:pPr>
            <w:pStyle w:val="TOC3"/>
            <w:rPr>
              <w:rFonts w:asciiTheme="minorHAnsi" w:eastAsiaTheme="minorEastAsia" w:hAnsiTheme="minorHAnsi" w:cstheme="minorBidi"/>
              <w:noProof/>
              <w:lang w:eastAsia="en-AU"/>
            </w:rPr>
          </w:pPr>
          <w:hyperlink w:anchor="_Toc32941696" w:history="1">
            <w:r w:rsidR="0066247B" w:rsidRPr="00D234FE">
              <w:rPr>
                <w:rStyle w:val="Hyperlink"/>
                <w:noProof/>
              </w:rPr>
              <w:t>Risk-benefit analysis</w:t>
            </w:r>
            <w:r w:rsidR="0066247B">
              <w:rPr>
                <w:noProof/>
                <w:webHidden/>
              </w:rPr>
              <w:tab/>
            </w:r>
            <w:r w:rsidR="0066247B">
              <w:rPr>
                <w:noProof/>
                <w:webHidden/>
              </w:rPr>
              <w:fldChar w:fldCharType="begin"/>
            </w:r>
            <w:r w:rsidR="0066247B">
              <w:rPr>
                <w:noProof/>
                <w:webHidden/>
              </w:rPr>
              <w:instrText xml:space="preserve"> PAGEREF _Toc32941696 \h </w:instrText>
            </w:r>
            <w:r w:rsidR="0066247B">
              <w:rPr>
                <w:noProof/>
                <w:webHidden/>
              </w:rPr>
            </w:r>
            <w:r w:rsidR="0066247B">
              <w:rPr>
                <w:noProof/>
                <w:webHidden/>
              </w:rPr>
              <w:fldChar w:fldCharType="separate"/>
            </w:r>
            <w:r w:rsidR="0066247B">
              <w:rPr>
                <w:noProof/>
                <w:webHidden/>
              </w:rPr>
              <w:t>14</w:t>
            </w:r>
            <w:r w:rsidR="0066247B">
              <w:rPr>
                <w:noProof/>
                <w:webHidden/>
              </w:rPr>
              <w:fldChar w:fldCharType="end"/>
            </w:r>
          </w:hyperlink>
        </w:p>
        <w:p w14:paraId="2897C199" w14:textId="05BECA41" w:rsidR="0066247B" w:rsidRDefault="006F6AF8">
          <w:pPr>
            <w:pStyle w:val="TOC3"/>
            <w:rPr>
              <w:rFonts w:asciiTheme="minorHAnsi" w:eastAsiaTheme="minorEastAsia" w:hAnsiTheme="minorHAnsi" w:cstheme="minorBidi"/>
              <w:noProof/>
              <w:lang w:eastAsia="en-AU"/>
            </w:rPr>
          </w:pPr>
          <w:hyperlink w:anchor="_Toc32941697" w:history="1">
            <w:r w:rsidR="0066247B" w:rsidRPr="00D234FE">
              <w:rPr>
                <w:rStyle w:val="Hyperlink"/>
                <w:noProof/>
              </w:rPr>
              <w:t>Outcome</w:t>
            </w:r>
            <w:r w:rsidR="0066247B">
              <w:rPr>
                <w:noProof/>
                <w:webHidden/>
              </w:rPr>
              <w:tab/>
            </w:r>
            <w:r w:rsidR="0066247B">
              <w:rPr>
                <w:noProof/>
                <w:webHidden/>
              </w:rPr>
              <w:fldChar w:fldCharType="begin"/>
            </w:r>
            <w:r w:rsidR="0066247B">
              <w:rPr>
                <w:noProof/>
                <w:webHidden/>
              </w:rPr>
              <w:instrText xml:space="preserve"> PAGEREF _Toc32941697 \h </w:instrText>
            </w:r>
            <w:r w:rsidR="0066247B">
              <w:rPr>
                <w:noProof/>
                <w:webHidden/>
              </w:rPr>
            </w:r>
            <w:r w:rsidR="0066247B">
              <w:rPr>
                <w:noProof/>
                <w:webHidden/>
              </w:rPr>
              <w:fldChar w:fldCharType="separate"/>
            </w:r>
            <w:r w:rsidR="0066247B">
              <w:rPr>
                <w:noProof/>
                <w:webHidden/>
              </w:rPr>
              <w:t>17</w:t>
            </w:r>
            <w:r w:rsidR="0066247B">
              <w:rPr>
                <w:noProof/>
                <w:webHidden/>
              </w:rPr>
              <w:fldChar w:fldCharType="end"/>
            </w:r>
          </w:hyperlink>
        </w:p>
        <w:p w14:paraId="2713FAFC" w14:textId="1897331F" w:rsidR="003A7F6C" w:rsidRPr="00B811C6" w:rsidRDefault="00960520" w:rsidP="00B811C6">
          <w:pPr>
            <w:pStyle w:val="TOC2"/>
          </w:pPr>
          <w:r>
            <w:fldChar w:fldCharType="end"/>
          </w:r>
        </w:p>
      </w:sdtContent>
    </w:sdt>
    <w:bookmarkStart w:id="3" w:name="_Toc314842482" w:displacedByCustomXml="prev"/>
    <w:p w14:paraId="6E9339BF" w14:textId="77777777" w:rsidR="00C52E24" w:rsidRPr="00C52E24" w:rsidRDefault="00441C3F" w:rsidP="005512C2">
      <w:pPr>
        <w:pStyle w:val="Heading2"/>
        <w:pageBreakBefore/>
        <w:spacing w:before="0"/>
      </w:pPr>
      <w:bookmarkStart w:id="4" w:name="_Toc351716269"/>
      <w:bookmarkStart w:id="5" w:name="_Toc351718881"/>
      <w:bookmarkStart w:id="6" w:name="_Toc355338616"/>
      <w:bookmarkStart w:id="7" w:name="_Toc356306144"/>
      <w:bookmarkStart w:id="8" w:name="_Toc32941685"/>
      <w:r>
        <w:lastRenderedPageBreak/>
        <w:t>Common</w:t>
      </w:r>
      <w:r w:rsidR="00FD119B" w:rsidRPr="00FD119B">
        <w:t xml:space="preserve"> abbreviations</w:t>
      </w:r>
      <w:bookmarkEnd w:id="4"/>
      <w:bookmarkEnd w:id="5"/>
      <w:bookmarkEnd w:id="6"/>
      <w:bookmarkEnd w:id="7"/>
      <w:bookmarkEnd w:id="8"/>
    </w:p>
    <w:tbl>
      <w:tblPr>
        <w:tblStyle w:val="TableTGAblue"/>
        <w:tblW w:w="0" w:type="auto"/>
        <w:tblLook w:val="04A0" w:firstRow="1" w:lastRow="0" w:firstColumn="1" w:lastColumn="0" w:noHBand="0" w:noVBand="1"/>
      </w:tblPr>
      <w:tblGrid>
        <w:gridCol w:w="1809"/>
        <w:gridCol w:w="6911"/>
      </w:tblGrid>
      <w:tr w:rsidR="00FD119B" w:rsidRPr="00FD119B" w14:paraId="7A586752" w14:textId="77777777" w:rsidTr="00FD119B">
        <w:trPr>
          <w:cnfStyle w:val="100000000000" w:firstRow="1" w:lastRow="0" w:firstColumn="0" w:lastColumn="0" w:oddVBand="0" w:evenVBand="0" w:oddHBand="0" w:evenHBand="0" w:firstRowFirstColumn="0" w:firstRowLastColumn="0" w:lastRowFirstColumn="0" w:lastRowLastColumn="0"/>
        </w:trPr>
        <w:tc>
          <w:tcPr>
            <w:tcW w:w="1809" w:type="dxa"/>
          </w:tcPr>
          <w:p w14:paraId="211B3DF7" w14:textId="77777777" w:rsidR="00FD119B" w:rsidRPr="00FD119B" w:rsidRDefault="00FD119B" w:rsidP="00FD119B">
            <w:pPr>
              <w:keepNext w:val="0"/>
              <w:ind w:left="0" w:right="0"/>
              <w:rPr>
                <w:szCs w:val="22"/>
                <w:lang w:eastAsia="en-US"/>
              </w:rPr>
            </w:pPr>
            <w:r w:rsidRPr="00FD119B">
              <w:rPr>
                <w:szCs w:val="22"/>
                <w:lang w:eastAsia="en-US"/>
              </w:rPr>
              <w:t>Abbreviation</w:t>
            </w:r>
          </w:p>
        </w:tc>
        <w:tc>
          <w:tcPr>
            <w:tcW w:w="6911" w:type="dxa"/>
          </w:tcPr>
          <w:p w14:paraId="2D24DDA9" w14:textId="77777777" w:rsidR="00FD119B" w:rsidRPr="00FD119B" w:rsidRDefault="00FD119B" w:rsidP="00FD119B">
            <w:pPr>
              <w:keepNext w:val="0"/>
              <w:ind w:left="0" w:right="0"/>
              <w:rPr>
                <w:szCs w:val="22"/>
                <w:lang w:eastAsia="en-US"/>
              </w:rPr>
            </w:pPr>
            <w:r w:rsidRPr="00FD119B">
              <w:rPr>
                <w:szCs w:val="22"/>
                <w:lang w:eastAsia="en-US"/>
              </w:rPr>
              <w:t>Meaning</w:t>
            </w:r>
          </w:p>
        </w:tc>
      </w:tr>
      <w:tr w:rsidR="00606E8D" w:rsidRPr="00FD119B" w14:paraId="096AF24C" w14:textId="77777777" w:rsidTr="00FD119B">
        <w:tc>
          <w:tcPr>
            <w:tcW w:w="1809" w:type="dxa"/>
          </w:tcPr>
          <w:p w14:paraId="2C80A735" w14:textId="77777777" w:rsidR="00606E8D" w:rsidRDefault="00606E8D" w:rsidP="00606E8D">
            <w:r>
              <w:t>A</w:t>
            </w:r>
            <w:r w:rsidR="008E49B7">
              <w:t>E</w:t>
            </w:r>
          </w:p>
        </w:tc>
        <w:tc>
          <w:tcPr>
            <w:tcW w:w="6911" w:type="dxa"/>
          </w:tcPr>
          <w:p w14:paraId="5E9B5DD1" w14:textId="77777777" w:rsidR="00606E8D" w:rsidRDefault="008E49B7" w:rsidP="00606E8D">
            <w:r>
              <w:t>Adverse event</w:t>
            </w:r>
          </w:p>
        </w:tc>
      </w:tr>
      <w:tr w:rsidR="00606E8D" w:rsidRPr="00FD119B" w14:paraId="1532CCBD" w14:textId="77777777" w:rsidTr="00FD119B">
        <w:tc>
          <w:tcPr>
            <w:tcW w:w="1809" w:type="dxa"/>
          </w:tcPr>
          <w:p w14:paraId="66DDF924" w14:textId="77777777" w:rsidR="00606E8D" w:rsidRDefault="00606E8D" w:rsidP="00606E8D">
            <w:r w:rsidRPr="002907F2">
              <w:t>ACQ</w:t>
            </w:r>
          </w:p>
        </w:tc>
        <w:tc>
          <w:tcPr>
            <w:tcW w:w="6911" w:type="dxa"/>
          </w:tcPr>
          <w:p w14:paraId="6CABC85F" w14:textId="77777777" w:rsidR="00606E8D" w:rsidRDefault="00606E8D" w:rsidP="00606E8D">
            <w:r>
              <w:t>Asthma Control Questionnaire</w:t>
            </w:r>
          </w:p>
        </w:tc>
      </w:tr>
      <w:tr w:rsidR="002E5AB1" w:rsidRPr="00FD119B" w14:paraId="415B5652" w14:textId="77777777" w:rsidTr="00FD119B">
        <w:tc>
          <w:tcPr>
            <w:tcW w:w="1809" w:type="dxa"/>
          </w:tcPr>
          <w:p w14:paraId="4BFE85A1" w14:textId="680B50B1" w:rsidR="002E5AB1" w:rsidRPr="002907F2" w:rsidRDefault="002E5AB1" w:rsidP="00606E8D">
            <w:r>
              <w:t>ARTG</w:t>
            </w:r>
          </w:p>
        </w:tc>
        <w:tc>
          <w:tcPr>
            <w:tcW w:w="6911" w:type="dxa"/>
          </w:tcPr>
          <w:p w14:paraId="7E59428F" w14:textId="15238C64" w:rsidR="002E5AB1" w:rsidRDefault="002E5AB1" w:rsidP="00606E8D">
            <w:r w:rsidRPr="00940A89">
              <w:t>Australian Register</w:t>
            </w:r>
            <w:r>
              <w:t xml:space="preserve"> of Therapeutic Goods</w:t>
            </w:r>
          </w:p>
        </w:tc>
      </w:tr>
      <w:tr w:rsidR="005B6DB8" w:rsidRPr="00FD119B" w14:paraId="6891D42D" w14:textId="77777777" w:rsidTr="00FD119B">
        <w:tc>
          <w:tcPr>
            <w:tcW w:w="1809" w:type="dxa"/>
          </w:tcPr>
          <w:p w14:paraId="58E53B9C" w14:textId="77777777" w:rsidR="005B6DB8" w:rsidRPr="002907F2" w:rsidRDefault="005B6DB8" w:rsidP="00606E8D">
            <w:r>
              <w:t>AUC</w:t>
            </w:r>
          </w:p>
        </w:tc>
        <w:tc>
          <w:tcPr>
            <w:tcW w:w="6911" w:type="dxa"/>
          </w:tcPr>
          <w:p w14:paraId="6D2CBE6A" w14:textId="56AB85BC" w:rsidR="005B6DB8" w:rsidRDefault="005B6DB8" w:rsidP="005B6DB8">
            <w:r>
              <w:t>Area under the concentration</w:t>
            </w:r>
            <w:r w:rsidR="006855F0">
              <w:t>-</w:t>
            </w:r>
            <w:r>
              <w:t>time curve</w:t>
            </w:r>
          </w:p>
        </w:tc>
      </w:tr>
      <w:tr w:rsidR="006855F0" w:rsidRPr="00FD119B" w14:paraId="64E0B20F" w14:textId="77777777" w:rsidTr="00FD119B">
        <w:tc>
          <w:tcPr>
            <w:tcW w:w="1809" w:type="dxa"/>
          </w:tcPr>
          <w:p w14:paraId="579F7F37" w14:textId="572D36EE" w:rsidR="006855F0" w:rsidRDefault="006855F0" w:rsidP="00606E8D">
            <w:r>
              <w:t>AUC</w:t>
            </w:r>
            <w:r w:rsidRPr="00E03585">
              <w:rPr>
                <w:vertAlign w:val="subscript"/>
              </w:rPr>
              <w:t>0-inf</w:t>
            </w:r>
          </w:p>
        </w:tc>
        <w:tc>
          <w:tcPr>
            <w:tcW w:w="6911" w:type="dxa"/>
          </w:tcPr>
          <w:p w14:paraId="1CE05319" w14:textId="6DFAD8EE" w:rsidR="006855F0" w:rsidRDefault="006855F0" w:rsidP="006855F0">
            <w:r>
              <w:t>A</w:t>
            </w:r>
            <w:r w:rsidRPr="006855F0">
              <w:t>rea under the concentration-time curved  from time</w:t>
            </w:r>
            <w:r>
              <w:t xml:space="preserve"> zero (dosing) to time infinity</w:t>
            </w:r>
          </w:p>
        </w:tc>
      </w:tr>
      <w:tr w:rsidR="00606E8D" w:rsidRPr="00FD119B" w14:paraId="1B6F897D" w14:textId="77777777" w:rsidTr="00FD119B">
        <w:tc>
          <w:tcPr>
            <w:tcW w:w="1809" w:type="dxa"/>
          </w:tcPr>
          <w:p w14:paraId="3D85C34D" w14:textId="77777777" w:rsidR="00606E8D" w:rsidRDefault="00606E8D" w:rsidP="00606E8D">
            <w:r>
              <w:t>C-ACT</w:t>
            </w:r>
          </w:p>
        </w:tc>
        <w:tc>
          <w:tcPr>
            <w:tcW w:w="6911" w:type="dxa"/>
          </w:tcPr>
          <w:p w14:paraId="4FA22B9A" w14:textId="77777777" w:rsidR="00606E8D" w:rsidRDefault="00606E8D" w:rsidP="00606E8D">
            <w:r>
              <w:t>Childhood Asthma Control Test</w:t>
            </w:r>
          </w:p>
        </w:tc>
      </w:tr>
      <w:tr w:rsidR="005B6DB8" w:rsidRPr="00FD119B" w14:paraId="69E53A9A" w14:textId="77777777" w:rsidTr="00FD119B">
        <w:tc>
          <w:tcPr>
            <w:tcW w:w="1809" w:type="dxa"/>
          </w:tcPr>
          <w:p w14:paraId="20FA5262" w14:textId="77777777" w:rsidR="005B6DB8" w:rsidRDefault="005B6DB8" w:rsidP="00606E8D">
            <w:r>
              <w:t>CI</w:t>
            </w:r>
          </w:p>
        </w:tc>
        <w:tc>
          <w:tcPr>
            <w:tcW w:w="6911" w:type="dxa"/>
          </w:tcPr>
          <w:p w14:paraId="3E374880" w14:textId="77777777" w:rsidR="005B6DB8" w:rsidRDefault="005B6DB8" w:rsidP="005B6DB8">
            <w:r>
              <w:t>Confidence interval</w:t>
            </w:r>
          </w:p>
        </w:tc>
      </w:tr>
      <w:tr w:rsidR="005B6DB8" w:rsidRPr="00FD119B" w14:paraId="24F71115" w14:textId="77777777" w:rsidTr="00FD119B">
        <w:tc>
          <w:tcPr>
            <w:tcW w:w="1809" w:type="dxa"/>
          </w:tcPr>
          <w:p w14:paraId="1A061990" w14:textId="77777777" w:rsidR="005B6DB8" w:rsidRDefault="005B6DB8" w:rsidP="00606E8D">
            <w:r w:rsidRPr="009D3676">
              <w:t>CL/F</w:t>
            </w:r>
          </w:p>
        </w:tc>
        <w:tc>
          <w:tcPr>
            <w:tcW w:w="6911" w:type="dxa"/>
          </w:tcPr>
          <w:p w14:paraId="770F6733" w14:textId="77777777" w:rsidR="005B6DB8" w:rsidRDefault="005B6DB8" w:rsidP="005B6DB8">
            <w:r>
              <w:t>Apparent clearance</w:t>
            </w:r>
          </w:p>
        </w:tc>
      </w:tr>
      <w:tr w:rsidR="006E0BF5" w:rsidRPr="00FD119B" w14:paraId="780FAFCA" w14:textId="77777777" w:rsidTr="00FD119B">
        <w:tc>
          <w:tcPr>
            <w:tcW w:w="1809" w:type="dxa"/>
          </w:tcPr>
          <w:p w14:paraId="3557085A" w14:textId="77777777" w:rsidR="006E0BF5" w:rsidRPr="009D3676" w:rsidRDefault="006E0BF5" w:rsidP="00606E8D">
            <w:r>
              <w:t>COPD</w:t>
            </w:r>
          </w:p>
        </w:tc>
        <w:tc>
          <w:tcPr>
            <w:tcW w:w="6911" w:type="dxa"/>
          </w:tcPr>
          <w:p w14:paraId="66E84799" w14:textId="77777777" w:rsidR="006E0BF5" w:rsidRDefault="006E0BF5" w:rsidP="005B6DB8">
            <w:r w:rsidRPr="006E0BF5">
              <w:t>Chronic obstructive pulmonary disease</w:t>
            </w:r>
          </w:p>
        </w:tc>
      </w:tr>
      <w:tr w:rsidR="00185B0A" w:rsidRPr="00FD119B" w14:paraId="24C406F0" w14:textId="77777777" w:rsidTr="00FD119B">
        <w:tc>
          <w:tcPr>
            <w:tcW w:w="1809" w:type="dxa"/>
          </w:tcPr>
          <w:p w14:paraId="0CD7D837" w14:textId="77777777" w:rsidR="00185B0A" w:rsidRDefault="00185B0A" w:rsidP="00606E8D">
            <w:r>
              <w:rPr>
                <w:lang w:eastAsia="ja-JP"/>
              </w:rPr>
              <w:t>ED</w:t>
            </w:r>
          </w:p>
        </w:tc>
        <w:tc>
          <w:tcPr>
            <w:tcW w:w="6911" w:type="dxa"/>
          </w:tcPr>
          <w:p w14:paraId="4F8E64F6" w14:textId="77777777" w:rsidR="00185B0A" w:rsidRDefault="00185B0A" w:rsidP="00185B0A">
            <w:r>
              <w:rPr>
                <w:lang w:eastAsia="ja-JP"/>
              </w:rPr>
              <w:t>Emergency department</w:t>
            </w:r>
          </w:p>
        </w:tc>
      </w:tr>
      <w:tr w:rsidR="004722E0" w:rsidRPr="00FD119B" w14:paraId="33740014" w14:textId="77777777" w:rsidTr="00FD119B">
        <w:tc>
          <w:tcPr>
            <w:tcW w:w="1809" w:type="dxa"/>
          </w:tcPr>
          <w:p w14:paraId="0F4AE94D" w14:textId="77777777" w:rsidR="004722E0" w:rsidRDefault="004722E0" w:rsidP="00606E8D">
            <w:pPr>
              <w:rPr>
                <w:lang w:eastAsia="ja-JP"/>
              </w:rPr>
            </w:pPr>
            <w:r>
              <w:rPr>
                <w:lang w:eastAsia="ja-JP"/>
              </w:rPr>
              <w:t>EMA</w:t>
            </w:r>
          </w:p>
        </w:tc>
        <w:tc>
          <w:tcPr>
            <w:tcW w:w="6911" w:type="dxa"/>
          </w:tcPr>
          <w:p w14:paraId="47E4E6B8" w14:textId="23A2CA94" w:rsidR="004722E0" w:rsidRDefault="004722E0" w:rsidP="00185B0A">
            <w:pPr>
              <w:rPr>
                <w:lang w:eastAsia="ja-JP"/>
              </w:rPr>
            </w:pPr>
            <w:r>
              <w:rPr>
                <w:lang w:eastAsia="ja-JP"/>
              </w:rPr>
              <w:t>European Medicines Agency</w:t>
            </w:r>
            <w:r w:rsidR="00BD4D9E">
              <w:rPr>
                <w:lang w:eastAsia="ja-JP"/>
              </w:rPr>
              <w:t xml:space="preserve"> (EU)</w:t>
            </w:r>
          </w:p>
        </w:tc>
      </w:tr>
      <w:tr w:rsidR="004722E0" w:rsidRPr="00FD119B" w14:paraId="32FD679E" w14:textId="77777777" w:rsidTr="00FD119B">
        <w:tc>
          <w:tcPr>
            <w:tcW w:w="1809" w:type="dxa"/>
          </w:tcPr>
          <w:p w14:paraId="0433D3F0" w14:textId="77777777" w:rsidR="004722E0" w:rsidRDefault="004722E0" w:rsidP="00606E8D">
            <w:r w:rsidRPr="009422DF">
              <w:t>EU</w:t>
            </w:r>
          </w:p>
        </w:tc>
        <w:tc>
          <w:tcPr>
            <w:tcW w:w="6911" w:type="dxa"/>
          </w:tcPr>
          <w:p w14:paraId="53565B67" w14:textId="77777777" w:rsidR="004722E0" w:rsidRDefault="004722E0" w:rsidP="004722E0">
            <w:r>
              <w:t>European Union</w:t>
            </w:r>
          </w:p>
        </w:tc>
      </w:tr>
      <w:tr w:rsidR="005607D7" w:rsidRPr="00FD119B" w14:paraId="650CE915" w14:textId="77777777" w:rsidTr="00FD119B">
        <w:tc>
          <w:tcPr>
            <w:tcW w:w="1809" w:type="dxa"/>
          </w:tcPr>
          <w:p w14:paraId="3F13EE21" w14:textId="3B56AB5D" w:rsidR="005607D7" w:rsidRPr="009422DF" w:rsidRDefault="005607D7" w:rsidP="00606E8D">
            <w:r>
              <w:t>FDA</w:t>
            </w:r>
          </w:p>
        </w:tc>
        <w:tc>
          <w:tcPr>
            <w:tcW w:w="6911" w:type="dxa"/>
          </w:tcPr>
          <w:p w14:paraId="7AA347F8" w14:textId="06F8D55F" w:rsidR="005607D7" w:rsidRDefault="005607D7" w:rsidP="004722E0">
            <w:r>
              <w:t>Food and Drug Administration (US)</w:t>
            </w:r>
          </w:p>
        </w:tc>
      </w:tr>
      <w:tr w:rsidR="00A718A5" w:rsidRPr="00FD119B" w14:paraId="3C95BE75" w14:textId="77777777" w:rsidTr="00FD119B">
        <w:tc>
          <w:tcPr>
            <w:tcW w:w="1809" w:type="dxa"/>
          </w:tcPr>
          <w:p w14:paraId="3E7CF323" w14:textId="04C40B92" w:rsidR="00A718A5" w:rsidRDefault="00A718A5" w:rsidP="00606E8D">
            <w:r>
              <w:t>FEV</w:t>
            </w:r>
            <w:r w:rsidRPr="00F053CE">
              <w:rPr>
                <w:vertAlign w:val="subscript"/>
              </w:rPr>
              <w:t>1</w:t>
            </w:r>
          </w:p>
        </w:tc>
        <w:tc>
          <w:tcPr>
            <w:tcW w:w="6911" w:type="dxa"/>
          </w:tcPr>
          <w:p w14:paraId="5A885E47" w14:textId="6FFC861A" w:rsidR="00A718A5" w:rsidRDefault="00A718A5" w:rsidP="00A718A5">
            <w:r>
              <w:t>F</w:t>
            </w:r>
            <w:r w:rsidRPr="00A718A5">
              <w:t>orced expiratory volume-</w:t>
            </w:r>
            <w:r w:rsidR="00BD4D9E">
              <w:t xml:space="preserve">in </w:t>
            </w:r>
            <w:r w:rsidRPr="00A718A5">
              <w:t>one second</w:t>
            </w:r>
          </w:p>
        </w:tc>
      </w:tr>
      <w:tr w:rsidR="00A718A5" w:rsidRPr="00FD119B" w14:paraId="002E265C" w14:textId="77777777" w:rsidTr="00FD119B">
        <w:tc>
          <w:tcPr>
            <w:tcW w:w="1809" w:type="dxa"/>
          </w:tcPr>
          <w:p w14:paraId="57B86139" w14:textId="2F5EFCC9" w:rsidR="00A718A5" w:rsidRDefault="00A718A5" w:rsidP="00606E8D">
            <w:r>
              <w:t>FEV</w:t>
            </w:r>
            <w:r w:rsidR="00BD4D9E">
              <w:rPr>
                <w:vertAlign w:val="subscript"/>
              </w:rPr>
              <w:t>1</w:t>
            </w:r>
            <w:r>
              <w:t>/FVC</w:t>
            </w:r>
          </w:p>
        </w:tc>
        <w:tc>
          <w:tcPr>
            <w:tcW w:w="6911" w:type="dxa"/>
          </w:tcPr>
          <w:p w14:paraId="5776B5ED" w14:textId="186AA629" w:rsidR="00A718A5" w:rsidRDefault="00BD4D9E" w:rsidP="00BD4D9E">
            <w:r>
              <w:t>Ratio of f</w:t>
            </w:r>
            <w:r w:rsidR="00A718A5">
              <w:t xml:space="preserve">orced expiratory volume </w:t>
            </w:r>
            <w:r>
              <w:t xml:space="preserve">in one second to </w:t>
            </w:r>
            <w:r w:rsidR="00A718A5">
              <w:t>forced vital capacity</w:t>
            </w:r>
            <w:r>
              <w:t xml:space="preserve"> (Tiffeneau-Pinelli ratio)</w:t>
            </w:r>
          </w:p>
        </w:tc>
      </w:tr>
      <w:tr w:rsidR="00BD4D9E" w:rsidRPr="00FD119B" w14:paraId="3208FE29" w14:textId="77777777" w:rsidTr="00FD119B">
        <w:tc>
          <w:tcPr>
            <w:tcW w:w="1809" w:type="dxa"/>
          </w:tcPr>
          <w:p w14:paraId="50CE08C1" w14:textId="1E0B2BDC" w:rsidR="00BD4D9E" w:rsidRDefault="00BD4D9E" w:rsidP="00606E8D">
            <w:r>
              <w:t>FVC</w:t>
            </w:r>
          </w:p>
        </w:tc>
        <w:tc>
          <w:tcPr>
            <w:tcW w:w="6911" w:type="dxa"/>
          </w:tcPr>
          <w:p w14:paraId="0B32AC4F" w14:textId="2D9E5CE8" w:rsidR="00BD4D9E" w:rsidRDefault="00BD4D9E" w:rsidP="00A718A5">
            <w:r>
              <w:t>Forced vital capacity</w:t>
            </w:r>
          </w:p>
        </w:tc>
      </w:tr>
      <w:tr w:rsidR="00606E8D" w:rsidRPr="00FD119B" w14:paraId="659268BB" w14:textId="77777777" w:rsidTr="00FD119B">
        <w:tc>
          <w:tcPr>
            <w:tcW w:w="1809" w:type="dxa"/>
          </w:tcPr>
          <w:p w14:paraId="0582420F" w14:textId="77777777" w:rsidR="00606E8D" w:rsidRDefault="00606E8D" w:rsidP="00606E8D">
            <w:r>
              <w:t>GINA</w:t>
            </w:r>
          </w:p>
        </w:tc>
        <w:tc>
          <w:tcPr>
            <w:tcW w:w="6911" w:type="dxa"/>
          </w:tcPr>
          <w:p w14:paraId="712CFA7C" w14:textId="77777777" w:rsidR="00606E8D" w:rsidRDefault="00606E8D" w:rsidP="00606E8D">
            <w:r>
              <w:t>Global Initiative for Asthma</w:t>
            </w:r>
          </w:p>
        </w:tc>
      </w:tr>
      <w:tr w:rsidR="00606E8D" w:rsidRPr="00FD119B" w14:paraId="060A0333" w14:textId="77777777" w:rsidTr="00FD119B">
        <w:tc>
          <w:tcPr>
            <w:tcW w:w="1809" w:type="dxa"/>
          </w:tcPr>
          <w:p w14:paraId="3CC8C765" w14:textId="77777777" w:rsidR="00606E8D" w:rsidRDefault="00606E8D" w:rsidP="00606E8D">
            <w:r>
              <w:t>HES</w:t>
            </w:r>
          </w:p>
        </w:tc>
        <w:tc>
          <w:tcPr>
            <w:tcW w:w="6911" w:type="dxa"/>
          </w:tcPr>
          <w:p w14:paraId="7D963206" w14:textId="77777777" w:rsidR="00606E8D" w:rsidRDefault="00606E8D" w:rsidP="00606E8D">
            <w:r>
              <w:t>Hypereosinophilic syndrome</w:t>
            </w:r>
          </w:p>
        </w:tc>
      </w:tr>
      <w:tr w:rsidR="00606E8D" w:rsidRPr="00FD119B" w14:paraId="13C163B9" w14:textId="77777777" w:rsidTr="00FD119B">
        <w:tc>
          <w:tcPr>
            <w:tcW w:w="1809" w:type="dxa"/>
          </w:tcPr>
          <w:p w14:paraId="4929681C" w14:textId="77777777" w:rsidR="00606E8D" w:rsidRDefault="00606E8D" w:rsidP="00606E8D">
            <w:r>
              <w:t>ICS</w:t>
            </w:r>
          </w:p>
        </w:tc>
        <w:tc>
          <w:tcPr>
            <w:tcW w:w="6911" w:type="dxa"/>
          </w:tcPr>
          <w:p w14:paraId="548BD6EF" w14:textId="77777777" w:rsidR="00606E8D" w:rsidRDefault="00606E8D" w:rsidP="00606E8D">
            <w:r>
              <w:t>Inhaled corticosteroids</w:t>
            </w:r>
          </w:p>
        </w:tc>
      </w:tr>
      <w:tr w:rsidR="00185B0A" w:rsidRPr="00FD119B" w14:paraId="352A699D" w14:textId="77777777" w:rsidTr="00FD119B">
        <w:tc>
          <w:tcPr>
            <w:tcW w:w="1809" w:type="dxa"/>
          </w:tcPr>
          <w:p w14:paraId="7D1B5BF6" w14:textId="77777777" w:rsidR="00185B0A" w:rsidRDefault="00185B0A" w:rsidP="00606E8D">
            <w:r>
              <w:t>IgE</w:t>
            </w:r>
          </w:p>
        </w:tc>
        <w:tc>
          <w:tcPr>
            <w:tcW w:w="6911" w:type="dxa"/>
          </w:tcPr>
          <w:p w14:paraId="1DA3EF92" w14:textId="77777777" w:rsidR="00185B0A" w:rsidRDefault="00185B0A" w:rsidP="00185B0A">
            <w:r>
              <w:t>Immunoglobulin E</w:t>
            </w:r>
          </w:p>
        </w:tc>
      </w:tr>
      <w:tr w:rsidR="004722E0" w:rsidRPr="00FD119B" w14:paraId="5F0526DB" w14:textId="77777777" w:rsidTr="00FD119B">
        <w:tc>
          <w:tcPr>
            <w:tcW w:w="1809" w:type="dxa"/>
          </w:tcPr>
          <w:p w14:paraId="37228101" w14:textId="77777777" w:rsidR="004722E0" w:rsidRDefault="004722E0" w:rsidP="00606E8D">
            <w:r>
              <w:t>IgG1</w:t>
            </w:r>
          </w:p>
        </w:tc>
        <w:tc>
          <w:tcPr>
            <w:tcW w:w="6911" w:type="dxa"/>
          </w:tcPr>
          <w:p w14:paraId="41BBDC74" w14:textId="77777777" w:rsidR="004722E0" w:rsidRDefault="004722E0" w:rsidP="004722E0">
            <w:r>
              <w:t>Immunoglobulin G1</w:t>
            </w:r>
          </w:p>
        </w:tc>
      </w:tr>
      <w:tr w:rsidR="00185B0A" w:rsidRPr="00FD119B" w14:paraId="3EEB6876" w14:textId="77777777" w:rsidTr="00FD119B">
        <w:tc>
          <w:tcPr>
            <w:tcW w:w="1809" w:type="dxa"/>
          </w:tcPr>
          <w:p w14:paraId="63B07BCB" w14:textId="77777777" w:rsidR="00185B0A" w:rsidRDefault="00185B0A" w:rsidP="00606E8D">
            <w:r>
              <w:rPr>
                <w:lang w:eastAsia="ja-JP"/>
              </w:rPr>
              <w:t>IL-5</w:t>
            </w:r>
          </w:p>
        </w:tc>
        <w:tc>
          <w:tcPr>
            <w:tcW w:w="6911" w:type="dxa"/>
          </w:tcPr>
          <w:p w14:paraId="048A0B98" w14:textId="77777777" w:rsidR="00185B0A" w:rsidRDefault="00185B0A" w:rsidP="00185B0A">
            <w:r>
              <w:rPr>
                <w:lang w:eastAsia="ja-JP"/>
              </w:rPr>
              <w:t>Interleukin 5</w:t>
            </w:r>
          </w:p>
        </w:tc>
      </w:tr>
      <w:tr w:rsidR="004722E0" w:rsidRPr="00FD119B" w14:paraId="36FF9D71" w14:textId="77777777" w:rsidTr="00FD119B">
        <w:tc>
          <w:tcPr>
            <w:tcW w:w="1809" w:type="dxa"/>
          </w:tcPr>
          <w:p w14:paraId="68135114" w14:textId="77777777" w:rsidR="004722E0" w:rsidRDefault="004722E0" w:rsidP="00606E8D">
            <w:pPr>
              <w:rPr>
                <w:lang w:eastAsia="ja-JP"/>
              </w:rPr>
            </w:pPr>
            <w:r>
              <w:rPr>
                <w:lang w:eastAsia="ja-JP"/>
              </w:rPr>
              <w:t>IL-5Rα</w:t>
            </w:r>
          </w:p>
        </w:tc>
        <w:tc>
          <w:tcPr>
            <w:tcW w:w="6911" w:type="dxa"/>
          </w:tcPr>
          <w:p w14:paraId="481A60C7" w14:textId="77777777" w:rsidR="004722E0" w:rsidRDefault="004722E0" w:rsidP="004722E0">
            <w:pPr>
              <w:rPr>
                <w:lang w:eastAsia="ja-JP"/>
              </w:rPr>
            </w:pPr>
            <w:r>
              <w:rPr>
                <w:lang w:eastAsia="ja-JP"/>
              </w:rPr>
              <w:t>Interleukin 5 receptor α</w:t>
            </w:r>
          </w:p>
        </w:tc>
      </w:tr>
      <w:tr w:rsidR="002E5AB1" w:rsidRPr="00FD119B" w14:paraId="61680EAE" w14:textId="77777777" w:rsidTr="00FD119B">
        <w:tc>
          <w:tcPr>
            <w:tcW w:w="1809" w:type="dxa"/>
          </w:tcPr>
          <w:p w14:paraId="18B042EC" w14:textId="70081E9F" w:rsidR="002E5AB1" w:rsidRDefault="002E5AB1" w:rsidP="00606E8D">
            <w:pPr>
              <w:rPr>
                <w:lang w:eastAsia="ja-JP"/>
              </w:rPr>
            </w:pPr>
            <w:r>
              <w:rPr>
                <w:lang w:eastAsia="ja-JP"/>
              </w:rPr>
              <w:t>LABA</w:t>
            </w:r>
          </w:p>
        </w:tc>
        <w:tc>
          <w:tcPr>
            <w:tcW w:w="6911" w:type="dxa"/>
          </w:tcPr>
          <w:p w14:paraId="3D041A0C" w14:textId="23E6E716" w:rsidR="002E5AB1" w:rsidRDefault="002E5AB1" w:rsidP="004722E0">
            <w:pPr>
              <w:rPr>
                <w:lang w:eastAsia="ja-JP"/>
              </w:rPr>
            </w:pPr>
            <w:r>
              <w:rPr>
                <w:lang w:eastAsia="ja-JP"/>
              </w:rPr>
              <w:t>L</w:t>
            </w:r>
            <w:r w:rsidRPr="002E5AB1">
              <w:rPr>
                <w:lang w:eastAsia="ja-JP"/>
              </w:rPr>
              <w:t xml:space="preserve">ong-acting </w:t>
            </w:r>
            <w:r>
              <w:rPr>
                <w:lang w:eastAsia="ja-JP"/>
              </w:rPr>
              <w:t>beta (</w:t>
            </w:r>
            <w:r w:rsidRPr="002E5AB1">
              <w:rPr>
                <w:lang w:eastAsia="ja-JP"/>
              </w:rPr>
              <w:t>β</w:t>
            </w:r>
            <w:r>
              <w:rPr>
                <w:lang w:eastAsia="ja-JP"/>
              </w:rPr>
              <w:t>)</w:t>
            </w:r>
            <w:r w:rsidRPr="002E5AB1">
              <w:rPr>
                <w:lang w:eastAsia="ja-JP"/>
              </w:rPr>
              <w:t>-agonists</w:t>
            </w:r>
          </w:p>
        </w:tc>
      </w:tr>
      <w:tr w:rsidR="00185B0A" w:rsidRPr="00FD119B" w14:paraId="2087E71B" w14:textId="77777777" w:rsidTr="00FD119B">
        <w:tc>
          <w:tcPr>
            <w:tcW w:w="1809" w:type="dxa"/>
          </w:tcPr>
          <w:p w14:paraId="0747C827" w14:textId="77777777" w:rsidR="00185B0A" w:rsidRDefault="00185B0A" w:rsidP="00606E8D">
            <w:r>
              <w:lastRenderedPageBreak/>
              <w:t>NO</w:t>
            </w:r>
          </w:p>
        </w:tc>
        <w:tc>
          <w:tcPr>
            <w:tcW w:w="6911" w:type="dxa"/>
          </w:tcPr>
          <w:p w14:paraId="67D63A4F" w14:textId="77777777" w:rsidR="00185B0A" w:rsidRDefault="00185B0A" w:rsidP="00185B0A">
            <w:r>
              <w:t>Nitric oxide</w:t>
            </w:r>
          </w:p>
        </w:tc>
      </w:tr>
      <w:tr w:rsidR="00606E8D" w:rsidRPr="00FD119B" w14:paraId="2206BB3F" w14:textId="77777777" w:rsidTr="00FD119B">
        <w:tc>
          <w:tcPr>
            <w:tcW w:w="1809" w:type="dxa"/>
          </w:tcPr>
          <w:p w14:paraId="18B9BAB2" w14:textId="77777777" w:rsidR="00606E8D" w:rsidRDefault="00606E8D" w:rsidP="00606E8D">
            <w:r>
              <w:t>OCS</w:t>
            </w:r>
          </w:p>
        </w:tc>
        <w:tc>
          <w:tcPr>
            <w:tcW w:w="6911" w:type="dxa"/>
          </w:tcPr>
          <w:p w14:paraId="283C07DF" w14:textId="77777777" w:rsidR="00606E8D" w:rsidRDefault="00606E8D" w:rsidP="00606E8D">
            <w:r>
              <w:t>Oral corticosteroids</w:t>
            </w:r>
          </w:p>
        </w:tc>
      </w:tr>
      <w:tr w:rsidR="00A718A5" w:rsidRPr="00FD119B" w14:paraId="5065733F" w14:textId="77777777" w:rsidTr="00FD119B">
        <w:tc>
          <w:tcPr>
            <w:tcW w:w="1809" w:type="dxa"/>
          </w:tcPr>
          <w:p w14:paraId="774A336E" w14:textId="77777777" w:rsidR="00A718A5" w:rsidRDefault="00A718A5" w:rsidP="00606E8D">
            <w:r>
              <w:t>PD</w:t>
            </w:r>
          </w:p>
        </w:tc>
        <w:tc>
          <w:tcPr>
            <w:tcW w:w="6911" w:type="dxa"/>
          </w:tcPr>
          <w:p w14:paraId="74A3F11A" w14:textId="05D0E398" w:rsidR="00A718A5" w:rsidRDefault="00A718A5" w:rsidP="00606E8D">
            <w:r>
              <w:t>Pharmacodynamic</w:t>
            </w:r>
            <w:r w:rsidR="002E5AB1">
              <w:t>(s)</w:t>
            </w:r>
          </w:p>
        </w:tc>
      </w:tr>
      <w:tr w:rsidR="00A718A5" w:rsidRPr="00FD119B" w14:paraId="7935145A" w14:textId="77777777" w:rsidTr="00FD119B">
        <w:tc>
          <w:tcPr>
            <w:tcW w:w="1809" w:type="dxa"/>
          </w:tcPr>
          <w:p w14:paraId="5F031B04" w14:textId="77777777" w:rsidR="00A718A5" w:rsidRDefault="00A718A5" w:rsidP="00606E8D">
            <w:r>
              <w:t>PK</w:t>
            </w:r>
          </w:p>
        </w:tc>
        <w:tc>
          <w:tcPr>
            <w:tcW w:w="6911" w:type="dxa"/>
          </w:tcPr>
          <w:p w14:paraId="15304E35" w14:textId="39B7EBC7" w:rsidR="00A718A5" w:rsidRDefault="00A718A5" w:rsidP="00606E8D">
            <w:r>
              <w:t>Pharmacokinetic</w:t>
            </w:r>
            <w:r w:rsidR="002E5AB1">
              <w:t>(s)</w:t>
            </w:r>
          </w:p>
        </w:tc>
      </w:tr>
      <w:tr w:rsidR="00A718A5" w:rsidRPr="00FD119B" w14:paraId="6C2C5E99" w14:textId="77777777" w:rsidTr="00FD119B">
        <w:tc>
          <w:tcPr>
            <w:tcW w:w="1809" w:type="dxa"/>
          </w:tcPr>
          <w:p w14:paraId="045ABD61" w14:textId="77777777" w:rsidR="00A718A5" w:rsidRDefault="00A718A5" w:rsidP="00606E8D">
            <w:r>
              <w:t>pop PK</w:t>
            </w:r>
          </w:p>
        </w:tc>
        <w:tc>
          <w:tcPr>
            <w:tcW w:w="6911" w:type="dxa"/>
          </w:tcPr>
          <w:p w14:paraId="281FEF4E" w14:textId="5FDCF58D" w:rsidR="00A718A5" w:rsidRDefault="00A718A5" w:rsidP="00A718A5">
            <w:r>
              <w:t>Population pharmacokinetic</w:t>
            </w:r>
            <w:r w:rsidR="002E5AB1">
              <w:t>(s)</w:t>
            </w:r>
          </w:p>
        </w:tc>
      </w:tr>
      <w:tr w:rsidR="0063318D" w:rsidRPr="00FD119B" w14:paraId="429A0947" w14:textId="77777777" w:rsidTr="00FD119B">
        <w:tc>
          <w:tcPr>
            <w:tcW w:w="1809" w:type="dxa"/>
          </w:tcPr>
          <w:p w14:paraId="7D35F68F" w14:textId="77777777" w:rsidR="0063318D" w:rsidRDefault="0063318D" w:rsidP="00606E8D">
            <w:r w:rsidRPr="0024023E">
              <w:t>PSUR</w:t>
            </w:r>
          </w:p>
        </w:tc>
        <w:tc>
          <w:tcPr>
            <w:tcW w:w="6911" w:type="dxa"/>
          </w:tcPr>
          <w:p w14:paraId="1A40CA35" w14:textId="77777777" w:rsidR="0063318D" w:rsidRDefault="0063318D" w:rsidP="0063318D">
            <w:r>
              <w:t>Periodic safety update report</w:t>
            </w:r>
          </w:p>
        </w:tc>
      </w:tr>
      <w:tr w:rsidR="00606E8D" w:rsidRPr="00FD119B" w14:paraId="38B51C26" w14:textId="77777777" w:rsidTr="00FD119B">
        <w:tc>
          <w:tcPr>
            <w:tcW w:w="1809" w:type="dxa"/>
          </w:tcPr>
          <w:p w14:paraId="2A62C136" w14:textId="77777777" w:rsidR="00606E8D" w:rsidRDefault="00606E8D" w:rsidP="00606E8D">
            <w:r>
              <w:t>RMSE</w:t>
            </w:r>
          </w:p>
        </w:tc>
        <w:tc>
          <w:tcPr>
            <w:tcW w:w="6911" w:type="dxa"/>
          </w:tcPr>
          <w:p w14:paraId="299AF4FB" w14:textId="77777777" w:rsidR="00606E8D" w:rsidRDefault="00606E8D" w:rsidP="00606E8D">
            <w:r>
              <w:t>Root mean square error</w:t>
            </w:r>
          </w:p>
        </w:tc>
      </w:tr>
      <w:tr w:rsidR="00185B0A" w:rsidRPr="00FD119B" w14:paraId="2E3E25C3" w14:textId="77777777" w:rsidTr="00FD119B">
        <w:tc>
          <w:tcPr>
            <w:tcW w:w="1809" w:type="dxa"/>
          </w:tcPr>
          <w:p w14:paraId="1705A4EA" w14:textId="77777777" w:rsidR="00185B0A" w:rsidRDefault="00185B0A" w:rsidP="00606E8D">
            <w:r>
              <w:t>SABA</w:t>
            </w:r>
          </w:p>
        </w:tc>
        <w:tc>
          <w:tcPr>
            <w:tcW w:w="6911" w:type="dxa"/>
          </w:tcPr>
          <w:p w14:paraId="4E9466F2" w14:textId="0392C930" w:rsidR="00185B0A" w:rsidRDefault="00185B0A" w:rsidP="00185B0A">
            <w:r>
              <w:t xml:space="preserve">Short-acting </w:t>
            </w:r>
            <w:r w:rsidR="002E5AB1">
              <w:t>beta (</w:t>
            </w:r>
            <w:r>
              <w:t>β</w:t>
            </w:r>
            <w:r w:rsidR="002E5AB1">
              <w:t>)</w:t>
            </w:r>
            <w:r>
              <w:t>-agonist</w:t>
            </w:r>
          </w:p>
        </w:tc>
      </w:tr>
      <w:tr w:rsidR="008E49B7" w:rsidRPr="00FD119B" w14:paraId="63CCCE26" w14:textId="77777777" w:rsidTr="00FD119B">
        <w:tc>
          <w:tcPr>
            <w:tcW w:w="1809" w:type="dxa"/>
          </w:tcPr>
          <w:p w14:paraId="213B6722" w14:textId="77777777" w:rsidR="008E49B7" w:rsidRDefault="008E49B7" w:rsidP="00606E8D">
            <w:r>
              <w:t>SAE</w:t>
            </w:r>
          </w:p>
        </w:tc>
        <w:tc>
          <w:tcPr>
            <w:tcW w:w="6911" w:type="dxa"/>
          </w:tcPr>
          <w:p w14:paraId="7EF04D27" w14:textId="77777777" w:rsidR="008E49B7" w:rsidRDefault="008E49B7" w:rsidP="00185B0A">
            <w:r>
              <w:t>Serious adverse event</w:t>
            </w:r>
          </w:p>
        </w:tc>
      </w:tr>
      <w:tr w:rsidR="00606E8D" w:rsidRPr="00FD119B" w14:paraId="443B11BD" w14:textId="77777777" w:rsidTr="00FD119B">
        <w:tc>
          <w:tcPr>
            <w:tcW w:w="1809" w:type="dxa"/>
          </w:tcPr>
          <w:p w14:paraId="430D60BF" w14:textId="77777777" w:rsidR="00606E8D" w:rsidRPr="00544E5C" w:rsidRDefault="005B6DB8" w:rsidP="00606E8D">
            <w:r>
              <w:t>SC</w:t>
            </w:r>
          </w:p>
        </w:tc>
        <w:tc>
          <w:tcPr>
            <w:tcW w:w="6911" w:type="dxa"/>
          </w:tcPr>
          <w:p w14:paraId="73454A2A" w14:textId="34C1440F" w:rsidR="00606E8D" w:rsidRPr="00544E5C" w:rsidRDefault="002E5AB1" w:rsidP="00606E8D">
            <w:r>
              <w:t>S</w:t>
            </w:r>
            <w:r w:rsidR="00606E8D">
              <w:t>ubcutaneous</w:t>
            </w:r>
          </w:p>
        </w:tc>
      </w:tr>
      <w:tr w:rsidR="005B6DB8" w:rsidRPr="00FD119B" w14:paraId="1115CDC6" w14:textId="77777777" w:rsidTr="00FD119B">
        <w:tc>
          <w:tcPr>
            <w:tcW w:w="1809" w:type="dxa"/>
          </w:tcPr>
          <w:p w14:paraId="29244977" w14:textId="77777777" w:rsidR="005B6DB8" w:rsidRPr="005B6DB8" w:rsidRDefault="005B6DB8" w:rsidP="005B6DB8">
            <w:r>
              <w:t>t</w:t>
            </w:r>
            <w:r w:rsidRPr="00E03585">
              <w:rPr>
                <w:vertAlign w:val="subscript"/>
              </w:rPr>
              <w:t>1/2</w:t>
            </w:r>
          </w:p>
        </w:tc>
        <w:tc>
          <w:tcPr>
            <w:tcW w:w="6911" w:type="dxa"/>
          </w:tcPr>
          <w:p w14:paraId="702330D8" w14:textId="77777777" w:rsidR="005B6DB8" w:rsidRPr="005B6DB8" w:rsidRDefault="005B6DB8" w:rsidP="005B6DB8">
            <w:r>
              <w:t>Biological half-life</w:t>
            </w:r>
          </w:p>
        </w:tc>
      </w:tr>
      <w:tr w:rsidR="005607D7" w:rsidRPr="00FD119B" w14:paraId="5276260C" w14:textId="77777777" w:rsidTr="00FD119B">
        <w:tc>
          <w:tcPr>
            <w:tcW w:w="1809" w:type="dxa"/>
          </w:tcPr>
          <w:p w14:paraId="21FE39E3" w14:textId="199E8EBA" w:rsidR="005607D7" w:rsidRDefault="005607D7" w:rsidP="005B6DB8">
            <w:r>
              <w:t>UK</w:t>
            </w:r>
          </w:p>
        </w:tc>
        <w:tc>
          <w:tcPr>
            <w:tcW w:w="6911" w:type="dxa"/>
          </w:tcPr>
          <w:p w14:paraId="30FF6FF0" w14:textId="72D62C6A" w:rsidR="005607D7" w:rsidRDefault="005607D7" w:rsidP="005B6DB8">
            <w:r>
              <w:t>United Kingdom</w:t>
            </w:r>
          </w:p>
        </w:tc>
      </w:tr>
      <w:tr w:rsidR="005607D7" w:rsidRPr="00FD119B" w14:paraId="2AB7A62D" w14:textId="77777777" w:rsidTr="00FD119B">
        <w:tc>
          <w:tcPr>
            <w:tcW w:w="1809" w:type="dxa"/>
          </w:tcPr>
          <w:p w14:paraId="5B0A429D" w14:textId="626ED82C" w:rsidR="005607D7" w:rsidRDefault="005607D7" w:rsidP="005B6DB8">
            <w:r>
              <w:t>US</w:t>
            </w:r>
          </w:p>
        </w:tc>
        <w:tc>
          <w:tcPr>
            <w:tcW w:w="6911" w:type="dxa"/>
          </w:tcPr>
          <w:p w14:paraId="33AA637E" w14:textId="5168094B" w:rsidR="005607D7" w:rsidRDefault="005607D7" w:rsidP="005B6DB8">
            <w:r>
              <w:t>United States</w:t>
            </w:r>
          </w:p>
        </w:tc>
      </w:tr>
    </w:tbl>
    <w:p w14:paraId="63874C6A" w14:textId="77777777" w:rsidR="008E7846" w:rsidRDefault="00F53C07" w:rsidP="0081258E">
      <w:pPr>
        <w:pStyle w:val="Heading2"/>
        <w:pageBreakBefore/>
        <w:spacing w:before="0"/>
      </w:pPr>
      <w:bookmarkStart w:id="9" w:name="_Toc32941686"/>
      <w:r>
        <w:lastRenderedPageBreak/>
        <w:t>I.</w:t>
      </w:r>
      <w:r w:rsidR="008E7846">
        <w:t xml:space="preserve"> Introduction to product submission</w:t>
      </w:r>
      <w:bookmarkEnd w:id="9"/>
      <w:bookmarkEnd w:id="3"/>
      <w:bookmarkEnd w:id="1"/>
    </w:p>
    <w:p w14:paraId="588B74E5" w14:textId="77777777" w:rsidR="008E7846" w:rsidRDefault="008E7846" w:rsidP="008E7846">
      <w:pPr>
        <w:pStyle w:val="Heading3"/>
        <w:rPr>
          <w:lang w:eastAsia="en-AU"/>
        </w:rPr>
      </w:pPr>
      <w:bookmarkStart w:id="10" w:name="_Toc247691502"/>
      <w:bookmarkStart w:id="11" w:name="_Toc314842483"/>
      <w:bookmarkStart w:id="12" w:name="_Toc32941687"/>
      <w:r>
        <w:rPr>
          <w:lang w:eastAsia="en-AU"/>
        </w:rPr>
        <w:t>Submission details</w:t>
      </w:r>
      <w:bookmarkEnd w:id="10"/>
      <w:bookmarkEnd w:id="11"/>
      <w:bookmarkEnd w:id="12"/>
    </w:p>
    <w:tbl>
      <w:tblPr>
        <w:tblW w:w="9214" w:type="dxa"/>
        <w:tblInd w:w="108" w:type="dxa"/>
        <w:tblLook w:val="01E0" w:firstRow="1" w:lastRow="1" w:firstColumn="1" w:lastColumn="1" w:noHBand="0" w:noVBand="0"/>
      </w:tblPr>
      <w:tblGrid>
        <w:gridCol w:w="2907"/>
        <w:gridCol w:w="6307"/>
      </w:tblGrid>
      <w:tr w:rsidR="008E7846" w:rsidRPr="003D1E62" w14:paraId="53D9DABE" w14:textId="77777777" w:rsidTr="003735BC">
        <w:tc>
          <w:tcPr>
            <w:tcW w:w="2907" w:type="dxa"/>
          </w:tcPr>
          <w:p w14:paraId="79104EBA" w14:textId="77777777" w:rsidR="008E7846" w:rsidRPr="003D1E62" w:rsidRDefault="001B5C90" w:rsidP="001B5C90">
            <w:pPr>
              <w:rPr>
                <w:i/>
              </w:rPr>
            </w:pPr>
            <w:r>
              <w:rPr>
                <w:i/>
              </w:rPr>
              <w:t>Type of s</w:t>
            </w:r>
            <w:r w:rsidR="008E7846" w:rsidRPr="003D1E62">
              <w:rPr>
                <w:i/>
              </w:rPr>
              <w:t>ubmission</w:t>
            </w:r>
            <w:r>
              <w:rPr>
                <w:i/>
              </w:rPr>
              <w:t>:</w:t>
            </w:r>
          </w:p>
        </w:tc>
        <w:tc>
          <w:tcPr>
            <w:tcW w:w="6307" w:type="dxa"/>
          </w:tcPr>
          <w:p w14:paraId="01A93819" w14:textId="77777777" w:rsidR="008E7846" w:rsidRPr="003D1E62" w:rsidRDefault="009C324D" w:rsidP="001B5C90">
            <w:r>
              <w:t>Extension of indications</w:t>
            </w:r>
          </w:p>
        </w:tc>
      </w:tr>
      <w:tr w:rsidR="008E7846" w:rsidRPr="003D1E62" w14:paraId="11A66068" w14:textId="77777777" w:rsidTr="003735BC">
        <w:tc>
          <w:tcPr>
            <w:tcW w:w="2907" w:type="dxa"/>
          </w:tcPr>
          <w:p w14:paraId="67A985B0" w14:textId="77777777" w:rsidR="008E7846" w:rsidRPr="003D1E62" w:rsidRDefault="008E7846" w:rsidP="003D1E62">
            <w:r w:rsidRPr="003D1E62">
              <w:rPr>
                <w:i/>
              </w:rPr>
              <w:t>Decision</w:t>
            </w:r>
            <w:r w:rsidRPr="003D1E62">
              <w:t>:</w:t>
            </w:r>
          </w:p>
        </w:tc>
        <w:tc>
          <w:tcPr>
            <w:tcW w:w="6307" w:type="dxa"/>
          </w:tcPr>
          <w:p w14:paraId="6D7A8DFF" w14:textId="77777777" w:rsidR="008E7846" w:rsidRPr="003D1E62" w:rsidRDefault="009C324D" w:rsidP="001B5C90">
            <w:r>
              <w:t>Rejected</w:t>
            </w:r>
          </w:p>
        </w:tc>
      </w:tr>
      <w:tr w:rsidR="008E7846" w:rsidRPr="003D1E62" w14:paraId="3EE042EC" w14:textId="77777777" w:rsidTr="003735BC">
        <w:tc>
          <w:tcPr>
            <w:tcW w:w="2907" w:type="dxa"/>
          </w:tcPr>
          <w:p w14:paraId="36CD377F" w14:textId="77777777" w:rsidR="008E7846" w:rsidRPr="003D1E62" w:rsidRDefault="008E7846" w:rsidP="001B5C90">
            <w:pPr>
              <w:rPr>
                <w:i/>
              </w:rPr>
            </w:pPr>
            <w:r w:rsidRPr="003D1E62">
              <w:rPr>
                <w:i/>
              </w:rPr>
              <w:t xml:space="preserve">Date of </w:t>
            </w:r>
            <w:r w:rsidR="001B5C90">
              <w:rPr>
                <w:i/>
              </w:rPr>
              <w:t>d</w:t>
            </w:r>
            <w:r w:rsidRPr="003D1E62">
              <w:rPr>
                <w:i/>
              </w:rPr>
              <w:t>ecision:</w:t>
            </w:r>
          </w:p>
        </w:tc>
        <w:tc>
          <w:tcPr>
            <w:tcW w:w="6307" w:type="dxa"/>
          </w:tcPr>
          <w:p w14:paraId="79D6C213" w14:textId="77777777" w:rsidR="008E7846" w:rsidRPr="003D1E62" w:rsidRDefault="009C324D" w:rsidP="001B5C90">
            <w:r>
              <w:t>25 July 2019</w:t>
            </w:r>
          </w:p>
        </w:tc>
      </w:tr>
      <w:tr w:rsidR="00ED2922" w:rsidRPr="003D1E62" w14:paraId="3A9FB139" w14:textId="77777777" w:rsidTr="003735BC">
        <w:tc>
          <w:tcPr>
            <w:tcW w:w="2907" w:type="dxa"/>
          </w:tcPr>
          <w:p w14:paraId="3C74207E" w14:textId="77777777" w:rsidR="00ED2922" w:rsidRPr="00441C3F" w:rsidRDefault="00ED2922" w:rsidP="001B5C90">
            <w:pPr>
              <w:rPr>
                <w:i/>
              </w:rPr>
            </w:pPr>
            <w:r w:rsidRPr="00441C3F">
              <w:rPr>
                <w:i/>
              </w:rPr>
              <w:t>Date of entry onto ARTG</w:t>
            </w:r>
            <w:r w:rsidR="00500337">
              <w:rPr>
                <w:i/>
              </w:rPr>
              <w:t>:</w:t>
            </w:r>
          </w:p>
        </w:tc>
        <w:tc>
          <w:tcPr>
            <w:tcW w:w="6307" w:type="dxa"/>
          </w:tcPr>
          <w:p w14:paraId="4E0F438F" w14:textId="77777777" w:rsidR="00ED2922" w:rsidRPr="00441C3F" w:rsidRDefault="009C324D" w:rsidP="00D153D8">
            <w:pPr>
              <w:rPr>
                <w:i/>
              </w:rPr>
            </w:pPr>
            <w:r>
              <w:t>Not applicable</w:t>
            </w:r>
          </w:p>
        </w:tc>
      </w:tr>
      <w:tr w:rsidR="00500337" w:rsidRPr="003D1E62" w14:paraId="332C376D" w14:textId="77777777" w:rsidTr="003735BC">
        <w:tc>
          <w:tcPr>
            <w:tcW w:w="2907" w:type="dxa"/>
          </w:tcPr>
          <w:p w14:paraId="1B5E9D3E" w14:textId="77777777" w:rsidR="00500337" w:rsidRPr="00441C3F" w:rsidRDefault="009C324D" w:rsidP="001B5C90">
            <w:pPr>
              <w:rPr>
                <w:i/>
              </w:rPr>
            </w:pPr>
            <w:r>
              <w:rPr>
                <w:i/>
              </w:rPr>
              <w:t>ARTG number</w:t>
            </w:r>
            <w:r w:rsidR="00500337">
              <w:rPr>
                <w:i/>
              </w:rPr>
              <w:t>:</w:t>
            </w:r>
          </w:p>
        </w:tc>
        <w:tc>
          <w:tcPr>
            <w:tcW w:w="6307" w:type="dxa"/>
          </w:tcPr>
          <w:p w14:paraId="17C31C95" w14:textId="77777777" w:rsidR="00500337" w:rsidRPr="00441C3F" w:rsidRDefault="009C324D" w:rsidP="009C324D">
            <w:r>
              <w:t>Not applicable</w:t>
            </w:r>
          </w:p>
        </w:tc>
      </w:tr>
      <w:tr w:rsidR="003735BC" w:rsidRPr="003D1E62" w14:paraId="53504FF8" w14:textId="77777777" w:rsidTr="003735BC">
        <w:tc>
          <w:tcPr>
            <w:tcW w:w="2907" w:type="dxa"/>
          </w:tcPr>
          <w:p w14:paraId="42572C63" w14:textId="77777777" w:rsidR="003735BC" w:rsidRDefault="00FA5069" w:rsidP="001B5C90">
            <w:pPr>
              <w:rPr>
                <w:i/>
              </w:rPr>
            </w:pPr>
            <w:r>
              <w:rPr>
                <w:rFonts w:ascii="Wingdings 3" w:hAnsi="Wingdings 3"/>
                <w:sz w:val="34"/>
                <w:szCs w:val="34"/>
                <w:lang w:eastAsia="en-AU"/>
              </w:rPr>
              <w:t></w:t>
            </w:r>
            <w:r w:rsidR="003735BC" w:rsidRPr="003735BC">
              <w:rPr>
                <w:i/>
              </w:rPr>
              <w:t>Black Triangle Scheme</w:t>
            </w:r>
          </w:p>
        </w:tc>
        <w:tc>
          <w:tcPr>
            <w:tcW w:w="6307" w:type="dxa"/>
          </w:tcPr>
          <w:p w14:paraId="254E9900" w14:textId="77777777" w:rsidR="003735BC" w:rsidRPr="00487162" w:rsidRDefault="009C324D" w:rsidP="003735BC">
            <w:r>
              <w:t>Not applicable</w:t>
            </w:r>
          </w:p>
        </w:tc>
      </w:tr>
    </w:tbl>
    <w:p w14:paraId="4B18B50F" w14:textId="77777777" w:rsidR="008E7846" w:rsidRDefault="008E7846" w:rsidP="008E7846"/>
    <w:tbl>
      <w:tblPr>
        <w:tblW w:w="9214" w:type="dxa"/>
        <w:tblInd w:w="108" w:type="dxa"/>
        <w:tblLook w:val="01E0" w:firstRow="1" w:lastRow="1" w:firstColumn="1" w:lastColumn="1" w:noHBand="0" w:noVBand="0"/>
      </w:tblPr>
      <w:tblGrid>
        <w:gridCol w:w="2907"/>
        <w:gridCol w:w="6307"/>
      </w:tblGrid>
      <w:tr w:rsidR="008E7846" w:rsidRPr="00487162" w14:paraId="451CB133" w14:textId="77777777" w:rsidTr="00BF1190">
        <w:tc>
          <w:tcPr>
            <w:tcW w:w="2907" w:type="dxa"/>
          </w:tcPr>
          <w:p w14:paraId="0DE6E3BC" w14:textId="77777777" w:rsidR="008E7846" w:rsidRPr="00487162" w:rsidRDefault="009C324D" w:rsidP="00E45619">
            <w:pPr>
              <w:rPr>
                <w:i/>
              </w:rPr>
            </w:pPr>
            <w:r>
              <w:rPr>
                <w:i/>
              </w:rPr>
              <w:t>Active ingredient</w:t>
            </w:r>
            <w:r w:rsidR="001B5C90">
              <w:rPr>
                <w:i/>
              </w:rPr>
              <w:t>:</w:t>
            </w:r>
          </w:p>
        </w:tc>
        <w:tc>
          <w:tcPr>
            <w:tcW w:w="6307" w:type="dxa"/>
          </w:tcPr>
          <w:p w14:paraId="6DBB4A42" w14:textId="77777777" w:rsidR="008E7846" w:rsidRPr="00487162" w:rsidRDefault="009C324D" w:rsidP="00E55CB0">
            <w:r>
              <w:t>M</w:t>
            </w:r>
            <w:r w:rsidRPr="009C324D">
              <w:t>epolizumab</w:t>
            </w:r>
          </w:p>
        </w:tc>
      </w:tr>
      <w:tr w:rsidR="008E7846" w:rsidRPr="00487162" w14:paraId="7D49BBC3" w14:textId="77777777" w:rsidTr="00BF1190">
        <w:tc>
          <w:tcPr>
            <w:tcW w:w="2907" w:type="dxa"/>
          </w:tcPr>
          <w:p w14:paraId="78C6C8AA" w14:textId="77777777" w:rsidR="008E7846" w:rsidRPr="00487162" w:rsidRDefault="008E7846" w:rsidP="001B5C90">
            <w:pPr>
              <w:rPr>
                <w:i/>
              </w:rPr>
            </w:pPr>
            <w:r w:rsidRPr="00487162">
              <w:rPr>
                <w:i/>
              </w:rPr>
              <w:t>Product</w:t>
            </w:r>
            <w:r w:rsidR="009C324D">
              <w:rPr>
                <w:i/>
              </w:rPr>
              <w:t xml:space="preserve"> name</w:t>
            </w:r>
            <w:r w:rsidR="001B5C90">
              <w:rPr>
                <w:i/>
              </w:rPr>
              <w:t>:</w:t>
            </w:r>
          </w:p>
        </w:tc>
        <w:tc>
          <w:tcPr>
            <w:tcW w:w="6307" w:type="dxa"/>
          </w:tcPr>
          <w:p w14:paraId="7D0D2B79" w14:textId="77777777" w:rsidR="008E7846" w:rsidRPr="00487162" w:rsidRDefault="009C324D" w:rsidP="00E45619">
            <w:r w:rsidRPr="009C324D">
              <w:t>Nucala</w:t>
            </w:r>
          </w:p>
        </w:tc>
      </w:tr>
      <w:tr w:rsidR="008E7846" w:rsidRPr="00487162" w14:paraId="64863A45" w14:textId="77777777" w:rsidTr="00BF1190">
        <w:tc>
          <w:tcPr>
            <w:tcW w:w="2907" w:type="dxa"/>
          </w:tcPr>
          <w:p w14:paraId="10B51CF5" w14:textId="77777777" w:rsidR="008E7846" w:rsidRPr="00487162" w:rsidRDefault="008E7846" w:rsidP="001B5C90">
            <w:pPr>
              <w:rPr>
                <w:i/>
              </w:rPr>
            </w:pPr>
            <w:r w:rsidRPr="00487162">
              <w:rPr>
                <w:i/>
              </w:rPr>
              <w:t xml:space="preserve">Sponsor’s </w:t>
            </w:r>
            <w:r w:rsidR="001B5C90">
              <w:rPr>
                <w:i/>
              </w:rPr>
              <w:t>n</w:t>
            </w:r>
            <w:r w:rsidRPr="00487162">
              <w:rPr>
                <w:i/>
              </w:rPr>
              <w:t xml:space="preserve">ame and </w:t>
            </w:r>
            <w:r w:rsidR="001B5C90">
              <w:rPr>
                <w:i/>
              </w:rPr>
              <w:t>a</w:t>
            </w:r>
            <w:r w:rsidRPr="00487162">
              <w:rPr>
                <w:i/>
              </w:rPr>
              <w:t>ddress:</w:t>
            </w:r>
          </w:p>
        </w:tc>
        <w:tc>
          <w:tcPr>
            <w:tcW w:w="6307" w:type="dxa"/>
          </w:tcPr>
          <w:p w14:paraId="0F2492E3" w14:textId="77777777" w:rsidR="009C324D" w:rsidRDefault="009C324D" w:rsidP="009C324D">
            <w:r>
              <w:t>GlaxoSmithKline Australia Pty Ltd</w:t>
            </w:r>
          </w:p>
          <w:p w14:paraId="0923C491" w14:textId="77777777" w:rsidR="009C324D" w:rsidRDefault="009C324D" w:rsidP="009C324D">
            <w:r>
              <w:t>PO Box 18095</w:t>
            </w:r>
          </w:p>
          <w:p w14:paraId="3C38A7B2" w14:textId="77777777" w:rsidR="008E7846" w:rsidRPr="00487162" w:rsidRDefault="009C324D" w:rsidP="009C324D">
            <w:r>
              <w:t>Melbourne VIC 8003</w:t>
            </w:r>
          </w:p>
        </w:tc>
      </w:tr>
      <w:tr w:rsidR="008E7846" w:rsidRPr="00487162" w14:paraId="7EACA2D7" w14:textId="77777777" w:rsidTr="00BF1190">
        <w:tc>
          <w:tcPr>
            <w:tcW w:w="2907" w:type="dxa"/>
          </w:tcPr>
          <w:p w14:paraId="0C764468" w14:textId="77777777" w:rsidR="008E7846" w:rsidRPr="00487162" w:rsidRDefault="009C324D" w:rsidP="00E45619">
            <w:pPr>
              <w:rPr>
                <w:i/>
              </w:rPr>
            </w:pPr>
            <w:r>
              <w:rPr>
                <w:i/>
              </w:rPr>
              <w:t>Dose form</w:t>
            </w:r>
            <w:r w:rsidR="001B5C90">
              <w:rPr>
                <w:i/>
              </w:rPr>
              <w:t>:</w:t>
            </w:r>
          </w:p>
        </w:tc>
        <w:tc>
          <w:tcPr>
            <w:tcW w:w="6307" w:type="dxa"/>
          </w:tcPr>
          <w:p w14:paraId="302B0D5E" w14:textId="77777777" w:rsidR="008E7846" w:rsidRPr="00487162" w:rsidRDefault="009C324D" w:rsidP="00E45619">
            <w:r>
              <w:t>Powder for injection</w:t>
            </w:r>
          </w:p>
        </w:tc>
      </w:tr>
      <w:tr w:rsidR="008E7846" w:rsidRPr="00487162" w14:paraId="49A77FEA" w14:textId="77777777" w:rsidTr="00BF1190">
        <w:tc>
          <w:tcPr>
            <w:tcW w:w="2907" w:type="dxa"/>
          </w:tcPr>
          <w:p w14:paraId="3FF00E30" w14:textId="77777777" w:rsidR="008E7846" w:rsidRPr="00487162" w:rsidRDefault="009C324D" w:rsidP="00E45619">
            <w:pPr>
              <w:rPr>
                <w:i/>
              </w:rPr>
            </w:pPr>
            <w:r>
              <w:rPr>
                <w:i/>
              </w:rPr>
              <w:t>Strength</w:t>
            </w:r>
            <w:r w:rsidR="008E7846" w:rsidRPr="00487162">
              <w:rPr>
                <w:i/>
              </w:rPr>
              <w:t xml:space="preserve">: </w:t>
            </w:r>
          </w:p>
        </w:tc>
        <w:tc>
          <w:tcPr>
            <w:tcW w:w="6307" w:type="dxa"/>
          </w:tcPr>
          <w:p w14:paraId="775D197B" w14:textId="77777777" w:rsidR="008E7846" w:rsidRPr="00487162" w:rsidRDefault="009C324D" w:rsidP="00E45619">
            <w:r>
              <w:t>100 mg</w:t>
            </w:r>
          </w:p>
        </w:tc>
      </w:tr>
      <w:tr w:rsidR="008E7846" w:rsidRPr="00487162" w14:paraId="2B556012" w14:textId="77777777" w:rsidTr="00BF1190">
        <w:tc>
          <w:tcPr>
            <w:tcW w:w="2907" w:type="dxa"/>
          </w:tcPr>
          <w:p w14:paraId="39E31424" w14:textId="77777777" w:rsidR="008E7846" w:rsidRPr="00487162" w:rsidRDefault="00823BFF" w:rsidP="00E45619">
            <w:pPr>
              <w:rPr>
                <w:i/>
              </w:rPr>
            </w:pPr>
            <w:r>
              <w:rPr>
                <w:i/>
              </w:rPr>
              <w:t>Container</w:t>
            </w:r>
            <w:r w:rsidR="008E7846" w:rsidRPr="00487162">
              <w:rPr>
                <w:i/>
              </w:rPr>
              <w:t>:</w:t>
            </w:r>
          </w:p>
        </w:tc>
        <w:tc>
          <w:tcPr>
            <w:tcW w:w="6307" w:type="dxa"/>
          </w:tcPr>
          <w:p w14:paraId="578884A4" w14:textId="77777777" w:rsidR="008E7846" w:rsidRPr="00487162" w:rsidRDefault="00823BFF" w:rsidP="00E45619">
            <w:r>
              <w:t>Vial</w:t>
            </w:r>
          </w:p>
        </w:tc>
      </w:tr>
      <w:tr w:rsidR="008E7846" w:rsidRPr="00487162" w14:paraId="76C7170A" w14:textId="77777777" w:rsidTr="00BF1190">
        <w:tc>
          <w:tcPr>
            <w:tcW w:w="2907" w:type="dxa"/>
          </w:tcPr>
          <w:p w14:paraId="055359E0" w14:textId="77777777" w:rsidR="008E7846" w:rsidRPr="00487162" w:rsidRDefault="00823BFF" w:rsidP="00E45619">
            <w:pPr>
              <w:rPr>
                <w:i/>
              </w:rPr>
            </w:pPr>
            <w:r>
              <w:rPr>
                <w:i/>
              </w:rPr>
              <w:t>Pack size</w:t>
            </w:r>
            <w:r w:rsidR="008E7846" w:rsidRPr="00487162">
              <w:rPr>
                <w:i/>
              </w:rPr>
              <w:t>:</w:t>
            </w:r>
          </w:p>
        </w:tc>
        <w:tc>
          <w:tcPr>
            <w:tcW w:w="6307" w:type="dxa"/>
          </w:tcPr>
          <w:p w14:paraId="69AB96DA" w14:textId="77777777" w:rsidR="008E7846" w:rsidRPr="00487162" w:rsidRDefault="000333E0" w:rsidP="00E45619">
            <w:r>
              <w:t>One</w:t>
            </w:r>
          </w:p>
        </w:tc>
      </w:tr>
      <w:tr w:rsidR="008E7846" w:rsidRPr="00487162" w14:paraId="7F74D8C8" w14:textId="77777777" w:rsidTr="00BF1190">
        <w:tc>
          <w:tcPr>
            <w:tcW w:w="2907" w:type="dxa"/>
          </w:tcPr>
          <w:p w14:paraId="4ECBBF69" w14:textId="77777777" w:rsidR="008E7846" w:rsidRPr="00487162" w:rsidRDefault="008E7846" w:rsidP="001B5C90">
            <w:pPr>
              <w:rPr>
                <w:i/>
              </w:rPr>
            </w:pPr>
            <w:r w:rsidRPr="00487162">
              <w:rPr>
                <w:i/>
              </w:rPr>
              <w:t xml:space="preserve">Approved </w:t>
            </w:r>
            <w:r w:rsidR="001B5C90">
              <w:rPr>
                <w:i/>
              </w:rPr>
              <w:t>t</w:t>
            </w:r>
            <w:r w:rsidRPr="00487162">
              <w:rPr>
                <w:i/>
              </w:rPr>
              <w:t>herapeutic use:</w:t>
            </w:r>
          </w:p>
        </w:tc>
        <w:tc>
          <w:tcPr>
            <w:tcW w:w="6307" w:type="dxa"/>
          </w:tcPr>
          <w:p w14:paraId="797B04D2" w14:textId="77777777" w:rsidR="008E7846" w:rsidRPr="00487162" w:rsidRDefault="009C324D" w:rsidP="00E45619">
            <w:pPr>
              <w:rPr>
                <w:rFonts w:eastAsia="MS Mincho"/>
                <w:lang w:eastAsia="ja-JP"/>
              </w:rPr>
            </w:pPr>
            <w:r>
              <w:t>Not applicable</w:t>
            </w:r>
          </w:p>
        </w:tc>
      </w:tr>
      <w:tr w:rsidR="008E7846" w:rsidRPr="00487162" w14:paraId="1CAEC49B" w14:textId="77777777" w:rsidTr="00BF1190">
        <w:tc>
          <w:tcPr>
            <w:tcW w:w="2907" w:type="dxa"/>
          </w:tcPr>
          <w:p w14:paraId="40AD7175" w14:textId="77777777" w:rsidR="008E7846" w:rsidRPr="00487162" w:rsidRDefault="00823BFF" w:rsidP="00E45619">
            <w:pPr>
              <w:rPr>
                <w:i/>
              </w:rPr>
            </w:pPr>
            <w:r>
              <w:rPr>
                <w:i/>
              </w:rPr>
              <w:t>Route</w:t>
            </w:r>
            <w:r w:rsidR="008E7846" w:rsidRPr="00487162">
              <w:rPr>
                <w:i/>
              </w:rPr>
              <w:t xml:space="preserve"> of administration:</w:t>
            </w:r>
          </w:p>
        </w:tc>
        <w:tc>
          <w:tcPr>
            <w:tcW w:w="6307" w:type="dxa"/>
          </w:tcPr>
          <w:p w14:paraId="58E678A2" w14:textId="77777777" w:rsidR="008E7846" w:rsidRPr="00487162" w:rsidRDefault="00823BFF" w:rsidP="00E45619">
            <w:r>
              <w:t>Subcutaneous</w:t>
            </w:r>
          </w:p>
        </w:tc>
      </w:tr>
      <w:tr w:rsidR="008E7846" w:rsidRPr="00487162" w14:paraId="1A06B398" w14:textId="77777777" w:rsidTr="00BF1190">
        <w:tc>
          <w:tcPr>
            <w:tcW w:w="2907" w:type="dxa"/>
          </w:tcPr>
          <w:p w14:paraId="77B93B68" w14:textId="77777777" w:rsidR="008E7846" w:rsidRPr="00487162" w:rsidRDefault="008E7846" w:rsidP="00E45619">
            <w:pPr>
              <w:rPr>
                <w:i/>
              </w:rPr>
            </w:pPr>
            <w:r w:rsidRPr="00487162">
              <w:rPr>
                <w:i/>
              </w:rPr>
              <w:t>Dosage:</w:t>
            </w:r>
          </w:p>
        </w:tc>
        <w:tc>
          <w:tcPr>
            <w:tcW w:w="6307" w:type="dxa"/>
          </w:tcPr>
          <w:p w14:paraId="18290177" w14:textId="77777777" w:rsidR="008E7846" w:rsidRPr="00823BFF" w:rsidRDefault="00823BFF" w:rsidP="00E45619">
            <w:pPr>
              <w:rPr>
                <w:i/>
              </w:rPr>
            </w:pPr>
            <w:r w:rsidRPr="00823BFF">
              <w:rPr>
                <w:i/>
              </w:rPr>
              <w:t>Proposed</w:t>
            </w:r>
          </w:p>
          <w:p w14:paraId="7829EF4B" w14:textId="77777777" w:rsidR="00823BFF" w:rsidRPr="00823BFF" w:rsidRDefault="00823BFF" w:rsidP="00823BFF">
            <w:pPr>
              <w:rPr>
                <w:i/>
              </w:rPr>
            </w:pPr>
            <w:r w:rsidRPr="00823BFF">
              <w:rPr>
                <w:i/>
              </w:rPr>
              <w:t>Children aged 6 to 11 years old</w:t>
            </w:r>
          </w:p>
          <w:p w14:paraId="2B907B25" w14:textId="77777777" w:rsidR="00823BFF" w:rsidRDefault="00823BFF" w:rsidP="00823BFF">
            <w:r>
              <w:t>The recommended dose is 40 mg of mepolizumab administered by subcutaneous (SC) injection once every 4 weeks.</w:t>
            </w:r>
            <w:r w:rsidR="0016393D">
              <w:t xml:space="preserve"> For instructions on attaining a 40 mg dose from the vial, see Method of Administration below.</w:t>
            </w:r>
          </w:p>
          <w:p w14:paraId="1EDD07E5" w14:textId="77777777" w:rsidR="00823BFF" w:rsidRDefault="00823BFF" w:rsidP="00823BFF">
            <w:r>
              <w:t>Each 100 mg vial of mepolizumab should be used for a single patient, and the remainder of the vial should be discarded.</w:t>
            </w:r>
          </w:p>
          <w:p w14:paraId="208499A3" w14:textId="23E3CCF3" w:rsidR="0016393D" w:rsidRPr="00487162" w:rsidRDefault="0016393D" w:rsidP="00823BFF">
            <w:r>
              <w:t xml:space="preserve">The safety and efficacy of </w:t>
            </w:r>
            <w:r w:rsidR="00C74383">
              <w:t>Nucala</w:t>
            </w:r>
            <w:r>
              <w:t xml:space="preserve"> have not been established in children less than 6 years of age.</w:t>
            </w:r>
          </w:p>
        </w:tc>
      </w:tr>
    </w:tbl>
    <w:p w14:paraId="0E249C99" w14:textId="77777777" w:rsidR="008E7846" w:rsidRDefault="008E7846" w:rsidP="008E7846">
      <w:pPr>
        <w:pStyle w:val="Heading3"/>
      </w:pPr>
      <w:bookmarkStart w:id="13" w:name="_Toc247691503"/>
      <w:bookmarkStart w:id="14" w:name="_Toc314842484"/>
      <w:bookmarkStart w:id="15" w:name="_Toc32941688"/>
      <w:r>
        <w:lastRenderedPageBreak/>
        <w:t>Product background</w:t>
      </w:r>
      <w:bookmarkEnd w:id="13"/>
      <w:bookmarkEnd w:id="14"/>
      <w:bookmarkEnd w:id="15"/>
    </w:p>
    <w:p w14:paraId="2D984CE9" w14:textId="77777777" w:rsidR="008E7846" w:rsidRDefault="00940A89" w:rsidP="0081258E">
      <w:r w:rsidRPr="00940A89">
        <w:t xml:space="preserve">This AusPAR describes the application by </w:t>
      </w:r>
      <w:r w:rsidR="00823BFF">
        <w:t>GlaxoSmithKline Australia Pty Ltd</w:t>
      </w:r>
      <w:r w:rsidR="00823BFF" w:rsidRPr="00940A89">
        <w:t xml:space="preserve"> </w:t>
      </w:r>
      <w:r w:rsidR="00823BFF">
        <w:t>(</w:t>
      </w:r>
      <w:r w:rsidRPr="00940A89">
        <w:t>the sponsor</w:t>
      </w:r>
      <w:r w:rsidR="00823BFF">
        <w:t>)</w:t>
      </w:r>
      <w:r w:rsidRPr="00940A89">
        <w:t xml:space="preserve"> to register </w:t>
      </w:r>
      <w:r w:rsidR="00823BFF" w:rsidRPr="00823BFF">
        <w:t>Nucala</w:t>
      </w:r>
      <w:r w:rsidR="00823BFF">
        <w:t xml:space="preserve"> (</w:t>
      </w:r>
      <w:r w:rsidR="00823BFF" w:rsidRPr="00823BFF">
        <w:t>mepolizumab</w:t>
      </w:r>
      <w:r w:rsidR="00823BFF">
        <w:t>)</w:t>
      </w:r>
      <w:r w:rsidR="00823BFF" w:rsidRPr="00823BFF">
        <w:t xml:space="preserve"> 100 mg powder for injection</w:t>
      </w:r>
      <w:r w:rsidRPr="00940A89">
        <w:t xml:space="preserve"> f</w:t>
      </w:r>
      <w:r w:rsidR="009C324D">
        <w:t>or the following</w:t>
      </w:r>
      <w:r w:rsidR="000333E0">
        <w:t xml:space="preserve"> extension of</w:t>
      </w:r>
      <w:r w:rsidR="009C324D">
        <w:t xml:space="preserve"> indication</w:t>
      </w:r>
      <w:r w:rsidR="000333E0">
        <w:t>s</w:t>
      </w:r>
      <w:r w:rsidR="009C324D">
        <w:t>:</w:t>
      </w:r>
    </w:p>
    <w:p w14:paraId="46CB4A61" w14:textId="77777777" w:rsidR="009C324D" w:rsidRPr="009C324D" w:rsidRDefault="009C324D" w:rsidP="009C324D">
      <w:pPr>
        <w:ind w:left="720"/>
        <w:rPr>
          <w:i/>
        </w:rPr>
      </w:pPr>
      <w:r w:rsidRPr="009C324D">
        <w:rPr>
          <w:i/>
        </w:rPr>
        <w:t>Nucala is indicated as an add-on treatment for severe refractory eosinophilic asthma in patients aged 6 years and over.</w:t>
      </w:r>
    </w:p>
    <w:p w14:paraId="7FF14CDE" w14:textId="77777777" w:rsidR="00C857C7" w:rsidRDefault="00C857C7" w:rsidP="0081258E">
      <w:r>
        <w:t>Asthma is a heterogeneous disease</w:t>
      </w:r>
      <w:r w:rsidR="00606E8D">
        <w:t xml:space="preserve"> </w:t>
      </w:r>
      <w:r w:rsidR="00E711F6">
        <w:t>characterised by narrowing and swelling of the airways, leading to chest tightness, wheezing, shortness of breath and cough. It</w:t>
      </w:r>
      <w:r w:rsidR="00606E8D">
        <w:t xml:space="preserve"> affects </w:t>
      </w:r>
      <w:r w:rsidR="00606E8D">
        <w:rPr>
          <w:lang w:eastAsia="ja-JP"/>
        </w:rPr>
        <w:t xml:space="preserve">1 to </w:t>
      </w:r>
      <w:r w:rsidR="00606E8D" w:rsidRPr="00900545">
        <w:rPr>
          <w:lang w:eastAsia="ja-JP"/>
        </w:rPr>
        <w:t xml:space="preserve">18% </w:t>
      </w:r>
      <w:r w:rsidR="00606E8D">
        <w:rPr>
          <w:lang w:eastAsia="ja-JP"/>
        </w:rPr>
        <w:t xml:space="preserve">of the </w:t>
      </w:r>
      <w:r w:rsidR="00606E8D" w:rsidRPr="00E711F6">
        <w:rPr>
          <w:lang w:eastAsia="ja-JP"/>
        </w:rPr>
        <w:t>population globally</w:t>
      </w:r>
      <w:r w:rsidR="00E711F6">
        <w:rPr>
          <w:lang w:eastAsia="ja-JP"/>
        </w:rPr>
        <w:t>.</w:t>
      </w:r>
      <w:bookmarkStart w:id="16" w:name="_Ref27399307"/>
      <w:r w:rsidR="00E711F6">
        <w:rPr>
          <w:rStyle w:val="FootnoteReference"/>
          <w:lang w:eastAsia="ja-JP"/>
        </w:rPr>
        <w:footnoteReference w:id="1"/>
      </w:r>
      <w:bookmarkEnd w:id="16"/>
    </w:p>
    <w:p w14:paraId="671ED47C" w14:textId="77611BAA" w:rsidR="000333E0" w:rsidRDefault="000333E0" w:rsidP="00C857C7">
      <w:r>
        <w:t>Asthma severity is assessed from the level of treatment required to control symptoms and exacerbations. Severe asthma is defined as asthma that requires treatment with medium/high dose i</w:t>
      </w:r>
      <w:r w:rsidRPr="00E711F6">
        <w:t xml:space="preserve">nhaled corticosteroids </w:t>
      </w:r>
      <w:r>
        <w:t>(ICS)</w:t>
      </w:r>
      <w:r w:rsidR="002E5AB1">
        <w:t xml:space="preserve"> and </w:t>
      </w:r>
      <w:r>
        <w:t>long</w:t>
      </w:r>
      <w:r w:rsidRPr="00185B0A">
        <w:t>-acting β-agonist</w:t>
      </w:r>
      <w:r>
        <w:t>s (LABA), to prevent it from becoming uncontrolled, or asthma that remains uncontrolled despite this treatment. In general, the definition of severe asthma is reserved for patients with refractory asthma and those in whom response to treatment of comorbidities is incomplete.</w:t>
      </w:r>
    </w:p>
    <w:p w14:paraId="24CA925C" w14:textId="77777777" w:rsidR="000333E0" w:rsidRDefault="000333E0" w:rsidP="00C857C7">
      <w:r>
        <w:t>Different asthma ‘phenotypes’ or ‘endotypes’ have been described based on clusters of demographic, clinical and/or pathophysiological characteristics. Inflammation in severe asthma has been categorised into eosinophilic, neutrophilic and/or paucigranulocytic.</w:t>
      </w:r>
    </w:p>
    <w:p w14:paraId="0A5D89D3" w14:textId="3795DD89" w:rsidR="00C857C7" w:rsidRDefault="00C857C7" w:rsidP="00C857C7">
      <w:r>
        <w:t>Severe refractory eosinophilic asthma is a small subgroup of the total population diagnosed with asthma. In adults</w:t>
      </w:r>
      <w:r w:rsidR="000333E0">
        <w:t>,</w:t>
      </w:r>
      <w:r>
        <w:t xml:space="preserve"> eosinophilia appears to be associated with higher risk of exacerbations, and less response to </w:t>
      </w:r>
      <w:r w:rsidR="000333E0">
        <w:t xml:space="preserve">ICS </w:t>
      </w:r>
      <w:r>
        <w:t xml:space="preserve">or </w:t>
      </w:r>
      <w:r w:rsidR="00E711F6">
        <w:t>oral corticosteroids (</w:t>
      </w:r>
      <w:r>
        <w:t>OCS</w:t>
      </w:r>
      <w:r w:rsidR="00E711F6">
        <w:t xml:space="preserve">). </w:t>
      </w:r>
      <w:r>
        <w:t>Studies in adults found high blood eosinophilia count (</w:t>
      </w:r>
      <w:r w:rsidR="0081258E">
        <w:sym w:font="Symbol" w:char="F0B3"/>
      </w:r>
      <w:r w:rsidR="00606E8D">
        <w:t xml:space="preserve"> </w:t>
      </w:r>
      <w:r>
        <w:t>400/mm</w:t>
      </w:r>
      <w:r w:rsidRPr="00E711F6">
        <w:rPr>
          <w:vertAlign w:val="superscript"/>
        </w:rPr>
        <w:t>3</w:t>
      </w:r>
      <w:r>
        <w:t xml:space="preserve">) was associated with increased future asthma exacerbations and </w:t>
      </w:r>
      <w:r w:rsidR="00185B0A">
        <w:t>s</w:t>
      </w:r>
      <w:r w:rsidR="00185B0A" w:rsidRPr="00185B0A">
        <w:t xml:space="preserve">hort-acting β-agonist </w:t>
      </w:r>
      <w:r w:rsidR="00185B0A">
        <w:t>(</w:t>
      </w:r>
      <w:r>
        <w:t>SABA</w:t>
      </w:r>
      <w:r w:rsidR="00185B0A">
        <w:t>)</w:t>
      </w:r>
      <w:r>
        <w:t xml:space="preserve"> use after adjustment of potential confounders. Sputum eosinophilia appears more stable in adults over longer yearly p</w:t>
      </w:r>
      <w:r w:rsidR="00185B0A">
        <w:t>eriods but less so in children.</w:t>
      </w:r>
    </w:p>
    <w:p w14:paraId="417D122F" w14:textId="77777777" w:rsidR="00C857C7" w:rsidRDefault="00606E8D" w:rsidP="00C857C7">
      <w:r>
        <w:rPr>
          <w:lang w:eastAsia="ja-JP"/>
        </w:rPr>
        <w:t xml:space="preserve">Severe asthma is less frequent in paediatric age groups than in adults but the severity is greater as evidenced by the higher frequency of </w:t>
      </w:r>
      <w:r w:rsidR="00185B0A">
        <w:rPr>
          <w:lang w:eastAsia="ja-JP"/>
        </w:rPr>
        <w:t>emergency department (</w:t>
      </w:r>
      <w:r>
        <w:rPr>
          <w:lang w:eastAsia="ja-JP"/>
        </w:rPr>
        <w:t>ED</w:t>
      </w:r>
      <w:r w:rsidR="00185B0A">
        <w:rPr>
          <w:lang w:eastAsia="ja-JP"/>
        </w:rPr>
        <w:t>)</w:t>
      </w:r>
      <w:r>
        <w:rPr>
          <w:lang w:eastAsia="ja-JP"/>
        </w:rPr>
        <w:t xml:space="preserve"> visits and hospitalisations. Asthma that is difficult to control may require the addition of OCS, with known adverse effects particularly in children. </w:t>
      </w:r>
      <w:r w:rsidR="00C857C7">
        <w:t xml:space="preserve">Children with severe asthma are often highly atopic with increased peripheral blood eosinophilia, aeroallergen sensitivity, and elevated serum </w:t>
      </w:r>
      <w:r w:rsidR="00185B0A">
        <w:t>immunoglobulin E (</w:t>
      </w:r>
      <w:r w:rsidR="00C857C7">
        <w:t>IgE</w:t>
      </w:r>
      <w:r w:rsidR="00185B0A">
        <w:t>)</w:t>
      </w:r>
      <w:r w:rsidR="00C857C7">
        <w:t xml:space="preserve"> concentrations, with sus</w:t>
      </w:r>
      <w:r>
        <w:t xml:space="preserve">tained increases in exhaled </w:t>
      </w:r>
      <w:r w:rsidR="00185B0A">
        <w:t>nitric oxide (</w:t>
      </w:r>
      <w:r>
        <w:t>NO</w:t>
      </w:r>
      <w:r w:rsidR="00185B0A">
        <w:t>)</w:t>
      </w:r>
      <w:r>
        <w:t>.</w:t>
      </w:r>
    </w:p>
    <w:p w14:paraId="762F6731" w14:textId="14A4EAAE" w:rsidR="00C857C7" w:rsidRDefault="00C857C7" w:rsidP="00C857C7">
      <w:r>
        <w:t xml:space="preserve">According to </w:t>
      </w:r>
      <w:r w:rsidR="002E5AB1">
        <w:t xml:space="preserve">the </w:t>
      </w:r>
      <w:r w:rsidR="00185B0A">
        <w:t>Global Initiative for Asthma (GINA)</w:t>
      </w:r>
      <w:r w:rsidR="002E5AB1">
        <w:t>;</w:t>
      </w:r>
      <w:r w:rsidR="00185B0A">
        <w:fldChar w:fldCharType="begin"/>
      </w:r>
      <w:r w:rsidR="00185B0A">
        <w:instrText xml:space="preserve"> NOTEREF _Ref27399307 \f \h </w:instrText>
      </w:r>
      <w:r w:rsidR="00185B0A">
        <w:fldChar w:fldCharType="separate"/>
      </w:r>
      <w:r w:rsidR="00185B0A" w:rsidRPr="00185B0A">
        <w:rPr>
          <w:rStyle w:val="FootnoteReference"/>
        </w:rPr>
        <w:t>1</w:t>
      </w:r>
      <w:r w:rsidR="00185B0A">
        <w:fldChar w:fldCharType="end"/>
      </w:r>
      <w:r w:rsidR="004722E0">
        <w:t xml:space="preserve"> additional treatment options (</w:t>
      </w:r>
      <w:r w:rsidR="002E5AB1">
        <w:t xml:space="preserve">in addition </w:t>
      </w:r>
      <w:r>
        <w:t>to medium or high-dose ICS plus LABA) for children over 6 years whose asthma i</w:t>
      </w:r>
      <w:r w:rsidR="00185B0A">
        <w:t>s difficult to control, include</w:t>
      </w:r>
      <w:r w:rsidR="002E5AB1">
        <w:t xml:space="preserve"> the following</w:t>
      </w:r>
      <w:r w:rsidR="00185B0A">
        <w:t>:</w:t>
      </w:r>
    </w:p>
    <w:p w14:paraId="1396C601" w14:textId="7D30A569" w:rsidR="00C857C7" w:rsidRDefault="002E5AB1" w:rsidP="00185B0A">
      <w:pPr>
        <w:pStyle w:val="ListBullet"/>
      </w:pPr>
      <w:r>
        <w:t xml:space="preserve">tiotropium; trade name </w:t>
      </w:r>
      <w:r w:rsidR="00C857C7">
        <w:t>‘Spiriva’: in Australia ‘</w:t>
      </w:r>
      <w:r w:rsidR="00C857C7" w:rsidRPr="00185B0A">
        <w:rPr>
          <w:i/>
        </w:rPr>
        <w:t>indicated as add-on maintenance bronchodilator treatment in patients aged 6 years and older with moderate to severe asthma</w:t>
      </w:r>
      <w:r w:rsidR="00185B0A">
        <w:t>’</w:t>
      </w:r>
      <w:r>
        <w:t>; and</w:t>
      </w:r>
    </w:p>
    <w:p w14:paraId="1A36C9F1" w14:textId="738B0C20" w:rsidR="00940A89" w:rsidRDefault="002E5AB1" w:rsidP="00185B0A">
      <w:pPr>
        <w:pStyle w:val="ListBullet"/>
      </w:pPr>
      <w:r>
        <w:t xml:space="preserve">omalizumab; trade name </w:t>
      </w:r>
      <w:r w:rsidR="00C857C7">
        <w:t>‘Xolair’:</w:t>
      </w:r>
      <w:r w:rsidR="000333E0">
        <w:t xml:space="preserve"> in Australia i</w:t>
      </w:r>
      <w:r w:rsidR="00C857C7">
        <w:t>ndications include ‘</w:t>
      </w:r>
      <w:r w:rsidR="00C857C7" w:rsidRPr="00185B0A">
        <w:rPr>
          <w:i/>
        </w:rPr>
        <w:t>In children aged 6 to &lt;</w:t>
      </w:r>
      <w:r w:rsidR="00185B0A">
        <w:rPr>
          <w:i/>
        </w:rPr>
        <w:t xml:space="preserve"> </w:t>
      </w:r>
      <w:r w:rsidR="00C857C7" w:rsidRPr="00185B0A">
        <w:rPr>
          <w:i/>
        </w:rPr>
        <w:t>12 years, Xolair is indicated as add-on therapy to improve asthma control in patients with severe allergic asthma who have documented exacerbations despite daily high dose inhaled corticosteroids, and who have immunoglobulin E levels corresponding to the recommended dose range</w:t>
      </w:r>
      <w:r w:rsidR="00C857C7">
        <w:t>’</w:t>
      </w:r>
      <w:r w:rsidR="00185B0A">
        <w:t>.</w:t>
      </w:r>
    </w:p>
    <w:p w14:paraId="42EDD128" w14:textId="77777777" w:rsidR="00606E8D" w:rsidRDefault="00606E8D" w:rsidP="00606E8D">
      <w:pPr>
        <w:rPr>
          <w:lang w:eastAsia="ja-JP"/>
        </w:rPr>
      </w:pPr>
      <w:r>
        <w:rPr>
          <w:lang w:eastAsia="ja-JP"/>
        </w:rPr>
        <w:lastRenderedPageBreak/>
        <w:t>The inflammatory response involving eosinophils is potentially a cause of smooth muscle hypertrophy and chronic mucosal damage associated with airway remodelling and asthma exacerbations.</w:t>
      </w:r>
    </w:p>
    <w:p w14:paraId="387DC49F" w14:textId="77777777" w:rsidR="00606E8D" w:rsidRDefault="004722E0" w:rsidP="00606E8D">
      <w:pPr>
        <w:rPr>
          <w:lang w:eastAsia="ja-JP"/>
        </w:rPr>
      </w:pPr>
      <w:r>
        <w:t xml:space="preserve">Mepolizumab is a humanised monoclonal antibody (immunoglobulin G1 (IgG1), kappa) directed against human interleukin-5 (IL-5). </w:t>
      </w:r>
      <w:r w:rsidR="00606E8D">
        <w:rPr>
          <w:lang w:eastAsia="ja-JP"/>
        </w:rPr>
        <w:t>IL-5 is a major haematopoietic cytokine responsible for growth and differentiation of eosinophils</w:t>
      </w:r>
      <w:r>
        <w:rPr>
          <w:lang w:eastAsia="ja-JP"/>
        </w:rPr>
        <w:t>. M</w:t>
      </w:r>
      <w:r>
        <w:t>epolizumab blocks the binding of IL-5 to the alpha chain of the IL-5 receptor (IL-5Rα) complex expressed on the eosinophil cell surface, thereby inhibiting IL-5 signalling and reducing the production and survival of eosinophils.</w:t>
      </w:r>
    </w:p>
    <w:p w14:paraId="4BECE07A" w14:textId="77777777" w:rsidR="008E7846" w:rsidRPr="003F31A2" w:rsidRDefault="00386150" w:rsidP="008E7846">
      <w:pPr>
        <w:pStyle w:val="Heading3"/>
      </w:pPr>
      <w:bookmarkStart w:id="17" w:name="_Toc314842485"/>
      <w:bookmarkStart w:id="18" w:name="_Toc247691504"/>
      <w:bookmarkStart w:id="19" w:name="_Toc32941689"/>
      <w:r>
        <w:t>Regulatory s</w:t>
      </w:r>
      <w:r w:rsidR="008E7846">
        <w:t>tatus</w:t>
      </w:r>
      <w:bookmarkEnd w:id="17"/>
      <w:bookmarkEnd w:id="18"/>
      <w:bookmarkEnd w:id="19"/>
    </w:p>
    <w:p w14:paraId="596C848E" w14:textId="1D2A74CA" w:rsidR="00940A89" w:rsidRDefault="00BB4692" w:rsidP="00940A89">
      <w:bookmarkStart w:id="20" w:name="_Toc247691505"/>
      <w:bookmarkStart w:id="21" w:name="_Toc314842486"/>
      <w:r w:rsidRPr="00823BFF">
        <w:t>Nucala</w:t>
      </w:r>
      <w:r>
        <w:t xml:space="preserve"> (</w:t>
      </w:r>
      <w:r w:rsidRPr="00823BFF">
        <w:t>mepolizumab</w:t>
      </w:r>
      <w:r>
        <w:t>)</w:t>
      </w:r>
      <w:r w:rsidRPr="00823BFF">
        <w:t xml:space="preserve"> 100 mg powder for injection</w:t>
      </w:r>
      <w:r w:rsidRPr="00940A89">
        <w:t xml:space="preserve"> </w:t>
      </w:r>
      <w:r w:rsidR="00940A89" w:rsidRPr="00940A89">
        <w:t>received initial registration on the Australian Register</w:t>
      </w:r>
      <w:r>
        <w:t xml:space="preserve"> of Therapeutic Goods (ARTG</w:t>
      </w:r>
      <w:r w:rsidR="002E5AB1">
        <w:t>;</w:t>
      </w:r>
      <w:r w:rsidR="00A773D7">
        <w:t xml:space="preserve"> AUST R </w:t>
      </w:r>
      <w:r w:rsidR="00A773D7">
        <w:rPr>
          <w:rFonts w:eastAsiaTheme="minorHAnsi" w:cs="Cambria"/>
        </w:rPr>
        <w:t>232028</w:t>
      </w:r>
      <w:r>
        <w:t>) on 2 February 2016 for the following indication</w:t>
      </w:r>
      <w:r w:rsidR="00A773D7">
        <w:t>:</w:t>
      </w:r>
    </w:p>
    <w:p w14:paraId="33262C6E" w14:textId="771BA73B" w:rsidR="00A773D7" w:rsidRPr="00A773D7" w:rsidRDefault="002E5AB1" w:rsidP="00A773D7">
      <w:pPr>
        <w:ind w:left="720"/>
        <w:rPr>
          <w:i/>
        </w:rPr>
      </w:pPr>
      <w:r w:rsidRPr="00A773D7">
        <w:rPr>
          <w:i/>
        </w:rPr>
        <w:t>N</w:t>
      </w:r>
      <w:r>
        <w:rPr>
          <w:i/>
        </w:rPr>
        <w:t>ucala</w:t>
      </w:r>
      <w:r w:rsidRPr="00A773D7">
        <w:rPr>
          <w:i/>
        </w:rPr>
        <w:t xml:space="preserve"> </w:t>
      </w:r>
      <w:r w:rsidR="00A773D7" w:rsidRPr="00A773D7">
        <w:rPr>
          <w:i/>
        </w:rPr>
        <w:t xml:space="preserve">is indicated as an add-on treatment for severe refractory eosinophilic asthma in patients aged 12 years and over (see </w:t>
      </w:r>
      <w:r>
        <w:rPr>
          <w:i/>
        </w:rPr>
        <w:t>Clinical Trials</w:t>
      </w:r>
      <w:r w:rsidR="00A773D7" w:rsidRPr="00A773D7">
        <w:rPr>
          <w:i/>
        </w:rPr>
        <w:t>).</w:t>
      </w:r>
    </w:p>
    <w:p w14:paraId="5A834091" w14:textId="77777777" w:rsidR="00A773D7" w:rsidRDefault="00A773D7" w:rsidP="00A773D7">
      <w:r>
        <w:t>On 24 January 2019</w:t>
      </w:r>
      <w:r w:rsidR="000333E0">
        <w:t>,</w:t>
      </w:r>
      <w:r>
        <w:t xml:space="preserve"> the following extension of indications was approved:</w:t>
      </w:r>
    </w:p>
    <w:p w14:paraId="7850D4E3" w14:textId="77777777" w:rsidR="000E063C" w:rsidRPr="000E063C" w:rsidRDefault="000E063C" w:rsidP="000E063C">
      <w:pPr>
        <w:ind w:left="720"/>
        <w:rPr>
          <w:i/>
        </w:rPr>
      </w:pPr>
      <w:r w:rsidRPr="000E063C">
        <w:rPr>
          <w:i/>
        </w:rPr>
        <w:t>Relapsed or refractory EGPA</w:t>
      </w:r>
    </w:p>
    <w:p w14:paraId="5003FCFA" w14:textId="671C263A" w:rsidR="00A773D7" w:rsidRPr="000E063C" w:rsidRDefault="002E5AB1" w:rsidP="000E063C">
      <w:pPr>
        <w:ind w:left="720"/>
        <w:rPr>
          <w:i/>
        </w:rPr>
      </w:pPr>
      <w:r w:rsidRPr="000E063C">
        <w:rPr>
          <w:i/>
        </w:rPr>
        <w:t>N</w:t>
      </w:r>
      <w:r>
        <w:rPr>
          <w:i/>
        </w:rPr>
        <w:t>ucala</w:t>
      </w:r>
      <w:r w:rsidRPr="000E063C">
        <w:rPr>
          <w:i/>
        </w:rPr>
        <w:t xml:space="preserve"> </w:t>
      </w:r>
      <w:r w:rsidR="000E063C" w:rsidRPr="000E063C">
        <w:rPr>
          <w:i/>
        </w:rPr>
        <w:t xml:space="preserve">is indicated as an add-on treatment for relapsing or refractory Eosinophilic Granulomatosis with Polyangiitis (EGPA) in adult patients aged 18 years and over (see section 5.1 </w:t>
      </w:r>
      <w:r w:rsidRPr="000E063C">
        <w:rPr>
          <w:i/>
        </w:rPr>
        <w:t xml:space="preserve">Pharmacodynamic Properties </w:t>
      </w:r>
      <w:r w:rsidR="000E063C" w:rsidRPr="000E063C">
        <w:rPr>
          <w:i/>
        </w:rPr>
        <w:t>- Clinical Trials).</w:t>
      </w:r>
    </w:p>
    <w:p w14:paraId="440CEE0B" w14:textId="77777777" w:rsidR="000E063C" w:rsidRDefault="000E063C" w:rsidP="000E063C">
      <w:r>
        <w:t>As such</w:t>
      </w:r>
      <w:r w:rsidR="000333E0">
        <w:t>,</w:t>
      </w:r>
      <w:r>
        <w:t xml:space="preserve"> the full indications at this time were:</w:t>
      </w:r>
    </w:p>
    <w:p w14:paraId="3F14F310" w14:textId="77777777" w:rsidR="000E063C" w:rsidRPr="000E063C" w:rsidRDefault="000E063C" w:rsidP="000E063C">
      <w:pPr>
        <w:ind w:left="720"/>
        <w:rPr>
          <w:i/>
        </w:rPr>
      </w:pPr>
      <w:r w:rsidRPr="000E063C">
        <w:rPr>
          <w:i/>
        </w:rPr>
        <w:t>Severe refractory eosinophilic asthma</w:t>
      </w:r>
    </w:p>
    <w:p w14:paraId="21BD8934" w14:textId="2A144EFD" w:rsidR="000E063C" w:rsidRPr="000E063C" w:rsidRDefault="000E063C" w:rsidP="000E063C">
      <w:pPr>
        <w:ind w:left="720"/>
        <w:rPr>
          <w:i/>
        </w:rPr>
      </w:pPr>
      <w:r w:rsidRPr="000E063C">
        <w:rPr>
          <w:i/>
        </w:rPr>
        <w:t xml:space="preserve">Nucala is indicated as an add-on treatment for severe refractory eosinophilic asthma in patients aged 12 years and over (see Section 5.1 </w:t>
      </w:r>
      <w:r w:rsidR="002E5AB1" w:rsidRPr="000E063C">
        <w:rPr>
          <w:i/>
        </w:rPr>
        <w:t>Pharmacodynamic Properties</w:t>
      </w:r>
      <w:r w:rsidRPr="000E063C">
        <w:rPr>
          <w:i/>
        </w:rPr>
        <w:t xml:space="preserve"> - Clinical Trials).</w:t>
      </w:r>
    </w:p>
    <w:p w14:paraId="7F4541F0" w14:textId="77777777" w:rsidR="000E063C" w:rsidRPr="000E063C" w:rsidRDefault="000E063C" w:rsidP="000E063C">
      <w:pPr>
        <w:ind w:left="720"/>
        <w:rPr>
          <w:i/>
        </w:rPr>
      </w:pPr>
      <w:r w:rsidRPr="000E063C">
        <w:rPr>
          <w:i/>
        </w:rPr>
        <w:t>Relapsed or refractory EGPA</w:t>
      </w:r>
    </w:p>
    <w:p w14:paraId="1EFFA148" w14:textId="0C985307" w:rsidR="000E063C" w:rsidRPr="000E063C" w:rsidRDefault="000E063C" w:rsidP="000E063C">
      <w:pPr>
        <w:ind w:left="720"/>
        <w:rPr>
          <w:i/>
        </w:rPr>
      </w:pPr>
      <w:r w:rsidRPr="000E063C">
        <w:rPr>
          <w:i/>
        </w:rPr>
        <w:t xml:space="preserve">Nucala is indicated as an add-on treatment for relapsing or refractory Eosinophilic Granulomatosis with Polyangiitis (EGPA) in adult patients aged 18 years and over (see section 5.1 </w:t>
      </w:r>
      <w:r w:rsidR="002E5AB1" w:rsidRPr="000E063C">
        <w:rPr>
          <w:i/>
        </w:rPr>
        <w:t xml:space="preserve">Pharmacodynamic Properties </w:t>
      </w:r>
      <w:r w:rsidRPr="000E063C">
        <w:rPr>
          <w:i/>
        </w:rPr>
        <w:t>- Clinical Trials).</w:t>
      </w:r>
    </w:p>
    <w:p w14:paraId="4FDAFBD5" w14:textId="605ECF7E" w:rsidR="00940A89" w:rsidRDefault="00940A89" w:rsidP="0081258E">
      <w:r w:rsidRPr="00940A89">
        <w:t xml:space="preserve">At the time the TGA considered this application, a similar application </w:t>
      </w:r>
      <w:r w:rsidR="000E063C">
        <w:t>for the tr</w:t>
      </w:r>
      <w:r w:rsidR="0045663A">
        <w:t>eatment o</w:t>
      </w:r>
      <w:r w:rsidR="004722E0">
        <w:t xml:space="preserve">f children </w:t>
      </w:r>
      <w:r w:rsidR="0045663A">
        <w:t xml:space="preserve">with </w:t>
      </w:r>
      <w:r w:rsidR="0045663A" w:rsidRPr="0045663A">
        <w:t xml:space="preserve">severe refractory eosinophilic asthma </w:t>
      </w:r>
      <w:r w:rsidR="004722E0">
        <w:t>aged 6 year</w:t>
      </w:r>
      <w:r w:rsidR="000E063C">
        <w:t xml:space="preserve">s and older </w:t>
      </w:r>
      <w:r w:rsidRPr="00940A89">
        <w:t xml:space="preserve">had been approved </w:t>
      </w:r>
      <w:r w:rsidR="000E063C">
        <w:t>in the European Union (</w:t>
      </w:r>
      <w:r w:rsidR="002E5AB1">
        <w:t xml:space="preserve">EU; </w:t>
      </w:r>
      <w:r w:rsidR="000E063C">
        <w:t xml:space="preserve">approved on </w:t>
      </w:r>
      <w:r w:rsidR="004F11D0">
        <w:t>27 August 2018</w:t>
      </w:r>
      <w:r w:rsidR="000E063C">
        <w:t>) and</w:t>
      </w:r>
      <w:r w:rsidRPr="00940A89">
        <w:t xml:space="preserve"> was under co</w:t>
      </w:r>
      <w:r>
        <w:t xml:space="preserve">nsideration in </w:t>
      </w:r>
      <w:r w:rsidR="000E063C">
        <w:t>Switzerland, the United States (US), Chile, Canada, Japan, Russia, Saudi Arabia, Brazil and Taiwan</w:t>
      </w:r>
      <w:r w:rsidR="00231C08">
        <w:t xml:space="preserve"> (see </w:t>
      </w:r>
      <w:r w:rsidR="00231C08">
        <w:fldChar w:fldCharType="begin"/>
      </w:r>
      <w:r w:rsidR="00231C08">
        <w:instrText xml:space="preserve"> REF _Ref27396885 \h </w:instrText>
      </w:r>
      <w:r w:rsidR="00231C08">
        <w:fldChar w:fldCharType="separate"/>
      </w:r>
      <w:r w:rsidR="00231C08">
        <w:t xml:space="preserve">Table </w:t>
      </w:r>
      <w:r w:rsidR="00231C08">
        <w:rPr>
          <w:noProof/>
        </w:rPr>
        <w:t>1</w:t>
      </w:r>
      <w:r w:rsidR="00231C08">
        <w:fldChar w:fldCharType="end"/>
      </w:r>
      <w:r w:rsidR="00231C08">
        <w:t>)</w:t>
      </w:r>
      <w:r w:rsidR="000E063C">
        <w:t>.</w:t>
      </w:r>
    </w:p>
    <w:p w14:paraId="1EFBE875" w14:textId="77777777" w:rsidR="000E063C" w:rsidRDefault="000E063C" w:rsidP="0081258E">
      <w:pPr>
        <w:pStyle w:val="TableTitle"/>
        <w:pageBreakBefore/>
      </w:pPr>
      <w:bookmarkStart w:id="22" w:name="_Ref27396885"/>
      <w:r>
        <w:lastRenderedPageBreak/>
        <w:t xml:space="preserve">Table </w:t>
      </w:r>
      <w:fldSimple w:instr=" SEQ Table \* ARABIC ">
        <w:r w:rsidR="000F3AA2">
          <w:rPr>
            <w:noProof/>
          </w:rPr>
          <w:t>1</w:t>
        </w:r>
      </w:fldSimple>
      <w:bookmarkEnd w:id="22"/>
      <w:r>
        <w:t>: International regulatory status</w:t>
      </w:r>
      <w:r w:rsidR="00231C08">
        <w:t xml:space="preserve"> as of 21 May 2019</w:t>
      </w:r>
    </w:p>
    <w:tbl>
      <w:tblPr>
        <w:tblStyle w:val="TableTGAblue"/>
        <w:tblW w:w="0" w:type="auto"/>
        <w:tblLook w:val="04A0" w:firstRow="1" w:lastRow="0" w:firstColumn="1" w:lastColumn="0" w:noHBand="0" w:noVBand="1"/>
      </w:tblPr>
      <w:tblGrid>
        <w:gridCol w:w="2180"/>
        <w:gridCol w:w="2180"/>
        <w:gridCol w:w="2180"/>
        <w:gridCol w:w="2180"/>
      </w:tblGrid>
      <w:tr w:rsidR="000E063C" w:rsidRPr="00231C08" w14:paraId="634F2489" w14:textId="77777777" w:rsidTr="000E063C">
        <w:trPr>
          <w:cnfStyle w:val="100000000000" w:firstRow="1" w:lastRow="0" w:firstColumn="0" w:lastColumn="0" w:oddVBand="0" w:evenVBand="0" w:oddHBand="0" w:evenHBand="0" w:firstRowFirstColumn="0" w:firstRowLastColumn="0" w:lastRowFirstColumn="0" w:lastRowLastColumn="0"/>
        </w:trPr>
        <w:tc>
          <w:tcPr>
            <w:tcW w:w="2180" w:type="dxa"/>
          </w:tcPr>
          <w:p w14:paraId="41118E52" w14:textId="77777777" w:rsidR="000E063C" w:rsidRPr="00231C08" w:rsidRDefault="000E063C" w:rsidP="00231C08">
            <w:pPr>
              <w:ind w:left="0" w:right="0"/>
              <w:rPr>
                <w:sz w:val="20"/>
                <w:szCs w:val="20"/>
              </w:rPr>
            </w:pPr>
            <w:r w:rsidRPr="00231C08">
              <w:rPr>
                <w:sz w:val="20"/>
                <w:szCs w:val="20"/>
              </w:rPr>
              <w:t>Region</w:t>
            </w:r>
          </w:p>
        </w:tc>
        <w:tc>
          <w:tcPr>
            <w:tcW w:w="2180" w:type="dxa"/>
          </w:tcPr>
          <w:p w14:paraId="598DB402" w14:textId="77777777" w:rsidR="000E063C" w:rsidRPr="00231C08" w:rsidRDefault="000E063C" w:rsidP="00231C08">
            <w:pPr>
              <w:ind w:left="0" w:right="0"/>
              <w:rPr>
                <w:sz w:val="20"/>
                <w:szCs w:val="20"/>
              </w:rPr>
            </w:pPr>
            <w:r w:rsidRPr="00231C08">
              <w:rPr>
                <w:sz w:val="20"/>
                <w:szCs w:val="20"/>
              </w:rPr>
              <w:t>Submission date</w:t>
            </w:r>
          </w:p>
        </w:tc>
        <w:tc>
          <w:tcPr>
            <w:tcW w:w="2180" w:type="dxa"/>
          </w:tcPr>
          <w:p w14:paraId="2C3F90DC" w14:textId="77777777" w:rsidR="000E063C" w:rsidRPr="00231C08" w:rsidRDefault="000E063C" w:rsidP="00231C08">
            <w:pPr>
              <w:ind w:left="0" w:right="0"/>
              <w:rPr>
                <w:sz w:val="20"/>
                <w:szCs w:val="20"/>
              </w:rPr>
            </w:pPr>
            <w:r w:rsidRPr="00231C08">
              <w:rPr>
                <w:sz w:val="20"/>
                <w:szCs w:val="20"/>
              </w:rPr>
              <w:t>Status</w:t>
            </w:r>
          </w:p>
        </w:tc>
        <w:tc>
          <w:tcPr>
            <w:tcW w:w="2180" w:type="dxa"/>
          </w:tcPr>
          <w:p w14:paraId="1DA5237D" w14:textId="77777777" w:rsidR="000E063C" w:rsidRPr="00231C08" w:rsidRDefault="000E063C" w:rsidP="00231C08">
            <w:pPr>
              <w:ind w:left="0" w:right="0"/>
              <w:rPr>
                <w:sz w:val="20"/>
                <w:szCs w:val="20"/>
              </w:rPr>
            </w:pPr>
            <w:r w:rsidRPr="00231C08">
              <w:rPr>
                <w:sz w:val="20"/>
                <w:szCs w:val="20"/>
              </w:rPr>
              <w:t>Indications</w:t>
            </w:r>
          </w:p>
        </w:tc>
      </w:tr>
      <w:tr w:rsidR="000E063C" w:rsidRPr="00231C08" w14:paraId="65923ABB" w14:textId="77777777" w:rsidTr="000E063C">
        <w:tc>
          <w:tcPr>
            <w:tcW w:w="2180" w:type="dxa"/>
          </w:tcPr>
          <w:p w14:paraId="6E398976" w14:textId="6AB43086" w:rsidR="000E063C" w:rsidRPr="00231C08" w:rsidRDefault="00231C08" w:rsidP="00231C08">
            <w:pPr>
              <w:ind w:left="0" w:right="0"/>
              <w:rPr>
                <w:sz w:val="20"/>
                <w:szCs w:val="20"/>
              </w:rPr>
            </w:pPr>
            <w:r>
              <w:rPr>
                <w:sz w:val="20"/>
                <w:szCs w:val="20"/>
              </w:rPr>
              <w:t xml:space="preserve">European Union </w:t>
            </w:r>
            <w:r w:rsidR="000E063C" w:rsidRPr="00231C08">
              <w:rPr>
                <w:sz w:val="20"/>
                <w:szCs w:val="20"/>
              </w:rPr>
              <w:t>(centrali</w:t>
            </w:r>
            <w:r w:rsidR="002E5AB1">
              <w:rPr>
                <w:sz w:val="20"/>
                <w:szCs w:val="20"/>
              </w:rPr>
              <w:t>s</w:t>
            </w:r>
            <w:r w:rsidR="000E063C" w:rsidRPr="00231C08">
              <w:rPr>
                <w:sz w:val="20"/>
                <w:szCs w:val="20"/>
              </w:rPr>
              <w:t>ed procedure)</w:t>
            </w:r>
          </w:p>
          <w:p w14:paraId="305B7113" w14:textId="7A41298E" w:rsidR="000E063C" w:rsidRPr="00231C08" w:rsidRDefault="00231C08" w:rsidP="00231C08">
            <w:pPr>
              <w:ind w:left="0" w:right="0"/>
              <w:rPr>
                <w:sz w:val="20"/>
                <w:szCs w:val="20"/>
              </w:rPr>
            </w:pPr>
            <w:r>
              <w:rPr>
                <w:sz w:val="20"/>
                <w:szCs w:val="20"/>
              </w:rPr>
              <w:t xml:space="preserve">Rapporteur: </w:t>
            </w:r>
            <w:r w:rsidR="002E5AB1">
              <w:rPr>
                <w:sz w:val="20"/>
                <w:szCs w:val="20"/>
              </w:rPr>
              <w:t>United Kingdom (</w:t>
            </w:r>
            <w:r w:rsidR="000E063C" w:rsidRPr="00231C08">
              <w:rPr>
                <w:sz w:val="20"/>
                <w:szCs w:val="20"/>
              </w:rPr>
              <w:t>UK</w:t>
            </w:r>
            <w:r w:rsidR="002E5AB1">
              <w:rPr>
                <w:sz w:val="20"/>
                <w:szCs w:val="20"/>
              </w:rPr>
              <w:t>)</w:t>
            </w:r>
          </w:p>
          <w:p w14:paraId="3F0DAD76" w14:textId="77777777" w:rsidR="000E063C" w:rsidRPr="00231C08" w:rsidRDefault="00231C08" w:rsidP="00231C08">
            <w:pPr>
              <w:ind w:left="0" w:right="0"/>
              <w:rPr>
                <w:sz w:val="20"/>
                <w:szCs w:val="20"/>
              </w:rPr>
            </w:pPr>
            <w:r>
              <w:rPr>
                <w:sz w:val="20"/>
                <w:szCs w:val="20"/>
              </w:rPr>
              <w:t xml:space="preserve">Co-Rapporteur: </w:t>
            </w:r>
            <w:r w:rsidR="000E063C" w:rsidRPr="00231C08">
              <w:rPr>
                <w:sz w:val="20"/>
                <w:szCs w:val="20"/>
              </w:rPr>
              <w:t>Ireland</w:t>
            </w:r>
          </w:p>
        </w:tc>
        <w:tc>
          <w:tcPr>
            <w:tcW w:w="2180" w:type="dxa"/>
          </w:tcPr>
          <w:p w14:paraId="0AC44D41" w14:textId="77777777" w:rsidR="000E063C" w:rsidRPr="00231C08" w:rsidRDefault="000E063C" w:rsidP="00231C08">
            <w:pPr>
              <w:ind w:left="0" w:right="0"/>
              <w:rPr>
                <w:sz w:val="20"/>
                <w:szCs w:val="20"/>
              </w:rPr>
            </w:pPr>
            <w:r w:rsidRPr="00231C08">
              <w:rPr>
                <w:sz w:val="20"/>
                <w:szCs w:val="20"/>
              </w:rPr>
              <w:t>21 November 2017</w:t>
            </w:r>
          </w:p>
        </w:tc>
        <w:tc>
          <w:tcPr>
            <w:tcW w:w="2180" w:type="dxa"/>
          </w:tcPr>
          <w:p w14:paraId="27D471BC" w14:textId="77777777" w:rsidR="000E063C" w:rsidRDefault="000E063C" w:rsidP="00231C08">
            <w:pPr>
              <w:ind w:left="0" w:right="0"/>
              <w:rPr>
                <w:sz w:val="20"/>
                <w:szCs w:val="20"/>
              </w:rPr>
            </w:pPr>
            <w:r w:rsidRPr="00231C08">
              <w:rPr>
                <w:sz w:val="20"/>
                <w:szCs w:val="20"/>
              </w:rPr>
              <w:t>Approved</w:t>
            </w:r>
          </w:p>
          <w:p w14:paraId="1C1BF8D7" w14:textId="7B61ECC7" w:rsidR="00231C08" w:rsidRPr="00231C08" w:rsidRDefault="004F11D0" w:rsidP="00231C08">
            <w:pPr>
              <w:ind w:left="0" w:right="0"/>
              <w:rPr>
                <w:sz w:val="20"/>
                <w:szCs w:val="20"/>
              </w:rPr>
            </w:pPr>
            <w:r>
              <w:rPr>
                <w:sz w:val="20"/>
                <w:szCs w:val="20"/>
              </w:rPr>
              <w:t>27 August 2018</w:t>
            </w:r>
          </w:p>
        </w:tc>
        <w:tc>
          <w:tcPr>
            <w:tcW w:w="2180" w:type="dxa"/>
          </w:tcPr>
          <w:p w14:paraId="782604C7" w14:textId="77777777" w:rsidR="000E063C" w:rsidRPr="00231C08" w:rsidRDefault="000E063C" w:rsidP="00231C08">
            <w:pPr>
              <w:ind w:left="0" w:right="0"/>
              <w:rPr>
                <w:i/>
                <w:sz w:val="20"/>
                <w:szCs w:val="20"/>
              </w:rPr>
            </w:pPr>
            <w:r w:rsidRPr="00231C08">
              <w:rPr>
                <w:i/>
                <w:sz w:val="20"/>
                <w:szCs w:val="20"/>
              </w:rPr>
              <w:t>Nucala is indicated as an add-on treatment for severe refractory eosinophilic asthma in adults, adolescents and children aged 6 years and older (see section 5.1).</w:t>
            </w:r>
          </w:p>
        </w:tc>
      </w:tr>
      <w:tr w:rsidR="000E063C" w:rsidRPr="00231C08" w14:paraId="21692302" w14:textId="77777777" w:rsidTr="000E063C">
        <w:tc>
          <w:tcPr>
            <w:tcW w:w="2180" w:type="dxa"/>
          </w:tcPr>
          <w:p w14:paraId="35E3FC43" w14:textId="77777777" w:rsidR="000E063C" w:rsidRPr="00231C08" w:rsidRDefault="000E063C" w:rsidP="00231C08">
            <w:pPr>
              <w:ind w:left="0" w:right="0"/>
              <w:rPr>
                <w:sz w:val="20"/>
                <w:szCs w:val="20"/>
              </w:rPr>
            </w:pPr>
            <w:r w:rsidRPr="00231C08">
              <w:rPr>
                <w:sz w:val="20"/>
                <w:szCs w:val="20"/>
              </w:rPr>
              <w:t>Switzerland</w:t>
            </w:r>
          </w:p>
        </w:tc>
        <w:tc>
          <w:tcPr>
            <w:tcW w:w="2180" w:type="dxa"/>
          </w:tcPr>
          <w:p w14:paraId="06517880" w14:textId="77777777" w:rsidR="000E063C" w:rsidRPr="00231C08" w:rsidRDefault="000E063C" w:rsidP="00231C08">
            <w:pPr>
              <w:ind w:left="0" w:right="0"/>
              <w:rPr>
                <w:sz w:val="20"/>
                <w:szCs w:val="20"/>
              </w:rPr>
            </w:pPr>
            <w:r w:rsidRPr="00231C08">
              <w:rPr>
                <w:sz w:val="20"/>
                <w:szCs w:val="20"/>
              </w:rPr>
              <w:t>20 December 2017</w:t>
            </w:r>
          </w:p>
        </w:tc>
        <w:tc>
          <w:tcPr>
            <w:tcW w:w="2180" w:type="dxa"/>
          </w:tcPr>
          <w:p w14:paraId="7E887806" w14:textId="77777777" w:rsidR="000E063C" w:rsidRPr="00231C08" w:rsidRDefault="000E063C" w:rsidP="00231C08">
            <w:pPr>
              <w:ind w:left="0" w:right="0"/>
              <w:rPr>
                <w:sz w:val="20"/>
                <w:szCs w:val="20"/>
              </w:rPr>
            </w:pPr>
            <w:r w:rsidRPr="00231C08">
              <w:rPr>
                <w:sz w:val="20"/>
                <w:szCs w:val="20"/>
              </w:rPr>
              <w:t>Under consideration</w:t>
            </w:r>
          </w:p>
        </w:tc>
        <w:tc>
          <w:tcPr>
            <w:tcW w:w="2180" w:type="dxa"/>
          </w:tcPr>
          <w:p w14:paraId="547180DB" w14:textId="77777777" w:rsidR="000E063C" w:rsidRPr="00231C08" w:rsidRDefault="000E063C" w:rsidP="00231C08">
            <w:pPr>
              <w:ind w:left="0" w:right="0"/>
              <w:rPr>
                <w:sz w:val="20"/>
                <w:szCs w:val="20"/>
              </w:rPr>
            </w:pPr>
            <w:r w:rsidRPr="00231C08">
              <w:rPr>
                <w:sz w:val="20"/>
                <w:szCs w:val="20"/>
              </w:rPr>
              <w:t>Under consideration</w:t>
            </w:r>
          </w:p>
        </w:tc>
      </w:tr>
      <w:tr w:rsidR="000E063C" w:rsidRPr="00231C08" w14:paraId="402EC4EA" w14:textId="77777777" w:rsidTr="000E063C">
        <w:tc>
          <w:tcPr>
            <w:tcW w:w="2180" w:type="dxa"/>
          </w:tcPr>
          <w:p w14:paraId="5970C836" w14:textId="30E41C4E" w:rsidR="000E063C" w:rsidRPr="00231C08" w:rsidRDefault="000E063C" w:rsidP="00231C08">
            <w:pPr>
              <w:ind w:left="0" w:right="0"/>
              <w:rPr>
                <w:sz w:val="20"/>
                <w:szCs w:val="20"/>
              </w:rPr>
            </w:pPr>
            <w:r w:rsidRPr="00231C08">
              <w:rPr>
                <w:sz w:val="20"/>
                <w:szCs w:val="20"/>
              </w:rPr>
              <w:t>United States</w:t>
            </w:r>
            <w:r w:rsidR="002E5AB1">
              <w:rPr>
                <w:sz w:val="20"/>
                <w:szCs w:val="20"/>
              </w:rPr>
              <w:t xml:space="preserve"> (US)</w:t>
            </w:r>
          </w:p>
        </w:tc>
        <w:tc>
          <w:tcPr>
            <w:tcW w:w="2180" w:type="dxa"/>
          </w:tcPr>
          <w:p w14:paraId="56BD9A34" w14:textId="77777777" w:rsidR="000E063C" w:rsidRPr="00231C08" w:rsidRDefault="000E063C" w:rsidP="00231C08">
            <w:pPr>
              <w:ind w:left="0" w:right="0"/>
              <w:rPr>
                <w:sz w:val="20"/>
                <w:szCs w:val="20"/>
              </w:rPr>
            </w:pPr>
            <w:r w:rsidRPr="00231C08">
              <w:rPr>
                <w:sz w:val="20"/>
                <w:szCs w:val="20"/>
              </w:rPr>
              <w:t>16 November 2018</w:t>
            </w:r>
          </w:p>
        </w:tc>
        <w:tc>
          <w:tcPr>
            <w:tcW w:w="2180" w:type="dxa"/>
          </w:tcPr>
          <w:p w14:paraId="42D1ADE2" w14:textId="77777777" w:rsidR="000E063C" w:rsidRPr="00231C08" w:rsidRDefault="000E063C" w:rsidP="00231C08">
            <w:pPr>
              <w:ind w:left="0" w:right="0"/>
              <w:rPr>
                <w:sz w:val="20"/>
                <w:szCs w:val="20"/>
              </w:rPr>
            </w:pPr>
            <w:r w:rsidRPr="00231C08">
              <w:rPr>
                <w:sz w:val="20"/>
                <w:szCs w:val="20"/>
              </w:rPr>
              <w:t>Under consideration</w:t>
            </w:r>
          </w:p>
        </w:tc>
        <w:tc>
          <w:tcPr>
            <w:tcW w:w="2180" w:type="dxa"/>
          </w:tcPr>
          <w:p w14:paraId="01088DA6" w14:textId="77777777" w:rsidR="000E063C" w:rsidRPr="00231C08" w:rsidRDefault="000E063C" w:rsidP="00231C08">
            <w:pPr>
              <w:ind w:left="0" w:right="0"/>
              <w:rPr>
                <w:sz w:val="20"/>
                <w:szCs w:val="20"/>
              </w:rPr>
            </w:pPr>
            <w:r w:rsidRPr="00231C08">
              <w:rPr>
                <w:sz w:val="20"/>
                <w:szCs w:val="20"/>
              </w:rPr>
              <w:t>Under consideration</w:t>
            </w:r>
          </w:p>
        </w:tc>
      </w:tr>
      <w:tr w:rsidR="000E063C" w:rsidRPr="00231C08" w14:paraId="65ACE815" w14:textId="77777777" w:rsidTr="000E063C">
        <w:tc>
          <w:tcPr>
            <w:tcW w:w="2180" w:type="dxa"/>
          </w:tcPr>
          <w:p w14:paraId="5D4513E8" w14:textId="77777777" w:rsidR="000E063C" w:rsidRPr="00231C08" w:rsidRDefault="000E063C" w:rsidP="00231C08">
            <w:pPr>
              <w:ind w:left="0" w:right="0"/>
              <w:rPr>
                <w:sz w:val="20"/>
                <w:szCs w:val="20"/>
              </w:rPr>
            </w:pPr>
            <w:r w:rsidRPr="00231C08">
              <w:rPr>
                <w:sz w:val="20"/>
                <w:szCs w:val="20"/>
              </w:rPr>
              <w:t>Chile</w:t>
            </w:r>
          </w:p>
        </w:tc>
        <w:tc>
          <w:tcPr>
            <w:tcW w:w="2180" w:type="dxa"/>
          </w:tcPr>
          <w:p w14:paraId="3E199ADA" w14:textId="77777777" w:rsidR="000E063C" w:rsidRPr="00231C08" w:rsidRDefault="000E063C" w:rsidP="00231C08">
            <w:pPr>
              <w:ind w:left="0" w:right="0"/>
              <w:rPr>
                <w:sz w:val="20"/>
                <w:szCs w:val="20"/>
              </w:rPr>
            </w:pPr>
            <w:r w:rsidRPr="00231C08">
              <w:rPr>
                <w:sz w:val="20"/>
                <w:szCs w:val="20"/>
              </w:rPr>
              <w:t>12 March 2019</w:t>
            </w:r>
          </w:p>
        </w:tc>
        <w:tc>
          <w:tcPr>
            <w:tcW w:w="2180" w:type="dxa"/>
          </w:tcPr>
          <w:p w14:paraId="7756626D" w14:textId="77777777" w:rsidR="000E063C" w:rsidRPr="00231C08" w:rsidRDefault="000E063C" w:rsidP="00231C08">
            <w:pPr>
              <w:ind w:left="0" w:right="0"/>
              <w:rPr>
                <w:sz w:val="20"/>
                <w:szCs w:val="20"/>
              </w:rPr>
            </w:pPr>
            <w:r w:rsidRPr="00231C08">
              <w:rPr>
                <w:sz w:val="20"/>
                <w:szCs w:val="20"/>
              </w:rPr>
              <w:t>Under consideration</w:t>
            </w:r>
          </w:p>
        </w:tc>
        <w:tc>
          <w:tcPr>
            <w:tcW w:w="2180" w:type="dxa"/>
          </w:tcPr>
          <w:p w14:paraId="480AE981" w14:textId="77777777" w:rsidR="000E063C" w:rsidRPr="00231C08" w:rsidRDefault="000E063C" w:rsidP="00231C08">
            <w:pPr>
              <w:ind w:left="0" w:right="0"/>
              <w:rPr>
                <w:sz w:val="20"/>
                <w:szCs w:val="20"/>
              </w:rPr>
            </w:pPr>
            <w:r w:rsidRPr="00231C08">
              <w:rPr>
                <w:sz w:val="20"/>
                <w:szCs w:val="20"/>
              </w:rPr>
              <w:t>Under consideration</w:t>
            </w:r>
          </w:p>
        </w:tc>
      </w:tr>
      <w:tr w:rsidR="000E063C" w:rsidRPr="00231C08" w14:paraId="6ED33932" w14:textId="77777777" w:rsidTr="000E063C">
        <w:tc>
          <w:tcPr>
            <w:tcW w:w="2180" w:type="dxa"/>
          </w:tcPr>
          <w:p w14:paraId="35504EE3" w14:textId="77777777" w:rsidR="000E063C" w:rsidRPr="00231C08" w:rsidRDefault="000E063C" w:rsidP="00231C08">
            <w:pPr>
              <w:ind w:left="0" w:right="0"/>
              <w:rPr>
                <w:sz w:val="20"/>
                <w:szCs w:val="20"/>
              </w:rPr>
            </w:pPr>
            <w:r w:rsidRPr="00231C08">
              <w:rPr>
                <w:sz w:val="20"/>
                <w:szCs w:val="20"/>
              </w:rPr>
              <w:t>Canada</w:t>
            </w:r>
          </w:p>
        </w:tc>
        <w:tc>
          <w:tcPr>
            <w:tcW w:w="2180" w:type="dxa"/>
          </w:tcPr>
          <w:p w14:paraId="64EF2B76" w14:textId="77777777" w:rsidR="000E063C" w:rsidRPr="00231C08" w:rsidRDefault="000E063C" w:rsidP="00231C08">
            <w:pPr>
              <w:ind w:left="0" w:right="0"/>
              <w:rPr>
                <w:sz w:val="20"/>
                <w:szCs w:val="20"/>
              </w:rPr>
            </w:pPr>
            <w:r w:rsidRPr="00231C08">
              <w:rPr>
                <w:sz w:val="20"/>
                <w:szCs w:val="20"/>
              </w:rPr>
              <w:t>27 March 2019</w:t>
            </w:r>
          </w:p>
        </w:tc>
        <w:tc>
          <w:tcPr>
            <w:tcW w:w="2180" w:type="dxa"/>
          </w:tcPr>
          <w:p w14:paraId="46633545" w14:textId="77777777" w:rsidR="000E063C" w:rsidRPr="00231C08" w:rsidRDefault="000E063C" w:rsidP="00231C08">
            <w:pPr>
              <w:ind w:left="0" w:right="0"/>
              <w:rPr>
                <w:sz w:val="20"/>
                <w:szCs w:val="20"/>
              </w:rPr>
            </w:pPr>
            <w:r w:rsidRPr="00231C08">
              <w:rPr>
                <w:sz w:val="20"/>
                <w:szCs w:val="20"/>
              </w:rPr>
              <w:t>Under consideration</w:t>
            </w:r>
          </w:p>
        </w:tc>
        <w:tc>
          <w:tcPr>
            <w:tcW w:w="2180" w:type="dxa"/>
          </w:tcPr>
          <w:p w14:paraId="66FF6504" w14:textId="77777777" w:rsidR="000E063C" w:rsidRPr="00231C08" w:rsidRDefault="000E063C" w:rsidP="00231C08">
            <w:pPr>
              <w:ind w:left="0" w:right="0"/>
              <w:rPr>
                <w:sz w:val="20"/>
                <w:szCs w:val="20"/>
              </w:rPr>
            </w:pPr>
            <w:r w:rsidRPr="00231C08">
              <w:rPr>
                <w:sz w:val="20"/>
                <w:szCs w:val="20"/>
              </w:rPr>
              <w:t>Under consideration</w:t>
            </w:r>
          </w:p>
        </w:tc>
      </w:tr>
      <w:tr w:rsidR="000E063C" w:rsidRPr="00231C08" w14:paraId="2634DD9D" w14:textId="77777777" w:rsidTr="000E063C">
        <w:tc>
          <w:tcPr>
            <w:tcW w:w="2180" w:type="dxa"/>
          </w:tcPr>
          <w:p w14:paraId="38461ED6" w14:textId="77777777" w:rsidR="000E063C" w:rsidRPr="00231C08" w:rsidRDefault="000E063C" w:rsidP="00231C08">
            <w:pPr>
              <w:ind w:left="0" w:right="0"/>
              <w:rPr>
                <w:sz w:val="20"/>
                <w:szCs w:val="20"/>
              </w:rPr>
            </w:pPr>
            <w:r w:rsidRPr="00231C08">
              <w:rPr>
                <w:sz w:val="20"/>
                <w:szCs w:val="20"/>
              </w:rPr>
              <w:t>Japan</w:t>
            </w:r>
          </w:p>
        </w:tc>
        <w:tc>
          <w:tcPr>
            <w:tcW w:w="2180" w:type="dxa"/>
          </w:tcPr>
          <w:p w14:paraId="7519D254" w14:textId="77777777" w:rsidR="000E063C" w:rsidRPr="00231C08" w:rsidRDefault="000E063C" w:rsidP="00231C08">
            <w:pPr>
              <w:ind w:left="0" w:right="0"/>
              <w:rPr>
                <w:sz w:val="20"/>
                <w:szCs w:val="20"/>
              </w:rPr>
            </w:pPr>
            <w:r w:rsidRPr="00231C08">
              <w:rPr>
                <w:sz w:val="20"/>
                <w:szCs w:val="20"/>
              </w:rPr>
              <w:t>28 March 2019</w:t>
            </w:r>
          </w:p>
        </w:tc>
        <w:tc>
          <w:tcPr>
            <w:tcW w:w="2180" w:type="dxa"/>
          </w:tcPr>
          <w:p w14:paraId="7AA6D181" w14:textId="77777777" w:rsidR="000E063C" w:rsidRPr="00231C08" w:rsidRDefault="000E063C" w:rsidP="00231C08">
            <w:pPr>
              <w:ind w:left="0" w:right="0"/>
              <w:rPr>
                <w:sz w:val="20"/>
                <w:szCs w:val="20"/>
              </w:rPr>
            </w:pPr>
            <w:r w:rsidRPr="00231C08">
              <w:rPr>
                <w:sz w:val="20"/>
                <w:szCs w:val="20"/>
              </w:rPr>
              <w:t>Under consideration</w:t>
            </w:r>
          </w:p>
        </w:tc>
        <w:tc>
          <w:tcPr>
            <w:tcW w:w="2180" w:type="dxa"/>
          </w:tcPr>
          <w:p w14:paraId="6CC03EC4" w14:textId="77777777" w:rsidR="000E063C" w:rsidRPr="00231C08" w:rsidRDefault="000E063C" w:rsidP="00231C08">
            <w:pPr>
              <w:ind w:left="0" w:right="0"/>
              <w:rPr>
                <w:sz w:val="20"/>
                <w:szCs w:val="20"/>
              </w:rPr>
            </w:pPr>
            <w:r w:rsidRPr="00231C08">
              <w:rPr>
                <w:sz w:val="20"/>
                <w:szCs w:val="20"/>
              </w:rPr>
              <w:t>Under consideration</w:t>
            </w:r>
          </w:p>
        </w:tc>
      </w:tr>
      <w:tr w:rsidR="000E063C" w:rsidRPr="00231C08" w14:paraId="06925F64" w14:textId="77777777" w:rsidTr="000E063C">
        <w:tc>
          <w:tcPr>
            <w:tcW w:w="2180" w:type="dxa"/>
          </w:tcPr>
          <w:p w14:paraId="5526A5FA" w14:textId="77777777" w:rsidR="000E063C" w:rsidRPr="00231C08" w:rsidRDefault="00231C08" w:rsidP="00231C08">
            <w:pPr>
              <w:ind w:left="0" w:right="0"/>
              <w:rPr>
                <w:sz w:val="20"/>
                <w:szCs w:val="20"/>
              </w:rPr>
            </w:pPr>
            <w:r w:rsidRPr="00231C08">
              <w:rPr>
                <w:sz w:val="20"/>
                <w:szCs w:val="20"/>
              </w:rPr>
              <w:t>Russia</w:t>
            </w:r>
          </w:p>
        </w:tc>
        <w:tc>
          <w:tcPr>
            <w:tcW w:w="2180" w:type="dxa"/>
          </w:tcPr>
          <w:p w14:paraId="46BA4EC6" w14:textId="77777777" w:rsidR="000E063C" w:rsidRPr="00231C08" w:rsidRDefault="00231C08" w:rsidP="00231C08">
            <w:pPr>
              <w:ind w:left="0" w:right="0"/>
              <w:rPr>
                <w:sz w:val="20"/>
                <w:szCs w:val="20"/>
              </w:rPr>
            </w:pPr>
            <w:r w:rsidRPr="00231C08">
              <w:rPr>
                <w:sz w:val="20"/>
                <w:szCs w:val="20"/>
              </w:rPr>
              <w:t>29 March 2019</w:t>
            </w:r>
          </w:p>
        </w:tc>
        <w:tc>
          <w:tcPr>
            <w:tcW w:w="2180" w:type="dxa"/>
          </w:tcPr>
          <w:p w14:paraId="746CCB6E" w14:textId="77777777" w:rsidR="000E063C" w:rsidRPr="00231C08" w:rsidRDefault="00231C08" w:rsidP="00231C08">
            <w:pPr>
              <w:ind w:left="0" w:right="0"/>
              <w:rPr>
                <w:sz w:val="20"/>
                <w:szCs w:val="20"/>
              </w:rPr>
            </w:pPr>
            <w:r w:rsidRPr="00231C08">
              <w:rPr>
                <w:sz w:val="20"/>
                <w:szCs w:val="20"/>
              </w:rPr>
              <w:t>Under consideration</w:t>
            </w:r>
          </w:p>
        </w:tc>
        <w:tc>
          <w:tcPr>
            <w:tcW w:w="2180" w:type="dxa"/>
          </w:tcPr>
          <w:p w14:paraId="0CC5426F" w14:textId="77777777" w:rsidR="000E063C" w:rsidRPr="00231C08" w:rsidRDefault="00231C08" w:rsidP="00231C08">
            <w:pPr>
              <w:ind w:left="0" w:right="0"/>
              <w:rPr>
                <w:sz w:val="20"/>
                <w:szCs w:val="20"/>
              </w:rPr>
            </w:pPr>
            <w:r w:rsidRPr="00231C08">
              <w:rPr>
                <w:sz w:val="20"/>
                <w:szCs w:val="20"/>
              </w:rPr>
              <w:t>Under consideration</w:t>
            </w:r>
          </w:p>
        </w:tc>
      </w:tr>
      <w:tr w:rsidR="000E063C" w:rsidRPr="00231C08" w14:paraId="02D6BE55" w14:textId="77777777" w:rsidTr="000E063C">
        <w:tc>
          <w:tcPr>
            <w:tcW w:w="2180" w:type="dxa"/>
          </w:tcPr>
          <w:p w14:paraId="3862223F" w14:textId="77777777" w:rsidR="000E063C" w:rsidRPr="00231C08" w:rsidRDefault="00231C08" w:rsidP="00231C08">
            <w:pPr>
              <w:ind w:left="0" w:right="0"/>
              <w:rPr>
                <w:sz w:val="20"/>
                <w:szCs w:val="20"/>
              </w:rPr>
            </w:pPr>
            <w:r w:rsidRPr="00231C08">
              <w:rPr>
                <w:sz w:val="20"/>
                <w:szCs w:val="20"/>
              </w:rPr>
              <w:t>Saudi Arabia</w:t>
            </w:r>
          </w:p>
        </w:tc>
        <w:tc>
          <w:tcPr>
            <w:tcW w:w="2180" w:type="dxa"/>
          </w:tcPr>
          <w:p w14:paraId="27C89717" w14:textId="569E9BFD" w:rsidR="000E063C" w:rsidRPr="00231C08" w:rsidRDefault="004F11D0" w:rsidP="00231C08">
            <w:pPr>
              <w:ind w:left="0" w:right="0"/>
              <w:rPr>
                <w:sz w:val="20"/>
                <w:szCs w:val="20"/>
              </w:rPr>
            </w:pPr>
            <w:r>
              <w:rPr>
                <w:sz w:val="20"/>
                <w:szCs w:val="20"/>
              </w:rPr>
              <w:t>28 March 2019</w:t>
            </w:r>
          </w:p>
        </w:tc>
        <w:tc>
          <w:tcPr>
            <w:tcW w:w="2180" w:type="dxa"/>
          </w:tcPr>
          <w:p w14:paraId="55591CC7" w14:textId="77777777" w:rsidR="000E063C" w:rsidRPr="00231C08" w:rsidRDefault="00231C08" w:rsidP="00231C08">
            <w:pPr>
              <w:ind w:left="0" w:right="0"/>
              <w:rPr>
                <w:sz w:val="20"/>
                <w:szCs w:val="20"/>
              </w:rPr>
            </w:pPr>
            <w:r w:rsidRPr="00231C08">
              <w:rPr>
                <w:sz w:val="20"/>
                <w:szCs w:val="20"/>
              </w:rPr>
              <w:t>Under consideration</w:t>
            </w:r>
          </w:p>
        </w:tc>
        <w:tc>
          <w:tcPr>
            <w:tcW w:w="2180" w:type="dxa"/>
          </w:tcPr>
          <w:p w14:paraId="56B1ECD0" w14:textId="77777777" w:rsidR="000E063C" w:rsidRPr="00231C08" w:rsidRDefault="00231C08" w:rsidP="00231C08">
            <w:pPr>
              <w:ind w:left="0" w:right="0"/>
              <w:rPr>
                <w:sz w:val="20"/>
                <w:szCs w:val="20"/>
              </w:rPr>
            </w:pPr>
            <w:r w:rsidRPr="00231C08">
              <w:rPr>
                <w:sz w:val="20"/>
                <w:szCs w:val="20"/>
              </w:rPr>
              <w:t>Under consideration</w:t>
            </w:r>
          </w:p>
        </w:tc>
      </w:tr>
      <w:tr w:rsidR="00231C08" w:rsidRPr="00231C08" w14:paraId="6E61FA08" w14:textId="77777777" w:rsidTr="000E063C">
        <w:tc>
          <w:tcPr>
            <w:tcW w:w="2180" w:type="dxa"/>
          </w:tcPr>
          <w:p w14:paraId="03508365" w14:textId="77777777" w:rsidR="00231C08" w:rsidRPr="00231C08" w:rsidRDefault="00231C08" w:rsidP="00231C08">
            <w:pPr>
              <w:ind w:left="0" w:right="0"/>
              <w:rPr>
                <w:sz w:val="20"/>
                <w:szCs w:val="20"/>
              </w:rPr>
            </w:pPr>
            <w:r>
              <w:rPr>
                <w:sz w:val="20"/>
                <w:szCs w:val="20"/>
              </w:rPr>
              <w:t>Brazil</w:t>
            </w:r>
          </w:p>
        </w:tc>
        <w:tc>
          <w:tcPr>
            <w:tcW w:w="2180" w:type="dxa"/>
          </w:tcPr>
          <w:p w14:paraId="42CD7C3B" w14:textId="77777777" w:rsidR="00231C08" w:rsidRPr="00231C08" w:rsidRDefault="00231C08" w:rsidP="00231C08">
            <w:pPr>
              <w:ind w:left="0" w:right="0"/>
              <w:rPr>
                <w:sz w:val="20"/>
                <w:szCs w:val="20"/>
              </w:rPr>
            </w:pPr>
            <w:r>
              <w:rPr>
                <w:sz w:val="20"/>
                <w:szCs w:val="20"/>
              </w:rPr>
              <w:t>22 April 2019</w:t>
            </w:r>
          </w:p>
        </w:tc>
        <w:tc>
          <w:tcPr>
            <w:tcW w:w="2180" w:type="dxa"/>
          </w:tcPr>
          <w:p w14:paraId="6023B94C" w14:textId="77777777" w:rsidR="00231C08" w:rsidRPr="00231C08" w:rsidRDefault="00231C08" w:rsidP="00231C08">
            <w:pPr>
              <w:ind w:left="0" w:right="0"/>
              <w:rPr>
                <w:sz w:val="20"/>
                <w:szCs w:val="20"/>
              </w:rPr>
            </w:pPr>
            <w:r>
              <w:rPr>
                <w:sz w:val="20"/>
                <w:szCs w:val="20"/>
              </w:rPr>
              <w:t>Under consideration</w:t>
            </w:r>
          </w:p>
        </w:tc>
        <w:tc>
          <w:tcPr>
            <w:tcW w:w="2180" w:type="dxa"/>
          </w:tcPr>
          <w:p w14:paraId="558870F3" w14:textId="77777777" w:rsidR="00231C08" w:rsidRPr="00231C08" w:rsidRDefault="00231C08" w:rsidP="00231C08">
            <w:pPr>
              <w:ind w:left="0" w:right="0"/>
              <w:rPr>
                <w:sz w:val="20"/>
                <w:szCs w:val="20"/>
              </w:rPr>
            </w:pPr>
            <w:r>
              <w:rPr>
                <w:sz w:val="20"/>
                <w:szCs w:val="20"/>
              </w:rPr>
              <w:t>Under consideration</w:t>
            </w:r>
          </w:p>
        </w:tc>
      </w:tr>
      <w:tr w:rsidR="00231C08" w:rsidRPr="00231C08" w14:paraId="628FF296" w14:textId="77777777" w:rsidTr="000E063C">
        <w:tc>
          <w:tcPr>
            <w:tcW w:w="2180" w:type="dxa"/>
          </w:tcPr>
          <w:p w14:paraId="3FC20A5B" w14:textId="77777777" w:rsidR="00231C08" w:rsidRPr="00231C08" w:rsidRDefault="00231C08" w:rsidP="00231C08">
            <w:pPr>
              <w:ind w:left="0" w:right="0"/>
              <w:rPr>
                <w:sz w:val="20"/>
                <w:szCs w:val="20"/>
              </w:rPr>
            </w:pPr>
            <w:r>
              <w:rPr>
                <w:sz w:val="20"/>
                <w:szCs w:val="20"/>
              </w:rPr>
              <w:t>Taiwan</w:t>
            </w:r>
          </w:p>
        </w:tc>
        <w:tc>
          <w:tcPr>
            <w:tcW w:w="2180" w:type="dxa"/>
          </w:tcPr>
          <w:p w14:paraId="12140BDE" w14:textId="77777777" w:rsidR="00231C08" w:rsidRPr="00231C08" w:rsidRDefault="00231C08" w:rsidP="00231C08">
            <w:pPr>
              <w:ind w:left="0" w:right="0"/>
              <w:rPr>
                <w:sz w:val="20"/>
                <w:szCs w:val="20"/>
              </w:rPr>
            </w:pPr>
            <w:r>
              <w:rPr>
                <w:sz w:val="20"/>
                <w:szCs w:val="20"/>
              </w:rPr>
              <w:t>8 May 2019</w:t>
            </w:r>
          </w:p>
        </w:tc>
        <w:tc>
          <w:tcPr>
            <w:tcW w:w="2180" w:type="dxa"/>
          </w:tcPr>
          <w:p w14:paraId="26181014" w14:textId="77777777" w:rsidR="00231C08" w:rsidRPr="00231C08" w:rsidRDefault="00231C08" w:rsidP="00231C08">
            <w:pPr>
              <w:ind w:left="0" w:right="0"/>
              <w:rPr>
                <w:sz w:val="20"/>
                <w:szCs w:val="20"/>
              </w:rPr>
            </w:pPr>
            <w:r>
              <w:rPr>
                <w:sz w:val="20"/>
                <w:szCs w:val="20"/>
              </w:rPr>
              <w:t>Under consideration</w:t>
            </w:r>
          </w:p>
        </w:tc>
        <w:tc>
          <w:tcPr>
            <w:tcW w:w="2180" w:type="dxa"/>
          </w:tcPr>
          <w:p w14:paraId="042D8D3C" w14:textId="77777777" w:rsidR="00231C08" w:rsidRPr="00231C08" w:rsidRDefault="00231C08" w:rsidP="00231C08">
            <w:pPr>
              <w:ind w:left="0" w:right="0"/>
              <w:rPr>
                <w:sz w:val="20"/>
                <w:szCs w:val="20"/>
              </w:rPr>
            </w:pPr>
            <w:r>
              <w:rPr>
                <w:sz w:val="20"/>
                <w:szCs w:val="20"/>
              </w:rPr>
              <w:t>Under consideration</w:t>
            </w:r>
          </w:p>
        </w:tc>
      </w:tr>
    </w:tbl>
    <w:p w14:paraId="475A62BF" w14:textId="77777777" w:rsidR="00500337" w:rsidRDefault="00500337" w:rsidP="00500337">
      <w:pPr>
        <w:pStyle w:val="Heading2"/>
      </w:pPr>
      <w:bookmarkStart w:id="23" w:name="_Toc504480011"/>
      <w:bookmarkStart w:id="24" w:name="_Toc32941690"/>
      <w:bookmarkStart w:id="25" w:name="_Toc247691506"/>
      <w:bookmarkStart w:id="26" w:name="_Toc314842487"/>
      <w:bookmarkEnd w:id="20"/>
      <w:bookmarkEnd w:id="21"/>
      <w:r>
        <w:t>II. Registration timeline</w:t>
      </w:r>
      <w:bookmarkEnd w:id="23"/>
      <w:bookmarkEnd w:id="24"/>
    </w:p>
    <w:p w14:paraId="718B15B2" w14:textId="77777777" w:rsidR="00500337" w:rsidRDefault="00231C08" w:rsidP="00500337">
      <w:r>
        <w:fldChar w:fldCharType="begin"/>
      </w:r>
      <w:r>
        <w:instrText xml:space="preserve"> REF _Ref27396949 \h </w:instrText>
      </w:r>
      <w:r>
        <w:fldChar w:fldCharType="separate"/>
      </w:r>
      <w:r>
        <w:t xml:space="preserve">Table </w:t>
      </w:r>
      <w:r>
        <w:rPr>
          <w:noProof/>
        </w:rPr>
        <w:t>2</w:t>
      </w:r>
      <w:r>
        <w:fldChar w:fldCharType="end"/>
      </w:r>
      <w:r>
        <w:t xml:space="preserve"> </w:t>
      </w:r>
      <w:r w:rsidR="00500337">
        <w:t>captures the key steps and dates for this application and which are detailed and discussed in this AusPAR.</w:t>
      </w:r>
    </w:p>
    <w:p w14:paraId="7FCC4579" w14:textId="77777777" w:rsidR="00500337" w:rsidRPr="00377BD4" w:rsidRDefault="00231C08" w:rsidP="00C857C7">
      <w:pPr>
        <w:pStyle w:val="TableTitle"/>
      </w:pPr>
      <w:bookmarkStart w:id="27" w:name="_Ref27396949"/>
      <w:r>
        <w:t xml:space="preserve">Table </w:t>
      </w:r>
      <w:fldSimple w:instr=" SEQ Table \* ARABIC ">
        <w:r w:rsidR="000F3AA2">
          <w:rPr>
            <w:noProof/>
          </w:rPr>
          <w:t>2</w:t>
        </w:r>
      </w:fldSimple>
      <w:bookmarkEnd w:id="27"/>
      <w:r>
        <w:t xml:space="preserve">: </w:t>
      </w:r>
      <w:r w:rsidR="006A58A8" w:rsidRPr="006A58A8">
        <w:t xml:space="preserve">Timeline for Submission </w:t>
      </w:r>
      <w:r w:rsidRPr="00AF2C86">
        <w:t>PM-2018-00537-1-5</w:t>
      </w:r>
    </w:p>
    <w:tbl>
      <w:tblPr>
        <w:tblStyle w:val="TableTGAblue"/>
        <w:tblW w:w="0" w:type="auto"/>
        <w:tblLook w:val="04A0" w:firstRow="1" w:lastRow="0" w:firstColumn="1" w:lastColumn="0" w:noHBand="0" w:noVBand="1"/>
      </w:tblPr>
      <w:tblGrid>
        <w:gridCol w:w="4360"/>
        <w:gridCol w:w="4360"/>
      </w:tblGrid>
      <w:tr w:rsidR="00500337" w14:paraId="04E063FE" w14:textId="77777777" w:rsidTr="00500337">
        <w:trPr>
          <w:cnfStyle w:val="100000000000" w:firstRow="1" w:lastRow="0" w:firstColumn="0" w:lastColumn="0" w:oddVBand="0" w:evenVBand="0" w:oddHBand="0" w:evenHBand="0" w:firstRowFirstColumn="0" w:firstRowLastColumn="0" w:lastRowFirstColumn="0" w:lastRowLastColumn="0"/>
          <w:cantSplit/>
        </w:trPr>
        <w:tc>
          <w:tcPr>
            <w:tcW w:w="4360" w:type="dxa"/>
          </w:tcPr>
          <w:p w14:paraId="5A921DE1" w14:textId="77777777" w:rsidR="00500337" w:rsidRDefault="00500337" w:rsidP="00500337">
            <w:pPr>
              <w:ind w:left="0" w:right="0"/>
            </w:pPr>
            <w:r>
              <w:t>Description</w:t>
            </w:r>
          </w:p>
        </w:tc>
        <w:tc>
          <w:tcPr>
            <w:tcW w:w="4360" w:type="dxa"/>
          </w:tcPr>
          <w:p w14:paraId="3291225F" w14:textId="77777777" w:rsidR="00500337" w:rsidRDefault="00500337" w:rsidP="00500337">
            <w:pPr>
              <w:ind w:left="0" w:right="0"/>
            </w:pPr>
            <w:r>
              <w:t>Date</w:t>
            </w:r>
          </w:p>
        </w:tc>
      </w:tr>
      <w:tr w:rsidR="00500337" w14:paraId="78540BE6" w14:textId="77777777" w:rsidTr="00500337">
        <w:tc>
          <w:tcPr>
            <w:tcW w:w="4360" w:type="dxa"/>
          </w:tcPr>
          <w:p w14:paraId="2F68B3B5" w14:textId="77777777" w:rsidR="00500337" w:rsidRDefault="00500337" w:rsidP="00500337">
            <w:pPr>
              <w:ind w:left="0" w:right="0"/>
            </w:pPr>
            <w:r>
              <w:t>Submission dossier accepted and first round evaluation commenced</w:t>
            </w:r>
          </w:p>
        </w:tc>
        <w:tc>
          <w:tcPr>
            <w:tcW w:w="4360" w:type="dxa"/>
          </w:tcPr>
          <w:p w14:paraId="5EC2F594" w14:textId="77777777" w:rsidR="00500337" w:rsidRDefault="00C857C7" w:rsidP="00500337">
            <w:pPr>
              <w:ind w:left="0" w:right="0"/>
            </w:pPr>
            <w:r>
              <w:t>18 June 2018</w:t>
            </w:r>
          </w:p>
        </w:tc>
      </w:tr>
      <w:tr w:rsidR="00500337" w14:paraId="436F074A" w14:textId="77777777" w:rsidTr="00500337">
        <w:tc>
          <w:tcPr>
            <w:tcW w:w="4360" w:type="dxa"/>
          </w:tcPr>
          <w:p w14:paraId="4B596E4A" w14:textId="77777777" w:rsidR="00500337" w:rsidRDefault="00500337" w:rsidP="00500337">
            <w:pPr>
              <w:ind w:left="0" w:right="0"/>
            </w:pPr>
            <w:r>
              <w:t>First round evaluation completed</w:t>
            </w:r>
          </w:p>
        </w:tc>
        <w:tc>
          <w:tcPr>
            <w:tcW w:w="4360" w:type="dxa"/>
          </w:tcPr>
          <w:p w14:paraId="40E8F0EA" w14:textId="77777777" w:rsidR="00500337" w:rsidRDefault="00C857C7" w:rsidP="00500337">
            <w:pPr>
              <w:ind w:left="0" w:right="0"/>
            </w:pPr>
            <w:r>
              <w:t>30 November 2018</w:t>
            </w:r>
          </w:p>
        </w:tc>
      </w:tr>
      <w:tr w:rsidR="00500337" w14:paraId="645F84EA" w14:textId="77777777" w:rsidTr="00500337">
        <w:tc>
          <w:tcPr>
            <w:tcW w:w="4360" w:type="dxa"/>
          </w:tcPr>
          <w:p w14:paraId="15778A43" w14:textId="77777777" w:rsidR="00500337" w:rsidRDefault="00500337" w:rsidP="00500337">
            <w:pPr>
              <w:ind w:left="0" w:right="0"/>
            </w:pPr>
            <w:r>
              <w:t>Sponsor provides responses on questions raised in first round evaluation</w:t>
            </w:r>
          </w:p>
        </w:tc>
        <w:tc>
          <w:tcPr>
            <w:tcW w:w="4360" w:type="dxa"/>
          </w:tcPr>
          <w:p w14:paraId="25FFE0CB" w14:textId="77777777" w:rsidR="00500337" w:rsidRDefault="00C857C7" w:rsidP="00500337">
            <w:pPr>
              <w:ind w:left="0" w:right="0"/>
            </w:pPr>
            <w:r>
              <w:t>31 January 2019</w:t>
            </w:r>
          </w:p>
        </w:tc>
      </w:tr>
      <w:tr w:rsidR="00500337" w14:paraId="6A120F1F" w14:textId="77777777" w:rsidTr="00500337">
        <w:tc>
          <w:tcPr>
            <w:tcW w:w="4360" w:type="dxa"/>
          </w:tcPr>
          <w:p w14:paraId="3F7AF58D" w14:textId="77777777" w:rsidR="00500337" w:rsidRDefault="00500337" w:rsidP="00500337">
            <w:pPr>
              <w:ind w:left="0" w:right="0"/>
            </w:pPr>
            <w:r>
              <w:t>Second round evaluation completed</w:t>
            </w:r>
          </w:p>
        </w:tc>
        <w:tc>
          <w:tcPr>
            <w:tcW w:w="4360" w:type="dxa"/>
          </w:tcPr>
          <w:p w14:paraId="6B2AF551" w14:textId="77777777" w:rsidR="00500337" w:rsidRDefault="00C857C7" w:rsidP="00500337">
            <w:pPr>
              <w:ind w:left="0" w:right="0"/>
            </w:pPr>
            <w:r>
              <w:t>4 March 2019</w:t>
            </w:r>
          </w:p>
        </w:tc>
      </w:tr>
      <w:tr w:rsidR="00500337" w14:paraId="1F4AD08E" w14:textId="77777777" w:rsidTr="00500337">
        <w:tc>
          <w:tcPr>
            <w:tcW w:w="4360" w:type="dxa"/>
          </w:tcPr>
          <w:p w14:paraId="51DB0B47" w14:textId="77777777" w:rsidR="00500337" w:rsidRDefault="00500337" w:rsidP="00500337">
            <w:pPr>
              <w:ind w:left="0" w:right="0"/>
            </w:pPr>
            <w:r>
              <w:t>Delegate’s Overall benefit-risk assessment and request for Advisory Committee advice</w:t>
            </w:r>
          </w:p>
        </w:tc>
        <w:tc>
          <w:tcPr>
            <w:tcW w:w="4360" w:type="dxa"/>
          </w:tcPr>
          <w:p w14:paraId="5B4C75AA" w14:textId="77777777" w:rsidR="00500337" w:rsidRDefault="00C857C7" w:rsidP="00500337">
            <w:pPr>
              <w:ind w:left="0" w:right="0"/>
            </w:pPr>
            <w:r>
              <w:t>6 May 2019</w:t>
            </w:r>
          </w:p>
        </w:tc>
      </w:tr>
      <w:tr w:rsidR="00500337" w14:paraId="1CBCFFA4" w14:textId="77777777" w:rsidTr="00500337">
        <w:tc>
          <w:tcPr>
            <w:tcW w:w="4360" w:type="dxa"/>
          </w:tcPr>
          <w:p w14:paraId="142F8A3E" w14:textId="77777777" w:rsidR="00500337" w:rsidRDefault="00500337" w:rsidP="00500337">
            <w:pPr>
              <w:ind w:left="0" w:right="0"/>
            </w:pPr>
            <w:r>
              <w:t xml:space="preserve">Sponsor’s pre-Advisory Committee </w:t>
            </w:r>
            <w:r>
              <w:lastRenderedPageBreak/>
              <w:t>response</w:t>
            </w:r>
          </w:p>
        </w:tc>
        <w:tc>
          <w:tcPr>
            <w:tcW w:w="4360" w:type="dxa"/>
          </w:tcPr>
          <w:p w14:paraId="7ED717E7" w14:textId="77777777" w:rsidR="00500337" w:rsidRDefault="00C857C7" w:rsidP="00500337">
            <w:pPr>
              <w:ind w:left="0" w:right="0"/>
            </w:pPr>
            <w:r>
              <w:lastRenderedPageBreak/>
              <w:t>21 May 2019</w:t>
            </w:r>
          </w:p>
        </w:tc>
      </w:tr>
      <w:tr w:rsidR="00500337" w14:paraId="4C8766A1" w14:textId="77777777" w:rsidTr="00500337">
        <w:tc>
          <w:tcPr>
            <w:tcW w:w="4360" w:type="dxa"/>
          </w:tcPr>
          <w:p w14:paraId="19A800D6" w14:textId="77777777" w:rsidR="00500337" w:rsidRDefault="00500337" w:rsidP="00500337">
            <w:pPr>
              <w:ind w:left="0" w:right="0"/>
            </w:pPr>
            <w:r>
              <w:t>Advisory Committee meeting</w:t>
            </w:r>
          </w:p>
        </w:tc>
        <w:tc>
          <w:tcPr>
            <w:tcW w:w="4360" w:type="dxa"/>
          </w:tcPr>
          <w:p w14:paraId="5D34C571" w14:textId="77777777" w:rsidR="00500337" w:rsidRDefault="00C857C7" w:rsidP="00500337">
            <w:pPr>
              <w:ind w:left="0" w:right="0"/>
            </w:pPr>
            <w:r>
              <w:t>7 June 2019</w:t>
            </w:r>
          </w:p>
        </w:tc>
      </w:tr>
      <w:tr w:rsidR="00500337" w14:paraId="0AA55F87" w14:textId="77777777" w:rsidTr="00500337">
        <w:tc>
          <w:tcPr>
            <w:tcW w:w="4360" w:type="dxa"/>
          </w:tcPr>
          <w:p w14:paraId="0178FB85" w14:textId="77777777" w:rsidR="00500337" w:rsidRDefault="00500337" w:rsidP="00500337">
            <w:pPr>
              <w:ind w:left="0" w:right="0"/>
            </w:pPr>
            <w:r>
              <w:t>Registration decision (Outcome)</w:t>
            </w:r>
          </w:p>
        </w:tc>
        <w:tc>
          <w:tcPr>
            <w:tcW w:w="4360" w:type="dxa"/>
          </w:tcPr>
          <w:p w14:paraId="1955C64E" w14:textId="77777777" w:rsidR="00500337" w:rsidRDefault="00C857C7" w:rsidP="00500337">
            <w:pPr>
              <w:ind w:left="0" w:right="0"/>
            </w:pPr>
            <w:r>
              <w:t>25 July 2019</w:t>
            </w:r>
          </w:p>
        </w:tc>
      </w:tr>
      <w:tr w:rsidR="00500337" w14:paraId="5C8827FC" w14:textId="77777777" w:rsidTr="00500337">
        <w:tc>
          <w:tcPr>
            <w:tcW w:w="4360" w:type="dxa"/>
          </w:tcPr>
          <w:p w14:paraId="054E7E13" w14:textId="77777777" w:rsidR="00500337" w:rsidRDefault="00500337" w:rsidP="00500337">
            <w:pPr>
              <w:ind w:left="0" w:right="0"/>
            </w:pPr>
            <w:r>
              <w:t>Completion of administrative activities and registration on ARTG</w:t>
            </w:r>
          </w:p>
        </w:tc>
        <w:tc>
          <w:tcPr>
            <w:tcW w:w="4360" w:type="dxa"/>
          </w:tcPr>
          <w:p w14:paraId="2F474754" w14:textId="77777777" w:rsidR="00500337" w:rsidRDefault="00C857C7" w:rsidP="00500337">
            <w:pPr>
              <w:ind w:left="0" w:right="0"/>
            </w:pPr>
            <w:r>
              <w:t>Not applicable</w:t>
            </w:r>
          </w:p>
        </w:tc>
      </w:tr>
      <w:tr w:rsidR="00500337" w14:paraId="2EA6102E" w14:textId="77777777" w:rsidTr="00500337">
        <w:tc>
          <w:tcPr>
            <w:tcW w:w="4360" w:type="dxa"/>
          </w:tcPr>
          <w:p w14:paraId="6E72D529" w14:textId="77777777" w:rsidR="00500337" w:rsidRDefault="00500337" w:rsidP="00500337">
            <w:pPr>
              <w:ind w:left="0" w:right="0"/>
            </w:pPr>
            <w:r>
              <w:t>Number of working days from submission dossier acceptance to registration decision*</w:t>
            </w:r>
          </w:p>
        </w:tc>
        <w:tc>
          <w:tcPr>
            <w:tcW w:w="4360" w:type="dxa"/>
          </w:tcPr>
          <w:p w14:paraId="4668698D" w14:textId="77777777" w:rsidR="00500337" w:rsidRDefault="00C857C7" w:rsidP="00500337">
            <w:pPr>
              <w:ind w:left="0" w:right="0"/>
            </w:pPr>
            <w:r>
              <w:t>226</w:t>
            </w:r>
          </w:p>
        </w:tc>
      </w:tr>
    </w:tbl>
    <w:p w14:paraId="33C772E7" w14:textId="77777777" w:rsidR="00500337" w:rsidRDefault="00500337" w:rsidP="00606E8D">
      <w:pPr>
        <w:pStyle w:val="TableDescription"/>
      </w:pPr>
      <w:r>
        <w:t>*</w:t>
      </w:r>
      <w:r w:rsidR="00BF3774" w:rsidRPr="00BF3774">
        <w:t xml:space="preserve">Statutory </w:t>
      </w:r>
      <w:r>
        <w:t>timeframe for standard applications is 2</w:t>
      </w:r>
      <w:r w:rsidR="00BF3774">
        <w:t>55</w:t>
      </w:r>
      <w:r w:rsidR="00606E8D">
        <w:t xml:space="preserve"> working days</w:t>
      </w:r>
    </w:p>
    <w:p w14:paraId="058FD89F" w14:textId="77777777" w:rsidR="008E7846" w:rsidRPr="00792A32" w:rsidRDefault="00456765" w:rsidP="008E7846">
      <w:pPr>
        <w:pStyle w:val="Heading2"/>
      </w:pPr>
      <w:bookmarkStart w:id="28" w:name="_Toc196046504"/>
      <w:bookmarkStart w:id="29" w:name="_Toc247691527"/>
      <w:bookmarkStart w:id="30" w:name="_Toc314842510"/>
      <w:bookmarkStart w:id="31" w:name="_Toc32941691"/>
      <w:bookmarkStart w:id="32" w:name="_Toc163441390"/>
      <w:bookmarkEnd w:id="25"/>
      <w:bookmarkEnd w:id="26"/>
      <w:bookmarkEnd w:id="2"/>
      <w:r>
        <w:t>I</w:t>
      </w:r>
      <w:r w:rsidR="00DA64CB">
        <w:t>I</w:t>
      </w:r>
      <w:r w:rsidR="008E7846">
        <w:t xml:space="preserve">I. </w:t>
      </w:r>
      <w:r w:rsidR="00AF2C86">
        <w:t>Submission overview</w:t>
      </w:r>
      <w:r w:rsidR="008E7846" w:rsidRPr="00792A32">
        <w:t xml:space="preserve"> and </w:t>
      </w:r>
      <w:r w:rsidR="008E7846">
        <w:t>r</w:t>
      </w:r>
      <w:r w:rsidR="008E7846" w:rsidRPr="00792A32">
        <w:t>isk/</w:t>
      </w:r>
      <w:r w:rsidR="008E7846">
        <w:t>b</w:t>
      </w:r>
      <w:r w:rsidR="008E7846" w:rsidRPr="00792A32">
        <w:t xml:space="preserve">enefit </w:t>
      </w:r>
      <w:r w:rsidR="008E7846">
        <w:t>a</w:t>
      </w:r>
      <w:r w:rsidR="008E7846" w:rsidRPr="00792A32">
        <w:t>ssessment</w:t>
      </w:r>
      <w:bookmarkEnd w:id="28"/>
      <w:bookmarkEnd w:id="29"/>
      <w:bookmarkEnd w:id="30"/>
      <w:bookmarkEnd w:id="31"/>
    </w:p>
    <w:p w14:paraId="7A75F0EC" w14:textId="77777777" w:rsidR="008E7846" w:rsidRDefault="008E7846" w:rsidP="008E7846">
      <w:bookmarkStart w:id="33" w:name="_Toc247691528"/>
      <w:r>
        <w:t xml:space="preserve">The submission was summarised in the following </w:t>
      </w:r>
      <w:r w:rsidRPr="00EF5C48">
        <w:t xml:space="preserve">Delegate’s </w:t>
      </w:r>
      <w:r>
        <w:t>overview</w:t>
      </w:r>
      <w:r w:rsidRPr="00EF5C48">
        <w:t xml:space="preserve"> and recommendation</w:t>
      </w:r>
      <w:r w:rsidR="00AF2C86">
        <w:t>s.</w:t>
      </w:r>
    </w:p>
    <w:p w14:paraId="19A89189" w14:textId="77777777" w:rsidR="008E7846" w:rsidRDefault="008E7846" w:rsidP="008E7846">
      <w:pPr>
        <w:pStyle w:val="Heading3"/>
      </w:pPr>
      <w:bookmarkStart w:id="34" w:name="_Toc314842511"/>
      <w:bookmarkStart w:id="35" w:name="_Toc32941692"/>
      <w:r>
        <w:t>Quality</w:t>
      </w:r>
      <w:bookmarkEnd w:id="33"/>
      <w:bookmarkEnd w:id="34"/>
      <w:bookmarkEnd w:id="35"/>
    </w:p>
    <w:p w14:paraId="72E3FBB9" w14:textId="77777777" w:rsidR="00E45619" w:rsidRDefault="008E7846" w:rsidP="003A7F6C">
      <w:r>
        <w:t>There was no requirement for a quality evaluation in a submission of this type.</w:t>
      </w:r>
    </w:p>
    <w:p w14:paraId="2F3CE8EF" w14:textId="77777777" w:rsidR="008E7846" w:rsidRDefault="008E7846" w:rsidP="008E7846">
      <w:pPr>
        <w:pStyle w:val="Heading3"/>
      </w:pPr>
      <w:bookmarkStart w:id="36" w:name="_Toc314842512"/>
      <w:bookmarkStart w:id="37" w:name="_Toc32941693"/>
      <w:r>
        <w:t>Nonclinical</w:t>
      </w:r>
      <w:bookmarkEnd w:id="36"/>
      <w:bookmarkEnd w:id="37"/>
    </w:p>
    <w:p w14:paraId="4EC0F50F" w14:textId="77777777" w:rsidR="008E7846" w:rsidRDefault="008E7846" w:rsidP="008E7846">
      <w:r>
        <w:t>There was no requirement for a nonclinical evaluation in a submission of this type.</w:t>
      </w:r>
    </w:p>
    <w:p w14:paraId="5B86314A" w14:textId="77777777" w:rsidR="008E7846" w:rsidRDefault="008E7846" w:rsidP="008E7846">
      <w:pPr>
        <w:pStyle w:val="Heading3"/>
      </w:pPr>
      <w:bookmarkStart w:id="38" w:name="_Toc247691530"/>
      <w:bookmarkStart w:id="39" w:name="_Toc314842513"/>
      <w:bookmarkStart w:id="40" w:name="_Toc32941694"/>
      <w:r>
        <w:t>Clinical</w:t>
      </w:r>
      <w:bookmarkEnd w:id="38"/>
      <w:bookmarkEnd w:id="39"/>
      <w:bookmarkEnd w:id="40"/>
    </w:p>
    <w:p w14:paraId="461DD2DA" w14:textId="77777777" w:rsidR="00C857C7" w:rsidRDefault="00C857C7" w:rsidP="004722E0">
      <w:bookmarkStart w:id="41" w:name="_Toc314842514"/>
      <w:r w:rsidRPr="009422DF">
        <w:t>The sponsor has proposed a partial extrapolation model to bridge the indication in severe eosinophil</w:t>
      </w:r>
      <w:r>
        <w:t>i</w:t>
      </w:r>
      <w:r w:rsidRPr="009422DF">
        <w:t xml:space="preserve">c asthma between adults and children. </w:t>
      </w:r>
      <w:r>
        <w:t>T</w:t>
      </w:r>
      <w:r w:rsidRPr="009422DF">
        <w:t>h</w:t>
      </w:r>
      <w:r>
        <w:t>is</w:t>
      </w:r>
      <w:r w:rsidRPr="009422DF">
        <w:t xml:space="preserve"> was agreed with the </w:t>
      </w:r>
      <w:r w:rsidR="004722E0">
        <w:t>European Union (</w:t>
      </w:r>
      <w:r w:rsidRPr="009422DF">
        <w:t>EU</w:t>
      </w:r>
      <w:r w:rsidR="004722E0">
        <w:t>)</w:t>
      </w:r>
      <w:r w:rsidRPr="009422DF">
        <w:t xml:space="preserve"> paediatric </w:t>
      </w:r>
      <w:r w:rsidR="004722E0">
        <w:t>committee of the European Medicines Agency (EMA).</w:t>
      </w:r>
    </w:p>
    <w:p w14:paraId="012ECF6A" w14:textId="77777777" w:rsidR="00C857C7" w:rsidRDefault="00C857C7" w:rsidP="004722E0">
      <w:r>
        <w:t>The data submitted in support of the extension of indication included:</w:t>
      </w:r>
    </w:p>
    <w:p w14:paraId="7BD7BD4B" w14:textId="77777777" w:rsidR="00C857C7" w:rsidRDefault="0045663A" w:rsidP="0081258E">
      <w:pPr>
        <w:pStyle w:val="ListBullet"/>
      </w:pPr>
      <w:r>
        <w:t>S</w:t>
      </w:r>
      <w:r w:rsidR="00A718A5">
        <w:t>tudy 200363 part A;</w:t>
      </w:r>
      <w:r w:rsidR="00C857C7">
        <w:t xml:space="preserve"> a </w:t>
      </w:r>
      <w:r w:rsidR="00A718A5">
        <w:t>pharmacokinetic (</w:t>
      </w:r>
      <w:r w:rsidR="00C857C7">
        <w:t>PK</w:t>
      </w:r>
      <w:r w:rsidR="00A718A5">
        <w:t>)</w:t>
      </w:r>
      <w:r w:rsidR="00C857C7">
        <w:t>/</w:t>
      </w:r>
      <w:r w:rsidR="00A718A5">
        <w:t>pharmacodynamic (</w:t>
      </w:r>
      <w:r w:rsidR="00C857C7">
        <w:t>PD</w:t>
      </w:r>
      <w:r w:rsidR="00A718A5">
        <w:t>)</w:t>
      </w:r>
      <w:r w:rsidR="00C857C7">
        <w:t xml:space="preserve"> study</w:t>
      </w:r>
      <w:r>
        <w:t>;</w:t>
      </w:r>
    </w:p>
    <w:p w14:paraId="1E85D166" w14:textId="77DDC1B3" w:rsidR="00C857C7" w:rsidRDefault="0045663A" w:rsidP="004722E0">
      <w:pPr>
        <w:pStyle w:val="ListBullet"/>
      </w:pPr>
      <w:r>
        <w:t>S</w:t>
      </w:r>
      <w:r w:rsidR="00A718A5">
        <w:t xml:space="preserve">tudy 200363 part B; </w:t>
      </w:r>
      <w:r w:rsidR="00066164">
        <w:t xml:space="preserve">a </w:t>
      </w:r>
      <w:r w:rsidR="00C857C7">
        <w:t>safety study wi</w:t>
      </w:r>
      <w:r>
        <w:t>th secondary efficacy endpoints;</w:t>
      </w:r>
    </w:p>
    <w:p w14:paraId="0EBEEB55" w14:textId="77777777" w:rsidR="00C857C7" w:rsidRDefault="0045663A" w:rsidP="004722E0">
      <w:pPr>
        <w:pStyle w:val="ListBullet"/>
      </w:pPr>
      <w:r>
        <w:t>S</w:t>
      </w:r>
      <w:r w:rsidR="00C857C7">
        <w:t>t</w:t>
      </w:r>
      <w:r w:rsidR="00A718A5">
        <w:t xml:space="preserve">udy 200862; </w:t>
      </w:r>
      <w:r>
        <w:t>a supportive study;</w:t>
      </w:r>
    </w:p>
    <w:p w14:paraId="4D56D4F9" w14:textId="5FA77759" w:rsidR="00C857C7" w:rsidRDefault="00066164" w:rsidP="004722E0">
      <w:pPr>
        <w:pStyle w:val="ListBullet"/>
      </w:pPr>
      <w:r>
        <w:t xml:space="preserve">a population </w:t>
      </w:r>
      <w:r w:rsidR="00A718A5">
        <w:t>pharmacokinetic (pop</w:t>
      </w:r>
      <w:r w:rsidR="00C857C7">
        <w:t xml:space="preserve"> PK</w:t>
      </w:r>
      <w:r w:rsidR="00A718A5">
        <w:t>)</w:t>
      </w:r>
      <w:r w:rsidR="00C857C7">
        <w:t xml:space="preserve"> analysis</w:t>
      </w:r>
      <w:r w:rsidR="0045663A">
        <w:t>;</w:t>
      </w:r>
      <w:r>
        <w:t xml:space="preserve"> and</w:t>
      </w:r>
    </w:p>
    <w:p w14:paraId="17353E09" w14:textId="0ED9F2A2" w:rsidR="00C857C7" w:rsidRPr="00A110C1" w:rsidRDefault="00066164" w:rsidP="004722E0">
      <w:pPr>
        <w:pStyle w:val="ListBullet"/>
      </w:pPr>
      <w:r>
        <w:t xml:space="preserve">a dose </w:t>
      </w:r>
      <w:r w:rsidR="00C857C7">
        <w:t>modelling simulation report</w:t>
      </w:r>
      <w:r w:rsidR="004722E0">
        <w:t>.</w:t>
      </w:r>
    </w:p>
    <w:p w14:paraId="7099901F" w14:textId="77777777" w:rsidR="00C857C7" w:rsidRDefault="00C857C7" w:rsidP="004722E0">
      <w:pPr>
        <w:pStyle w:val="Heading4"/>
      </w:pPr>
      <w:r w:rsidRPr="003F08CF">
        <w:t>Pharmacology</w:t>
      </w:r>
    </w:p>
    <w:p w14:paraId="4E3ADF96" w14:textId="77777777" w:rsidR="00C857C7" w:rsidRPr="00B61E84" w:rsidRDefault="00C2731F" w:rsidP="004722E0">
      <w:pPr>
        <w:pStyle w:val="Heading5"/>
      </w:pPr>
      <w:r w:rsidRPr="00B61E84">
        <w:t>Study</w:t>
      </w:r>
      <w:r w:rsidR="00C857C7" w:rsidRPr="00B61E84">
        <w:t xml:space="preserve"> 200363</w:t>
      </w:r>
    </w:p>
    <w:p w14:paraId="43A04DBE" w14:textId="77777777" w:rsidR="00C857C7" w:rsidRDefault="00C857C7" w:rsidP="004722E0">
      <w:r>
        <w:t>This was an open label, un</w:t>
      </w:r>
      <w:r w:rsidR="00A718A5">
        <w:t>-</w:t>
      </w:r>
      <w:r>
        <w:t>blinded study to characterise the PK and PD of mepolizumab administered s</w:t>
      </w:r>
      <w:r w:rsidR="00A718A5">
        <w:t xml:space="preserve">ubcutaneously </w:t>
      </w:r>
      <w:r w:rsidR="005B6DB8">
        <w:t xml:space="preserve">(SC) </w:t>
      </w:r>
      <w:r w:rsidR="00A718A5">
        <w:t xml:space="preserve">in children age 6 to </w:t>
      </w:r>
      <w:r>
        <w:t>11 years with severe eosinophilic asthma.</w:t>
      </w:r>
    </w:p>
    <w:p w14:paraId="77D33A1A" w14:textId="77777777" w:rsidR="00C857C7" w:rsidRDefault="00C857C7" w:rsidP="004722E0">
      <w:r>
        <w:t>Data from adults and pop PK modelling were used</w:t>
      </w:r>
      <w:r w:rsidR="004722E0">
        <w:t xml:space="preserve"> to inform the dose selection.</w:t>
      </w:r>
    </w:p>
    <w:p w14:paraId="7D68ED9B" w14:textId="77777777" w:rsidR="00C857C7" w:rsidRDefault="00C2731F" w:rsidP="004722E0">
      <w:pPr>
        <w:pStyle w:val="Heading6"/>
      </w:pPr>
      <w:r>
        <w:lastRenderedPageBreak/>
        <w:t>Part</w:t>
      </w:r>
      <w:r w:rsidR="0045663A">
        <w:t xml:space="preserve"> A</w:t>
      </w:r>
    </w:p>
    <w:p w14:paraId="3D703E62" w14:textId="77777777" w:rsidR="00C857C7" w:rsidRDefault="00A718A5" w:rsidP="004722E0">
      <w:pPr>
        <w:pStyle w:val="ListBullet"/>
      </w:pPr>
      <w:r>
        <w:t>C</w:t>
      </w:r>
      <w:r w:rsidR="00C857C7">
        <w:t>onducted at 13 centres</w:t>
      </w:r>
      <w:r>
        <w:t>;</w:t>
      </w:r>
    </w:p>
    <w:p w14:paraId="1615FECF" w14:textId="6EA8D3EE" w:rsidR="00C857C7" w:rsidRDefault="00066164" w:rsidP="0081258E">
      <w:pPr>
        <w:pStyle w:val="ListBullet"/>
      </w:pPr>
      <w:r>
        <w:t>Comprised p</w:t>
      </w:r>
      <w:r w:rsidR="00C857C7">
        <w:t>re-screening, 12 week treatment period,</w:t>
      </w:r>
      <w:r>
        <w:t xml:space="preserve"> and an</w:t>
      </w:r>
      <w:r w:rsidR="00C857C7">
        <w:t xml:space="preserve"> 8 week follow up</w:t>
      </w:r>
      <w:r w:rsidR="00A718A5">
        <w:t>;</w:t>
      </w:r>
    </w:p>
    <w:p w14:paraId="64DD106E" w14:textId="63EC0A63" w:rsidR="00C857C7" w:rsidRDefault="00066164" w:rsidP="004722E0">
      <w:pPr>
        <w:pStyle w:val="ListBullet"/>
      </w:pPr>
      <w:r>
        <w:t>i</w:t>
      </w:r>
      <w:r w:rsidR="00C857C7">
        <w:t>nclusion criteria</w:t>
      </w:r>
      <w:r>
        <w:t xml:space="preserve"> included:</w:t>
      </w:r>
    </w:p>
    <w:p w14:paraId="0FCC45DF" w14:textId="77777777" w:rsidR="00C857C7" w:rsidRDefault="00A718A5" w:rsidP="004722E0">
      <w:pPr>
        <w:pStyle w:val="ListBullet2"/>
      </w:pPr>
      <w:r>
        <w:t xml:space="preserve">Age 6 to </w:t>
      </w:r>
      <w:r w:rsidR="00C857C7">
        <w:t>11 years</w:t>
      </w:r>
      <w:r w:rsidR="00C2731F">
        <w:t>;</w:t>
      </w:r>
    </w:p>
    <w:p w14:paraId="2AA143CB" w14:textId="77777777" w:rsidR="00C857C7" w:rsidRDefault="00A718A5" w:rsidP="004722E0">
      <w:pPr>
        <w:pStyle w:val="ListBullet2"/>
      </w:pPr>
      <w:r>
        <w:t>S</w:t>
      </w:r>
      <w:r w:rsidR="00C857C7">
        <w:t>evere asthma</w:t>
      </w:r>
      <w:r w:rsidR="00C2731F">
        <w:t>;</w:t>
      </w:r>
    </w:p>
    <w:p w14:paraId="07B29D0A" w14:textId="5E85A01A" w:rsidR="00C857C7" w:rsidRDefault="00A718A5" w:rsidP="0081258E">
      <w:pPr>
        <w:pStyle w:val="ListBullet2"/>
      </w:pPr>
      <w:r>
        <w:t>E</w:t>
      </w:r>
      <w:r w:rsidR="00C857C7">
        <w:t xml:space="preserve">osinophilic airway inflammations (characterised by blood eosinophils </w:t>
      </w:r>
      <w:r w:rsidR="0081258E">
        <w:sym w:font="Symbol" w:char="F0B3"/>
      </w:r>
      <w:r w:rsidR="00066164">
        <w:t> </w:t>
      </w:r>
      <w:r w:rsidR="00C857C7">
        <w:t>30</w:t>
      </w:r>
      <w:r>
        <w:t>0</w:t>
      </w:r>
      <w:r w:rsidR="00066164">
        <w:t> </w:t>
      </w:r>
      <w:r w:rsidR="004F11D0">
        <w:t>cells/</w:t>
      </w:r>
      <w:r w:rsidR="0081258E">
        <w:t>μ</w:t>
      </w:r>
      <w:r w:rsidR="004F11D0">
        <w:t>L</w:t>
      </w:r>
      <w:r>
        <w:t xml:space="preserve"> within 12 months or </w:t>
      </w:r>
      <w:r w:rsidR="0081258E">
        <w:sym w:font="Symbol" w:char="F0B3"/>
      </w:r>
      <w:r>
        <w:t xml:space="preserve"> 150 </w:t>
      </w:r>
      <w:r w:rsidR="004F11D0">
        <w:t>cells/</w:t>
      </w:r>
      <w:r w:rsidR="0081258E">
        <w:t>μ</w:t>
      </w:r>
      <w:r w:rsidR="004F11D0">
        <w:t xml:space="preserve">L </w:t>
      </w:r>
      <w:r>
        <w:t>at V</w:t>
      </w:r>
      <w:r w:rsidR="00C857C7">
        <w:t>isit 1)</w:t>
      </w:r>
      <w:r>
        <w:t>;</w:t>
      </w:r>
    </w:p>
    <w:p w14:paraId="6A3F3763" w14:textId="1ACC0E60" w:rsidR="00C857C7" w:rsidRDefault="00A718A5" w:rsidP="004722E0">
      <w:pPr>
        <w:pStyle w:val="ListBullet2"/>
      </w:pPr>
      <w:r>
        <w:t>T</w:t>
      </w:r>
      <w:r w:rsidR="00C857C7">
        <w:t xml:space="preserve">reated with </w:t>
      </w:r>
      <w:r w:rsidR="004F11D0">
        <w:t xml:space="preserve">medium or </w:t>
      </w:r>
      <w:r w:rsidR="00C857C7">
        <w:t>high dose ICS + other controller</w:t>
      </w:r>
      <w:r>
        <w:t>;</w:t>
      </w:r>
    </w:p>
    <w:p w14:paraId="163CB7FE" w14:textId="112AEE69" w:rsidR="00C857C7" w:rsidRDefault="00A718A5" w:rsidP="00A718A5">
      <w:pPr>
        <w:pStyle w:val="ListBullet2"/>
      </w:pPr>
      <w:r>
        <w:t>P</w:t>
      </w:r>
      <w:r w:rsidR="00C857C7">
        <w:t>ersistent airway inflammation (</w:t>
      </w:r>
      <w:r w:rsidRPr="00A718A5">
        <w:t>forced expiratory volume</w:t>
      </w:r>
      <w:r w:rsidR="00684554">
        <w:t xml:space="preserve"> in</w:t>
      </w:r>
      <w:r w:rsidRPr="00A718A5">
        <w:t>one second</w:t>
      </w:r>
      <w:r>
        <w:t xml:space="preserve"> (</w:t>
      </w:r>
      <w:r w:rsidR="00C857C7">
        <w:t>FEV</w:t>
      </w:r>
      <w:r w:rsidR="00C857C7" w:rsidRPr="00F053CE">
        <w:rPr>
          <w:vertAlign w:val="subscript"/>
        </w:rPr>
        <w:t>1</w:t>
      </w:r>
      <w:r>
        <w:t xml:space="preserve">) </w:t>
      </w:r>
      <w:r w:rsidR="0081258E">
        <w:t>&lt;</w:t>
      </w:r>
      <w:r>
        <w:t> </w:t>
      </w:r>
      <w:r w:rsidR="00C857C7">
        <w:t xml:space="preserve">110% or </w:t>
      </w:r>
      <w:r>
        <w:t xml:space="preserve">forced expiratory volume </w:t>
      </w:r>
      <w:r w:rsidR="00684554">
        <w:t xml:space="preserve">to </w:t>
      </w:r>
      <w:r>
        <w:t>forced vital capacity ratio (</w:t>
      </w:r>
      <w:r w:rsidR="00C857C7">
        <w:t>FEV</w:t>
      </w:r>
      <w:r w:rsidR="00684554">
        <w:rPr>
          <w:vertAlign w:val="subscript"/>
        </w:rPr>
        <w:t>1</w:t>
      </w:r>
      <w:r w:rsidR="00C857C7">
        <w:t>/FVC</w:t>
      </w:r>
      <w:r>
        <w:t>) &lt; </w:t>
      </w:r>
      <w:r w:rsidR="00C857C7">
        <w:t>0.8)</w:t>
      </w:r>
      <w:r w:rsidR="00C2731F">
        <w:t>;</w:t>
      </w:r>
    </w:p>
    <w:p w14:paraId="326B5BBF" w14:textId="77777777" w:rsidR="00C857C7" w:rsidRPr="001742A8" w:rsidRDefault="00C857C7" w:rsidP="004722E0">
      <w:pPr>
        <w:pStyle w:val="ListBullet2"/>
      </w:pPr>
      <w:r>
        <w:t>2 exacerbations in the past 12 months</w:t>
      </w:r>
      <w:r w:rsidR="004722E0">
        <w:t>.</w:t>
      </w:r>
    </w:p>
    <w:p w14:paraId="5BAB8B5F" w14:textId="77777777" w:rsidR="00C857C7" w:rsidRPr="00B61E84" w:rsidRDefault="00C857C7" w:rsidP="004722E0">
      <w:pPr>
        <w:pStyle w:val="Heading6"/>
      </w:pPr>
      <w:r w:rsidRPr="00B61E84">
        <w:t>T</w:t>
      </w:r>
      <w:r w:rsidR="004722E0">
        <w:t>reatment</w:t>
      </w:r>
    </w:p>
    <w:p w14:paraId="5F0EA54F" w14:textId="0CC8EBFD" w:rsidR="00C857C7" w:rsidRDefault="00C857C7" w:rsidP="004722E0">
      <w:r>
        <w:t>Mepolizumab 10</w:t>
      </w:r>
      <w:r w:rsidR="004722E0">
        <w:t>0</w:t>
      </w:r>
      <w:r w:rsidR="00A718A5">
        <w:t xml:space="preserve"> </w:t>
      </w:r>
      <w:r w:rsidR="004722E0">
        <w:t xml:space="preserve">mg if </w:t>
      </w:r>
      <w:r w:rsidR="0081258E">
        <w:sym w:font="Symbol" w:char="F0B3"/>
      </w:r>
      <w:r w:rsidR="004722E0">
        <w:t xml:space="preserve"> 40</w:t>
      </w:r>
      <w:r w:rsidR="005D1170">
        <w:t xml:space="preserve"> </w:t>
      </w:r>
      <w:r w:rsidR="004722E0">
        <w:t>kg or 40</w:t>
      </w:r>
      <w:r w:rsidR="005D1170">
        <w:t xml:space="preserve"> </w:t>
      </w:r>
      <w:r w:rsidR="004722E0">
        <w:t xml:space="preserve">mg if </w:t>
      </w:r>
      <w:r w:rsidR="0081258E">
        <w:t>&lt;</w:t>
      </w:r>
      <w:r w:rsidR="004722E0">
        <w:t xml:space="preserve"> 40</w:t>
      </w:r>
      <w:r w:rsidR="005D1170">
        <w:t xml:space="preserve"> </w:t>
      </w:r>
      <w:r w:rsidR="004722E0">
        <w:t>kg</w:t>
      </w:r>
      <w:r w:rsidR="005D1170">
        <w:t>.</w:t>
      </w:r>
    </w:p>
    <w:p w14:paraId="4FE8B3D2" w14:textId="77777777" w:rsidR="00C857C7" w:rsidRPr="00B61E84" w:rsidRDefault="004722E0" w:rsidP="004722E0">
      <w:pPr>
        <w:pStyle w:val="Heading6"/>
      </w:pPr>
      <w:r>
        <w:t>Results</w:t>
      </w:r>
    </w:p>
    <w:p w14:paraId="2D475D40" w14:textId="2615D744" w:rsidR="00C857C7" w:rsidRDefault="00C857C7" w:rsidP="004722E0">
      <w:r>
        <w:t>Of the 44 patients enrolled, 7 did not meet the inclusion</w:t>
      </w:r>
      <w:r w:rsidR="004F11D0">
        <w:t>/exclusion</w:t>
      </w:r>
      <w:r>
        <w:t xml:space="preserve"> criteria and one did not meet the continuation criteria due to an exacerbation.</w:t>
      </w:r>
      <w:r w:rsidR="004722E0">
        <w:t xml:space="preserve"> This left 36 </w:t>
      </w:r>
      <w:r w:rsidR="004F11D0">
        <w:t>that were enrolled to mepolizumab SC treatment</w:t>
      </w:r>
      <w:r w:rsidR="004722E0">
        <w:t>.</w:t>
      </w:r>
    </w:p>
    <w:p w14:paraId="25D1318D" w14:textId="77777777" w:rsidR="00C857C7" w:rsidRDefault="00A718A5" w:rsidP="004722E0">
      <w:pPr>
        <w:pStyle w:val="Heading7"/>
      </w:pPr>
      <w:r>
        <w:t>Pharmacokinetic</w:t>
      </w:r>
      <w:r w:rsidR="00C857C7">
        <w:t xml:space="preserve"> results and pop</w:t>
      </w:r>
      <w:r>
        <w:t>ulation pharmacokinetics</w:t>
      </w:r>
    </w:p>
    <w:p w14:paraId="6566A4C5" w14:textId="1D4BB97F" w:rsidR="00C857C7" w:rsidRDefault="00C857C7" w:rsidP="005B6DB8">
      <w:r w:rsidRPr="00F339DC">
        <w:t>T</w:t>
      </w:r>
      <w:r w:rsidRPr="00523572">
        <w:t xml:space="preserve">he historical adult ‘target value’ </w:t>
      </w:r>
      <w:r>
        <w:t xml:space="preserve">for exposure, based on the </w:t>
      </w:r>
      <w:r w:rsidRPr="00523572">
        <w:t>Phase II</w:t>
      </w:r>
      <w:r w:rsidR="005B6DB8">
        <w:t>I exacerbation Study </w:t>
      </w:r>
      <w:r>
        <w:t xml:space="preserve">MEA115588, expressed as </w:t>
      </w:r>
      <w:r w:rsidR="005B6DB8">
        <w:t>area under the concentration time curve (</w:t>
      </w:r>
      <w:r>
        <w:t>AUC</w:t>
      </w:r>
      <w:r w:rsidR="005B6DB8">
        <w:t>)</w:t>
      </w:r>
      <w:r>
        <w:t xml:space="preserve"> </w:t>
      </w:r>
      <w:r w:rsidR="005B6DB8">
        <w:t>was 343 </w:t>
      </w:r>
      <w:r w:rsidRPr="00523572">
        <w:t>µg.day/mL</w:t>
      </w:r>
      <w:r>
        <w:t>. T</w:t>
      </w:r>
      <w:r w:rsidRPr="00F339DC">
        <w:t xml:space="preserve">he </w:t>
      </w:r>
      <w:r>
        <w:t>estimate</w:t>
      </w:r>
      <w:r w:rsidR="006855F0">
        <w:t>d area under the concentration-time curve</w:t>
      </w:r>
      <w:r w:rsidR="00684554">
        <w:t xml:space="preserve"> from time zero (dosing) to </w:t>
      </w:r>
      <w:r w:rsidR="006855F0">
        <w:t xml:space="preserve">time </w:t>
      </w:r>
      <w:r w:rsidR="00684554">
        <w:t xml:space="preserve">infinity </w:t>
      </w:r>
      <w:r w:rsidR="006855F0">
        <w:t>(</w:t>
      </w:r>
      <w:r w:rsidRPr="00F339DC">
        <w:t>AUC</w:t>
      </w:r>
      <w:r>
        <w:t xml:space="preserve"> </w:t>
      </w:r>
      <w:r w:rsidRPr="00F339DC">
        <w:rPr>
          <w:vertAlign w:val="subscript"/>
        </w:rPr>
        <w:t>0-inf</w:t>
      </w:r>
      <w:r w:rsidR="006855F0">
        <w:t>)</w:t>
      </w:r>
      <w:r w:rsidR="005B6DB8">
        <w:t xml:space="preserve"> (95% confidence interval (CI)) for the </w:t>
      </w:r>
      <w:r w:rsidR="0081258E">
        <w:sym w:font="Symbol" w:char="F0B3"/>
      </w:r>
      <w:r w:rsidR="005607D7">
        <w:t> </w:t>
      </w:r>
      <w:r w:rsidRPr="00F339DC">
        <w:t>40</w:t>
      </w:r>
      <w:r w:rsidR="00E03585">
        <w:t xml:space="preserve"> </w:t>
      </w:r>
      <w:r w:rsidRPr="00F339DC">
        <w:t>kg group receiving 100 mg SC</w:t>
      </w:r>
      <w:r w:rsidR="005B6DB8">
        <w:t xml:space="preserve"> was 675.20</w:t>
      </w:r>
      <w:r w:rsidR="006855F0">
        <w:t xml:space="preserve"> </w:t>
      </w:r>
      <w:r w:rsidR="0081258E">
        <w:t>μ</w:t>
      </w:r>
      <w:r w:rsidR="006855F0">
        <w:t>g.day/mL</w:t>
      </w:r>
      <w:r w:rsidR="005B6DB8">
        <w:t xml:space="preserve"> (602.2 to </w:t>
      </w:r>
      <w:r>
        <w:t>748.2). This is approximately</w:t>
      </w:r>
      <w:r w:rsidR="008E49B7">
        <w:t xml:space="preserve"> 1.97 times</w:t>
      </w:r>
      <w:r w:rsidRPr="00ED3A00">
        <w:t xml:space="preserve"> this h</w:t>
      </w:r>
      <w:r>
        <w:t>istorical adult target exposure</w:t>
      </w:r>
      <w:r w:rsidR="005D1170">
        <w:t>.</w:t>
      </w:r>
    </w:p>
    <w:p w14:paraId="2DCBFC66" w14:textId="632A7D92" w:rsidR="00C857C7" w:rsidRDefault="00C857C7" w:rsidP="00C2731F">
      <w:r>
        <w:t xml:space="preserve">For the </w:t>
      </w:r>
      <w:r w:rsidRPr="00ED3A00">
        <w:t>&lt; 40 kg group receiving 40 mg SC</w:t>
      </w:r>
      <w:r w:rsidR="00C2731F">
        <w:t>,</w:t>
      </w:r>
      <w:r>
        <w:t xml:space="preserve"> the corresponding AUC</w:t>
      </w:r>
      <w:r w:rsidRPr="00F339DC">
        <w:rPr>
          <w:vertAlign w:val="subscript"/>
        </w:rPr>
        <w:t>0-inf</w:t>
      </w:r>
      <w:r>
        <w:t xml:space="preserve"> </w:t>
      </w:r>
      <w:r w:rsidRPr="00472E1E">
        <w:t>(µg.day/mL) (95%</w:t>
      </w:r>
      <w:r w:rsidR="006855F0">
        <w:t> </w:t>
      </w:r>
      <w:r w:rsidRPr="00472E1E">
        <w:t xml:space="preserve">CI) </w:t>
      </w:r>
      <w:r>
        <w:t>estimate wa</w:t>
      </w:r>
      <w:r w:rsidR="005B6DB8">
        <w:t xml:space="preserve">s 454.39 (422.1 to </w:t>
      </w:r>
      <w:r>
        <w:t xml:space="preserve">486.7). This is approximately </w:t>
      </w:r>
      <w:r w:rsidR="005B6DB8">
        <w:t>1.32 times</w:t>
      </w:r>
      <w:r w:rsidRPr="00ED3A00">
        <w:t xml:space="preserve"> the historical target adult value for AUC.</w:t>
      </w:r>
    </w:p>
    <w:p w14:paraId="059E9EF0" w14:textId="77777777" w:rsidR="00C857C7" w:rsidRDefault="00C857C7" w:rsidP="00C2731F">
      <w:r w:rsidRPr="00523572">
        <w:t xml:space="preserve">The </w:t>
      </w:r>
      <w:r w:rsidR="005B6DB8">
        <w:t xml:space="preserve">biological </w:t>
      </w:r>
      <w:r w:rsidR="00C2731F">
        <w:t>half-life (t</w:t>
      </w:r>
      <w:r w:rsidR="00C2731F" w:rsidRPr="00C2731F">
        <w:rPr>
          <w:vertAlign w:val="subscript"/>
        </w:rPr>
        <w:t>1/2</w:t>
      </w:r>
      <w:r w:rsidR="00C2731F">
        <w:t>)</w:t>
      </w:r>
      <w:r w:rsidRPr="00523572">
        <w:t xml:space="preserve"> was approximately 23 days, comparable to previ</w:t>
      </w:r>
      <w:r w:rsidR="005D1170">
        <w:t>ous adult data (16 to 22 days).</w:t>
      </w:r>
    </w:p>
    <w:p w14:paraId="31441469" w14:textId="77777777" w:rsidR="00C857C7" w:rsidRDefault="00C857C7" w:rsidP="004722E0">
      <w:r w:rsidRPr="00523572">
        <w:t xml:space="preserve">Apparent clearance </w:t>
      </w:r>
      <w:r w:rsidR="00C2731F">
        <w:t>(</w:t>
      </w:r>
      <w:r w:rsidR="00C2731F" w:rsidRPr="009D3676">
        <w:t>CL/F</w:t>
      </w:r>
      <w:r w:rsidR="00C2731F">
        <w:t xml:space="preserve">) </w:t>
      </w:r>
      <w:r>
        <w:t>in children (</w:t>
      </w:r>
      <w:r w:rsidRPr="00523572">
        <w:t>normalised to 70 kg</w:t>
      </w:r>
      <w:r>
        <w:t>)</w:t>
      </w:r>
      <w:r w:rsidRPr="00523572">
        <w:t xml:space="preserve"> was lower than that observed in adults</w:t>
      </w:r>
      <w:r>
        <w:t>. B</w:t>
      </w:r>
      <w:r w:rsidRPr="009D3676">
        <w:t>odyweight-a</w:t>
      </w:r>
      <w:r w:rsidR="005B6DB8">
        <w:t>djusted apparent clearance (that is</w:t>
      </w:r>
      <w:r w:rsidRPr="009D3676">
        <w:t>, CL/F</w:t>
      </w:r>
      <w:r w:rsidR="008E49B7">
        <w:t xml:space="preserve"> at 70 </w:t>
      </w:r>
      <w:r w:rsidRPr="009D3676">
        <w:t>kg) po</w:t>
      </w:r>
      <w:r w:rsidR="005B6DB8">
        <w:t xml:space="preserve">int estimate 0.20 </w:t>
      </w:r>
      <w:r w:rsidR="00C2731F" w:rsidRPr="009D3676">
        <w:t>L/day</w:t>
      </w:r>
      <w:r w:rsidR="00C2731F">
        <w:t xml:space="preserve"> </w:t>
      </w:r>
      <w:r w:rsidR="005B6DB8">
        <w:t xml:space="preserve">(90% CI: 0.17 to </w:t>
      </w:r>
      <w:r w:rsidRPr="009D3676">
        <w:t>0.22) fell outside the 80% to 125% historical adult point estimat</w:t>
      </w:r>
      <w:r w:rsidR="005B6DB8">
        <w:t xml:space="preserve">e and range values of 0.29 </w:t>
      </w:r>
      <w:r w:rsidR="00C2731F">
        <w:t xml:space="preserve">L/day </w:t>
      </w:r>
      <w:r w:rsidR="005B6DB8">
        <w:t xml:space="preserve">(80% to 125% interval: 0.23 to </w:t>
      </w:r>
      <w:r>
        <w:t>0.36).</w:t>
      </w:r>
    </w:p>
    <w:p w14:paraId="1BCFD4F7" w14:textId="24633CDD" w:rsidR="00C857C7" w:rsidRDefault="00C857C7" w:rsidP="004722E0">
      <w:r w:rsidRPr="009D3676">
        <w:t>Explor</w:t>
      </w:r>
      <w:r w:rsidR="008E49B7">
        <w:t>atory pop</w:t>
      </w:r>
      <w:r w:rsidRPr="009D3676">
        <w:t>PK analysis estimated a higher SC absolute bioa</w:t>
      </w:r>
      <w:r w:rsidR="008E49B7">
        <w:t xml:space="preserve">vailability of 105% (95% CI: 55 to </w:t>
      </w:r>
      <w:r w:rsidRPr="009D3676">
        <w:t xml:space="preserve">155%), </w:t>
      </w:r>
      <w:r>
        <w:t xml:space="preserve">rather than a lower clearance, </w:t>
      </w:r>
      <w:r w:rsidRPr="009D3676">
        <w:t xml:space="preserve">as the most likely explanation for the difference in apparent clearance in the 6 to 11 years old population. </w:t>
      </w:r>
      <w:r>
        <w:t>This compares to an estimated bioav</w:t>
      </w:r>
      <w:r w:rsidR="008E49B7">
        <w:t xml:space="preserve">ailability in adults of 74 to </w:t>
      </w:r>
      <w:r w:rsidR="005D1170">
        <w:t>80%.</w:t>
      </w:r>
    </w:p>
    <w:p w14:paraId="0F29D2E3" w14:textId="250805F0" w:rsidR="00C857C7" w:rsidRDefault="004722E0" w:rsidP="004722E0">
      <w:r>
        <w:t xml:space="preserve">The popPK analysis used </w:t>
      </w:r>
      <w:r w:rsidR="00C857C7">
        <w:t xml:space="preserve">two compartment approach. Factors that affect exposure include body weight and </w:t>
      </w:r>
      <w:r w:rsidR="004F11D0">
        <w:t>bioavailability</w:t>
      </w:r>
      <w:r w:rsidR="00C857C7">
        <w:t>.</w:t>
      </w:r>
    </w:p>
    <w:p w14:paraId="528C090F" w14:textId="77777777" w:rsidR="00C857C7" w:rsidRPr="00B61E84" w:rsidRDefault="00C2731F" w:rsidP="004722E0">
      <w:pPr>
        <w:pStyle w:val="Heading5"/>
      </w:pPr>
      <w:r w:rsidRPr="00B61E84">
        <w:lastRenderedPageBreak/>
        <w:t>Study</w:t>
      </w:r>
      <w:r w:rsidR="00C857C7" w:rsidRPr="00B61E84">
        <w:t xml:space="preserve"> 2014N223530</w:t>
      </w:r>
    </w:p>
    <w:p w14:paraId="61445FEF" w14:textId="77777777" w:rsidR="00C857C7" w:rsidRDefault="00C857C7" w:rsidP="004722E0">
      <w:r>
        <w:t>This study described the extrapolation of adult PK pop PK modelling to th</w:t>
      </w:r>
      <w:r w:rsidR="004722E0">
        <w:t>e paediatric setting</w:t>
      </w:r>
      <w:r>
        <w:t>, identified optimal doses and weight bands for severe asthma, and made recommendations f</w:t>
      </w:r>
      <w:r w:rsidR="004722E0">
        <w:t>or dosing based on body weight.</w:t>
      </w:r>
    </w:p>
    <w:p w14:paraId="17214BB6" w14:textId="77777777" w:rsidR="00C857C7" w:rsidRPr="00B61E84" w:rsidRDefault="00C2731F" w:rsidP="004722E0">
      <w:pPr>
        <w:pStyle w:val="Heading5"/>
      </w:pPr>
      <w:r w:rsidRPr="00B61E84">
        <w:t>Study</w:t>
      </w:r>
      <w:r w:rsidR="00C857C7" w:rsidRPr="00B61E84">
        <w:t xml:space="preserve"> 2018N368753</w:t>
      </w:r>
    </w:p>
    <w:p w14:paraId="73625091" w14:textId="016BD0B1" w:rsidR="00C857C7" w:rsidRDefault="00C857C7" w:rsidP="004722E0">
      <w:r>
        <w:t>This was an additional PK ana</w:t>
      </w:r>
      <w:r w:rsidR="008E49B7">
        <w:t>lysis following the results of S</w:t>
      </w:r>
      <w:r>
        <w:t>tudy 200363 and provided an alternative age based do</w:t>
      </w:r>
      <w:r w:rsidR="004F11D0">
        <w:t>s</w:t>
      </w:r>
      <w:r>
        <w:t xml:space="preserve">ing regime for </w:t>
      </w:r>
      <w:r w:rsidR="008E49B7">
        <w:t>children age</w:t>
      </w:r>
      <w:r w:rsidR="005607D7">
        <w:t>d from</w:t>
      </w:r>
      <w:r w:rsidR="008E49B7">
        <w:t xml:space="preserve"> 6 to </w:t>
      </w:r>
      <w:r>
        <w:t xml:space="preserve">11 years. This analysis was initiated </w:t>
      </w:r>
      <w:r w:rsidR="004F11D0">
        <w:t xml:space="preserve">following feedback from </w:t>
      </w:r>
      <w:r>
        <w:t xml:space="preserve">the </w:t>
      </w:r>
      <w:r w:rsidR="00C2731F">
        <w:t>US</w:t>
      </w:r>
      <w:r w:rsidR="008E49B7">
        <w:t xml:space="preserve"> Food and Drug Administration (</w:t>
      </w:r>
      <w:r>
        <w:t>FDA</w:t>
      </w:r>
      <w:r w:rsidR="008E49B7">
        <w:t>)</w:t>
      </w:r>
      <w:r>
        <w:t xml:space="preserve"> </w:t>
      </w:r>
      <w:r w:rsidR="004F11D0">
        <w:t xml:space="preserve">on </w:t>
      </w:r>
      <w:r>
        <w:t>the initial weig</w:t>
      </w:r>
      <w:r w:rsidR="008E49B7">
        <w:t xml:space="preserve">ht based dosing regimen </w:t>
      </w:r>
      <w:r w:rsidR="004F11D0">
        <w:t xml:space="preserve">proposal of 40 mg for children &lt; 40 kg and 100 mg for children </w:t>
      </w:r>
      <w:r w:rsidR="0081258E">
        <w:sym w:font="Symbol" w:char="F0B3"/>
      </w:r>
      <w:r w:rsidR="004F11D0">
        <w:t>40 kg that</w:t>
      </w:r>
      <w:r>
        <w:t xml:space="preserve"> resulted in exposures up to 2 times that seen in adults. The discrepancy was thought to be due </w:t>
      </w:r>
      <w:r w:rsidR="004F11D0">
        <w:t xml:space="preserve">to </w:t>
      </w:r>
      <w:r>
        <w:t>lower apparent clearance (attributed to increased bioavailability in paediatric patients). This analysis simulated exposure following a flat dose of 40</w:t>
      </w:r>
      <w:r w:rsidR="008E49B7">
        <w:t xml:space="preserve"> mg in all patients age 6 to 11 years </w:t>
      </w:r>
      <w:r w:rsidR="00A151B5">
        <w:t xml:space="preserve">over a </w:t>
      </w:r>
      <w:r w:rsidR="008E49B7">
        <w:t xml:space="preserve">weight </w:t>
      </w:r>
      <w:r w:rsidR="00A151B5">
        <w:t xml:space="preserve">range of </w:t>
      </w:r>
      <w:r w:rsidR="008E49B7">
        <w:t xml:space="preserve">15 to </w:t>
      </w:r>
      <w:r>
        <w:t>70</w:t>
      </w:r>
      <w:r w:rsidR="008E49B7">
        <w:t xml:space="preserve"> </w:t>
      </w:r>
      <w:r>
        <w:t>k</w:t>
      </w:r>
      <w:r w:rsidR="005D1170">
        <w:t>g.</w:t>
      </w:r>
    </w:p>
    <w:p w14:paraId="1DB9C782" w14:textId="18DB5326" w:rsidR="00C857C7" w:rsidRPr="00F053CE" w:rsidRDefault="00C857C7" w:rsidP="004722E0">
      <w:r>
        <w:t>A dosing regimen of mepolizumab 40</w:t>
      </w:r>
      <w:r w:rsidR="008E49B7">
        <w:t xml:space="preserve"> mg SC</w:t>
      </w:r>
      <w:r>
        <w:t xml:space="preserve"> e</w:t>
      </w:r>
      <w:r w:rsidR="008E49B7">
        <w:t xml:space="preserve">very 4 </w:t>
      </w:r>
      <w:r w:rsidR="00A151B5">
        <w:t xml:space="preserve">weeks </w:t>
      </w:r>
      <w:r w:rsidR="008E49B7">
        <w:t>for children age</w:t>
      </w:r>
      <w:r w:rsidR="0035025C">
        <w:t>d between</w:t>
      </w:r>
      <w:r w:rsidR="008E49B7">
        <w:t xml:space="preserve"> 6 to </w:t>
      </w:r>
      <w:r>
        <w:t>11 years without any dose adjustment for body weight was sim</w:t>
      </w:r>
      <w:r w:rsidR="008E49B7">
        <w:t xml:space="preserve">ulated over the weight range 15 to </w:t>
      </w:r>
      <w:r>
        <w:t>70</w:t>
      </w:r>
      <w:r w:rsidR="008E49B7">
        <w:t> </w:t>
      </w:r>
      <w:r>
        <w:t xml:space="preserve">kg. The </w:t>
      </w:r>
      <w:r w:rsidR="008E49B7">
        <w:t>root mean square error (</w:t>
      </w:r>
      <w:r>
        <w:t>RMSE</w:t>
      </w:r>
      <w:r w:rsidR="008E49B7">
        <w:t>)</w:t>
      </w:r>
      <w:r>
        <w:t xml:space="preserve"> for this dose was 25% of t</w:t>
      </w:r>
      <w:r w:rsidR="008E49B7">
        <w:t xml:space="preserve">he adult target exposure for 15 to </w:t>
      </w:r>
      <w:r>
        <w:t>50</w:t>
      </w:r>
      <w:r w:rsidR="008E49B7">
        <w:t xml:space="preserve"> </w:t>
      </w:r>
      <w:r>
        <w:t>kg weight g</w:t>
      </w:r>
      <w:r w:rsidR="008E49B7">
        <w:t xml:space="preserve">roup. Over the weight band 50 to </w:t>
      </w:r>
      <w:r>
        <w:t>70</w:t>
      </w:r>
      <w:r w:rsidR="008E49B7">
        <w:t xml:space="preserve"> </w:t>
      </w:r>
      <w:r>
        <w:t>kg, the optimal dose ratio to the adult 100</w:t>
      </w:r>
      <w:r w:rsidR="008E49B7">
        <w:t xml:space="preserve"> </w:t>
      </w:r>
      <w:r>
        <w:t>mg dose was 0.87 and further adjustment was not warranted (it is unclear what implications this has on children &gt;</w:t>
      </w:r>
      <w:r w:rsidR="008E49B7">
        <w:t xml:space="preserve"> </w:t>
      </w:r>
      <w:r>
        <w:t>50</w:t>
      </w:r>
      <w:r w:rsidR="008E49B7">
        <w:t xml:space="preserve"> </w:t>
      </w:r>
      <w:r>
        <w:t>kg).</w:t>
      </w:r>
    </w:p>
    <w:p w14:paraId="7B279160" w14:textId="77777777" w:rsidR="00C857C7" w:rsidRDefault="008E49B7" w:rsidP="004722E0">
      <w:pPr>
        <w:pStyle w:val="Heading6"/>
      </w:pPr>
      <w:r>
        <w:t>Pharmacodynamic response</w:t>
      </w:r>
    </w:p>
    <w:p w14:paraId="38011732" w14:textId="00908549" w:rsidR="00C857C7" w:rsidRDefault="00C857C7" w:rsidP="004722E0">
      <w:r>
        <w:t xml:space="preserve">The baseline </w:t>
      </w:r>
      <w:r w:rsidR="00A151B5">
        <w:t xml:space="preserve">blood </w:t>
      </w:r>
      <w:r>
        <w:t>eosinophil counts in the entire population was 370</w:t>
      </w:r>
      <w:r w:rsidR="008E49B7">
        <w:t xml:space="preserve"> </w:t>
      </w:r>
      <w:r>
        <w:t xml:space="preserve">cells per microlitre. There were similar reductions in </w:t>
      </w:r>
      <w:r w:rsidR="00A151B5">
        <w:t xml:space="preserve">blood </w:t>
      </w:r>
      <w:r>
        <w:t>eosinophils in the 40 and 100</w:t>
      </w:r>
      <w:r w:rsidR="008E49B7">
        <w:t xml:space="preserve"> mg mepolizumab groups.</w:t>
      </w:r>
    </w:p>
    <w:p w14:paraId="1CE3B4CE" w14:textId="77777777" w:rsidR="00C857C7" w:rsidRDefault="00C857C7" w:rsidP="004722E0">
      <w:pPr>
        <w:pStyle w:val="Heading4"/>
      </w:pPr>
      <w:r w:rsidRPr="003F08CF">
        <w:t>Efficacy</w:t>
      </w:r>
    </w:p>
    <w:p w14:paraId="669BFBEE" w14:textId="77777777" w:rsidR="00C857C7" w:rsidRDefault="00C2731F" w:rsidP="004722E0">
      <w:pPr>
        <w:pStyle w:val="Heading5"/>
      </w:pPr>
      <w:r w:rsidRPr="00053ABB">
        <w:t>S</w:t>
      </w:r>
      <w:r>
        <w:t>tudy</w:t>
      </w:r>
      <w:r w:rsidR="004722E0">
        <w:t xml:space="preserve"> 200363</w:t>
      </w:r>
    </w:p>
    <w:p w14:paraId="091CC30A" w14:textId="77777777" w:rsidR="00C857C7" w:rsidRDefault="00C857C7" w:rsidP="004722E0">
      <w:pPr>
        <w:pStyle w:val="Heading6"/>
      </w:pPr>
      <w:r>
        <w:t>P</w:t>
      </w:r>
      <w:r w:rsidRPr="00053ABB">
        <w:t>art A</w:t>
      </w:r>
    </w:p>
    <w:p w14:paraId="2F73077D" w14:textId="54B2E990" w:rsidR="00C857C7" w:rsidRPr="00053ABB" w:rsidRDefault="00C857C7" w:rsidP="004722E0">
      <w:r w:rsidRPr="00E03585">
        <w:rPr>
          <w:i/>
        </w:rPr>
        <w:t>Baseline fe</w:t>
      </w:r>
      <w:r w:rsidR="004722E0" w:rsidRPr="00E03585">
        <w:rPr>
          <w:i/>
        </w:rPr>
        <w:t>atures</w:t>
      </w:r>
      <w:r w:rsidR="004722E0">
        <w:t xml:space="preserve">: weight ranged from 20.2 to </w:t>
      </w:r>
      <w:r>
        <w:t>60.6</w:t>
      </w:r>
      <w:r w:rsidR="004722E0">
        <w:t xml:space="preserve"> </w:t>
      </w:r>
      <w:r>
        <w:t>kg; FEV</w:t>
      </w:r>
      <w:r w:rsidRPr="008E49B7">
        <w:rPr>
          <w:vertAlign w:val="subscript"/>
        </w:rPr>
        <w:t>1</w:t>
      </w:r>
      <w:r>
        <w:t xml:space="preserve"> </w:t>
      </w:r>
      <w:r w:rsidR="0035025C">
        <w:t xml:space="preserve">was </w:t>
      </w:r>
      <w:r w:rsidR="00A151B5">
        <w:t>90</w:t>
      </w:r>
      <w:r>
        <w:t>%. 19% were on medium dose ICS, 81% on high dose ICS. 34 (94%) were taking LABA, 28 (78%) were taking leukotriene receptor antagonist</w:t>
      </w:r>
      <w:r w:rsidR="0035025C">
        <w:t>s</w:t>
      </w:r>
      <w:r>
        <w:t>, 24 were on systemic corticosteroids. Other treatments included tiotropium (1 patient), antibiotics (4 patients), mucolytics (6</w:t>
      </w:r>
      <w:r w:rsidR="0035025C">
        <w:t> </w:t>
      </w:r>
      <w:r>
        <w:t xml:space="preserve">patients), cromoglycate sodium (5 </w:t>
      </w:r>
      <w:r w:rsidR="004722E0">
        <w:t>patients).</w:t>
      </w:r>
    </w:p>
    <w:p w14:paraId="6AF30A5E" w14:textId="77777777" w:rsidR="00C857C7" w:rsidRDefault="00C857C7" w:rsidP="004722E0">
      <w:r w:rsidRPr="00053ABB">
        <w:t xml:space="preserve">Efficacy was </w:t>
      </w:r>
      <w:r>
        <w:t>a secondary or exploratory endpoint</w:t>
      </w:r>
      <w:r w:rsidR="008E49B7">
        <w:t>.</w:t>
      </w:r>
    </w:p>
    <w:p w14:paraId="08E1AEB0" w14:textId="35C485AE" w:rsidR="00C857C7" w:rsidRDefault="00C857C7" w:rsidP="004722E0">
      <w:r w:rsidRPr="005B1F03">
        <w:t xml:space="preserve">At Week 12, a </w:t>
      </w:r>
      <w:r w:rsidR="0081258E">
        <w:sym w:font="Symbol" w:char="F0B3"/>
      </w:r>
      <w:r w:rsidRPr="005B1F03">
        <w:t xml:space="preserve"> 0.5 point reduction from </w:t>
      </w:r>
      <w:r w:rsidR="0035025C">
        <w:t>B</w:t>
      </w:r>
      <w:r w:rsidR="0035025C" w:rsidRPr="005B1F03">
        <w:t xml:space="preserve">aseline </w:t>
      </w:r>
      <w:r w:rsidRPr="005B1F03">
        <w:t xml:space="preserve">in the </w:t>
      </w:r>
      <w:r w:rsidR="008E49B7">
        <w:t>Asthma Control Questionnaire</w:t>
      </w:r>
      <w:r w:rsidR="008E49B7" w:rsidRPr="005B1F03">
        <w:t xml:space="preserve"> </w:t>
      </w:r>
      <w:r w:rsidR="008E49B7">
        <w:t xml:space="preserve">7 </w:t>
      </w:r>
      <w:r w:rsidR="0035025C">
        <w:t xml:space="preserve">and 5 </w:t>
      </w:r>
      <w:r w:rsidR="008E49B7">
        <w:t>(</w:t>
      </w:r>
      <w:r w:rsidRPr="005B1F03">
        <w:t>ACQ-7</w:t>
      </w:r>
      <w:r w:rsidR="0035025C">
        <w:t>; ACQ-5</w:t>
      </w:r>
      <w:r w:rsidR="008E49B7">
        <w:t>) questionnaires</w:t>
      </w:r>
      <w:r>
        <w:t xml:space="preserve"> </w:t>
      </w:r>
      <w:r w:rsidRPr="005B1F03">
        <w:t xml:space="preserve">was observed in 48% and 55% of subjects overall </w:t>
      </w:r>
      <w:r>
        <w:t>respectively.</w:t>
      </w:r>
    </w:p>
    <w:p w14:paraId="54F75733" w14:textId="77777777" w:rsidR="00C857C7" w:rsidRDefault="008E49B7" w:rsidP="004722E0">
      <w:r>
        <w:t>Childhood Asthma Control Test (</w:t>
      </w:r>
      <w:r w:rsidR="00C857C7">
        <w:t>C-ACT</w:t>
      </w:r>
      <w:r>
        <w:t>)</w:t>
      </w:r>
      <w:r w:rsidR="00C857C7">
        <w:t xml:space="preserve"> scores </w:t>
      </w:r>
      <w:r>
        <w:t>showed only minor improvements.</w:t>
      </w:r>
    </w:p>
    <w:p w14:paraId="2FD92163" w14:textId="35B23EE6" w:rsidR="00C857C7" w:rsidRDefault="00C857C7" w:rsidP="004722E0">
      <w:r>
        <w:t xml:space="preserve">Changes from </w:t>
      </w:r>
      <w:r w:rsidR="0035025C">
        <w:t xml:space="preserve">Baseline </w:t>
      </w:r>
      <w:r>
        <w:t>in pre-bronchodilator FEV</w:t>
      </w:r>
      <w:r w:rsidRPr="00E03585">
        <w:rPr>
          <w:vertAlign w:val="subscript"/>
        </w:rPr>
        <w:t>1</w:t>
      </w:r>
      <w:r>
        <w:t xml:space="preserve"> were variable.</w:t>
      </w:r>
    </w:p>
    <w:p w14:paraId="37E28EFC" w14:textId="77777777" w:rsidR="00C857C7" w:rsidRDefault="00C857C7" w:rsidP="004722E0">
      <w:r>
        <w:t>Exacerbatio</w:t>
      </w:r>
      <w:bookmarkStart w:id="42" w:name="_Toc2092993"/>
      <w:r w:rsidR="004722E0">
        <w:t>ns on treatment were as follows</w:t>
      </w:r>
      <w:r w:rsidR="008E49B7">
        <w:t xml:space="preserve"> in </w:t>
      </w:r>
      <w:r w:rsidR="008E49B7">
        <w:fldChar w:fldCharType="begin"/>
      </w:r>
      <w:r w:rsidR="008E49B7">
        <w:instrText xml:space="preserve"> REF _Ref27465371 \h </w:instrText>
      </w:r>
      <w:r w:rsidR="008E49B7">
        <w:fldChar w:fldCharType="separate"/>
      </w:r>
      <w:r w:rsidR="008E49B7">
        <w:t xml:space="preserve">Table </w:t>
      </w:r>
      <w:r w:rsidR="008E49B7">
        <w:rPr>
          <w:noProof/>
        </w:rPr>
        <w:t>3</w:t>
      </w:r>
      <w:r w:rsidR="008E49B7">
        <w:fldChar w:fldCharType="end"/>
      </w:r>
      <w:r w:rsidR="008E49B7">
        <w:t>.</w:t>
      </w:r>
    </w:p>
    <w:p w14:paraId="09941FFC" w14:textId="77777777" w:rsidR="00C857C7" w:rsidRDefault="004722E0" w:rsidP="004722E0">
      <w:pPr>
        <w:pStyle w:val="TableTitle"/>
      </w:pPr>
      <w:bookmarkStart w:id="43" w:name="_Ref27465371"/>
      <w:r>
        <w:lastRenderedPageBreak/>
        <w:t xml:space="preserve">Table </w:t>
      </w:r>
      <w:fldSimple w:instr=" SEQ Table \* ARABIC ">
        <w:r w:rsidR="000F3AA2">
          <w:rPr>
            <w:noProof/>
          </w:rPr>
          <w:t>3</w:t>
        </w:r>
      </w:fldSimple>
      <w:bookmarkEnd w:id="43"/>
      <w:r>
        <w:t xml:space="preserve">: </w:t>
      </w:r>
      <w:r w:rsidR="00C857C7">
        <w:rPr>
          <w:noProof/>
        </w:rPr>
        <w:t>Asthma exacerbations on-treatment</w:t>
      </w:r>
      <w:r>
        <w:rPr>
          <w:noProof/>
        </w:rPr>
        <w:t>,</w:t>
      </w:r>
      <w:r w:rsidR="00C857C7">
        <w:rPr>
          <w:noProof/>
        </w:rPr>
        <w:t xml:space="preserve"> </w:t>
      </w:r>
      <w:r>
        <w:rPr>
          <w:noProof/>
        </w:rPr>
        <w:t xml:space="preserve">Study </w:t>
      </w:r>
      <w:r w:rsidR="00C857C7">
        <w:rPr>
          <w:noProof/>
        </w:rPr>
        <w:t>200363</w:t>
      </w:r>
      <w:bookmarkEnd w:id="42"/>
    </w:p>
    <w:p w14:paraId="129BB023" w14:textId="77777777" w:rsidR="00C857C7" w:rsidRDefault="004722E0" w:rsidP="00C857C7">
      <w:r>
        <w:rPr>
          <w:noProof/>
          <w:lang w:eastAsia="en-AU"/>
        </w:rPr>
        <w:drawing>
          <wp:inline distT="0" distB="0" distL="0" distR="0" wp14:anchorId="7A14EB6A" wp14:editId="0F9839D9">
            <wp:extent cx="5400040" cy="2987040"/>
            <wp:effectExtent l="0" t="0" r="0" b="3810"/>
            <wp:docPr id="1" name="Picture 1" descr="Asthma exacerbations on-treatment, Study 200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400040" cy="2987040"/>
                    </a:xfrm>
                    <a:prstGeom prst="rect">
                      <a:avLst/>
                    </a:prstGeom>
                  </pic:spPr>
                </pic:pic>
              </a:graphicData>
            </a:graphic>
          </wp:inline>
        </w:drawing>
      </w:r>
    </w:p>
    <w:p w14:paraId="79C0DAEB" w14:textId="77777777" w:rsidR="00C857C7" w:rsidRDefault="00C857C7" w:rsidP="004722E0">
      <w:pPr>
        <w:pStyle w:val="Heading6"/>
      </w:pPr>
      <w:r>
        <w:t>Part B</w:t>
      </w:r>
    </w:p>
    <w:p w14:paraId="769B7004" w14:textId="77777777" w:rsidR="00C857C7" w:rsidRDefault="008E49B7" w:rsidP="004722E0">
      <w:r>
        <w:t>30 subjects from Part A continued into P</w:t>
      </w:r>
      <w:r w:rsidR="00C857C7">
        <w:t>art B and conti</w:t>
      </w:r>
      <w:r>
        <w:t>nued treatment for a further 52 </w:t>
      </w:r>
      <w:r w:rsidR="00C857C7">
        <w:t>weeks, and 20 have continued into a long term access programme. In the 12 months prior to screening, these patients had on average 3.5 exacerbations per year and in around 40% hospitalisation was required.</w:t>
      </w:r>
    </w:p>
    <w:p w14:paraId="44253307" w14:textId="6ED83C97" w:rsidR="00C857C7" w:rsidRDefault="00C857C7" w:rsidP="008E49B7">
      <w:pPr>
        <w:pStyle w:val="ListBullet"/>
      </w:pPr>
      <w:r>
        <w:t xml:space="preserve">Safety: 90% had any </w:t>
      </w:r>
      <w:r w:rsidR="008E49B7">
        <w:t>adverse events (</w:t>
      </w:r>
      <w:r>
        <w:t>AE</w:t>
      </w:r>
      <w:r w:rsidR="008E49B7">
        <w:t>)</w:t>
      </w:r>
      <w:r>
        <w:t xml:space="preserve"> and 23% had any </w:t>
      </w:r>
      <w:r w:rsidR="008E49B7">
        <w:t>serious adverse events (</w:t>
      </w:r>
      <w:r>
        <w:t>SAE</w:t>
      </w:r>
      <w:r w:rsidR="008E49B7">
        <w:t>)</w:t>
      </w:r>
      <w:r>
        <w:t>.</w:t>
      </w:r>
    </w:p>
    <w:p w14:paraId="62236AD5" w14:textId="02E7F853" w:rsidR="00C857C7" w:rsidRDefault="00C857C7" w:rsidP="008E49B7">
      <w:pPr>
        <w:pStyle w:val="ListBullet"/>
      </w:pPr>
      <w:r>
        <w:t>PD: There was a</w:t>
      </w:r>
      <w:r w:rsidR="00B55389">
        <w:t>n</w:t>
      </w:r>
      <w:r>
        <w:t xml:space="preserve"> 86.5% reduction in </w:t>
      </w:r>
      <w:r w:rsidR="00A151B5">
        <w:t xml:space="preserve">blood </w:t>
      </w:r>
      <w:r>
        <w:t>eosinophils</w:t>
      </w:r>
      <w:r w:rsidR="008E49B7">
        <w:t>.</w:t>
      </w:r>
    </w:p>
    <w:p w14:paraId="03C65EAD" w14:textId="50023CFD" w:rsidR="00C857C7" w:rsidRDefault="00C857C7" w:rsidP="004722E0">
      <w:pPr>
        <w:pStyle w:val="ListBullet"/>
      </w:pPr>
      <w:r>
        <w:t xml:space="preserve">Clinical efficacy: at the exit visit, a </w:t>
      </w:r>
      <w:r w:rsidR="0081258E">
        <w:sym w:font="Symbol" w:char="F0B3"/>
      </w:r>
      <w:r>
        <w:t xml:space="preserve"> 0.5</w:t>
      </w:r>
      <w:r w:rsidR="008E49B7">
        <w:t xml:space="preserve"> </w:t>
      </w:r>
      <w:r>
        <w:t xml:space="preserve">point reduction from </w:t>
      </w:r>
      <w:r w:rsidR="0035025C">
        <w:t>B</w:t>
      </w:r>
      <w:r>
        <w:t>aseline was seen in 55</w:t>
      </w:r>
      <w:r w:rsidR="00C2731F">
        <w:t>%</w:t>
      </w:r>
      <w:r>
        <w:t xml:space="preserve"> for the ACQ</w:t>
      </w:r>
      <w:r w:rsidR="008E49B7">
        <w:t>-</w:t>
      </w:r>
      <w:r>
        <w:t>7 and 59% for ACQ</w:t>
      </w:r>
      <w:r w:rsidR="008E49B7">
        <w:t>-</w:t>
      </w:r>
      <w:r>
        <w:t>5. There was a numerical improvement in asthma control. FEV</w:t>
      </w:r>
      <w:r w:rsidRPr="008E49B7">
        <w:rPr>
          <w:vertAlign w:val="subscript"/>
        </w:rPr>
        <w:t>1</w:t>
      </w:r>
      <w:r>
        <w:t xml:space="preserve"> pre-bronchodilator increased by an average of 278</w:t>
      </w:r>
      <w:r w:rsidR="008E49B7">
        <w:t xml:space="preserve"> mL</w:t>
      </w:r>
      <w:r>
        <w:t xml:space="preserve">. There were 14 subjects </w:t>
      </w:r>
      <w:r w:rsidR="00A151B5">
        <w:t xml:space="preserve">that </w:t>
      </w:r>
      <w:r>
        <w:t>had 31 exacerbations,</w:t>
      </w:r>
      <w:r w:rsidR="0035025C">
        <w:t xml:space="preserve"> and</w:t>
      </w:r>
      <w:r>
        <w:t xml:space="preserve"> 5 </w:t>
      </w:r>
      <w:r w:rsidR="00A151B5">
        <w:t xml:space="preserve">subjects </w:t>
      </w:r>
      <w:r>
        <w:t>required hosp</w:t>
      </w:r>
      <w:r w:rsidR="00C2731F">
        <w:t>italisation. 80% had a more than</w:t>
      </w:r>
      <w:r>
        <w:t xml:space="preserve"> </w:t>
      </w:r>
      <w:r w:rsidR="008E49B7">
        <w:t xml:space="preserve">50% decrease in exacerbations, </w:t>
      </w:r>
      <w:r>
        <w:t>7% had a</w:t>
      </w:r>
      <w:r w:rsidR="008E49B7">
        <w:t>n</w:t>
      </w:r>
      <w:r>
        <w:t xml:space="preserve"> increase in exacerbations</w:t>
      </w:r>
      <w:r w:rsidR="00A151B5">
        <w:t xml:space="preserve"> compared to </w:t>
      </w:r>
      <w:r w:rsidR="0035025C">
        <w:t>B</w:t>
      </w:r>
      <w:r w:rsidR="00A151B5">
        <w:t>aseline prior to study entry</w:t>
      </w:r>
      <w:r>
        <w:t>.</w:t>
      </w:r>
    </w:p>
    <w:p w14:paraId="6C2AB889" w14:textId="77777777" w:rsidR="00C857C7" w:rsidRDefault="00C857C7" w:rsidP="004722E0">
      <w:pPr>
        <w:pStyle w:val="Heading4"/>
      </w:pPr>
      <w:r w:rsidRPr="003F08CF">
        <w:t>Safety</w:t>
      </w:r>
    </w:p>
    <w:p w14:paraId="3DF6479F" w14:textId="7E318B75" w:rsidR="00C857C7" w:rsidRDefault="008E49B7" w:rsidP="004722E0">
      <w:r>
        <w:t>In children</w:t>
      </w:r>
      <w:r w:rsidR="00A151B5">
        <w:t xml:space="preserve"> and adolescents</w:t>
      </w:r>
      <w:r>
        <w:t xml:space="preserve"> aged 6 to </w:t>
      </w:r>
      <w:r w:rsidR="00C857C7">
        <w:t>17 years with severe asthma, 26 children were exposed to 40</w:t>
      </w:r>
      <w:r>
        <w:t xml:space="preserve"> </w:t>
      </w:r>
      <w:r w:rsidR="00C857C7">
        <w:t xml:space="preserve">mg and 42 children </w:t>
      </w:r>
      <w:r w:rsidR="00A151B5">
        <w:t xml:space="preserve">and adolescents </w:t>
      </w:r>
      <w:r w:rsidR="00C857C7">
        <w:t>were exposed to 100</w:t>
      </w:r>
      <w:r>
        <w:t xml:space="preserve"> </w:t>
      </w:r>
      <w:r w:rsidR="00C857C7">
        <w:t>mg. The mean duration of exposure in those exposed to 40</w:t>
      </w:r>
      <w:r>
        <w:t xml:space="preserve"> </w:t>
      </w:r>
      <w:r w:rsidR="00C857C7">
        <w:t>mg was 2.7 months, the mean duration of exposure for those administered 100</w:t>
      </w:r>
      <w:r>
        <w:t xml:space="preserve"> </w:t>
      </w:r>
      <w:r w:rsidR="00C857C7">
        <w:t>mg was 9.9</w:t>
      </w:r>
      <w:r>
        <w:t xml:space="preserve"> </w:t>
      </w:r>
      <w:r w:rsidR="00C857C7">
        <w:t>months, 24 patients ha</w:t>
      </w:r>
      <w:r w:rsidR="004722E0">
        <w:t>d been exposed for &gt; 12 months.</w:t>
      </w:r>
    </w:p>
    <w:p w14:paraId="2C266F50" w14:textId="5A5C359A" w:rsidR="00C857C7" w:rsidRDefault="00C857C7" w:rsidP="004722E0">
      <w:r w:rsidRPr="00524CC0">
        <w:t xml:space="preserve">In </w:t>
      </w:r>
      <w:r>
        <w:t xml:space="preserve">clinical studies of </w:t>
      </w:r>
      <w:r w:rsidRPr="00524CC0">
        <w:t>adults and adolescents</w:t>
      </w:r>
      <w:r w:rsidR="00C2731F">
        <w:t>,</w:t>
      </w:r>
      <w:r w:rsidRPr="00524CC0">
        <w:t xml:space="preserve"> </w:t>
      </w:r>
      <w:r>
        <w:t xml:space="preserve">mepolizumab is well tolerated. </w:t>
      </w:r>
      <w:r w:rsidR="00A151B5">
        <w:t xml:space="preserve">In the integrated </w:t>
      </w:r>
      <w:r w:rsidR="00C1479B">
        <w:t>P</w:t>
      </w:r>
      <w:r w:rsidR="00A151B5">
        <w:t xml:space="preserve">hase III placebo-controlled severe asthma studies, </w:t>
      </w:r>
      <w:r w:rsidR="0035025C">
        <w:t>AEs</w:t>
      </w:r>
      <w:r>
        <w:t xml:space="preserve"> were reported in similar numbers of the placebo and active treatment groups. The most frequent</w:t>
      </w:r>
      <w:r w:rsidR="00A151B5">
        <w:t>ly</w:t>
      </w:r>
      <w:r>
        <w:t xml:space="preserve"> reported </w:t>
      </w:r>
      <w:r w:rsidR="008E49B7">
        <w:t>AEs</w:t>
      </w:r>
      <w:r>
        <w:t xml:space="preserve"> wer</w:t>
      </w:r>
      <w:r w:rsidR="008E49B7">
        <w:t>e headache and nasopharyngitis.</w:t>
      </w:r>
    </w:p>
    <w:p w14:paraId="59890DA7" w14:textId="26CCA7B0" w:rsidR="00C857C7" w:rsidRDefault="00A151B5" w:rsidP="004722E0">
      <w:r>
        <w:t>S</w:t>
      </w:r>
      <w:r w:rsidR="00C857C7">
        <w:t>tud</w:t>
      </w:r>
      <w:r>
        <w:t>y 200363</w:t>
      </w:r>
      <w:r w:rsidR="00C857C7">
        <w:t xml:space="preserve"> in children </w:t>
      </w:r>
      <w:r>
        <w:t xml:space="preserve">aged 6 to 11 years was </w:t>
      </w:r>
      <w:r w:rsidR="00C857C7">
        <w:t>not placebo controlled, thus it is not possible to determine if adverse events were treatment related. Headache and injection site reactions were the mo</w:t>
      </w:r>
      <w:r w:rsidR="004722E0">
        <w:t>st common on treatment events</w:t>
      </w:r>
      <w:r>
        <w:t xml:space="preserve"> in </w:t>
      </w:r>
      <w:r w:rsidR="00C1479B">
        <w:t>S</w:t>
      </w:r>
      <w:r>
        <w:t>tudy 200363 Part A</w:t>
      </w:r>
      <w:r w:rsidR="004722E0">
        <w:t>.</w:t>
      </w:r>
    </w:p>
    <w:p w14:paraId="79DDA558" w14:textId="28312EE9" w:rsidR="00C857C7" w:rsidRPr="000F3050" w:rsidRDefault="00C857C7" w:rsidP="004722E0">
      <w:r>
        <w:t>The safety data submitted by the sponsor included data from clinical studies in other disorders such as hypereosinophilic syndrome</w:t>
      </w:r>
      <w:r w:rsidR="008E49B7">
        <w:t xml:space="preserve"> (HES)</w:t>
      </w:r>
      <w:r>
        <w:t xml:space="preserve">. This patient population have a </w:t>
      </w:r>
      <w:r>
        <w:lastRenderedPageBreak/>
        <w:t xml:space="preserve">different risk profile due to a different underlying disorder and different dose given. It is </w:t>
      </w:r>
      <w:r w:rsidR="00C2731F">
        <w:t>noteworthy</w:t>
      </w:r>
      <w:r>
        <w:t xml:space="preserve"> that 4 </w:t>
      </w:r>
      <w:r w:rsidR="00A151B5">
        <w:t xml:space="preserve">paediatric </w:t>
      </w:r>
      <w:r>
        <w:t>patients in the HES compassionate use program have died.</w:t>
      </w:r>
      <w:r w:rsidR="008245A4">
        <w:rPr>
          <w:rStyle w:val="FootnoteReference"/>
        </w:rPr>
        <w:footnoteReference w:id="2"/>
      </w:r>
      <w:r>
        <w:t xml:space="preserve"> The causes of death included disease progression, malignancy, </w:t>
      </w:r>
      <w:r w:rsidR="0063318D">
        <w:t>sepsis and respiratory failure.</w:t>
      </w:r>
    </w:p>
    <w:p w14:paraId="471D0D77" w14:textId="092F2908" w:rsidR="00C857C7" w:rsidRDefault="0063318D" w:rsidP="004722E0">
      <w:r>
        <w:t xml:space="preserve">In Study 200363 </w:t>
      </w:r>
      <w:r w:rsidR="00A151B5">
        <w:t xml:space="preserve">Part A </w:t>
      </w:r>
      <w:r>
        <w:t xml:space="preserve">in children aged 6 to </w:t>
      </w:r>
      <w:r w:rsidR="00C857C7" w:rsidRPr="0068529D">
        <w:t xml:space="preserve">11 years with severe asthma, 6 subjects reported 18 on treatment </w:t>
      </w:r>
      <w:r w:rsidR="00A151B5">
        <w:t>serious</w:t>
      </w:r>
      <w:r w:rsidR="00A151B5" w:rsidRPr="0068529D">
        <w:t xml:space="preserve"> </w:t>
      </w:r>
      <w:r w:rsidR="00C857C7" w:rsidRPr="0068529D">
        <w:t xml:space="preserve">adverse events. </w:t>
      </w:r>
      <w:r w:rsidR="00C857C7">
        <w:t xml:space="preserve">Two </w:t>
      </w:r>
      <w:r w:rsidR="00A151B5">
        <w:t>subjects ha</w:t>
      </w:r>
      <w:r w:rsidR="00534E69">
        <w:t>d</w:t>
      </w:r>
      <w:r w:rsidR="00A151B5">
        <w:t xml:space="preserve"> serious adverse events that </w:t>
      </w:r>
      <w:r w:rsidR="00C857C7">
        <w:t>were considered to be potentially related</w:t>
      </w:r>
      <w:r w:rsidR="00A151B5">
        <w:t xml:space="preserve"> to study treatment by the investigator</w:t>
      </w:r>
      <w:r w:rsidR="00C857C7">
        <w:t xml:space="preserve">. One subject had severe back and chest pain, dizziness, headache, nausea and pain resulting in admission to hospital and </w:t>
      </w:r>
      <w:r w:rsidR="00A151B5">
        <w:t xml:space="preserve">treatment with </w:t>
      </w:r>
      <w:r w:rsidR="00C857C7">
        <w:t>morphine. This event occurred 8 days after the first dose and lasted 2 weeks</w:t>
      </w:r>
      <w:r w:rsidR="00A151B5">
        <w:t>; the events resolved</w:t>
      </w:r>
      <w:r w:rsidR="00C857C7">
        <w:t>. No further doses were given. Another subject had an exacerbation of asthma 38 days after the first dose of mepolizumab</w:t>
      </w:r>
      <w:r w:rsidR="00A151B5">
        <w:t xml:space="preserve"> (11 days after the second dose) that led to discontinuation of mepolizumab treatment and withdrawal from the study</w:t>
      </w:r>
      <w:r w:rsidR="00C857C7">
        <w:t xml:space="preserve">. </w:t>
      </w:r>
      <w:r w:rsidR="00A151B5">
        <w:t>The a</w:t>
      </w:r>
      <w:r w:rsidR="00C857C7">
        <w:t xml:space="preserve">sthma </w:t>
      </w:r>
      <w:r w:rsidR="00A151B5">
        <w:t xml:space="preserve">exacerbation </w:t>
      </w:r>
      <w:r w:rsidR="00C857C7">
        <w:t xml:space="preserve">resolved </w:t>
      </w:r>
      <w:r w:rsidR="00A151B5">
        <w:t>in 10 days</w:t>
      </w:r>
      <w:r w:rsidR="004722E0">
        <w:t>.</w:t>
      </w:r>
    </w:p>
    <w:p w14:paraId="409A68AB" w14:textId="6700FA71" w:rsidR="00456765" w:rsidRPr="00456765" w:rsidRDefault="00C857C7" w:rsidP="00456765">
      <w:r w:rsidRPr="0024023E">
        <w:t xml:space="preserve">In the most recent </w:t>
      </w:r>
      <w:r w:rsidR="0063318D">
        <w:t>periodic safety update report (</w:t>
      </w:r>
      <w:r w:rsidRPr="0024023E">
        <w:t>PSUR</w:t>
      </w:r>
      <w:r w:rsidR="0063318D">
        <w:t>)</w:t>
      </w:r>
      <w:r w:rsidRPr="0024023E">
        <w:t xml:space="preserve"> including data until </w:t>
      </w:r>
      <w:r>
        <w:t>M</w:t>
      </w:r>
      <w:r w:rsidRPr="0024023E">
        <w:t xml:space="preserve">arch 2018, 3303 subjects had been </w:t>
      </w:r>
      <w:r w:rsidR="00A151B5">
        <w:t>exposed to mepolizumab in completed GSK sponsored interventional clinical studies</w:t>
      </w:r>
      <w:r>
        <w:t xml:space="preserve">. There were 11 new </w:t>
      </w:r>
      <w:r w:rsidR="00C2731F">
        <w:t>post-marketing</w:t>
      </w:r>
      <w:r>
        <w:t xml:space="preserve"> reports of anaph</w:t>
      </w:r>
      <w:r w:rsidR="004722E0">
        <w:t>ylaxis</w:t>
      </w:r>
      <w:r w:rsidR="00A151B5">
        <w:t xml:space="preserve"> received during the period covered by the PSUR (24 September 2017 to 23</w:t>
      </w:r>
      <w:r w:rsidR="00552CFD">
        <w:t> </w:t>
      </w:r>
      <w:r w:rsidR="00A151B5">
        <w:t>March 2018)</w:t>
      </w:r>
      <w:r w:rsidR="004722E0">
        <w:t>.</w:t>
      </w:r>
    </w:p>
    <w:p w14:paraId="7EAE4B2C" w14:textId="77777777" w:rsidR="008E7846" w:rsidRDefault="00386150" w:rsidP="007B6132">
      <w:pPr>
        <w:pStyle w:val="Heading3"/>
        <w:rPr>
          <w:lang w:eastAsia="en-AU"/>
        </w:rPr>
      </w:pPr>
      <w:bookmarkStart w:id="44" w:name="_Toc32941695"/>
      <w:r>
        <w:rPr>
          <w:lang w:eastAsia="en-AU"/>
        </w:rPr>
        <w:t>Risk m</w:t>
      </w:r>
      <w:r w:rsidR="008E7846">
        <w:rPr>
          <w:lang w:eastAsia="en-AU"/>
        </w:rPr>
        <w:t xml:space="preserve">anagement </w:t>
      </w:r>
      <w:r>
        <w:rPr>
          <w:lang w:eastAsia="en-AU"/>
        </w:rPr>
        <w:t>p</w:t>
      </w:r>
      <w:r w:rsidR="008E7846">
        <w:rPr>
          <w:lang w:eastAsia="en-AU"/>
        </w:rPr>
        <w:t>lan</w:t>
      </w:r>
      <w:bookmarkEnd w:id="41"/>
      <w:bookmarkEnd w:id="44"/>
    </w:p>
    <w:p w14:paraId="7F86DC21" w14:textId="77777777" w:rsidR="008E7846" w:rsidRDefault="006F5F72" w:rsidP="008E7846">
      <w:r>
        <w:t>There was no requirement for a risk management plan evaluation for a submission of this type.</w:t>
      </w:r>
      <w:r>
        <w:rPr>
          <w:rStyle w:val="FootnoteReference"/>
        </w:rPr>
        <w:footnoteReference w:id="3"/>
      </w:r>
    </w:p>
    <w:p w14:paraId="73B7D5A5" w14:textId="77777777" w:rsidR="008E7846" w:rsidRDefault="00AA0ED0" w:rsidP="008E7846">
      <w:pPr>
        <w:pStyle w:val="Heading3"/>
      </w:pPr>
      <w:bookmarkStart w:id="45" w:name="_Toc247691531"/>
      <w:bookmarkStart w:id="46" w:name="_Toc314842515"/>
      <w:bookmarkStart w:id="47" w:name="_Toc32941696"/>
      <w:bookmarkStart w:id="48" w:name="_Toc196046505"/>
      <w:bookmarkStart w:id="49" w:name="_Toc196046949"/>
      <w:r>
        <w:t>Risk-benefit a</w:t>
      </w:r>
      <w:r w:rsidR="008E7846">
        <w:t>nalysis</w:t>
      </w:r>
      <w:bookmarkEnd w:id="45"/>
      <w:bookmarkEnd w:id="46"/>
      <w:bookmarkEnd w:id="47"/>
    </w:p>
    <w:p w14:paraId="6E8C1E4A" w14:textId="77777777" w:rsidR="00D23139" w:rsidRDefault="006F5F72" w:rsidP="00D23139">
      <w:pPr>
        <w:pStyle w:val="Heading4"/>
      </w:pPr>
      <w:r>
        <w:t>Delegate’s considerations</w:t>
      </w:r>
    </w:p>
    <w:p w14:paraId="1072E6C2" w14:textId="77777777" w:rsidR="00C857C7" w:rsidRDefault="00C857C7" w:rsidP="006F5F72">
      <w:pPr>
        <w:pStyle w:val="Heading5"/>
      </w:pPr>
      <w:r w:rsidRPr="003F08CF">
        <w:t>Discussion</w:t>
      </w:r>
    </w:p>
    <w:p w14:paraId="230B6D48" w14:textId="77777777" w:rsidR="00C857C7" w:rsidRDefault="00C857C7" w:rsidP="0063318D">
      <w:r>
        <w:t xml:space="preserve">The main issue with this submission is the role of extrapolation to support the efficacy and safety of mepolizumab in children with eosinophil asthma. </w:t>
      </w:r>
      <w:r w:rsidR="0063318D">
        <w:fldChar w:fldCharType="begin"/>
      </w:r>
      <w:r w:rsidR="0063318D">
        <w:instrText xml:space="preserve"> REF _Ref27465700 \h </w:instrText>
      </w:r>
      <w:r w:rsidR="0063318D">
        <w:fldChar w:fldCharType="separate"/>
      </w:r>
      <w:r w:rsidR="0063318D">
        <w:t xml:space="preserve">Table </w:t>
      </w:r>
      <w:r w:rsidR="0063318D">
        <w:rPr>
          <w:noProof/>
        </w:rPr>
        <w:t>4</w:t>
      </w:r>
      <w:r w:rsidR="0063318D">
        <w:fldChar w:fldCharType="end"/>
      </w:r>
      <w:r w:rsidR="0063318D">
        <w:t xml:space="preserve"> </w:t>
      </w:r>
      <w:r>
        <w:t xml:space="preserve">outlines </w:t>
      </w:r>
      <w:r w:rsidR="0063318D">
        <w:t>the Delegate’s</w:t>
      </w:r>
      <w:r>
        <w:t xml:space="preserve"> views about the extrapolation concept. However</w:t>
      </w:r>
      <w:r w:rsidR="0063318D">
        <w:t xml:space="preserve">, the Delegate </w:t>
      </w:r>
      <w:r>
        <w:t>note</w:t>
      </w:r>
      <w:r w:rsidR="0063318D">
        <w:t>s that the EMA accepted this.</w:t>
      </w:r>
    </w:p>
    <w:p w14:paraId="086C1D9B" w14:textId="77777777" w:rsidR="00C857C7" w:rsidRDefault="0063318D" w:rsidP="0063318D">
      <w:r>
        <w:t>The Delegate is</w:t>
      </w:r>
      <w:r w:rsidR="00C857C7">
        <w:t xml:space="preserve"> uncertain if eosinophilic asthma is a recognised entity in children. </w:t>
      </w:r>
      <w:r>
        <w:t>The Delegate is</w:t>
      </w:r>
      <w:r w:rsidR="00C857C7">
        <w:t xml:space="preserve"> also unsure if serum eosinophils are a sensitive biomarker for eosinophilic asthma in children, and if the patients in the clinical trial were indicative of patients in the comm</w:t>
      </w:r>
      <w:r w:rsidR="000F3AA2">
        <w:t>unity with eosinophilic asthma.</w:t>
      </w:r>
    </w:p>
    <w:p w14:paraId="36B86A7F" w14:textId="6013C58C" w:rsidR="00C857C7" w:rsidRDefault="00C857C7" w:rsidP="0063318D">
      <w:r>
        <w:t xml:space="preserve">The clinical data in the paediatric population is very limited. It includes only a small number of patients in a </w:t>
      </w:r>
      <w:r w:rsidR="0063318D">
        <w:t>non-controlled</w:t>
      </w:r>
      <w:r>
        <w:t xml:space="preserve"> study followed for 12 months. This being said, the efficacy data does support the efficacy of mepolizumab in children with severe asthma and high eosinophil count for endpoints FEV</w:t>
      </w:r>
      <w:r w:rsidRPr="0063318D">
        <w:rPr>
          <w:vertAlign w:val="subscript"/>
        </w:rPr>
        <w:t>1</w:t>
      </w:r>
      <w:r>
        <w:t>, exacerbations and quality of life. There were no n</w:t>
      </w:r>
      <w:r w:rsidR="000F3AA2">
        <w:t>ew safety concerns in children.</w:t>
      </w:r>
    </w:p>
    <w:p w14:paraId="5BDA63E6" w14:textId="77777777" w:rsidR="00C857C7" w:rsidRPr="000F3AA2" w:rsidRDefault="00C857C7" w:rsidP="0063318D">
      <w:r>
        <w:t>The dose proposed in children is justified by PK data.</w:t>
      </w:r>
    </w:p>
    <w:p w14:paraId="64375F9F" w14:textId="77777777" w:rsidR="00C857C7" w:rsidRPr="000F3AA2" w:rsidRDefault="000F3AA2" w:rsidP="000F3AA2">
      <w:pPr>
        <w:pStyle w:val="TableTitle"/>
      </w:pPr>
      <w:bookmarkStart w:id="50" w:name="_Ref27465700"/>
      <w:r>
        <w:lastRenderedPageBreak/>
        <w:t xml:space="preserve">Table </w:t>
      </w:r>
      <w:fldSimple w:instr=" SEQ Table \* ARABIC ">
        <w:r>
          <w:rPr>
            <w:noProof/>
          </w:rPr>
          <w:t>4</w:t>
        </w:r>
      </w:fldSimple>
      <w:bookmarkEnd w:id="50"/>
      <w:r>
        <w:t xml:space="preserve">: </w:t>
      </w:r>
      <w:r w:rsidR="00C857C7">
        <w:t xml:space="preserve">Delegate’s </w:t>
      </w:r>
      <w:r>
        <w:t>opinion of extrapolation model</w:t>
      </w:r>
    </w:p>
    <w:tbl>
      <w:tblPr>
        <w:tblStyle w:val="TableTGAblue"/>
        <w:tblW w:w="8816" w:type="dxa"/>
        <w:tblLook w:val="04A0" w:firstRow="1" w:lastRow="0" w:firstColumn="1" w:lastColumn="0" w:noHBand="0" w:noVBand="1"/>
      </w:tblPr>
      <w:tblGrid>
        <w:gridCol w:w="2759"/>
        <w:gridCol w:w="6057"/>
      </w:tblGrid>
      <w:tr w:rsidR="00C857C7" w:rsidRPr="0063318D" w14:paraId="6178AC6E" w14:textId="77777777" w:rsidTr="00C2731F">
        <w:trPr>
          <w:cnfStyle w:val="100000000000" w:firstRow="1" w:lastRow="0" w:firstColumn="0" w:lastColumn="0" w:oddVBand="0" w:evenVBand="0" w:oddHBand="0" w:evenHBand="0" w:firstRowFirstColumn="0" w:firstRowLastColumn="0" w:lastRowFirstColumn="0" w:lastRowLastColumn="0"/>
          <w:trHeight w:val="471"/>
        </w:trPr>
        <w:tc>
          <w:tcPr>
            <w:tcW w:w="2759" w:type="dxa"/>
          </w:tcPr>
          <w:p w14:paraId="3B5C3446" w14:textId="77777777" w:rsidR="00C857C7" w:rsidRPr="0063318D" w:rsidRDefault="00C857C7" w:rsidP="0063318D">
            <w:pPr>
              <w:ind w:left="0" w:right="0"/>
              <w:rPr>
                <w:sz w:val="20"/>
                <w:szCs w:val="20"/>
              </w:rPr>
            </w:pPr>
            <w:r w:rsidRPr="0063318D">
              <w:rPr>
                <w:sz w:val="20"/>
                <w:szCs w:val="20"/>
              </w:rPr>
              <w:t>Sponsor’s reasoning</w:t>
            </w:r>
          </w:p>
        </w:tc>
        <w:tc>
          <w:tcPr>
            <w:tcW w:w="6057" w:type="dxa"/>
          </w:tcPr>
          <w:p w14:paraId="5B4E2F47" w14:textId="77777777" w:rsidR="00C857C7" w:rsidRPr="0063318D" w:rsidRDefault="00C857C7" w:rsidP="0063318D">
            <w:pPr>
              <w:ind w:left="0" w:right="0"/>
              <w:rPr>
                <w:sz w:val="20"/>
                <w:szCs w:val="20"/>
              </w:rPr>
            </w:pPr>
            <w:r w:rsidRPr="0063318D">
              <w:rPr>
                <w:sz w:val="20"/>
                <w:szCs w:val="20"/>
              </w:rPr>
              <w:t>Delegate’s comment</w:t>
            </w:r>
          </w:p>
        </w:tc>
      </w:tr>
      <w:tr w:rsidR="00C857C7" w:rsidRPr="0063318D" w14:paraId="664BAEDA" w14:textId="77777777" w:rsidTr="00C2731F">
        <w:trPr>
          <w:trHeight w:val="2162"/>
        </w:trPr>
        <w:tc>
          <w:tcPr>
            <w:tcW w:w="2759" w:type="dxa"/>
          </w:tcPr>
          <w:p w14:paraId="6D7BD88B" w14:textId="77777777" w:rsidR="00C857C7" w:rsidRPr="0063318D" w:rsidRDefault="00C857C7" w:rsidP="0063318D">
            <w:pPr>
              <w:ind w:left="0" w:right="0"/>
              <w:rPr>
                <w:sz w:val="20"/>
                <w:szCs w:val="20"/>
              </w:rPr>
            </w:pPr>
            <w:r w:rsidRPr="0063318D">
              <w:rPr>
                <w:sz w:val="20"/>
                <w:szCs w:val="20"/>
              </w:rPr>
              <w:t>Benefits shown for use of mepolizumab in adults with severe eosinophilic asthma justify extrapolation of the use of mepolizumab in children with severe eosinophilic asthma with who meet the criteria for eosinophil count</w:t>
            </w:r>
          </w:p>
        </w:tc>
        <w:tc>
          <w:tcPr>
            <w:tcW w:w="6057" w:type="dxa"/>
          </w:tcPr>
          <w:p w14:paraId="432F2B81" w14:textId="77777777" w:rsidR="00C857C7" w:rsidRPr="0063318D" w:rsidRDefault="00C857C7" w:rsidP="0063318D">
            <w:pPr>
              <w:ind w:left="0" w:right="0"/>
              <w:rPr>
                <w:sz w:val="20"/>
                <w:szCs w:val="20"/>
              </w:rPr>
            </w:pPr>
            <w:r w:rsidRPr="0063318D">
              <w:rPr>
                <w:sz w:val="20"/>
                <w:szCs w:val="20"/>
              </w:rPr>
              <w:t>This is acceptable only</w:t>
            </w:r>
            <w:r w:rsidR="0063318D" w:rsidRPr="0063318D">
              <w:rPr>
                <w:sz w:val="20"/>
                <w:szCs w:val="20"/>
              </w:rPr>
              <w:t xml:space="preserve"> if it can be demonstrated that </w:t>
            </w:r>
            <w:r w:rsidRPr="0063318D">
              <w:rPr>
                <w:sz w:val="20"/>
                <w:szCs w:val="20"/>
              </w:rPr>
              <w:t>condition is the same in adults in children</w:t>
            </w:r>
            <w:r w:rsidR="0063318D" w:rsidRPr="0063318D">
              <w:rPr>
                <w:sz w:val="20"/>
                <w:szCs w:val="20"/>
              </w:rPr>
              <w:t xml:space="preserve"> </w:t>
            </w:r>
            <w:r w:rsidRPr="0063318D">
              <w:rPr>
                <w:sz w:val="20"/>
                <w:szCs w:val="20"/>
              </w:rPr>
              <w:t>eosinophil count in children predicts tissue eosinophils and is diagnostic of eosinophilic asthma</w:t>
            </w:r>
            <w:r w:rsidR="0063318D" w:rsidRPr="0063318D">
              <w:rPr>
                <w:b/>
                <w:sz w:val="20"/>
                <w:szCs w:val="20"/>
              </w:rPr>
              <w:t>.</w:t>
            </w:r>
          </w:p>
          <w:p w14:paraId="03A4D9FF" w14:textId="77777777" w:rsidR="00C857C7" w:rsidRPr="0063318D" w:rsidRDefault="00C857C7" w:rsidP="0063318D">
            <w:pPr>
              <w:ind w:left="0" w:right="0"/>
              <w:rPr>
                <w:sz w:val="20"/>
                <w:szCs w:val="20"/>
              </w:rPr>
            </w:pPr>
            <w:r w:rsidRPr="0063318D">
              <w:rPr>
                <w:sz w:val="20"/>
                <w:szCs w:val="20"/>
              </w:rPr>
              <w:t xml:space="preserve">There is very limited information about the role of biomarkers in children. Thus, the value of eosinophils in diagnosing eosinophilic </w:t>
            </w:r>
            <w:r w:rsidR="0063318D" w:rsidRPr="0063318D">
              <w:rPr>
                <w:sz w:val="20"/>
                <w:szCs w:val="20"/>
              </w:rPr>
              <w:t>asthma in children is unknown.</w:t>
            </w:r>
          </w:p>
        </w:tc>
      </w:tr>
      <w:tr w:rsidR="00C857C7" w:rsidRPr="0063318D" w14:paraId="182DA32C" w14:textId="77777777" w:rsidTr="00C2731F">
        <w:trPr>
          <w:trHeight w:val="954"/>
        </w:trPr>
        <w:tc>
          <w:tcPr>
            <w:tcW w:w="2759" w:type="dxa"/>
          </w:tcPr>
          <w:p w14:paraId="007FC946" w14:textId="77777777" w:rsidR="00C857C7" w:rsidRPr="0063318D" w:rsidRDefault="00C857C7" w:rsidP="0063318D">
            <w:pPr>
              <w:ind w:left="0" w:right="0"/>
              <w:rPr>
                <w:sz w:val="20"/>
                <w:szCs w:val="20"/>
              </w:rPr>
            </w:pPr>
            <w:r w:rsidRPr="0063318D">
              <w:rPr>
                <w:sz w:val="20"/>
                <w:szCs w:val="20"/>
              </w:rPr>
              <w:t>Mepolizumab PK in adults is predictive of mepolizumab PK in children</w:t>
            </w:r>
          </w:p>
        </w:tc>
        <w:tc>
          <w:tcPr>
            <w:tcW w:w="6057" w:type="dxa"/>
          </w:tcPr>
          <w:p w14:paraId="4159415F" w14:textId="77777777" w:rsidR="00C857C7" w:rsidRPr="0063318D" w:rsidRDefault="00C857C7" w:rsidP="00165F8C">
            <w:pPr>
              <w:ind w:left="0" w:right="0"/>
              <w:rPr>
                <w:sz w:val="20"/>
                <w:szCs w:val="20"/>
              </w:rPr>
            </w:pPr>
            <w:r w:rsidRPr="0063318D">
              <w:rPr>
                <w:sz w:val="20"/>
                <w:szCs w:val="20"/>
              </w:rPr>
              <w:t>T</w:t>
            </w:r>
            <w:r w:rsidR="0063318D" w:rsidRPr="0063318D">
              <w:rPr>
                <w:sz w:val="20"/>
                <w:szCs w:val="20"/>
              </w:rPr>
              <w:t xml:space="preserve">his is not entirely true; </w:t>
            </w:r>
            <w:r w:rsidRPr="0063318D">
              <w:rPr>
                <w:sz w:val="20"/>
                <w:szCs w:val="20"/>
              </w:rPr>
              <w:t xml:space="preserve">the </w:t>
            </w:r>
            <w:r w:rsidR="00165F8C">
              <w:rPr>
                <w:sz w:val="20"/>
                <w:szCs w:val="20"/>
              </w:rPr>
              <w:t>SC</w:t>
            </w:r>
            <w:r w:rsidRPr="0063318D">
              <w:rPr>
                <w:sz w:val="20"/>
                <w:szCs w:val="20"/>
              </w:rPr>
              <w:t xml:space="preserve"> absorption is greater in children. However</w:t>
            </w:r>
            <w:r w:rsidR="0063318D">
              <w:rPr>
                <w:sz w:val="20"/>
                <w:szCs w:val="20"/>
              </w:rPr>
              <w:t>,</w:t>
            </w:r>
            <w:r w:rsidRPr="0063318D">
              <w:rPr>
                <w:sz w:val="20"/>
                <w:szCs w:val="20"/>
              </w:rPr>
              <w:t xml:space="preserve"> the sponsor has proposed a dose in children based on age and weight that will result in a simi</w:t>
            </w:r>
            <w:r w:rsidR="0063318D" w:rsidRPr="0063318D">
              <w:rPr>
                <w:sz w:val="20"/>
                <w:szCs w:val="20"/>
              </w:rPr>
              <w:t>lar exposure to that in adults.</w:t>
            </w:r>
          </w:p>
        </w:tc>
      </w:tr>
      <w:tr w:rsidR="00C857C7" w:rsidRPr="0063318D" w14:paraId="2E0FA9D5" w14:textId="77777777" w:rsidTr="00C2731F">
        <w:trPr>
          <w:trHeight w:val="954"/>
        </w:trPr>
        <w:tc>
          <w:tcPr>
            <w:tcW w:w="2759" w:type="dxa"/>
          </w:tcPr>
          <w:p w14:paraId="29D97CC4" w14:textId="77777777" w:rsidR="00C857C7" w:rsidRPr="0063318D" w:rsidRDefault="00C857C7" w:rsidP="0063318D">
            <w:pPr>
              <w:ind w:left="0" w:right="0"/>
              <w:rPr>
                <w:sz w:val="20"/>
                <w:szCs w:val="20"/>
              </w:rPr>
            </w:pPr>
            <w:r w:rsidRPr="0063318D">
              <w:rPr>
                <w:sz w:val="20"/>
                <w:szCs w:val="20"/>
              </w:rPr>
              <w:t>Mepolizumab blood eosinophil count reduction in adults is seen in children</w:t>
            </w:r>
          </w:p>
        </w:tc>
        <w:tc>
          <w:tcPr>
            <w:tcW w:w="6057" w:type="dxa"/>
          </w:tcPr>
          <w:p w14:paraId="1794445F" w14:textId="77777777" w:rsidR="00C857C7" w:rsidRPr="0063318D" w:rsidRDefault="00C857C7" w:rsidP="0063318D">
            <w:pPr>
              <w:ind w:left="0" w:right="0"/>
              <w:rPr>
                <w:sz w:val="20"/>
                <w:szCs w:val="20"/>
              </w:rPr>
            </w:pPr>
            <w:r w:rsidRPr="0063318D">
              <w:rPr>
                <w:sz w:val="20"/>
                <w:szCs w:val="20"/>
              </w:rPr>
              <w:t>This is true. However</w:t>
            </w:r>
            <w:r w:rsidR="0063318D">
              <w:rPr>
                <w:sz w:val="20"/>
                <w:szCs w:val="20"/>
              </w:rPr>
              <w:t>,</w:t>
            </w:r>
            <w:r w:rsidRPr="0063318D">
              <w:rPr>
                <w:sz w:val="20"/>
                <w:szCs w:val="20"/>
              </w:rPr>
              <w:t xml:space="preserve"> there is no evidence that the reduction in blood eosinophils is the direct PD effect, nor that a reduction in blood eosinop</w:t>
            </w:r>
            <w:r w:rsidR="0063318D" w:rsidRPr="0063318D">
              <w:rPr>
                <w:sz w:val="20"/>
                <w:szCs w:val="20"/>
              </w:rPr>
              <w:t>hils correlates with efficacy.</w:t>
            </w:r>
          </w:p>
        </w:tc>
      </w:tr>
      <w:tr w:rsidR="00C857C7" w:rsidRPr="0063318D" w14:paraId="41359A2E" w14:textId="77777777" w:rsidTr="00C2731F">
        <w:trPr>
          <w:trHeight w:val="1552"/>
        </w:trPr>
        <w:tc>
          <w:tcPr>
            <w:tcW w:w="2759" w:type="dxa"/>
          </w:tcPr>
          <w:p w14:paraId="29F3287F" w14:textId="77777777" w:rsidR="00C857C7" w:rsidRPr="0063318D" w:rsidRDefault="00C857C7" w:rsidP="0063318D">
            <w:pPr>
              <w:ind w:left="0" w:right="0"/>
              <w:rPr>
                <w:sz w:val="20"/>
                <w:szCs w:val="20"/>
              </w:rPr>
            </w:pPr>
            <w:r w:rsidRPr="0063318D">
              <w:rPr>
                <w:sz w:val="20"/>
                <w:szCs w:val="20"/>
              </w:rPr>
              <w:t>Mepolizumab efficacy in adults can be compared to adolescents</w:t>
            </w:r>
          </w:p>
        </w:tc>
        <w:tc>
          <w:tcPr>
            <w:tcW w:w="6057" w:type="dxa"/>
          </w:tcPr>
          <w:p w14:paraId="70655AFD" w14:textId="77777777" w:rsidR="00C857C7" w:rsidRPr="0063318D" w:rsidRDefault="00C857C7" w:rsidP="0063318D">
            <w:pPr>
              <w:ind w:left="0" w:right="0"/>
              <w:rPr>
                <w:sz w:val="20"/>
                <w:szCs w:val="20"/>
              </w:rPr>
            </w:pPr>
            <w:r w:rsidRPr="0063318D">
              <w:rPr>
                <w:sz w:val="20"/>
                <w:szCs w:val="20"/>
              </w:rPr>
              <w:t>Adolescents have more similar physiology than adults, and asthma in adolescents shared some features of adults with asthma.</w:t>
            </w:r>
          </w:p>
          <w:p w14:paraId="7B60875B" w14:textId="77777777" w:rsidR="00C857C7" w:rsidRPr="0063318D" w:rsidRDefault="00C857C7" w:rsidP="0063318D">
            <w:pPr>
              <w:ind w:left="0" w:right="0"/>
              <w:rPr>
                <w:sz w:val="20"/>
                <w:szCs w:val="20"/>
              </w:rPr>
            </w:pPr>
            <w:r w:rsidRPr="0063318D">
              <w:rPr>
                <w:sz w:val="20"/>
                <w:szCs w:val="20"/>
              </w:rPr>
              <w:t>Adolescents were a small part of the clinical development program in patients aged &gt; 12 years. Subgroup analysis was not performed due to low number.</w:t>
            </w:r>
          </w:p>
        </w:tc>
      </w:tr>
      <w:tr w:rsidR="00C857C7" w:rsidRPr="0063318D" w14:paraId="4BF96E75" w14:textId="77777777" w:rsidTr="00C2731F">
        <w:trPr>
          <w:trHeight w:val="954"/>
        </w:trPr>
        <w:tc>
          <w:tcPr>
            <w:tcW w:w="2759" w:type="dxa"/>
          </w:tcPr>
          <w:p w14:paraId="4068B4BF" w14:textId="77777777" w:rsidR="00C857C7" w:rsidRPr="0063318D" w:rsidRDefault="00C857C7" w:rsidP="0063318D">
            <w:pPr>
              <w:ind w:left="0" w:right="0"/>
              <w:rPr>
                <w:sz w:val="20"/>
                <w:szCs w:val="20"/>
              </w:rPr>
            </w:pPr>
            <w:r w:rsidRPr="0063318D">
              <w:rPr>
                <w:sz w:val="20"/>
                <w:szCs w:val="20"/>
              </w:rPr>
              <w:t>Evidence in adolescents is sufficient to extend the appr</w:t>
            </w:r>
            <w:r w:rsidR="0063318D" w:rsidRPr="0063318D">
              <w:rPr>
                <w:sz w:val="20"/>
                <w:szCs w:val="20"/>
              </w:rPr>
              <w:t>oach to the 6 to 11 year old group</w:t>
            </w:r>
          </w:p>
        </w:tc>
        <w:tc>
          <w:tcPr>
            <w:tcW w:w="6057" w:type="dxa"/>
          </w:tcPr>
          <w:p w14:paraId="0BEADBA8" w14:textId="77777777" w:rsidR="00C857C7" w:rsidRPr="0063318D" w:rsidRDefault="00C857C7" w:rsidP="0063318D">
            <w:pPr>
              <w:ind w:left="0" w:right="0"/>
              <w:rPr>
                <w:sz w:val="20"/>
                <w:szCs w:val="20"/>
              </w:rPr>
            </w:pPr>
            <w:r w:rsidRPr="0063318D">
              <w:rPr>
                <w:sz w:val="20"/>
                <w:szCs w:val="20"/>
              </w:rPr>
              <w:t>This depends upon other criteria being met</w:t>
            </w:r>
            <w:r w:rsidR="0063318D" w:rsidRPr="0063318D">
              <w:rPr>
                <w:sz w:val="20"/>
                <w:szCs w:val="20"/>
              </w:rPr>
              <w:t>.</w:t>
            </w:r>
          </w:p>
        </w:tc>
      </w:tr>
      <w:tr w:rsidR="00C857C7" w:rsidRPr="0063318D" w14:paraId="0323964E" w14:textId="77777777" w:rsidTr="00C2731F">
        <w:trPr>
          <w:trHeight w:val="954"/>
        </w:trPr>
        <w:tc>
          <w:tcPr>
            <w:tcW w:w="2759" w:type="dxa"/>
          </w:tcPr>
          <w:p w14:paraId="3B0F61B6" w14:textId="77777777" w:rsidR="00C857C7" w:rsidRPr="0063318D" w:rsidRDefault="0063318D" w:rsidP="0063318D">
            <w:pPr>
              <w:ind w:left="0" w:right="0"/>
              <w:rPr>
                <w:sz w:val="20"/>
                <w:szCs w:val="20"/>
              </w:rPr>
            </w:pPr>
            <w:r w:rsidRPr="0063318D">
              <w:rPr>
                <w:sz w:val="20"/>
                <w:szCs w:val="20"/>
              </w:rPr>
              <w:t xml:space="preserve">Safety in 6 to </w:t>
            </w:r>
            <w:r w:rsidR="00C857C7" w:rsidRPr="0063318D">
              <w:rPr>
                <w:sz w:val="20"/>
                <w:szCs w:val="20"/>
              </w:rPr>
              <w:t>11 year olds is similar to that seen in adults</w:t>
            </w:r>
          </w:p>
        </w:tc>
        <w:tc>
          <w:tcPr>
            <w:tcW w:w="6057" w:type="dxa"/>
          </w:tcPr>
          <w:p w14:paraId="58244979" w14:textId="77777777" w:rsidR="00C857C7" w:rsidRPr="0063318D" w:rsidRDefault="00C857C7" w:rsidP="0063318D">
            <w:pPr>
              <w:ind w:left="0" w:right="0"/>
              <w:rPr>
                <w:sz w:val="20"/>
                <w:szCs w:val="20"/>
              </w:rPr>
            </w:pPr>
            <w:r w:rsidRPr="0063318D">
              <w:rPr>
                <w:sz w:val="20"/>
                <w:szCs w:val="20"/>
              </w:rPr>
              <w:t>This is true, however only a relatively small number of subjects have been studied. There is limited information about the use of 40</w:t>
            </w:r>
            <w:r w:rsidR="0063318D" w:rsidRPr="0063318D">
              <w:rPr>
                <w:sz w:val="20"/>
                <w:szCs w:val="20"/>
              </w:rPr>
              <w:t xml:space="preserve"> </w:t>
            </w:r>
            <w:r w:rsidR="00165F8C">
              <w:rPr>
                <w:sz w:val="20"/>
                <w:szCs w:val="20"/>
              </w:rPr>
              <w:t>mg dose over 12 months.</w:t>
            </w:r>
          </w:p>
        </w:tc>
      </w:tr>
    </w:tbl>
    <w:p w14:paraId="0749DEAB" w14:textId="77777777" w:rsidR="00456765" w:rsidRDefault="00C857C7" w:rsidP="000F3AA2">
      <w:pPr>
        <w:pStyle w:val="Heading5"/>
      </w:pPr>
      <w:r>
        <w:t>Summary of issues</w:t>
      </w:r>
    </w:p>
    <w:p w14:paraId="37EFFFAB" w14:textId="0148AC66" w:rsidR="00C857C7" w:rsidRDefault="00C857C7" w:rsidP="0081258E">
      <w:pPr>
        <w:pStyle w:val="ListBullet"/>
      </w:pPr>
      <w:r>
        <w:t>The extrapolation model was built upon the assumptions around similarity of eosinophilic a</w:t>
      </w:r>
      <w:r w:rsidR="00165F8C">
        <w:t>sthma in paediatric and adults</w:t>
      </w:r>
      <w:r w:rsidR="00552CFD">
        <w:t>:</w:t>
      </w:r>
    </w:p>
    <w:p w14:paraId="0D3020C7" w14:textId="0DF6E4E1" w:rsidR="00C857C7" w:rsidRDefault="0063318D" w:rsidP="0081258E">
      <w:pPr>
        <w:pStyle w:val="ListBullet2"/>
      </w:pPr>
      <w:r>
        <w:t>‘</w:t>
      </w:r>
      <w:r w:rsidR="00552CFD">
        <w:t>e</w:t>
      </w:r>
      <w:r w:rsidR="00C857C7">
        <w:t>osinophil</w:t>
      </w:r>
      <w:r>
        <w:t>ic asthma’ is rare in children;</w:t>
      </w:r>
    </w:p>
    <w:p w14:paraId="0A66186F" w14:textId="5542A186" w:rsidR="00C857C7" w:rsidRPr="0081258E" w:rsidRDefault="00552CFD" w:rsidP="0081258E">
      <w:pPr>
        <w:pStyle w:val="ListBullet2"/>
      </w:pPr>
      <w:r>
        <w:t>c</w:t>
      </w:r>
      <w:r w:rsidR="00C857C7">
        <w:t>hildren ha</w:t>
      </w:r>
      <w:r w:rsidR="00C857C7" w:rsidRPr="0081258E">
        <w:t xml:space="preserve">ve a different ‘normal range’ for blood eosinophils, and eosinophilia has </w:t>
      </w:r>
      <w:r w:rsidR="0063318D" w:rsidRPr="0081258E">
        <w:t>different</w:t>
      </w:r>
      <w:r w:rsidR="00C857C7" w:rsidRPr="0081258E">
        <w:t xml:space="preserve"> causes in children than adults</w:t>
      </w:r>
      <w:r w:rsidR="0063318D" w:rsidRPr="0081258E">
        <w:t>;</w:t>
      </w:r>
    </w:p>
    <w:p w14:paraId="09C41F43" w14:textId="6C982D00" w:rsidR="00C857C7" w:rsidRPr="0081258E" w:rsidRDefault="00552CFD" w:rsidP="0081258E">
      <w:pPr>
        <w:pStyle w:val="ListBullet2"/>
      </w:pPr>
      <w:r w:rsidRPr="0081258E">
        <w:t>t</w:t>
      </w:r>
      <w:r w:rsidR="00C857C7" w:rsidRPr="0081258E">
        <w:t>here is no evidence of a correlation between blood and tissue or airway eosinophils in ‘paediatric eosinophilic asthma’</w:t>
      </w:r>
      <w:r w:rsidR="0063318D" w:rsidRPr="0081258E">
        <w:t>;</w:t>
      </w:r>
      <w:r w:rsidRPr="0081258E">
        <w:t xml:space="preserve"> and</w:t>
      </w:r>
    </w:p>
    <w:p w14:paraId="43F00503" w14:textId="0B4DB825" w:rsidR="00C857C7" w:rsidRDefault="00552CFD" w:rsidP="0081258E">
      <w:pPr>
        <w:pStyle w:val="ListBullet2"/>
      </w:pPr>
      <w:r w:rsidRPr="0081258E">
        <w:t>s</w:t>
      </w:r>
      <w:r w:rsidR="00C857C7" w:rsidRPr="0081258E">
        <w:t>evere asthma in ad</w:t>
      </w:r>
      <w:r w:rsidR="00B55389" w:rsidRPr="0081258E">
        <w:t xml:space="preserve">ults and children is different; </w:t>
      </w:r>
      <w:r w:rsidR="00C857C7" w:rsidRPr="0081258E">
        <w:t xml:space="preserve">children get more exacerbations from allergies and viral </w:t>
      </w:r>
      <w:r w:rsidR="00C857C7">
        <w:t>illnesse</w:t>
      </w:r>
      <w:r w:rsidR="0063318D">
        <w:t>s and FEV</w:t>
      </w:r>
      <w:r w:rsidR="0063318D" w:rsidRPr="00165F8C">
        <w:rPr>
          <w:vertAlign w:val="subscript"/>
        </w:rPr>
        <w:t>1</w:t>
      </w:r>
      <w:r w:rsidR="0063318D">
        <w:t xml:space="preserve"> is relatively higher.</w:t>
      </w:r>
    </w:p>
    <w:p w14:paraId="69FD1C5A" w14:textId="77777777" w:rsidR="00C857C7" w:rsidRDefault="0063318D" w:rsidP="000F3AA2">
      <w:pPr>
        <w:pStyle w:val="ListBullet"/>
      </w:pPr>
      <w:r>
        <w:t>T</w:t>
      </w:r>
      <w:r w:rsidR="00C857C7">
        <w:t>here was a sm</w:t>
      </w:r>
      <w:r>
        <w:t xml:space="preserve">all single arm clinical trial; </w:t>
      </w:r>
      <w:r w:rsidR="00C857C7">
        <w:t>ef</w:t>
      </w:r>
      <w:r w:rsidR="000F3AA2">
        <w:t>ficacy was a tertiary endpoint.</w:t>
      </w:r>
    </w:p>
    <w:p w14:paraId="2E35A7DA" w14:textId="77777777" w:rsidR="00C857C7" w:rsidRPr="00456765" w:rsidRDefault="0063318D" w:rsidP="000F3AA2">
      <w:pPr>
        <w:pStyle w:val="ListBullet"/>
      </w:pPr>
      <w:r>
        <w:t>D</w:t>
      </w:r>
      <w:r w:rsidR="00C857C7">
        <w:t xml:space="preserve">osing in the clinical </w:t>
      </w:r>
      <w:r>
        <w:t xml:space="preserve">trial was stratified by weight </w:t>
      </w:r>
      <w:r w:rsidR="00C857C7">
        <w:t>(&lt; or &gt;</w:t>
      </w:r>
      <w:r w:rsidR="000F3AA2">
        <w:t xml:space="preserve"> </w:t>
      </w:r>
      <w:r w:rsidR="00C857C7">
        <w:t>40</w:t>
      </w:r>
      <w:r w:rsidR="000F3AA2">
        <w:t xml:space="preserve"> </w:t>
      </w:r>
      <w:r w:rsidR="00165F8C">
        <w:t>kg). H</w:t>
      </w:r>
      <w:r w:rsidR="00C857C7">
        <w:t>owever</w:t>
      </w:r>
      <w:r>
        <w:t>,</w:t>
      </w:r>
      <w:r w:rsidR="00C857C7">
        <w:t xml:space="preserve"> due to high exposures with such dosing, age based dosing is proposed. The new dosing model has not been tested.</w:t>
      </w:r>
    </w:p>
    <w:p w14:paraId="5B751309" w14:textId="77777777" w:rsidR="00D23139" w:rsidRDefault="00D23139" w:rsidP="00D23139">
      <w:pPr>
        <w:pStyle w:val="Heading4"/>
      </w:pPr>
      <w:r w:rsidRPr="00D23139">
        <w:lastRenderedPageBreak/>
        <w:t>Proposed action</w:t>
      </w:r>
    </w:p>
    <w:p w14:paraId="35682CFE" w14:textId="2B183310" w:rsidR="00456765" w:rsidRPr="00456765" w:rsidRDefault="0063318D" w:rsidP="00456765">
      <w:r>
        <w:t xml:space="preserve">The Delegate </w:t>
      </w:r>
      <w:r w:rsidR="00552CFD">
        <w:t>was</w:t>
      </w:r>
      <w:r w:rsidR="00C857C7" w:rsidRPr="00C857C7">
        <w:t xml:space="preserve"> not in a position to say, at th</w:t>
      </w:r>
      <w:r w:rsidR="00552CFD">
        <w:t>e</w:t>
      </w:r>
      <w:r w:rsidR="00C857C7" w:rsidRPr="00C857C7">
        <w:t xml:space="preserve"> time, that the application for </w:t>
      </w:r>
      <w:r w:rsidRPr="00C857C7">
        <w:t>Nucala</w:t>
      </w:r>
      <w:r w:rsidR="00C857C7" w:rsidRPr="00C857C7">
        <w:t xml:space="preserve"> should be approved for registra</w:t>
      </w:r>
      <w:r>
        <w:t xml:space="preserve">tion for use in children aged 6 to </w:t>
      </w:r>
      <w:r w:rsidR="00C857C7" w:rsidRPr="00C857C7">
        <w:t>1</w:t>
      </w:r>
      <w:r w:rsidR="00083020">
        <w:t>1</w:t>
      </w:r>
      <w:r w:rsidR="00C857C7" w:rsidRPr="00C857C7">
        <w:t xml:space="preserve"> years </w:t>
      </w:r>
      <w:r w:rsidR="00845E97">
        <w:t xml:space="preserve">(inclusive) </w:t>
      </w:r>
      <w:r w:rsidR="00C857C7" w:rsidRPr="00C857C7">
        <w:t>with eosinophilic asthma.</w:t>
      </w:r>
    </w:p>
    <w:p w14:paraId="7892D540" w14:textId="77777777" w:rsidR="00D23139" w:rsidRDefault="00A22D57" w:rsidP="00D23139">
      <w:pPr>
        <w:pStyle w:val="Heading4"/>
      </w:pPr>
      <w:r>
        <w:t>Request for AC</w:t>
      </w:r>
      <w:r w:rsidR="00D23139" w:rsidRPr="00D23139">
        <w:t>M advice</w:t>
      </w:r>
    </w:p>
    <w:p w14:paraId="340BF54E" w14:textId="77777777" w:rsidR="00C857C7" w:rsidRDefault="00C857C7" w:rsidP="000F3AA2">
      <w:pPr>
        <w:pStyle w:val="Numberbullet0"/>
      </w:pPr>
      <w:r>
        <w:t>Is eosinophilic asthma a recognised clinical entity in children? How is it diagnosed? Is the population of children in the clinical trial typical of those with eosinophilic asthma</w:t>
      </w:r>
      <w:r w:rsidR="0063318D">
        <w:t>?</w:t>
      </w:r>
    </w:p>
    <w:p w14:paraId="49CE9152" w14:textId="77777777" w:rsidR="00456765" w:rsidRPr="00456765" w:rsidRDefault="00C857C7" w:rsidP="000F3AA2">
      <w:pPr>
        <w:pStyle w:val="Numberbullet0"/>
      </w:pPr>
      <w:r>
        <w:t>Please comment on the frequency of atopy in the clinical trial. Can we be sure the high eosinophils are due to eosinophilic asthma and not atopy</w:t>
      </w:r>
      <w:r w:rsidR="0063318D">
        <w:t>?</w:t>
      </w:r>
    </w:p>
    <w:p w14:paraId="14A9C46B" w14:textId="6FD8F790" w:rsidR="008E7846" w:rsidRDefault="008E7846" w:rsidP="008E7846">
      <w:pPr>
        <w:pStyle w:val="Heading4"/>
      </w:pPr>
      <w:r>
        <w:t xml:space="preserve">Advisory Committee </w:t>
      </w:r>
      <w:r w:rsidR="0081258E">
        <w:t>c</w:t>
      </w:r>
      <w:r>
        <w:t>onsiderations</w:t>
      </w:r>
      <w:r w:rsidR="00456765">
        <w:rPr>
          <w:rStyle w:val="FootnoteReference"/>
        </w:rPr>
        <w:footnoteReference w:id="4"/>
      </w:r>
    </w:p>
    <w:p w14:paraId="4FE0F73D" w14:textId="77777777" w:rsidR="00C857C7" w:rsidRPr="000F3AA2" w:rsidRDefault="00456765" w:rsidP="000F3AA2">
      <w:r w:rsidRPr="00456765">
        <w:t>The Advisory Committee on Medicines (ACM), having considered the evaluations and the Delegate’s overview, as well as the sponsor’s response to these documents, advised the follo</w:t>
      </w:r>
      <w:r w:rsidR="00C857C7">
        <w:t>wing.</w:t>
      </w:r>
    </w:p>
    <w:p w14:paraId="0479CC1C" w14:textId="77777777" w:rsidR="00C857C7" w:rsidRDefault="00C857C7" w:rsidP="000F3AA2">
      <w:r>
        <w:t xml:space="preserve">The ACM considered the referral for advice from the TGA Delegate in relation to the submission to register </w:t>
      </w:r>
      <w:r w:rsidR="0063318D">
        <w:t>Nucala</w:t>
      </w:r>
      <w:r>
        <w:t>, a powder for injection co</w:t>
      </w:r>
      <w:r w:rsidR="000F3AA2">
        <w:t>ntaining 100 mg of mepolizumab.</w:t>
      </w:r>
    </w:p>
    <w:p w14:paraId="4F9805B1" w14:textId="77777777" w:rsidR="00C857C7" w:rsidRDefault="00C857C7" w:rsidP="000F3AA2">
      <w:r>
        <w:t>The proposed indica</w:t>
      </w:r>
      <w:r w:rsidR="000F3AA2">
        <w:t>tion considered by the ACM was:</w:t>
      </w:r>
    </w:p>
    <w:p w14:paraId="161F47FF" w14:textId="77777777" w:rsidR="00C857C7" w:rsidRDefault="000F3AA2" w:rsidP="000F3AA2">
      <w:pPr>
        <w:ind w:left="720"/>
      </w:pPr>
      <w:r>
        <w:rPr>
          <w:i/>
          <w:iCs/>
        </w:rPr>
        <w:t>Nucala</w:t>
      </w:r>
      <w:r w:rsidR="00C857C7">
        <w:rPr>
          <w:i/>
          <w:iCs/>
        </w:rPr>
        <w:t xml:space="preserve"> is indicated as an add-on treatment for severe refractory eosinophilic asthma in patients aged 6 years and over (see</w:t>
      </w:r>
      <w:r>
        <w:rPr>
          <w:i/>
          <w:iCs/>
        </w:rPr>
        <w:t xml:space="preserve"> Clinical Trials).</w:t>
      </w:r>
    </w:p>
    <w:p w14:paraId="4919BC4E" w14:textId="77777777" w:rsidR="00C857C7" w:rsidRDefault="00C857C7" w:rsidP="000F3AA2">
      <w:r>
        <w:t xml:space="preserve">The ACM agreed that </w:t>
      </w:r>
      <w:r w:rsidR="000F3AA2">
        <w:t>Nucala</w:t>
      </w:r>
      <w:r>
        <w:t xml:space="preserve"> had an overall negative benefit-risk profile for the proposed indication as the evidence submitted did not satisfactorily supp</w:t>
      </w:r>
      <w:r w:rsidR="000F3AA2">
        <w:t>ort the extrapolation strategy.</w:t>
      </w:r>
    </w:p>
    <w:p w14:paraId="7B59DECA" w14:textId="77777777" w:rsidR="00C857C7" w:rsidRDefault="000F3AA2" w:rsidP="000F3AA2">
      <w:pPr>
        <w:pStyle w:val="Heading5"/>
      </w:pPr>
      <w:r>
        <w:t>Specific advice</w:t>
      </w:r>
    </w:p>
    <w:p w14:paraId="41C4DF26" w14:textId="77777777" w:rsidR="00C857C7" w:rsidRDefault="00C857C7" w:rsidP="000F3AA2">
      <w:r>
        <w:t>The ACM advised the following in response to the Delegate</w:t>
      </w:r>
      <w:r w:rsidR="000F3AA2">
        <w:t>’s specific request for advice:</w:t>
      </w:r>
    </w:p>
    <w:p w14:paraId="38B180B5" w14:textId="77777777" w:rsidR="00C857C7" w:rsidRPr="000F3AA2" w:rsidRDefault="00C857C7" w:rsidP="000F3AA2">
      <w:pPr>
        <w:pStyle w:val="Numberbullet0"/>
        <w:numPr>
          <w:ilvl w:val="0"/>
          <w:numId w:val="30"/>
        </w:numPr>
        <w:rPr>
          <w:b/>
          <w:i/>
        </w:rPr>
      </w:pPr>
      <w:r w:rsidRPr="000F3AA2">
        <w:rPr>
          <w:b/>
          <w:i/>
        </w:rPr>
        <w:t xml:space="preserve">Is eosinophilic asthma a recognised clinical entity in children? How is it diagnosed? Is the population of children in the clinical trial typical of </w:t>
      </w:r>
      <w:r w:rsidR="000F3AA2" w:rsidRPr="000F3AA2">
        <w:rPr>
          <w:b/>
          <w:i/>
        </w:rPr>
        <w:t>those with eosinophilic asthma?</w:t>
      </w:r>
    </w:p>
    <w:p w14:paraId="0CA379AC" w14:textId="77777777" w:rsidR="00C857C7" w:rsidRDefault="00C857C7" w:rsidP="000F3AA2">
      <w:r>
        <w:t>The ACM advised that eosinophilic asthma is a rare condition in children and difficult to diagnose. The clinical trial inclusion criteria relied on elevated eosinophil blood levels as an indicator for eosinophil airway inflammation; however, the ACM advised that eosinophilic asthma should not be diagnosed solely</w:t>
      </w:r>
      <w:r w:rsidR="000F3AA2">
        <w:t xml:space="preserve"> on blood elevated eosinophils.</w:t>
      </w:r>
    </w:p>
    <w:p w14:paraId="767F6DC2" w14:textId="77777777" w:rsidR="00C857C7" w:rsidRDefault="00C857C7" w:rsidP="000F3AA2">
      <w:r>
        <w:t xml:space="preserve">The ACM advised that there was insufficient evidence to use eosinophil count as a biomarker for eosinophilic asthma. Some children diagnosed with eosinophilic asthma may have normal blood eosinophils counts and therefore a large proportion of patients would be excluded if diagnosis was based solely on blood eosinophil count. Further, the ACM advised that many children with elevated eosinophil counts have other explanations </w:t>
      </w:r>
      <w:r>
        <w:lastRenderedPageBreak/>
        <w:t xml:space="preserve">and that therefore elevated eosinophil counts would frequently be a false positive </w:t>
      </w:r>
      <w:r w:rsidR="000F3AA2">
        <w:t>marker for eosinophilic asthma.</w:t>
      </w:r>
    </w:p>
    <w:p w14:paraId="11A2A71D" w14:textId="77777777" w:rsidR="00C857C7" w:rsidRPr="000F3AA2" w:rsidRDefault="00C857C7" w:rsidP="000F3AA2">
      <w:pPr>
        <w:pStyle w:val="Numberbullet0"/>
        <w:rPr>
          <w:b/>
          <w:i/>
        </w:rPr>
      </w:pPr>
      <w:r w:rsidRPr="000F3AA2">
        <w:rPr>
          <w:b/>
          <w:i/>
        </w:rPr>
        <w:t>Please comment on the frequency of atopy in the clinical trial. Can we be sure the high eosinophils are due to eosinophilic asthma and not atopy</w:t>
      </w:r>
      <w:r w:rsidR="000F3AA2" w:rsidRPr="000F3AA2">
        <w:rPr>
          <w:b/>
          <w:i/>
        </w:rPr>
        <w:t>?</w:t>
      </w:r>
    </w:p>
    <w:p w14:paraId="27F1ABEC" w14:textId="77777777" w:rsidR="00C857C7" w:rsidRDefault="00C857C7" w:rsidP="000F3AA2">
      <w:r>
        <w:t>The ACM advised that the frequency of atopy in the clinical trial was expectedly high and that the high eosinophil count may be due to atopy and not necessarily due to eosinophilic asthma.</w:t>
      </w:r>
    </w:p>
    <w:p w14:paraId="7D5D52E6" w14:textId="77777777" w:rsidR="00C857C7" w:rsidRDefault="000F3AA2" w:rsidP="000F3AA2">
      <w:pPr>
        <w:pStyle w:val="Heading5"/>
      </w:pPr>
      <w:r>
        <w:t>General advice</w:t>
      </w:r>
    </w:p>
    <w:p w14:paraId="00423D6A" w14:textId="77777777" w:rsidR="00C857C7" w:rsidRDefault="00C857C7" w:rsidP="000F3AA2">
      <w:r>
        <w:t>With respect to efficacy, the ACM noted that the p</w:t>
      </w:r>
      <w:r w:rsidR="000F3AA2">
        <w:t>rimary aim of the PK/PD study (S</w:t>
      </w:r>
      <w:r w:rsidR="00165F8C">
        <w:t>tudy </w:t>
      </w:r>
      <w:r>
        <w:t xml:space="preserve">200363) was to characterise the </w:t>
      </w:r>
      <w:r w:rsidR="00165F8C">
        <w:t>PK</w:t>
      </w:r>
      <w:r>
        <w:t xml:space="preserve"> of mepolizumab to support extrapolation for paediatric use. It was noted that the PK characteristics of mepolizumab in children differed from those in adults due to differences in bioavailability. The efficacy data in this clinical study was limited due to the small number of patients a</w:t>
      </w:r>
      <w:r w:rsidR="000F3AA2">
        <w:t>nd the lack of a control group.</w:t>
      </w:r>
    </w:p>
    <w:p w14:paraId="083AC8BA" w14:textId="77777777" w:rsidR="00165F8C" w:rsidRDefault="00C857C7" w:rsidP="000F3AA2">
      <w:r>
        <w:t>The ACM considered there to be insufficient evidence to support the extrapolation stra</w:t>
      </w:r>
      <w:r w:rsidR="00165F8C">
        <w:t>tegy for paediatric use, given:</w:t>
      </w:r>
    </w:p>
    <w:p w14:paraId="52334A68" w14:textId="793E1F5E" w:rsidR="00165F8C" w:rsidRDefault="00552CFD" w:rsidP="00165F8C">
      <w:pPr>
        <w:pStyle w:val="ListBullet"/>
      </w:pPr>
      <w:r>
        <w:t xml:space="preserve">the </w:t>
      </w:r>
      <w:r w:rsidR="00C857C7">
        <w:t>age-related diffe</w:t>
      </w:r>
      <w:r w:rsidR="00165F8C">
        <w:t>rences in pharmacokinetic data;</w:t>
      </w:r>
    </w:p>
    <w:p w14:paraId="14BA60E6" w14:textId="7A57A6BE" w:rsidR="00165F8C" w:rsidRDefault="00552CFD" w:rsidP="00165F8C">
      <w:pPr>
        <w:pStyle w:val="ListBullet"/>
      </w:pPr>
      <w:r>
        <w:t xml:space="preserve">the </w:t>
      </w:r>
      <w:r w:rsidR="00C857C7">
        <w:t>criteria for diagnosing e</w:t>
      </w:r>
      <w:r w:rsidR="00165F8C">
        <w:t>osinophilic asthma in children; and</w:t>
      </w:r>
    </w:p>
    <w:p w14:paraId="4D241C0A" w14:textId="54B19056" w:rsidR="00C857C7" w:rsidRDefault="00552CFD" w:rsidP="00165F8C">
      <w:pPr>
        <w:pStyle w:val="ListBullet"/>
      </w:pPr>
      <w:r>
        <w:t xml:space="preserve">the </w:t>
      </w:r>
      <w:r w:rsidR="00C857C7">
        <w:t>lack of comparative efficacy data demonstrating significant benef</w:t>
      </w:r>
      <w:r w:rsidR="000F3AA2">
        <w:t>it in adolescents and children.</w:t>
      </w:r>
    </w:p>
    <w:p w14:paraId="7D548638" w14:textId="77777777" w:rsidR="00C857C7" w:rsidRPr="00C857C7" w:rsidRDefault="00C857C7" w:rsidP="000F3AA2">
      <w:pPr>
        <w:rPr>
          <w:bCs/>
        </w:rPr>
      </w:pPr>
      <w:r>
        <w:t>The ACM was of the view that, given the paucity of information regarding use of mepolizumab in children, further studies, such as the current ongoing long-term clinical trial, should be conducted to provide sufficient evidence to support the proposed indication.</w:t>
      </w:r>
    </w:p>
    <w:p w14:paraId="2EAE0356" w14:textId="77777777" w:rsidR="008E7846" w:rsidRPr="002E238E" w:rsidRDefault="008E7846" w:rsidP="008E7846">
      <w:pPr>
        <w:pStyle w:val="Heading3"/>
      </w:pPr>
      <w:bookmarkStart w:id="51" w:name="_Toc247691532"/>
      <w:bookmarkStart w:id="52" w:name="_Toc314842516"/>
      <w:bookmarkStart w:id="53" w:name="_Toc32941697"/>
      <w:bookmarkEnd w:id="32"/>
      <w:bookmarkEnd w:id="48"/>
      <w:bookmarkEnd w:id="49"/>
      <w:r>
        <w:t>Outcome</w:t>
      </w:r>
      <w:bookmarkEnd w:id="51"/>
      <w:bookmarkEnd w:id="52"/>
      <w:bookmarkEnd w:id="53"/>
    </w:p>
    <w:p w14:paraId="64C2D0C8" w14:textId="01730922" w:rsidR="00D23139" w:rsidRPr="00D23139" w:rsidRDefault="00D23139" w:rsidP="00D23139">
      <w:bookmarkStart w:id="54" w:name="_Toc247691533"/>
      <w:bookmarkStart w:id="55" w:name="_Toc314842517"/>
      <w:r w:rsidRPr="00D23139">
        <w:t xml:space="preserve">Based on a review of quality, safety and efficacy, </w:t>
      </w:r>
      <w:r w:rsidR="00552CFD">
        <w:t xml:space="preserve">the </w:t>
      </w:r>
      <w:r w:rsidRPr="00D23139">
        <w:t xml:space="preserve">TGA </w:t>
      </w:r>
      <w:r w:rsidR="00823BFF">
        <w:t>rejected</w:t>
      </w:r>
      <w:r w:rsidRPr="00D23139">
        <w:t xml:space="preserve"> the registration of </w:t>
      </w:r>
      <w:r w:rsidR="00823BFF" w:rsidRPr="00823BFF">
        <w:t>Nucala</w:t>
      </w:r>
      <w:r w:rsidR="00823BFF">
        <w:t xml:space="preserve"> (</w:t>
      </w:r>
      <w:r w:rsidR="00823BFF" w:rsidRPr="00823BFF">
        <w:t>mepolizumab</w:t>
      </w:r>
      <w:r w:rsidR="00823BFF">
        <w:t>)</w:t>
      </w:r>
      <w:r w:rsidR="00823BFF" w:rsidRPr="00823BFF">
        <w:t xml:space="preserve"> 100 mg powder for injection</w:t>
      </w:r>
      <w:r w:rsidRPr="00D23139">
        <w:t xml:space="preserve"> for </w:t>
      </w:r>
      <w:r w:rsidR="00823BFF">
        <w:t>the proposed</w:t>
      </w:r>
      <w:r w:rsidRPr="00D23139">
        <w:t xml:space="preserve"> </w:t>
      </w:r>
      <w:r w:rsidR="00823BFF">
        <w:t>therapeutic indication</w:t>
      </w:r>
      <w:r w:rsidRPr="00D23139">
        <w:t>:</w:t>
      </w:r>
    </w:p>
    <w:p w14:paraId="20D080FE" w14:textId="77777777" w:rsidR="00D23139" w:rsidRPr="00823BFF" w:rsidRDefault="00823BFF" w:rsidP="00823BFF">
      <w:pPr>
        <w:ind w:left="720"/>
        <w:rPr>
          <w:i/>
        </w:rPr>
      </w:pPr>
      <w:r w:rsidRPr="009C324D">
        <w:rPr>
          <w:i/>
        </w:rPr>
        <w:t xml:space="preserve">Nucala is indicated as an add-on treatment for severe refractory eosinophilic asthma in </w:t>
      </w:r>
      <w:r>
        <w:rPr>
          <w:i/>
        </w:rPr>
        <w:t>patients aged 6 years and over.</w:t>
      </w:r>
    </w:p>
    <w:p w14:paraId="79F15F2B" w14:textId="77777777" w:rsidR="00823BFF" w:rsidRDefault="00823BFF" w:rsidP="00823BFF">
      <w:pPr>
        <w:pStyle w:val="Heading4"/>
      </w:pPr>
      <w:r>
        <w:t>Reasons for the decision</w:t>
      </w:r>
    </w:p>
    <w:p w14:paraId="3BDCFF17" w14:textId="77777777" w:rsidR="00823BFF" w:rsidRDefault="00165F8C" w:rsidP="00823BFF">
      <w:r>
        <w:t>The</w:t>
      </w:r>
      <w:r w:rsidR="0063318D">
        <w:t xml:space="preserve"> Delegate of the Se</w:t>
      </w:r>
      <w:r>
        <w:t xml:space="preserve">cretary’s </w:t>
      </w:r>
      <w:r w:rsidR="0063318D">
        <w:t>major consideration is whether ‘</w:t>
      </w:r>
      <w:r w:rsidR="00823BFF">
        <w:t>the quality, safety and efficacy of the good for the purposes for which it is to be used have been satisfactorily establ</w:t>
      </w:r>
      <w:r w:rsidR="0063318D">
        <w:t>ished’</w:t>
      </w:r>
      <w:r w:rsidR="00823BFF">
        <w:t>.</w:t>
      </w:r>
    </w:p>
    <w:p w14:paraId="2832E29C" w14:textId="77777777" w:rsidR="00823BFF" w:rsidRDefault="00823BFF" w:rsidP="00823BFF">
      <w:r>
        <w:t xml:space="preserve">The sponsor used a partial extrapolation model and a small open label, </w:t>
      </w:r>
      <w:r w:rsidR="0063318D">
        <w:t>non-randomised</w:t>
      </w:r>
      <w:r>
        <w:t xml:space="preserve"> clinical study in children to support the use of</w:t>
      </w:r>
      <w:r w:rsidR="0063318D">
        <w:t xml:space="preserve"> mepolizumab in children aged 6 to </w:t>
      </w:r>
      <w:r>
        <w:t xml:space="preserve">12 years with eosinophilic asthma. The main reason for </w:t>
      </w:r>
      <w:r w:rsidR="00165F8C">
        <w:t>the Delegate</w:t>
      </w:r>
      <w:r w:rsidR="0063318D">
        <w:t>’s</w:t>
      </w:r>
      <w:r>
        <w:t xml:space="preserve"> decision to reject this application is that </w:t>
      </w:r>
      <w:r w:rsidR="0063318D">
        <w:t>they</w:t>
      </w:r>
      <w:r>
        <w:t xml:space="preserve"> do not agree with the extrapolation model proposed by the sponsor.</w:t>
      </w:r>
    </w:p>
    <w:p w14:paraId="432C3890" w14:textId="77777777" w:rsidR="00823BFF" w:rsidRDefault="00823BFF" w:rsidP="00823BFF">
      <w:r>
        <w:t>The EMA reflection paper on extrapolation in paediatrics</w:t>
      </w:r>
      <w:r w:rsidR="006E0BF5">
        <w:t>;</w:t>
      </w:r>
      <w:r w:rsidR="006E0BF5">
        <w:rPr>
          <w:rStyle w:val="FootnoteReference"/>
        </w:rPr>
        <w:footnoteReference w:id="5"/>
      </w:r>
      <w:r>
        <w:t xml:space="preserve"> recommends generating data about the disease, drug pharmacology and clinical response to treatment in the paediatric </w:t>
      </w:r>
      <w:r>
        <w:lastRenderedPageBreak/>
        <w:t>and adult populations from either published studies or other sources. This information is required before an assessment of the similarity of disease, similarity of drug pharmacology, and similarity of effect of the drug can be established.</w:t>
      </w:r>
    </w:p>
    <w:p w14:paraId="1282C781" w14:textId="77777777" w:rsidR="00823BFF" w:rsidRDefault="006E0BF5" w:rsidP="00823BFF">
      <w:r>
        <w:t>The Delegate</w:t>
      </w:r>
      <w:r w:rsidR="00823BFF">
        <w:t xml:space="preserve"> disagree</w:t>
      </w:r>
      <w:r>
        <w:t>s</w:t>
      </w:r>
      <w:r w:rsidR="00823BFF">
        <w:t xml:space="preserve"> with the assumption that paediatric eosinophilic asthma is diagnosed using the same criteria as in adults. Published data has demonstrated that serum eosinophils are not an appropriate marker of airway eosinophilia in children, and that eosinophilia in children may be due to other disease that are not asthma.</w:t>
      </w:r>
    </w:p>
    <w:p w14:paraId="3E2C5583" w14:textId="77777777" w:rsidR="00823BFF" w:rsidRDefault="00823BFF" w:rsidP="00823BFF">
      <w:r>
        <w:t xml:space="preserve">There is no information to support the similarity between paediatric eosinophilic asthma and adult eosinophilic asthma in terms of physiology, and natural history. Publications included by the sponsor demonstrated that children and adolescents with severe asthma have different clinical features to adults. </w:t>
      </w:r>
      <w:r w:rsidR="006E0BF5">
        <w:t>In a report by Fitzpatrick 2012;</w:t>
      </w:r>
      <w:bookmarkStart w:id="56" w:name="_Ref27466699"/>
      <w:r w:rsidR="006E0BF5">
        <w:rPr>
          <w:rStyle w:val="FootnoteReference"/>
        </w:rPr>
        <w:footnoteReference w:id="6"/>
      </w:r>
      <w:bookmarkEnd w:id="56"/>
      <w:r>
        <w:t xml:space="preserve"> children and adolescents with severe asthma were more likely to be atopic and have higher eosinophils and IgE, and less likely to have airflow limitation. Similar findings were supported clinical study by Phipatanakul 2017,</w:t>
      </w:r>
      <w:r w:rsidR="006E0BF5">
        <w:rPr>
          <w:rStyle w:val="FootnoteReference"/>
        </w:rPr>
        <w:footnoteReference w:id="7"/>
      </w:r>
      <w:r>
        <w:t xml:space="preserve"> and also baseline data from the sponsor’s clinical development program in document 2017N323587.Therefore, the assumption that children with severe asthma and elevated eosinophils have the same ‘disease’ as adults with severe asthma and elevated eosinophils is not justified.</w:t>
      </w:r>
    </w:p>
    <w:p w14:paraId="45D95E87" w14:textId="77777777" w:rsidR="00823BFF" w:rsidRDefault="00823BFF" w:rsidP="00823BFF">
      <w:r>
        <w:t>The sponsor has stated that extrapolation of efficacy in adults to adolescents justifies the extrapolation of adolescents to children. The TGA has not ‘extrapolated’ data from adults to adolescents. In the studies supporting the use of me</w:t>
      </w:r>
      <w:r w:rsidR="006E0BF5">
        <w:t>polizumab in patients aged &gt; 12 </w:t>
      </w:r>
      <w:r>
        <w:t>years with severe eosinophilic asthma, patients aged &gt; 12 years were enrolled in the study however adolescents (ag</w:t>
      </w:r>
      <w:r w:rsidR="006E0BF5">
        <w:t xml:space="preserve">ed 12 to </w:t>
      </w:r>
      <w:r>
        <w:t xml:space="preserve">18 years) represented only a small proportion (4%) of the total population. It is a not appropriate to analyse efficacy in such a small subgroup. Efficacy in that subgroup has not been directly demonstrated, but was </w:t>
      </w:r>
      <w:r w:rsidR="006E0BF5">
        <w:t>inferred,</w:t>
      </w:r>
      <w:r>
        <w:t xml:space="preserve"> as they were part of the larger study.</w:t>
      </w:r>
    </w:p>
    <w:p w14:paraId="3F0C3603" w14:textId="77777777" w:rsidR="00823BFF" w:rsidRDefault="00823BFF" w:rsidP="00823BFF">
      <w:r>
        <w:t>Although the endpoints for asthma used in clinical trials are similar for children and adults, the relative importance and expected changes differ. For example, adults with severe asthma have lower FEV</w:t>
      </w:r>
      <w:r w:rsidRPr="006E0BF5">
        <w:rPr>
          <w:vertAlign w:val="subscript"/>
        </w:rPr>
        <w:t>1</w:t>
      </w:r>
      <w:r>
        <w:t xml:space="preserve"> at baseline than children, thus are more likely to have a response to treatment. On the other hand, children tend to get more exacerbations due to viral illness and allergy, adults may develop exacerbations due to co-morbid conditional such as </w:t>
      </w:r>
      <w:r w:rsidR="006E0BF5">
        <w:t>c</w:t>
      </w:r>
      <w:r w:rsidR="006E0BF5" w:rsidRPr="006E0BF5">
        <w:t>hronic obstructive pulmonary disease</w:t>
      </w:r>
      <w:r w:rsidR="006E0BF5">
        <w:t xml:space="preserve"> (</w:t>
      </w:r>
      <w:r>
        <w:t>COPD</w:t>
      </w:r>
      <w:r w:rsidR="006E0BF5">
        <w:t>)</w:t>
      </w:r>
      <w:r>
        <w:t xml:space="preserve"> or occupational exposure or heart failure. Subjective symptom scales are likely to be recorded differently in a child and adult.</w:t>
      </w:r>
    </w:p>
    <w:p w14:paraId="5280EA2E" w14:textId="253315F6" w:rsidR="00823BFF" w:rsidRDefault="00823BFF" w:rsidP="00823BFF">
      <w:r>
        <w:t xml:space="preserve">The paediatric study submitted was acceptable to assess the </w:t>
      </w:r>
      <w:r w:rsidR="006E0BF5">
        <w:t>PK</w:t>
      </w:r>
      <w:r>
        <w:t xml:space="preserve"> and </w:t>
      </w:r>
      <w:r w:rsidR="006E0BF5">
        <w:t>PD</w:t>
      </w:r>
      <w:r>
        <w:t xml:space="preserve"> of mepolizumab, however was not appropriate to assess efficacy for a number of reasons. </w:t>
      </w:r>
      <w:r w:rsidR="006E0BF5">
        <w:t>The Delegate’s</w:t>
      </w:r>
      <w:r>
        <w:t xml:space="preserve"> main concern is that it was a single arm open label study, and it is therefore not known if changes in disease parameters are due to the medication or a study effect. </w:t>
      </w:r>
      <w:r w:rsidR="006E0BF5">
        <w:t>The Delegate is</w:t>
      </w:r>
      <w:r>
        <w:t xml:space="preserve"> also concerned about the use of adult criteria to define eosinophilic asthma in children, and that the patient population enrolled may not be representative of children with eosinophilic asthma. In children</w:t>
      </w:r>
      <w:r w:rsidR="0066247B">
        <w:t>,</w:t>
      </w:r>
      <w:r>
        <w:t xml:space="preserve"> there is a poor correlation between serum eosinophils </w:t>
      </w:r>
      <w:r w:rsidR="006E0BF5">
        <w:t>and airway eosinophilia.</w:t>
      </w:r>
      <w:r w:rsidR="006E0BF5">
        <w:fldChar w:fldCharType="begin"/>
      </w:r>
      <w:r w:rsidR="006E0BF5">
        <w:instrText xml:space="preserve"> NOTEREF _Ref27466699 \f \h </w:instrText>
      </w:r>
      <w:r w:rsidR="006E0BF5">
        <w:fldChar w:fldCharType="separate"/>
      </w:r>
      <w:r w:rsidR="006E0BF5" w:rsidRPr="006E0BF5">
        <w:rPr>
          <w:rStyle w:val="FootnoteReference"/>
        </w:rPr>
        <w:t>5</w:t>
      </w:r>
      <w:r w:rsidR="006E0BF5">
        <w:fldChar w:fldCharType="end"/>
      </w:r>
      <w:r w:rsidR="0081258E" w:rsidRPr="0081258E">
        <w:rPr>
          <w:vertAlign w:val="superscript"/>
        </w:rPr>
        <w:t>,</w:t>
      </w:r>
      <w:r w:rsidR="006E0BF5">
        <w:rPr>
          <w:rStyle w:val="FootnoteReference"/>
        </w:rPr>
        <w:footnoteReference w:id="8"/>
      </w:r>
      <w:r w:rsidR="006E0BF5">
        <w:t xml:space="preserve"> </w:t>
      </w:r>
      <w:r>
        <w:t>This would have led to misclassification bias, b</w:t>
      </w:r>
      <w:r w:rsidR="006E0BF5">
        <w:t>oth due to false positives (for example,</w:t>
      </w:r>
      <w:r>
        <w:t xml:space="preserve"> children with eosinophilia due to allergy who may not have airway eosinoph</w:t>
      </w:r>
      <w:r w:rsidR="006E0BF5">
        <w:t>ilia), and false negatives (for example,</w:t>
      </w:r>
      <w:r>
        <w:t xml:space="preserve"> in children on oral or inhaled steroids).</w:t>
      </w:r>
    </w:p>
    <w:p w14:paraId="36A4BF6D" w14:textId="77777777" w:rsidR="00823BFF" w:rsidRDefault="00823BFF" w:rsidP="00823BFF">
      <w:r>
        <w:t xml:space="preserve">The sponsor has proposed the extrapolation of safety from adults to children in view of the similar safety outcomes demonstrated in the clinical trials. However, the appropriate duration of treatment in children has not been established. The total lifetime exposure to a </w:t>
      </w:r>
      <w:r>
        <w:lastRenderedPageBreak/>
        <w:t>drug for a chronic disease started in childhood is much greater than one commenced in adulthood. There are other safety issues that must be assessed in children such as the impact of a medicine on the developing immune system and fertility.</w:t>
      </w:r>
    </w:p>
    <w:p w14:paraId="695094D5" w14:textId="77777777" w:rsidR="00823BFF" w:rsidRDefault="00823BFF" w:rsidP="00823BFF">
      <w:r>
        <w:t>The ACM and experts contacted were also of the opinion that there was insufficient data to support the use of mepolizumab in children with severe eosinophilic asthma at this stage. More studies to better characterise eosinophilic asthma in children are required. And clinical studies need be adequately powered, controlled, and of longer duration.</w:t>
      </w:r>
    </w:p>
    <w:p w14:paraId="536AA038" w14:textId="77777777" w:rsidR="00823BFF" w:rsidRDefault="00823BFF" w:rsidP="00823BFF">
      <w:r>
        <w:t>It is noted that there is a randomised, placebo controlled clinical trial in urban children with the severe asthma (</w:t>
      </w:r>
      <w:r w:rsidR="006E0BF5">
        <w:t xml:space="preserve">Study </w:t>
      </w:r>
      <w:r>
        <w:t xml:space="preserve">MUPPITS-2), due for completion in September 2019 with an estimated number 320 children participating. The sponsor is National Institute of Allergy and Infectious Diseases, </w:t>
      </w:r>
      <w:r w:rsidR="006E0BF5">
        <w:t>the sponsor</w:t>
      </w:r>
      <w:r>
        <w:t xml:space="preserve"> is listed as a collaborator.</w:t>
      </w:r>
      <w:r w:rsidR="006E0BF5">
        <w:rPr>
          <w:rStyle w:val="FootnoteReference"/>
        </w:rPr>
        <w:footnoteReference w:id="9"/>
      </w:r>
    </w:p>
    <w:p w14:paraId="3C917350" w14:textId="77777777" w:rsidR="00823BFF" w:rsidRDefault="00823BFF" w:rsidP="000F3AA2">
      <w:pPr>
        <w:pStyle w:val="Heading5"/>
      </w:pPr>
      <w:r>
        <w:t>Conclusion</w:t>
      </w:r>
    </w:p>
    <w:p w14:paraId="33019E47" w14:textId="0F3BC981" w:rsidR="00823BFF" w:rsidRDefault="001602D1" w:rsidP="00823BFF">
      <w:r>
        <w:t>The Delegate is</w:t>
      </w:r>
      <w:r w:rsidR="00823BFF">
        <w:t xml:space="preserve"> of the opinion that there is insufficient evidence at this time to support the efficacy of</w:t>
      </w:r>
      <w:r>
        <w:t xml:space="preserve"> mepolizumab in children aged 6 to </w:t>
      </w:r>
      <w:r w:rsidR="00823BFF">
        <w:t>1</w:t>
      </w:r>
      <w:r w:rsidR="00586493">
        <w:t>1</w:t>
      </w:r>
      <w:r w:rsidR="00823BFF">
        <w:t xml:space="preserve"> years </w:t>
      </w:r>
      <w:r w:rsidR="00CD5417">
        <w:t xml:space="preserve">(inclusive) </w:t>
      </w:r>
      <w:r w:rsidR="00823BFF">
        <w:t>with severe eosinophilic asthma.</w:t>
      </w:r>
    </w:p>
    <w:p w14:paraId="6021D7F1" w14:textId="77777777" w:rsidR="00770CAC" w:rsidRDefault="00823BFF" w:rsidP="00606E8D">
      <w:r>
        <w:t>Future applications for this indication should include more information about how paediatric eosinophilic asthma is defined clinically, including relevant biomarkers, and a comparative controlled clinical study.</w:t>
      </w:r>
      <w:bookmarkEnd w:id="54"/>
      <w:bookmarkEnd w:id="55"/>
    </w:p>
    <w:p w14:paraId="0D6623B4" w14:textId="77777777" w:rsidR="00291957" w:rsidRDefault="00291957" w:rsidP="00291957">
      <w:pPr>
        <w:rPr>
          <w:lang w:eastAsia="ja-JP"/>
        </w:rPr>
      </w:pPr>
    </w:p>
    <w:p w14:paraId="22745A21" w14:textId="77777777" w:rsidR="00C80137" w:rsidRPr="001D043B" w:rsidRDefault="00C80137" w:rsidP="003A7F6C">
      <w:pPr>
        <w:pStyle w:val="TableTitle"/>
        <w:sectPr w:rsidR="00C80137" w:rsidRPr="001D043B" w:rsidSect="00B452CE">
          <w:headerReference w:type="even" r:id="rId14"/>
          <w:headerReference w:type="default" r:id="rId15"/>
          <w:headerReference w:type="first" r:id="rId16"/>
          <w:footerReference w:type="first" r:id="rId17"/>
          <w:pgSz w:w="11906" w:h="16838" w:code="9"/>
          <w:pgMar w:top="834" w:right="1701" w:bottom="1191" w:left="1701" w:header="907" w:footer="216" w:gutter="0"/>
          <w:cols w:space="708"/>
          <w:docGrid w:linePitch="360"/>
        </w:sectPr>
      </w:pPr>
    </w:p>
    <w:tbl>
      <w:tblPr>
        <w:tblW w:w="9175" w:type="dxa"/>
        <w:tblInd w:w="-284" w:type="dxa"/>
        <w:tblLayout w:type="fixed"/>
        <w:tblCellMar>
          <w:left w:w="0" w:type="dxa"/>
          <w:right w:w="0" w:type="dxa"/>
        </w:tblCellMar>
        <w:tblLook w:val="04A0" w:firstRow="1" w:lastRow="0" w:firstColumn="1" w:lastColumn="0" w:noHBand="0" w:noVBand="1"/>
      </w:tblPr>
      <w:tblGrid>
        <w:gridCol w:w="9175"/>
      </w:tblGrid>
      <w:tr w:rsidR="001C32CD" w:rsidRPr="00487162" w14:paraId="29D21665" w14:textId="77777777" w:rsidTr="00A05FA4">
        <w:trPr>
          <w:trHeight w:hRule="exact" w:val="704"/>
        </w:trPr>
        <w:tc>
          <w:tcPr>
            <w:tcW w:w="9175" w:type="dxa"/>
          </w:tcPr>
          <w:p w14:paraId="64B25E21" w14:textId="77777777" w:rsidR="001C32CD" w:rsidRPr="00487162" w:rsidRDefault="001C32CD" w:rsidP="00A05FA4">
            <w:pPr>
              <w:pStyle w:val="TGASignoff"/>
            </w:pPr>
            <w:r w:rsidRPr="00487162">
              <w:lastRenderedPageBreak/>
              <w:t>Therapeutic Goods Administration</w:t>
            </w:r>
          </w:p>
        </w:tc>
      </w:tr>
      <w:tr w:rsidR="001C32CD" w:rsidRPr="004C239D" w14:paraId="642474CA" w14:textId="77777777" w:rsidTr="00A05FA4">
        <w:trPr>
          <w:trHeight w:val="1221"/>
        </w:trPr>
        <w:tc>
          <w:tcPr>
            <w:tcW w:w="9175" w:type="dxa"/>
            <w:tcMar>
              <w:top w:w="28" w:type="dxa"/>
            </w:tcMar>
          </w:tcPr>
          <w:p w14:paraId="7BB1E493" w14:textId="77777777" w:rsidR="001C32CD" w:rsidRPr="00487162" w:rsidRDefault="001C32CD" w:rsidP="00A05FA4">
            <w:pPr>
              <w:pStyle w:val="Address"/>
            </w:pPr>
            <w:r w:rsidRPr="00487162">
              <w:t>PO Box 100 Woden ACT 2606 Australia</w:t>
            </w:r>
          </w:p>
          <w:p w14:paraId="729ACAF8" w14:textId="77777777" w:rsidR="001C32CD" w:rsidRPr="00487162" w:rsidRDefault="001C32CD" w:rsidP="00A05FA4">
            <w:pPr>
              <w:pStyle w:val="Address"/>
            </w:pPr>
            <w:r w:rsidRPr="00487162">
              <w:t xml:space="preserve">Email: </w:t>
            </w:r>
            <w:hyperlink r:id="rId18" w:history="1">
              <w:r w:rsidRPr="004C239D">
                <w:rPr>
                  <w:rStyle w:val="Hyperlink"/>
                </w:rPr>
                <w:t>info@tga.gov.au</w:t>
              </w:r>
            </w:hyperlink>
            <w:r w:rsidRPr="00487162">
              <w:t xml:space="preserve">  Phone: 1800 020 653  Fax: 02 6232 8605</w:t>
            </w:r>
          </w:p>
          <w:p w14:paraId="376977C4" w14:textId="77777777" w:rsidR="001C32CD" w:rsidRPr="004C239D" w:rsidRDefault="006F6AF8" w:rsidP="00A05FA4">
            <w:pPr>
              <w:pStyle w:val="Address"/>
              <w:spacing w:line="260" w:lineRule="atLeast"/>
              <w:rPr>
                <w:b/>
                <w:color w:val="0000FF"/>
                <w:u w:val="single"/>
              </w:rPr>
            </w:pPr>
            <w:hyperlink r:id="rId19" w:history="1">
              <w:r w:rsidR="007C6B9B" w:rsidRPr="007C6B9B">
                <w:rPr>
                  <w:rStyle w:val="Hyperlink"/>
                  <w:b/>
                </w:rPr>
                <w:t>https://www.tga.gov.au</w:t>
              </w:r>
            </w:hyperlink>
          </w:p>
        </w:tc>
      </w:tr>
    </w:tbl>
    <w:p w14:paraId="65A15A5F" w14:textId="77777777" w:rsidR="00774E1D" w:rsidRPr="008A5E0B" w:rsidRDefault="00774E1D" w:rsidP="004C239D"/>
    <w:sectPr w:rsidR="00774E1D" w:rsidRPr="008A5E0B" w:rsidSect="001C32CD">
      <w:headerReference w:type="even" r:id="rId20"/>
      <w:headerReference w:type="default" r:id="rId21"/>
      <w:footerReference w:type="default" r:id="rId22"/>
      <w:headerReference w:type="first" r:id="rId23"/>
      <w:footerReference w:type="first" r:id="rId24"/>
      <w:pgSz w:w="11906" w:h="16838" w:code="9"/>
      <w:pgMar w:top="13467" w:right="1701" w:bottom="426" w:left="1701" w:header="907"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13C4F16" w16cid:durableId="21DC1A79"/>
  <w16cid:commentId w16cid:paraId="7BB9BAA6" w16cid:durableId="21E694F0"/>
  <w16cid:commentId w16cid:paraId="2B1A9EEE" w16cid:durableId="21DC1D2E"/>
  <w16cid:commentId w16cid:paraId="23DF78E8" w16cid:durableId="21E694F2"/>
  <w16cid:commentId w16cid:paraId="51E02148" w16cid:durableId="21DC1D7B"/>
  <w16cid:commentId w16cid:paraId="3147C146" w16cid:durableId="21E694F4"/>
  <w16cid:commentId w16cid:paraId="011C5D8C" w16cid:durableId="21DC1D97"/>
  <w16cid:commentId w16cid:paraId="5E56439F" w16cid:durableId="21E694F6"/>
  <w16cid:commentId w16cid:paraId="34349705" w16cid:durableId="21DC1DBA"/>
  <w16cid:commentId w16cid:paraId="2F89C2A9" w16cid:durableId="21E694F8"/>
  <w16cid:commentId w16cid:paraId="1CCD9E58" w16cid:durableId="21DC1E4B"/>
  <w16cid:commentId w16cid:paraId="39DCB437" w16cid:durableId="21E694FA"/>
  <w16cid:commentId w16cid:paraId="2BE02A82" w16cid:durableId="21DC1E64"/>
  <w16cid:commentId w16cid:paraId="1AFEA3D7" w16cid:durableId="21E694FC"/>
  <w16cid:commentId w16cid:paraId="2E140E8E" w16cid:durableId="21DC1E86"/>
  <w16cid:commentId w16cid:paraId="045FECEB" w16cid:durableId="21E694FE"/>
  <w16cid:commentId w16cid:paraId="19D2002F" w16cid:durableId="21DC1EC0"/>
  <w16cid:commentId w16cid:paraId="79F58B4A" w16cid:durableId="21E69500"/>
  <w16cid:commentId w16cid:paraId="3E8B51E4" w16cid:durableId="21DC1EDF"/>
  <w16cid:commentId w16cid:paraId="75656DBB" w16cid:durableId="21E69502"/>
  <w16cid:commentId w16cid:paraId="20B15480" w16cid:durableId="21DC25B1"/>
  <w16cid:commentId w16cid:paraId="65423D55" w16cid:durableId="21E69504"/>
  <w16cid:commentId w16cid:paraId="32702C24" w16cid:durableId="21DC2595"/>
  <w16cid:commentId w16cid:paraId="2F2F4184" w16cid:durableId="21E69506"/>
  <w16cid:commentId w16cid:paraId="344F183F" w16cid:durableId="21DC25A6"/>
  <w16cid:commentId w16cid:paraId="5CDC9873" w16cid:durableId="21E69508"/>
  <w16cid:commentId w16cid:paraId="277DDB50" w16cid:durableId="21DC25C6"/>
  <w16cid:commentId w16cid:paraId="7A3BDB0C" w16cid:durableId="21E6950A"/>
  <w16cid:commentId w16cid:paraId="27C8757B" w16cid:durableId="21DC25D4"/>
  <w16cid:commentId w16cid:paraId="67F4D588" w16cid:durableId="21E6950C"/>
  <w16cid:commentId w16cid:paraId="77542E7C" w16cid:durableId="21DC25EE"/>
  <w16cid:commentId w16cid:paraId="3B6EB752" w16cid:durableId="21E6950E"/>
  <w16cid:commentId w16cid:paraId="6C4A83CC" w16cid:durableId="21DC2601"/>
  <w16cid:commentId w16cid:paraId="7ECBBDB4" w16cid:durableId="21E69510"/>
  <w16cid:commentId w16cid:paraId="7FC5B66F" w16cid:durableId="21DC266A"/>
  <w16cid:commentId w16cid:paraId="1DAEBB5F" w16cid:durableId="21E69512"/>
  <w16cid:commentId w16cid:paraId="21E72D48" w16cid:durableId="21DC267A"/>
  <w16cid:commentId w16cid:paraId="25EC0BCA" w16cid:durableId="21E69514"/>
  <w16cid:commentId w16cid:paraId="1D9DDD08" w16cid:durableId="21DC26AD"/>
  <w16cid:commentId w16cid:paraId="23FCED82" w16cid:durableId="21E69516"/>
  <w16cid:commentId w16cid:paraId="130FA84B" w16cid:durableId="21DC26D4"/>
  <w16cid:commentId w16cid:paraId="76829C29" w16cid:durableId="21E69518"/>
  <w16cid:commentId w16cid:paraId="7D331A58" w16cid:durableId="21DC2701"/>
  <w16cid:commentId w16cid:paraId="00EAE1D1" w16cid:durableId="21E6951A"/>
  <w16cid:commentId w16cid:paraId="19C309EE" w16cid:durableId="21DC2726"/>
  <w16cid:commentId w16cid:paraId="6879AF55" w16cid:durableId="21E6951C"/>
  <w16cid:commentId w16cid:paraId="45ADAD43" w16cid:durableId="21E6951D"/>
  <w16cid:commentId w16cid:paraId="34C92932" w16cid:durableId="21DC273A"/>
  <w16cid:commentId w16cid:paraId="6A7B04B2" w16cid:durableId="21E6951F"/>
  <w16cid:commentId w16cid:paraId="6B8A9D5B" w16cid:durableId="21E69520"/>
  <w16cid:commentId w16cid:paraId="3C3B55C4" w16cid:durableId="21E69521"/>
  <w16cid:commentId w16cid:paraId="1B15F982" w16cid:durableId="21E69522"/>
  <w16cid:commentId w16cid:paraId="7F303657" w16cid:durableId="21DC277D"/>
  <w16cid:commentId w16cid:paraId="4A98D1CC" w16cid:durableId="21E69524"/>
  <w16cid:commentId w16cid:paraId="3306225B" w16cid:durableId="21DC279D"/>
  <w16cid:commentId w16cid:paraId="30B8DD0E" w16cid:durableId="21E69526"/>
  <w16cid:commentId w16cid:paraId="341022F8" w16cid:durableId="21DC27B9"/>
  <w16cid:commentId w16cid:paraId="0903D2E2" w16cid:durableId="21E69528"/>
  <w16cid:commentId w16cid:paraId="35509293" w16cid:durableId="21DC21DF"/>
  <w16cid:commentId w16cid:paraId="12745361" w16cid:durableId="21E6952A"/>
  <w16cid:commentId w16cid:paraId="21B2B22C" w16cid:durableId="21DC160A"/>
  <w16cid:commentId w16cid:paraId="27B5E6DE" w16cid:durableId="21E6952C"/>
  <w16cid:commentId w16cid:paraId="4C688702" w16cid:durableId="21E6956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4CF559" w14:textId="77777777" w:rsidR="00E03585" w:rsidRDefault="00E03585" w:rsidP="00C40A36">
      <w:pPr>
        <w:spacing w:after="0"/>
      </w:pPr>
      <w:r>
        <w:separator/>
      </w:r>
    </w:p>
  </w:endnote>
  <w:endnote w:type="continuationSeparator" w:id="0">
    <w:p w14:paraId="18498A93" w14:textId="77777777" w:rsidR="00E03585" w:rsidRDefault="00E03585" w:rsidP="00C40A3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E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Wingdings 3">
    <w:panose1 w:val="05040102010807070707"/>
    <w:charset w:val="02"/>
    <w:family w:val="roman"/>
    <w:pitch w:val="variable"/>
    <w:sig w:usb0="00000000" w:usb1="10000000" w:usb2="00000000" w:usb3="00000000" w:csb0="80000000" w:csb1="00000000"/>
  </w:font>
  <w:font w:name="MingLiU">
    <w:altName w:val="細明體"/>
    <w:panose1 w:val="02010609000101010101"/>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Borders>
        <w:top w:val="single" w:sz="4" w:space="0" w:color="auto"/>
      </w:tblBorders>
      <w:tblLayout w:type="fixed"/>
      <w:tblCellMar>
        <w:top w:w="170" w:type="dxa"/>
        <w:left w:w="0" w:type="dxa"/>
        <w:bottom w:w="227" w:type="dxa"/>
        <w:right w:w="0" w:type="dxa"/>
      </w:tblCellMar>
      <w:tblLook w:val="04A0" w:firstRow="1" w:lastRow="0" w:firstColumn="1" w:lastColumn="0" w:noHBand="0" w:noVBand="1"/>
    </w:tblPr>
    <w:tblGrid>
      <w:gridCol w:w="7371"/>
      <w:gridCol w:w="1490"/>
    </w:tblGrid>
    <w:tr w:rsidR="00E03585" w:rsidRPr="00487162" w14:paraId="4FED0D9E" w14:textId="77777777" w:rsidTr="00DB750B">
      <w:trPr>
        <w:trHeight w:val="269"/>
      </w:trPr>
      <w:tc>
        <w:tcPr>
          <w:tcW w:w="7371" w:type="dxa"/>
          <w:tcMar>
            <w:top w:w="142" w:type="dxa"/>
            <w:bottom w:w="0" w:type="dxa"/>
          </w:tcMar>
        </w:tcPr>
        <w:p w14:paraId="3EF28B39" w14:textId="783632F6" w:rsidR="00E03585" w:rsidRPr="00487162" w:rsidRDefault="00E03585" w:rsidP="00E03585">
          <w:pPr>
            <w:pStyle w:val="Footer"/>
          </w:pPr>
          <w:r w:rsidRPr="00487162">
            <w:t>AusPA</w:t>
          </w:r>
          <w:r>
            <w:t xml:space="preserve">R - </w:t>
          </w:r>
          <w:r w:rsidRPr="00AF2C86">
            <w:t>NUCALA - Mepolizumab - GlaxoSmithKline Australia Pty Ltd - PM-2018-00537-1-5</w:t>
          </w:r>
          <w:r>
            <w:br/>
            <w:t>FINAL 18 February 2020</w:t>
          </w:r>
        </w:p>
      </w:tc>
      <w:tc>
        <w:tcPr>
          <w:tcW w:w="1490" w:type="dxa"/>
          <w:tcMar>
            <w:top w:w="142" w:type="dxa"/>
            <w:bottom w:w="0" w:type="dxa"/>
          </w:tcMar>
        </w:tcPr>
        <w:p w14:paraId="79D3DDB3" w14:textId="4AF78E63" w:rsidR="00E03585" w:rsidRPr="00487162" w:rsidRDefault="00E03585" w:rsidP="00DB750B">
          <w:pPr>
            <w:pStyle w:val="Footer"/>
            <w:jc w:val="right"/>
          </w:pPr>
          <w:r w:rsidRPr="00487162">
            <w:t xml:space="preserve">Page </w:t>
          </w:r>
          <w:r>
            <w:fldChar w:fldCharType="begin"/>
          </w:r>
          <w:r>
            <w:instrText xml:space="preserve"> PAGE  \* Arabic </w:instrText>
          </w:r>
          <w:r>
            <w:fldChar w:fldCharType="separate"/>
          </w:r>
          <w:r w:rsidR="006F6AF8">
            <w:rPr>
              <w:noProof/>
            </w:rPr>
            <w:t>2</w:t>
          </w:r>
          <w:r>
            <w:fldChar w:fldCharType="end"/>
          </w:r>
          <w:r w:rsidRPr="00487162">
            <w:t xml:space="preserve"> of </w:t>
          </w:r>
          <w:fldSimple w:instr=" NUMPAGES  \* Arabic ">
            <w:r w:rsidR="006F6AF8">
              <w:rPr>
                <w:noProof/>
              </w:rPr>
              <w:t>20</w:t>
            </w:r>
          </w:fldSimple>
        </w:p>
      </w:tc>
    </w:tr>
  </w:tbl>
  <w:p w14:paraId="54304E53" w14:textId="77777777" w:rsidR="00E03585" w:rsidRDefault="00E03585" w:rsidP="003D1E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61" w:type="dxa"/>
      <w:tblLayout w:type="fixed"/>
      <w:tblCellMar>
        <w:top w:w="170" w:type="dxa"/>
        <w:left w:w="0" w:type="dxa"/>
        <w:bottom w:w="227" w:type="dxa"/>
        <w:right w:w="0" w:type="dxa"/>
      </w:tblCellMar>
      <w:tblLook w:val="04A0" w:firstRow="1" w:lastRow="0" w:firstColumn="1" w:lastColumn="0" w:noHBand="0" w:noVBand="1"/>
    </w:tblPr>
    <w:tblGrid>
      <w:gridCol w:w="4519"/>
      <w:gridCol w:w="4342"/>
    </w:tblGrid>
    <w:tr w:rsidR="00E03585" w:rsidRPr="00487162" w14:paraId="5BFFE86C" w14:textId="77777777" w:rsidTr="00E45619">
      <w:trPr>
        <w:trHeight w:val="269"/>
      </w:trPr>
      <w:tc>
        <w:tcPr>
          <w:tcW w:w="4519" w:type="dxa"/>
          <w:tcBorders>
            <w:top w:val="single" w:sz="4" w:space="0" w:color="auto"/>
          </w:tcBorders>
          <w:tcMar>
            <w:top w:w="142" w:type="dxa"/>
            <w:bottom w:w="0" w:type="dxa"/>
          </w:tcMar>
        </w:tcPr>
        <w:p w14:paraId="5C84214C" w14:textId="77777777" w:rsidR="00E03585" w:rsidRPr="00487162" w:rsidRDefault="00E03585" w:rsidP="00FE1DEE">
          <w:pPr>
            <w:pStyle w:val="Footer"/>
          </w:pPr>
          <w:r w:rsidRPr="00487162">
            <w:t>Document title, Part #, Section # - Section title</w:t>
          </w:r>
        </w:p>
        <w:p w14:paraId="53FE453D" w14:textId="77777777" w:rsidR="00E03585" w:rsidRPr="00487162" w:rsidRDefault="00E03585" w:rsidP="00FE1DEE">
          <w:pPr>
            <w:pStyle w:val="Footer"/>
          </w:pPr>
          <w:r w:rsidRPr="00487162">
            <w:t>V1.0 October 2010</w:t>
          </w:r>
        </w:p>
      </w:tc>
      <w:tc>
        <w:tcPr>
          <w:tcW w:w="4342" w:type="dxa"/>
          <w:tcBorders>
            <w:top w:val="single" w:sz="4" w:space="0" w:color="auto"/>
          </w:tcBorders>
          <w:tcMar>
            <w:top w:w="142" w:type="dxa"/>
            <w:bottom w:w="0" w:type="dxa"/>
          </w:tcMar>
        </w:tcPr>
        <w:p w14:paraId="5CB30CD3" w14:textId="77777777" w:rsidR="00E03585" w:rsidRPr="00487162" w:rsidRDefault="00E03585" w:rsidP="00E45619">
          <w:pPr>
            <w:pStyle w:val="Footer"/>
            <w:jc w:val="right"/>
          </w:pPr>
          <w:r w:rsidRPr="00487162">
            <w:t xml:space="preserve">Page </w:t>
          </w:r>
          <w:r>
            <w:fldChar w:fldCharType="begin"/>
          </w:r>
          <w:r>
            <w:instrText xml:space="preserve"> PAGE   \* MERGEFORMAT </w:instrText>
          </w:r>
          <w:r>
            <w:fldChar w:fldCharType="separate"/>
          </w:r>
          <w:r w:rsidRPr="00487162">
            <w:rPr>
              <w:noProof/>
            </w:rPr>
            <w:t>3</w:t>
          </w:r>
          <w:r>
            <w:rPr>
              <w:noProof/>
            </w:rPr>
            <w:fldChar w:fldCharType="end"/>
          </w:r>
          <w:r w:rsidRPr="00487162">
            <w:t xml:space="preserve"> of </w:t>
          </w:r>
          <w:fldSimple w:instr=" NUMPAGES  ">
            <w:r>
              <w:rPr>
                <w:noProof/>
              </w:rPr>
              <w:t>3</w:t>
            </w:r>
          </w:fldSimple>
        </w:p>
      </w:tc>
    </w:tr>
  </w:tbl>
  <w:p w14:paraId="0384550C" w14:textId="77777777" w:rsidR="00E03585" w:rsidRDefault="00E035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F952E" w14:textId="77777777" w:rsidR="00E03585" w:rsidRPr="001C32CD" w:rsidRDefault="00E03585" w:rsidP="001C32C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8875" w:type="dxa"/>
      <w:tblLayout w:type="fixed"/>
      <w:tblCellMar>
        <w:top w:w="170" w:type="dxa"/>
        <w:left w:w="0" w:type="dxa"/>
        <w:bottom w:w="227" w:type="dxa"/>
        <w:right w:w="0" w:type="dxa"/>
      </w:tblCellMar>
      <w:tblLook w:val="04A0" w:firstRow="1" w:lastRow="0" w:firstColumn="1" w:lastColumn="0" w:noHBand="0" w:noVBand="1"/>
    </w:tblPr>
    <w:tblGrid>
      <w:gridCol w:w="4519"/>
      <w:gridCol w:w="4356"/>
    </w:tblGrid>
    <w:tr w:rsidR="00E03585" w14:paraId="25C1C98E" w14:textId="77777777" w:rsidTr="0010601F">
      <w:trPr>
        <w:trHeight w:val="108"/>
      </w:trPr>
      <w:tc>
        <w:tcPr>
          <w:tcW w:w="8875" w:type="dxa"/>
          <w:gridSpan w:val="2"/>
          <w:tcBorders>
            <w:bottom w:val="single" w:sz="4" w:space="0" w:color="auto"/>
          </w:tcBorders>
          <w:tcMar>
            <w:right w:w="284" w:type="dxa"/>
          </w:tcMar>
        </w:tcPr>
        <w:p w14:paraId="04B286D7" w14:textId="77777777" w:rsidR="00E03585" w:rsidRDefault="00E03585" w:rsidP="006E08B3">
          <w:pPr>
            <w:pStyle w:val="Heading3"/>
          </w:pPr>
          <w:r>
            <w:t>Copyright</w:t>
          </w:r>
        </w:p>
        <w:p w14:paraId="4FEB9157" w14:textId="77777777" w:rsidR="00E03585" w:rsidRDefault="00E03585" w:rsidP="006E08B3">
          <w:r>
            <w:rPr>
              <w:rFonts w:cs="Arial"/>
            </w:rPr>
            <w:t>©</w:t>
          </w:r>
          <w:r>
            <w:t xml:space="preserve"> Commonwealth of Australia [add year]</w:t>
          </w:r>
        </w:p>
        <w:p w14:paraId="1B338907" w14:textId="77777777" w:rsidR="00E03585" w:rsidRDefault="00E03585" w:rsidP="006E08B3"/>
        <w:p w14:paraId="231CA3E4" w14:textId="77777777" w:rsidR="00E03585" w:rsidRDefault="00E03585"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14:paraId="1CC82D35" w14:textId="77777777" w:rsidR="00E03585" w:rsidRDefault="00E03585" w:rsidP="006E08B3"/>
        <w:p w14:paraId="467B19C1" w14:textId="77777777" w:rsidR="00E03585" w:rsidRDefault="00E03585" w:rsidP="006E08B3">
          <w:pPr>
            <w:pStyle w:val="Heading3"/>
          </w:pPr>
          <w:r>
            <w:t>Confidentiality</w:t>
          </w:r>
        </w:p>
        <w:p w14:paraId="7B97D03C" w14:textId="77777777" w:rsidR="00E03585" w:rsidRDefault="00E03585"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14:paraId="0A1C86CF" w14:textId="77777777" w:rsidR="00E03585" w:rsidRDefault="00E03585" w:rsidP="006E08B3"/>
        <w:p w14:paraId="036C742B" w14:textId="77777777" w:rsidR="00E03585" w:rsidRDefault="00E03585" w:rsidP="006E08B3">
          <w:r>
            <w:t>For submission made by individuals, all personal details, other than your name, will be removed from your submission before it is published on the TGA’s Internet site.</w:t>
          </w:r>
        </w:p>
        <w:p w14:paraId="72B1353D" w14:textId="77777777" w:rsidR="00E03585" w:rsidRDefault="00E03585" w:rsidP="006E08B3"/>
        <w:p w14:paraId="13545807" w14:textId="77777777" w:rsidR="00E03585" w:rsidRDefault="00E03585" w:rsidP="006E08B3">
          <w:r>
            <w:t>In addition, a list of parties making submissions will be published. If you do not wish to be identified with your submission you must specifically request this in the space provided ib the submission coversheet.</w:t>
          </w:r>
        </w:p>
      </w:tc>
    </w:tr>
    <w:tr w:rsidR="00E03585" w14:paraId="6EAA6A1F" w14:textId="77777777" w:rsidTr="0010601F">
      <w:trPr>
        <w:trHeight w:val="417"/>
      </w:trPr>
      <w:tc>
        <w:tcPr>
          <w:tcW w:w="4519" w:type="dxa"/>
          <w:tcBorders>
            <w:top w:val="single" w:sz="4" w:space="0" w:color="auto"/>
          </w:tcBorders>
          <w:tcMar>
            <w:top w:w="142" w:type="dxa"/>
            <w:bottom w:w="0" w:type="dxa"/>
          </w:tcMar>
        </w:tcPr>
        <w:p w14:paraId="165E0B3B" w14:textId="77777777" w:rsidR="00E03585" w:rsidRDefault="00E03585" w:rsidP="006E08B3">
          <w:r>
            <w:t>Document title, Part #, Section # - Section title</w:t>
          </w:r>
        </w:p>
        <w:p w14:paraId="30E18437" w14:textId="77777777" w:rsidR="00E03585" w:rsidRDefault="00E03585" w:rsidP="006E08B3">
          <w:r>
            <w:t>V1.0 October 2010</w:t>
          </w:r>
        </w:p>
      </w:tc>
      <w:tc>
        <w:tcPr>
          <w:tcW w:w="4356" w:type="dxa"/>
          <w:tcBorders>
            <w:top w:val="single" w:sz="4" w:space="0" w:color="auto"/>
          </w:tcBorders>
          <w:tcMar>
            <w:top w:w="142" w:type="dxa"/>
            <w:bottom w:w="0" w:type="dxa"/>
          </w:tcMar>
        </w:tcPr>
        <w:p w14:paraId="569A0B25" w14:textId="77777777" w:rsidR="00E03585" w:rsidRDefault="00E03585" w:rsidP="006E08B3">
          <w:pPr>
            <w:jc w:val="right"/>
          </w:pPr>
          <w:r>
            <w:t xml:space="preserve">Page </w:t>
          </w:r>
          <w:r>
            <w:fldChar w:fldCharType="begin"/>
          </w:r>
          <w:r>
            <w:instrText xml:space="preserve"> PAGE   \* MERGEFORMAT </w:instrText>
          </w:r>
          <w:r>
            <w:fldChar w:fldCharType="separate"/>
          </w:r>
          <w:r>
            <w:rPr>
              <w:noProof/>
            </w:rPr>
            <w:t>1</w:t>
          </w:r>
          <w:r>
            <w:rPr>
              <w:noProof/>
            </w:rPr>
            <w:fldChar w:fldCharType="end"/>
          </w:r>
          <w:r>
            <w:t xml:space="preserve"> of </w:t>
          </w:r>
          <w:fldSimple w:instr=" NUMPAGES  \* Arabic ">
            <w:r>
              <w:rPr>
                <w:noProof/>
              </w:rPr>
              <w:t>3</w:t>
            </w:r>
          </w:fldSimple>
          <w:r>
            <w:t xml:space="preserve">  </w:t>
          </w:r>
        </w:p>
      </w:tc>
    </w:tr>
  </w:tbl>
  <w:p w14:paraId="1AB625BE" w14:textId="77777777" w:rsidR="00E03585" w:rsidRDefault="00E0358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539D87" w14:textId="77777777" w:rsidR="00E03585" w:rsidRDefault="00E03585" w:rsidP="00C40A36">
      <w:pPr>
        <w:spacing w:after="0"/>
      </w:pPr>
      <w:r>
        <w:separator/>
      </w:r>
    </w:p>
  </w:footnote>
  <w:footnote w:type="continuationSeparator" w:id="0">
    <w:p w14:paraId="3982ED31" w14:textId="77777777" w:rsidR="00E03585" w:rsidRDefault="00E03585" w:rsidP="00C40A36">
      <w:pPr>
        <w:spacing w:after="0"/>
      </w:pPr>
      <w:r>
        <w:continuationSeparator/>
      </w:r>
    </w:p>
  </w:footnote>
  <w:footnote w:id="1">
    <w:p w14:paraId="4D2979CE" w14:textId="77777777" w:rsidR="00E03585" w:rsidRDefault="00E03585">
      <w:pPr>
        <w:pStyle w:val="FootnoteText"/>
      </w:pPr>
      <w:r>
        <w:rPr>
          <w:rStyle w:val="FootnoteReference"/>
        </w:rPr>
        <w:footnoteRef/>
      </w:r>
      <w:r>
        <w:t xml:space="preserve"> Global Initiative for Asthma (GINA). Report: Global Strategy for Asthma Management and Prevention, 2018. Available from the GINA website.</w:t>
      </w:r>
    </w:p>
  </w:footnote>
  <w:footnote w:id="2">
    <w:p w14:paraId="3C46BC05" w14:textId="113924DD" w:rsidR="00E03585" w:rsidRDefault="00E03585">
      <w:pPr>
        <w:pStyle w:val="FootnoteText"/>
      </w:pPr>
      <w:r>
        <w:rPr>
          <w:rStyle w:val="FootnoteReference"/>
        </w:rPr>
        <w:footnoteRef/>
      </w:r>
      <w:r>
        <w:t xml:space="preserve"> Sponsor comment/clarification: Patients in the HES compassionate use program have severe disease with organ- or life-threatening disease.</w:t>
      </w:r>
    </w:p>
  </w:footnote>
  <w:footnote w:id="3">
    <w:p w14:paraId="4B32C2CE" w14:textId="77777777" w:rsidR="00E03585" w:rsidRDefault="00E03585" w:rsidP="006F5F72">
      <w:pPr>
        <w:pStyle w:val="FootnoteText"/>
      </w:pPr>
      <w:r>
        <w:rPr>
          <w:rStyle w:val="FootnoteReference"/>
        </w:rPr>
        <w:footnoteRef/>
      </w:r>
      <w:r>
        <w:t xml:space="preserve"> The sponsor </w:t>
      </w:r>
      <w:r w:rsidRPr="006B481F">
        <w:t>must still comply with routine product vigilance and risk minimisation requirements.</w:t>
      </w:r>
    </w:p>
  </w:footnote>
  <w:footnote w:id="4">
    <w:p w14:paraId="7568330C" w14:textId="77777777" w:rsidR="00E03585" w:rsidRDefault="00E03585" w:rsidP="00456765">
      <w:pPr>
        <w:pStyle w:val="FootnoteText"/>
      </w:pPr>
      <w:r>
        <w:rPr>
          <w:rStyle w:val="FootnoteReference"/>
        </w:rPr>
        <w:footnoteRef/>
      </w:r>
      <w:r>
        <w:t xml:space="preserve"> The ACM provides independent medical and scientific advice to the Minister for Health and the Therapeutic Goods Administration (TGA) on issues relating to the safety, quality and efficacy of medicines supplied in Australia including issues relating to pre-market and post-market functions for medicines.</w:t>
      </w:r>
    </w:p>
    <w:p w14:paraId="397B47E0" w14:textId="77777777" w:rsidR="00E03585" w:rsidRPr="00456765" w:rsidRDefault="00E03585" w:rsidP="00456765">
      <w:pPr>
        <w:pStyle w:val="FootnoteText"/>
        <w:rPr>
          <w:lang w:val="en-US"/>
        </w:rPr>
      </w:pPr>
      <w:r>
        <w:t xml:space="preserve">The Committee is established under Regulation 35 of the Therapeutic Goods Regulations 1990. Members are appointed by the Minister. The ACM was established in January 2017 replacing </w:t>
      </w:r>
      <w:r w:rsidRPr="009E0C19">
        <w:t xml:space="preserve">Advisory Committee on Prescription Medicines (ACPM) </w:t>
      </w:r>
      <w:r>
        <w:t xml:space="preserve">which </w:t>
      </w:r>
      <w:r w:rsidRPr="009E0C19">
        <w:t>was formed in January 2010</w:t>
      </w:r>
      <w:r>
        <w:t>. ACM encompass pre and post-market advice for medicines, following the consolidation of the previous functions of the Advisory Committee on Prescription Medicines (ACPM), the Advisory Committee on the Safety of Medicines (ACSOM) and the Advisory Committee on Non-Prescription Medicines (ACNM). Membership comprises of professionals with specific scientific, medical or clinical expertise, as well as appropriate consumer health issues relating to medicines.</w:t>
      </w:r>
    </w:p>
  </w:footnote>
  <w:footnote w:id="5">
    <w:p w14:paraId="4981213C" w14:textId="77777777" w:rsidR="00E03585" w:rsidRDefault="00E03585">
      <w:pPr>
        <w:pStyle w:val="FootnoteText"/>
      </w:pPr>
      <w:r>
        <w:rPr>
          <w:rStyle w:val="FootnoteReference"/>
        </w:rPr>
        <w:footnoteRef/>
      </w:r>
      <w:r>
        <w:t xml:space="preserve"> European Medicines Agency (EMA), </w:t>
      </w:r>
      <w:r w:rsidRPr="006E0BF5">
        <w:t>Reflection paper on the use of extrapolation in the development of medicines for paediatrics</w:t>
      </w:r>
      <w:r>
        <w:t xml:space="preserve">, 7 October 2018, </w:t>
      </w:r>
      <w:r w:rsidRPr="006E0BF5">
        <w:t>EMA/189724/2018</w:t>
      </w:r>
    </w:p>
  </w:footnote>
  <w:footnote w:id="6">
    <w:p w14:paraId="79E4D1DC" w14:textId="77777777" w:rsidR="00E03585" w:rsidRDefault="00E03585">
      <w:pPr>
        <w:pStyle w:val="FootnoteText"/>
      </w:pPr>
      <w:r>
        <w:rPr>
          <w:rStyle w:val="FootnoteReference"/>
        </w:rPr>
        <w:footnoteRef/>
      </w:r>
      <w:r>
        <w:t xml:space="preserve"> </w:t>
      </w:r>
      <w:r w:rsidRPr="006E0BF5">
        <w:t>Fitzpatrick</w:t>
      </w:r>
      <w:r>
        <w:t>,</w:t>
      </w:r>
      <w:r w:rsidRPr="006E0BF5">
        <w:t xml:space="preserve"> A</w:t>
      </w:r>
      <w:r>
        <w:t>.</w:t>
      </w:r>
      <w:r w:rsidRPr="006E0BF5">
        <w:t>M</w:t>
      </w:r>
      <w:r>
        <w:t>.</w:t>
      </w:r>
      <w:r w:rsidRPr="006E0BF5">
        <w:t xml:space="preserve"> et al. </w:t>
      </w:r>
      <w:r>
        <w:t>(</w:t>
      </w:r>
      <w:r w:rsidRPr="006E0BF5">
        <w:t>2012</w:t>
      </w:r>
      <w:r>
        <w:t>),</w:t>
      </w:r>
      <w:r w:rsidRPr="006E0BF5">
        <w:t xml:space="preserve"> Severe asthma in childhood: recent advances in phenotyping and pathogenesis</w:t>
      </w:r>
      <w:r>
        <w:t>,</w:t>
      </w:r>
      <w:r w:rsidRPr="006E0BF5">
        <w:t xml:space="preserve"> </w:t>
      </w:r>
      <w:r w:rsidRPr="006E0BF5">
        <w:rPr>
          <w:i/>
        </w:rPr>
        <w:t>Curr Opin Allergy Clin Immunol</w:t>
      </w:r>
      <w:r>
        <w:t>,</w:t>
      </w:r>
      <w:r w:rsidRPr="006E0BF5">
        <w:t xml:space="preserve"> 2012, 12:</w:t>
      </w:r>
      <w:r>
        <w:t xml:space="preserve"> 193-201.</w:t>
      </w:r>
    </w:p>
  </w:footnote>
  <w:footnote w:id="7">
    <w:p w14:paraId="5A53E7AC" w14:textId="77777777" w:rsidR="00E03585" w:rsidRDefault="00E03585">
      <w:pPr>
        <w:pStyle w:val="FootnoteText"/>
      </w:pPr>
      <w:r>
        <w:rPr>
          <w:rStyle w:val="FootnoteReference"/>
        </w:rPr>
        <w:footnoteRef/>
      </w:r>
      <w:r>
        <w:t xml:space="preserve"> </w:t>
      </w:r>
      <w:r w:rsidRPr="006E0BF5">
        <w:t>Phipatanakul</w:t>
      </w:r>
      <w:r>
        <w:t>,</w:t>
      </w:r>
      <w:r w:rsidRPr="006E0BF5">
        <w:t xml:space="preserve"> W</w:t>
      </w:r>
      <w:r>
        <w:t>.</w:t>
      </w:r>
      <w:r w:rsidRPr="006E0BF5">
        <w:t xml:space="preserve"> et al. </w:t>
      </w:r>
      <w:r>
        <w:t>(</w:t>
      </w:r>
      <w:r w:rsidRPr="006E0BF5">
        <w:t>2017</w:t>
      </w:r>
      <w:r>
        <w:t xml:space="preserve">), </w:t>
      </w:r>
      <w:r w:rsidRPr="006E0BF5">
        <w:t>Effects on age and disease severity on systemic cor</w:t>
      </w:r>
      <w:r>
        <w:t xml:space="preserve">ticosteroid responses in asthma, </w:t>
      </w:r>
      <w:r w:rsidRPr="006E0BF5">
        <w:rPr>
          <w:i/>
        </w:rPr>
        <w:t>Am J Respir Crit Care Med</w:t>
      </w:r>
      <w:r>
        <w:t>, 2017; 195</w:t>
      </w:r>
      <w:r w:rsidRPr="006E0BF5">
        <w:t>:</w:t>
      </w:r>
      <w:r>
        <w:t xml:space="preserve"> 1439-1448.</w:t>
      </w:r>
    </w:p>
  </w:footnote>
  <w:footnote w:id="8">
    <w:p w14:paraId="5FEB89F9" w14:textId="77777777" w:rsidR="00E03585" w:rsidRDefault="00E03585">
      <w:pPr>
        <w:pStyle w:val="FootnoteText"/>
      </w:pPr>
      <w:r>
        <w:rPr>
          <w:rStyle w:val="FootnoteReference"/>
        </w:rPr>
        <w:footnoteRef/>
      </w:r>
      <w:r>
        <w:t xml:space="preserve"> </w:t>
      </w:r>
      <w:r w:rsidRPr="006E0BF5">
        <w:t xml:space="preserve">Ullman, N et al </w:t>
      </w:r>
      <w:r>
        <w:t>(</w:t>
      </w:r>
      <w:r w:rsidRPr="006E0BF5">
        <w:t>2013</w:t>
      </w:r>
      <w:r>
        <w:t>)</w:t>
      </w:r>
      <w:r w:rsidRPr="006E0BF5">
        <w:t>. Blood eosinophil counts rarely reflect airway eosinophilia in children with severe asthma. Allergy</w:t>
      </w:r>
      <w:r>
        <w:t xml:space="preserve">, 2013; 68: </w:t>
      </w:r>
      <w:r w:rsidRPr="006E0BF5">
        <w:t>402-406</w:t>
      </w:r>
      <w:r>
        <w:t>.</w:t>
      </w:r>
    </w:p>
  </w:footnote>
  <w:footnote w:id="9">
    <w:p w14:paraId="6A190326" w14:textId="77777777" w:rsidR="00E03585" w:rsidRDefault="00E03585">
      <w:pPr>
        <w:pStyle w:val="FootnoteText"/>
      </w:pPr>
      <w:r>
        <w:rPr>
          <w:rStyle w:val="FootnoteReference"/>
        </w:rPr>
        <w:footnoteRef/>
      </w:r>
      <w:r>
        <w:t xml:space="preserve"> </w:t>
      </w:r>
      <w:r w:rsidRPr="001602D1">
        <w:t>A Trial of Mepolizumab Adjunctive Therapy for the Prevention of Asthma Exacerbations in Urban Children (MUPPITS-2)</w:t>
      </w:r>
      <w:r>
        <w:t xml:space="preserve">, ClinicaTrials.gov identifier: </w:t>
      </w:r>
      <w:r w:rsidRPr="001602D1">
        <w:t>NCT03292588</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15523B" w14:textId="77777777" w:rsidR="00E03585" w:rsidRDefault="00E03585" w:rsidP="00E45619">
    <w:pPr>
      <w:pStyle w:val="Header"/>
    </w:pPr>
    <w:r>
      <w:t>Therapeutic Goods Administration</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CC937" w14:textId="77777777" w:rsidR="00E03585" w:rsidRDefault="00E03585">
    <w:pPr>
      <w:rPr>
        <w:noProof/>
        <w:lang w:eastAsia="en-AU"/>
      </w:rPr>
    </w:pPr>
    <w:r w:rsidRPr="00347824">
      <w:rPr>
        <w:noProof/>
        <w:lang w:eastAsia="en-AU"/>
      </w:rPr>
      <w:drawing>
        <wp:anchor distT="0" distB="0" distL="114300" distR="114300" simplePos="0" relativeHeight="251659264" behindDoc="1" locked="0" layoutInCell="1" allowOverlap="1" wp14:anchorId="79CAC442" wp14:editId="72D80E5C">
          <wp:simplePos x="0" y="0"/>
          <wp:positionH relativeFrom="column">
            <wp:posOffset>-1089660</wp:posOffset>
          </wp:positionH>
          <wp:positionV relativeFrom="paragraph">
            <wp:posOffset>-585470</wp:posOffset>
          </wp:positionV>
          <wp:extent cx="7572375" cy="10706100"/>
          <wp:effectExtent l="19050" t="0" r="0" b="0"/>
          <wp:wrapNone/>
          <wp:docPr id="8" name="Picture 0" descr="Therapeutic Goods Administr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PAR-BG-HQ03.gif"/>
                  <pic:cNvPicPr/>
                </pic:nvPicPr>
                <pic:blipFill>
                  <a:blip r:embed="rId1"/>
                  <a:stretch>
                    <a:fillRect/>
                  </a:stretch>
                </pic:blipFill>
                <pic:spPr>
                  <a:xfrm>
                    <a:off x="0" y="0"/>
                    <a:ext cx="7568736" cy="10706100"/>
                  </a:xfrm>
                  <a:prstGeom prst="rect">
                    <a:avLst/>
                  </a:prstGeom>
                </pic:spPr>
              </pic:pic>
            </a:graphicData>
          </a:graphic>
        </wp:anchor>
      </w:drawing>
    </w:r>
  </w:p>
  <w:p w14:paraId="67A00AE9" w14:textId="77777777" w:rsidR="00E03585" w:rsidRDefault="00E03585" w:rsidP="00593AD1">
    <w:pPr>
      <w:pStyle w:val="HeaderNoLine"/>
    </w:pPr>
    <w:r>
      <w:rPr>
        <w:noProof/>
        <w:lang w:eastAsia="en-AU"/>
      </w:rPr>
      <w:drawing>
        <wp:inline distT="0" distB="0" distL="0" distR="0" wp14:anchorId="65ABDF53" wp14:editId="0DA34F64">
          <wp:extent cx="5400675" cy="7639050"/>
          <wp:effectExtent l="0" t="0" r="9525" b="0"/>
          <wp:docPr id="9" name="Picture 9" descr="Lightblu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ghtblue.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675" cy="76390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35BE4" w14:textId="77777777" w:rsidR="00E03585" w:rsidRDefault="00E0358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BB59F5" w14:textId="77777777" w:rsidR="00E03585" w:rsidRDefault="00E03585">
    <w:pPr>
      <w:pStyle w:val="Header"/>
    </w:pPr>
    <w:r>
      <w:t>Therapeutic Goods Administration</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EF025" w14:textId="77777777" w:rsidR="00E03585" w:rsidRDefault="00E03585">
    <w:pPr>
      <w:pStyle w:val="Header"/>
    </w:pPr>
    <w:r>
      <w:t>Therapeutic Goods Administration</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5427FE" w14:textId="77777777" w:rsidR="00E03585" w:rsidRDefault="00E0358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25BAD8" w14:textId="77777777" w:rsidR="00E03585" w:rsidRDefault="00E03585" w:rsidP="004C239D">
    <w:pPr>
      <w:pStyle w:val="HeaderNoLine"/>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213407" w14:textId="77777777" w:rsidR="00E03585" w:rsidRDefault="00E03585" w:rsidP="006E08B3">
    <w:r>
      <w:t>Therapeutic Goods Administration</w:t>
    </w:r>
  </w:p>
  <w:p w14:paraId="2FD5CB0F" w14:textId="77777777" w:rsidR="00E03585" w:rsidRDefault="00E03585" w:rsidP="006D03E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406830BE"/>
    <w:lvl w:ilvl="0">
      <w:start w:val="1"/>
      <w:numFmt w:val="bullet"/>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A04AD474"/>
    <w:lvl w:ilvl="0">
      <w:start w:val="1"/>
      <w:numFmt w:val="bullet"/>
      <w:lvlText w:val="–"/>
      <w:lvlJc w:val="left"/>
      <w:pPr>
        <w:ind w:left="643" w:hanging="360"/>
      </w:pPr>
      <w:rPr>
        <w:rFonts w:ascii="Arial" w:hAnsi="Arial" w:hint="default"/>
      </w:rPr>
    </w:lvl>
  </w:abstractNum>
  <w:abstractNum w:abstractNumId="2" w15:restartNumberingAfterBreak="0">
    <w:nsid w:val="FFFFFF89"/>
    <w:multiLevelType w:val="singleLevel"/>
    <w:tmpl w:val="F4085A32"/>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B8320B0A"/>
    <w:lvl w:ilvl="0">
      <w:numFmt w:val="bullet"/>
      <w:lvlText w:val="*"/>
      <w:lvlJc w:val="left"/>
    </w:lvl>
  </w:abstractNum>
  <w:abstractNum w:abstractNumId="4"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5" w15:restartNumberingAfterBreak="0">
    <w:nsid w:val="168F13E9"/>
    <w:multiLevelType w:val="multilevel"/>
    <w:tmpl w:val="DA360B98"/>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6" w15:restartNumberingAfterBreak="0">
    <w:nsid w:val="2B093402"/>
    <w:multiLevelType w:val="hybridMultilevel"/>
    <w:tmpl w:val="F7529EE4"/>
    <w:lvl w:ilvl="0" w:tplc="EF9E07EA">
      <w:numFmt w:val="bullet"/>
      <w:lvlText w:val="-"/>
      <w:lvlJc w:val="left"/>
      <w:pPr>
        <w:ind w:left="720" w:hanging="360"/>
      </w:pPr>
      <w:rPr>
        <w:rFonts w:ascii="Cambria" w:eastAsia="MS Mincho" w:hAnsi="Cambria"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EB41F2F"/>
    <w:multiLevelType w:val="hybridMultilevel"/>
    <w:tmpl w:val="E79C11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77606DC0"/>
    <w:multiLevelType w:val="hybridMultilevel"/>
    <w:tmpl w:val="8780E0A6"/>
    <w:lvl w:ilvl="0" w:tplc="4224B92E">
      <w:numFmt w:val="bullet"/>
      <w:lvlText w:val="•"/>
      <w:lvlJc w:val="left"/>
      <w:pPr>
        <w:ind w:left="360" w:hanging="360"/>
      </w:pPr>
      <w:rPr>
        <w:rFonts w:ascii="Cambria" w:eastAsia="Cambria" w:hAnsi="Cambria"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5"/>
  </w:num>
  <w:num w:numId="4">
    <w:abstractNumId w:val="5"/>
  </w:num>
  <w:num w:numId="5">
    <w:abstractNumId w:val="0"/>
  </w:num>
  <w:num w:numId="6">
    <w:abstractNumId w:val="5"/>
  </w:num>
  <w:num w:numId="7">
    <w:abstractNumId w:val="5"/>
  </w:num>
  <w:num w:numId="8">
    <w:abstractNumId w:val="4"/>
  </w:num>
  <w:num w:numId="9">
    <w:abstractNumId w:val="4"/>
  </w:num>
  <w:num w:numId="10">
    <w:abstractNumId w:val="4"/>
  </w:num>
  <w:num w:numId="11">
    <w:abstractNumId w:val="4"/>
  </w:num>
  <w:num w:numId="12">
    <w:abstractNumId w:val="3"/>
    <w:lvlOverride w:ilvl="0">
      <w:lvl w:ilvl="0">
        <w:numFmt w:val="bullet"/>
        <w:lvlText w:val="•"/>
        <w:legacy w:legacy="1" w:legacySpace="0" w:legacyIndent="0"/>
        <w:lvlJc w:val="left"/>
        <w:rPr>
          <w:rFonts w:ascii="Helv" w:hAnsi="Helv" w:hint="default"/>
        </w:rPr>
      </w:lvl>
    </w:lvlOverride>
  </w:num>
  <w:num w:numId="13">
    <w:abstractNumId w:val="5"/>
  </w:num>
  <w:num w:numId="14">
    <w:abstractNumId w:val="5"/>
  </w:num>
  <w:num w:numId="15">
    <w:abstractNumId w:val="5"/>
  </w:num>
  <w:num w:numId="16">
    <w:abstractNumId w:val="4"/>
  </w:num>
  <w:num w:numId="17">
    <w:abstractNumId w:val="4"/>
  </w:num>
  <w:num w:numId="18">
    <w:abstractNumId w:val="4"/>
  </w:num>
  <w:num w:numId="19">
    <w:abstractNumId w:val="5"/>
  </w:num>
  <w:num w:numId="20">
    <w:abstractNumId w:val="5"/>
  </w:num>
  <w:num w:numId="21">
    <w:abstractNumId w:val="5"/>
  </w:num>
  <w:num w:numId="22">
    <w:abstractNumId w:val="4"/>
  </w:num>
  <w:num w:numId="23">
    <w:abstractNumId w:val="4"/>
  </w:num>
  <w:num w:numId="24">
    <w:abstractNumId w:val="4"/>
  </w:num>
  <w:num w:numId="25">
    <w:abstractNumId w:val="4"/>
    <w:lvlOverride w:ilvl="0">
      <w:lvl w:ilvl="0">
        <w:start w:val="1"/>
        <w:numFmt w:val="decimal"/>
        <w:pStyle w:val="Numberbullet0"/>
        <w:lvlText w:val="%1."/>
        <w:lvlJc w:val="left"/>
        <w:pPr>
          <w:ind w:left="425" w:hanging="425"/>
        </w:pPr>
        <w:rPr>
          <w:rFonts w:ascii="Cambria" w:hAnsi="Cambria" w:hint="default"/>
        </w:rPr>
      </w:lvl>
    </w:lvlOverride>
    <w:lvlOverride w:ilvl="1">
      <w:lvl w:ilvl="1">
        <w:start w:val="1"/>
        <w:numFmt w:val="lowerLetter"/>
        <w:pStyle w:val="Numberbullet2"/>
        <w:lvlText w:val="%2."/>
        <w:lvlJc w:val="left"/>
        <w:pPr>
          <w:ind w:left="851" w:hanging="426"/>
        </w:pPr>
        <w:rPr>
          <w:rFonts w:hint="default"/>
        </w:rPr>
      </w:lvl>
    </w:lvlOverride>
    <w:lvlOverride w:ilvl="2">
      <w:lvl w:ilvl="2">
        <w:start w:val="1"/>
        <w:numFmt w:val="lowerRoman"/>
        <w:pStyle w:val="Numberbullet3"/>
        <w:lvlText w:val="%3."/>
        <w:lvlJc w:val="left"/>
        <w:pPr>
          <w:ind w:left="1276" w:hanging="425"/>
        </w:pPr>
        <w:rPr>
          <w:rFonts w:hint="default"/>
        </w:rPr>
      </w:lvl>
    </w:lvlOverride>
    <w:lvlOverride w:ilvl="3">
      <w:lvl w:ilvl="3">
        <w:start w:val="1"/>
        <w:numFmt w:val="none"/>
        <w:lvlText w:val=""/>
        <w:lvlJc w:val="left"/>
        <w:pPr>
          <w:ind w:left="1276" w:hanging="425"/>
        </w:pPr>
        <w:rPr>
          <w:rFonts w:hint="default"/>
        </w:rPr>
      </w:lvl>
    </w:lvlOverride>
    <w:lvlOverride w:ilvl="4">
      <w:lvl w:ilvl="4">
        <w:start w:val="1"/>
        <w:numFmt w:val="none"/>
        <w:lvlText w:val=""/>
        <w:lvlJc w:val="left"/>
        <w:pPr>
          <w:ind w:left="1276" w:hanging="425"/>
        </w:pPr>
        <w:rPr>
          <w:rFonts w:hint="default"/>
        </w:rPr>
      </w:lvl>
    </w:lvlOverride>
    <w:lvlOverride w:ilvl="5">
      <w:lvl w:ilvl="5">
        <w:start w:val="1"/>
        <w:numFmt w:val="none"/>
        <w:lvlText w:val=""/>
        <w:lvlJc w:val="left"/>
        <w:pPr>
          <w:ind w:left="1276" w:hanging="425"/>
        </w:pPr>
        <w:rPr>
          <w:rFonts w:hint="default"/>
        </w:rPr>
      </w:lvl>
    </w:lvlOverride>
    <w:lvlOverride w:ilvl="6">
      <w:lvl w:ilvl="6">
        <w:start w:val="1"/>
        <w:numFmt w:val="none"/>
        <w:lvlText w:val="%7"/>
        <w:lvlJc w:val="left"/>
        <w:pPr>
          <w:ind w:left="1276" w:hanging="425"/>
        </w:pPr>
        <w:rPr>
          <w:rFonts w:hint="default"/>
        </w:rPr>
      </w:lvl>
    </w:lvlOverride>
    <w:lvlOverride w:ilvl="7">
      <w:lvl w:ilvl="7">
        <w:start w:val="1"/>
        <w:numFmt w:val="none"/>
        <w:lvlText w:val=""/>
        <w:lvlJc w:val="left"/>
        <w:pPr>
          <w:ind w:left="1276" w:hanging="425"/>
        </w:pPr>
        <w:rPr>
          <w:rFonts w:hint="default"/>
        </w:rPr>
      </w:lvl>
    </w:lvlOverride>
    <w:lvlOverride w:ilvl="8">
      <w:lvl w:ilvl="8">
        <w:start w:val="1"/>
        <w:numFmt w:val="none"/>
        <w:lvlText w:val=""/>
        <w:lvlJc w:val="left"/>
        <w:pPr>
          <w:ind w:left="1276" w:hanging="425"/>
        </w:pPr>
        <w:rPr>
          <w:rFonts w:hint="default"/>
        </w:rPr>
      </w:lvl>
    </w:lvlOverride>
  </w:num>
  <w:num w:numId="26">
    <w:abstractNumId w:val="4"/>
    <w:lvlOverride w:ilvl="0">
      <w:startOverride w:val="1"/>
      <w:lvl w:ilvl="0">
        <w:start w:val="1"/>
        <w:numFmt w:val="decimal"/>
        <w:pStyle w:val="Numberbullet0"/>
        <w:lvlText w:val="%1."/>
        <w:lvlJc w:val="left"/>
        <w:pPr>
          <w:ind w:left="425" w:hanging="425"/>
        </w:pPr>
        <w:rPr>
          <w:rFonts w:ascii="Cambria" w:hAnsi="Cambria" w:hint="default"/>
        </w:rPr>
      </w:lvl>
    </w:lvlOverride>
    <w:lvlOverride w:ilvl="1">
      <w:startOverride w:val="1"/>
      <w:lvl w:ilvl="1">
        <w:start w:val="1"/>
        <w:numFmt w:val="lowerLetter"/>
        <w:pStyle w:val="Numberbullet2"/>
        <w:lvlText w:val="%2."/>
        <w:lvlJc w:val="left"/>
        <w:pPr>
          <w:ind w:left="851" w:hanging="426"/>
        </w:pPr>
        <w:rPr>
          <w:rFonts w:hint="default"/>
        </w:rPr>
      </w:lvl>
    </w:lvlOverride>
    <w:lvlOverride w:ilvl="2">
      <w:startOverride w:val="1"/>
      <w:lvl w:ilvl="2">
        <w:start w:val="1"/>
        <w:numFmt w:val="lowerRoman"/>
        <w:pStyle w:val="Numberbullet3"/>
        <w:lvlText w:val="%3."/>
        <w:lvlJc w:val="left"/>
        <w:pPr>
          <w:ind w:left="1276" w:hanging="425"/>
        </w:pPr>
        <w:rPr>
          <w:rFonts w:hint="default"/>
        </w:rPr>
      </w:lvl>
    </w:lvlOverride>
    <w:lvlOverride w:ilvl="3">
      <w:startOverride w:val="1"/>
      <w:lvl w:ilvl="3">
        <w:start w:val="1"/>
        <w:numFmt w:val="none"/>
        <w:lvlText w:val=""/>
        <w:lvlJc w:val="left"/>
        <w:pPr>
          <w:ind w:left="1276" w:hanging="425"/>
        </w:pPr>
        <w:rPr>
          <w:rFonts w:hint="default"/>
        </w:rPr>
      </w:lvl>
    </w:lvlOverride>
    <w:lvlOverride w:ilvl="4">
      <w:startOverride w:val="1"/>
      <w:lvl w:ilvl="4">
        <w:start w:val="1"/>
        <w:numFmt w:val="none"/>
        <w:lvlText w:val=""/>
        <w:lvlJc w:val="left"/>
        <w:pPr>
          <w:ind w:left="1276" w:hanging="425"/>
        </w:pPr>
        <w:rPr>
          <w:rFonts w:hint="default"/>
        </w:rPr>
      </w:lvl>
    </w:lvlOverride>
    <w:lvlOverride w:ilvl="5">
      <w:startOverride w:val="1"/>
      <w:lvl w:ilvl="5">
        <w:start w:val="1"/>
        <w:numFmt w:val="none"/>
        <w:lvlText w:val=""/>
        <w:lvlJc w:val="left"/>
        <w:pPr>
          <w:ind w:left="1276" w:hanging="425"/>
        </w:pPr>
        <w:rPr>
          <w:rFonts w:hint="default"/>
        </w:rPr>
      </w:lvl>
    </w:lvlOverride>
    <w:lvlOverride w:ilvl="6">
      <w:startOverride w:val="1"/>
      <w:lvl w:ilvl="6">
        <w:start w:val="1"/>
        <w:numFmt w:val="none"/>
        <w:lvlText w:val="%7"/>
        <w:lvlJc w:val="left"/>
        <w:pPr>
          <w:ind w:left="1276" w:hanging="425"/>
        </w:pPr>
        <w:rPr>
          <w:rFonts w:hint="default"/>
        </w:rPr>
      </w:lvl>
    </w:lvlOverride>
    <w:lvlOverride w:ilvl="7">
      <w:startOverride w:val="1"/>
      <w:lvl w:ilvl="7">
        <w:start w:val="1"/>
        <w:numFmt w:val="none"/>
        <w:lvlText w:val=""/>
        <w:lvlJc w:val="left"/>
        <w:pPr>
          <w:ind w:left="1276" w:hanging="425"/>
        </w:pPr>
        <w:rPr>
          <w:rFonts w:hint="default"/>
        </w:rPr>
      </w:lvl>
    </w:lvlOverride>
    <w:lvlOverride w:ilvl="8">
      <w:startOverride w:val="1"/>
      <w:lvl w:ilvl="8">
        <w:start w:val="1"/>
        <w:numFmt w:val="none"/>
        <w:lvlText w:val=""/>
        <w:lvlJc w:val="left"/>
        <w:pPr>
          <w:ind w:left="1276" w:hanging="425"/>
        </w:pPr>
        <w:rPr>
          <w:rFonts w:hint="default"/>
        </w:rPr>
      </w:lvl>
    </w:lvlOverride>
  </w:num>
  <w:num w:numId="27">
    <w:abstractNumId w:val="7"/>
  </w:num>
  <w:num w:numId="28">
    <w:abstractNumId w:val="8"/>
  </w:num>
  <w:num w:numId="29">
    <w:abstractNumId w:val="6"/>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8"/>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FD3"/>
    <w:rsid w:val="00002031"/>
    <w:rsid w:val="00004734"/>
    <w:rsid w:val="00006B22"/>
    <w:rsid w:val="0001276A"/>
    <w:rsid w:val="000246AE"/>
    <w:rsid w:val="00025C67"/>
    <w:rsid w:val="000333E0"/>
    <w:rsid w:val="00044772"/>
    <w:rsid w:val="0004541C"/>
    <w:rsid w:val="0005559E"/>
    <w:rsid w:val="000604D6"/>
    <w:rsid w:val="00066164"/>
    <w:rsid w:val="000734D8"/>
    <w:rsid w:val="00077775"/>
    <w:rsid w:val="00083020"/>
    <w:rsid w:val="00090471"/>
    <w:rsid w:val="00096AA7"/>
    <w:rsid w:val="000A3AED"/>
    <w:rsid w:val="000B3532"/>
    <w:rsid w:val="000B3A75"/>
    <w:rsid w:val="000C00C2"/>
    <w:rsid w:val="000C690F"/>
    <w:rsid w:val="000D1295"/>
    <w:rsid w:val="000D391B"/>
    <w:rsid w:val="000D3D6D"/>
    <w:rsid w:val="000D4FC7"/>
    <w:rsid w:val="000E063C"/>
    <w:rsid w:val="000E6196"/>
    <w:rsid w:val="000F3AA2"/>
    <w:rsid w:val="000F4869"/>
    <w:rsid w:val="000F5B42"/>
    <w:rsid w:val="000F6E6F"/>
    <w:rsid w:val="0010601F"/>
    <w:rsid w:val="0010788A"/>
    <w:rsid w:val="00107A31"/>
    <w:rsid w:val="00110EA5"/>
    <w:rsid w:val="00112F56"/>
    <w:rsid w:val="00124ACD"/>
    <w:rsid w:val="00125318"/>
    <w:rsid w:val="001305A2"/>
    <w:rsid w:val="00133238"/>
    <w:rsid w:val="00133A1B"/>
    <w:rsid w:val="0014197B"/>
    <w:rsid w:val="001447CD"/>
    <w:rsid w:val="001516B1"/>
    <w:rsid w:val="00154EBB"/>
    <w:rsid w:val="00156316"/>
    <w:rsid w:val="001602D1"/>
    <w:rsid w:val="00161181"/>
    <w:rsid w:val="00162D14"/>
    <w:rsid w:val="00163780"/>
    <w:rsid w:val="0016393D"/>
    <w:rsid w:val="00165389"/>
    <w:rsid w:val="00165F8C"/>
    <w:rsid w:val="0017693F"/>
    <w:rsid w:val="0018110E"/>
    <w:rsid w:val="00181684"/>
    <w:rsid w:val="001843C6"/>
    <w:rsid w:val="001850E0"/>
    <w:rsid w:val="00185B0A"/>
    <w:rsid w:val="001A03AF"/>
    <w:rsid w:val="001A2158"/>
    <w:rsid w:val="001A525F"/>
    <w:rsid w:val="001B09F9"/>
    <w:rsid w:val="001B5C90"/>
    <w:rsid w:val="001B6448"/>
    <w:rsid w:val="001C32CD"/>
    <w:rsid w:val="001D2984"/>
    <w:rsid w:val="001E07CF"/>
    <w:rsid w:val="001E59F1"/>
    <w:rsid w:val="001F2CEE"/>
    <w:rsid w:val="001F49EB"/>
    <w:rsid w:val="001F6CBA"/>
    <w:rsid w:val="00201D4E"/>
    <w:rsid w:val="002076C9"/>
    <w:rsid w:val="00220B8A"/>
    <w:rsid w:val="002257F3"/>
    <w:rsid w:val="00231C08"/>
    <w:rsid w:val="00233456"/>
    <w:rsid w:val="002339A5"/>
    <w:rsid w:val="00257848"/>
    <w:rsid w:val="002578E8"/>
    <w:rsid w:val="0027084A"/>
    <w:rsid w:val="00280265"/>
    <w:rsid w:val="00286434"/>
    <w:rsid w:val="00286C59"/>
    <w:rsid w:val="00291957"/>
    <w:rsid w:val="002942D1"/>
    <w:rsid w:val="0029501A"/>
    <w:rsid w:val="002A3721"/>
    <w:rsid w:val="002B1638"/>
    <w:rsid w:val="002B3624"/>
    <w:rsid w:val="002D0952"/>
    <w:rsid w:val="002E40B3"/>
    <w:rsid w:val="002E4C9A"/>
    <w:rsid w:val="002E5AB1"/>
    <w:rsid w:val="002F11F8"/>
    <w:rsid w:val="002F3F56"/>
    <w:rsid w:val="002F44B5"/>
    <w:rsid w:val="002F5122"/>
    <w:rsid w:val="00311AC0"/>
    <w:rsid w:val="003176FC"/>
    <w:rsid w:val="0032583B"/>
    <w:rsid w:val="00327883"/>
    <w:rsid w:val="00335504"/>
    <w:rsid w:val="00340C18"/>
    <w:rsid w:val="003442FD"/>
    <w:rsid w:val="00347824"/>
    <w:rsid w:val="0035025C"/>
    <w:rsid w:val="00350567"/>
    <w:rsid w:val="003521E8"/>
    <w:rsid w:val="00370CE3"/>
    <w:rsid w:val="003728F3"/>
    <w:rsid w:val="003735BC"/>
    <w:rsid w:val="0037496E"/>
    <w:rsid w:val="00383221"/>
    <w:rsid w:val="0038424F"/>
    <w:rsid w:val="00386150"/>
    <w:rsid w:val="003874CE"/>
    <w:rsid w:val="00390900"/>
    <w:rsid w:val="003A7F6C"/>
    <w:rsid w:val="003B4D60"/>
    <w:rsid w:val="003B7E39"/>
    <w:rsid w:val="003C58DC"/>
    <w:rsid w:val="003C7496"/>
    <w:rsid w:val="003D1E62"/>
    <w:rsid w:val="003E0B99"/>
    <w:rsid w:val="003E2486"/>
    <w:rsid w:val="003E3208"/>
    <w:rsid w:val="003F0B04"/>
    <w:rsid w:val="0040134E"/>
    <w:rsid w:val="004334C7"/>
    <w:rsid w:val="00440A2D"/>
    <w:rsid w:val="00441C3F"/>
    <w:rsid w:val="00444D1A"/>
    <w:rsid w:val="0045186A"/>
    <w:rsid w:val="004564A7"/>
    <w:rsid w:val="0045663A"/>
    <w:rsid w:val="00456765"/>
    <w:rsid w:val="004617BF"/>
    <w:rsid w:val="00463658"/>
    <w:rsid w:val="004637A0"/>
    <w:rsid w:val="004722CC"/>
    <w:rsid w:val="004722E0"/>
    <w:rsid w:val="00490483"/>
    <w:rsid w:val="004936E4"/>
    <w:rsid w:val="00494E60"/>
    <w:rsid w:val="00497487"/>
    <w:rsid w:val="004A237E"/>
    <w:rsid w:val="004A2771"/>
    <w:rsid w:val="004A6189"/>
    <w:rsid w:val="004A7390"/>
    <w:rsid w:val="004B7B76"/>
    <w:rsid w:val="004C239D"/>
    <w:rsid w:val="004C2DCA"/>
    <w:rsid w:val="004C61D2"/>
    <w:rsid w:val="004F0C4A"/>
    <w:rsid w:val="004F0F38"/>
    <w:rsid w:val="004F11D0"/>
    <w:rsid w:val="004F47D6"/>
    <w:rsid w:val="00500337"/>
    <w:rsid w:val="00501921"/>
    <w:rsid w:val="00530354"/>
    <w:rsid w:val="00534E69"/>
    <w:rsid w:val="0053625B"/>
    <w:rsid w:val="005434C6"/>
    <w:rsid w:val="00543B39"/>
    <w:rsid w:val="00546154"/>
    <w:rsid w:val="00550096"/>
    <w:rsid w:val="005512C2"/>
    <w:rsid w:val="00552CFD"/>
    <w:rsid w:val="00555280"/>
    <w:rsid w:val="00557FF9"/>
    <w:rsid w:val="005607D7"/>
    <w:rsid w:val="00562327"/>
    <w:rsid w:val="005711D5"/>
    <w:rsid w:val="00576378"/>
    <w:rsid w:val="00577130"/>
    <w:rsid w:val="00577945"/>
    <w:rsid w:val="00577E38"/>
    <w:rsid w:val="00585322"/>
    <w:rsid w:val="005857C6"/>
    <w:rsid w:val="00586493"/>
    <w:rsid w:val="00592F6E"/>
    <w:rsid w:val="00593AD1"/>
    <w:rsid w:val="005A68B6"/>
    <w:rsid w:val="005B6DB8"/>
    <w:rsid w:val="005C5570"/>
    <w:rsid w:val="005C79A4"/>
    <w:rsid w:val="005D1170"/>
    <w:rsid w:val="005D5442"/>
    <w:rsid w:val="00603F32"/>
    <w:rsid w:val="00605AD4"/>
    <w:rsid w:val="00606E8D"/>
    <w:rsid w:val="006136D7"/>
    <w:rsid w:val="00625A6E"/>
    <w:rsid w:val="00632398"/>
    <w:rsid w:val="0063318D"/>
    <w:rsid w:val="00640FC3"/>
    <w:rsid w:val="00642020"/>
    <w:rsid w:val="006430EE"/>
    <w:rsid w:val="0065337B"/>
    <w:rsid w:val="0065419D"/>
    <w:rsid w:val="006603BC"/>
    <w:rsid w:val="006604D8"/>
    <w:rsid w:val="0066247B"/>
    <w:rsid w:val="00664A5B"/>
    <w:rsid w:val="0066735C"/>
    <w:rsid w:val="006763D2"/>
    <w:rsid w:val="00680C08"/>
    <w:rsid w:val="00684554"/>
    <w:rsid w:val="006855F0"/>
    <w:rsid w:val="006916A0"/>
    <w:rsid w:val="006931B1"/>
    <w:rsid w:val="006A15C0"/>
    <w:rsid w:val="006A58A8"/>
    <w:rsid w:val="006B1F53"/>
    <w:rsid w:val="006C3E2A"/>
    <w:rsid w:val="006C642F"/>
    <w:rsid w:val="006D03E5"/>
    <w:rsid w:val="006D5D3E"/>
    <w:rsid w:val="006E08B3"/>
    <w:rsid w:val="006E0BF5"/>
    <w:rsid w:val="006F17AC"/>
    <w:rsid w:val="006F25B8"/>
    <w:rsid w:val="006F572E"/>
    <w:rsid w:val="006F5F72"/>
    <w:rsid w:val="006F6AF8"/>
    <w:rsid w:val="007046D6"/>
    <w:rsid w:val="00705DB0"/>
    <w:rsid w:val="00722B57"/>
    <w:rsid w:val="00730F8A"/>
    <w:rsid w:val="00735A8C"/>
    <w:rsid w:val="0074253D"/>
    <w:rsid w:val="007434E3"/>
    <w:rsid w:val="0074429B"/>
    <w:rsid w:val="007615BC"/>
    <w:rsid w:val="00762F05"/>
    <w:rsid w:val="007652FF"/>
    <w:rsid w:val="00770CAC"/>
    <w:rsid w:val="00770EF1"/>
    <w:rsid w:val="00773EF7"/>
    <w:rsid w:val="00774E1D"/>
    <w:rsid w:val="007765D8"/>
    <w:rsid w:val="0077675A"/>
    <w:rsid w:val="00780355"/>
    <w:rsid w:val="007819FD"/>
    <w:rsid w:val="00785717"/>
    <w:rsid w:val="00785721"/>
    <w:rsid w:val="00793A59"/>
    <w:rsid w:val="007A46F5"/>
    <w:rsid w:val="007A6505"/>
    <w:rsid w:val="007B60FA"/>
    <w:rsid w:val="007B6132"/>
    <w:rsid w:val="007B6E9F"/>
    <w:rsid w:val="007C1216"/>
    <w:rsid w:val="007C1AF7"/>
    <w:rsid w:val="007C6B9B"/>
    <w:rsid w:val="007E7A33"/>
    <w:rsid w:val="00805D27"/>
    <w:rsid w:val="00806DCB"/>
    <w:rsid w:val="0081258E"/>
    <w:rsid w:val="00821776"/>
    <w:rsid w:val="00823BFF"/>
    <w:rsid w:val="008245A4"/>
    <w:rsid w:val="008321F5"/>
    <w:rsid w:val="00832369"/>
    <w:rsid w:val="00834660"/>
    <w:rsid w:val="00836BC2"/>
    <w:rsid w:val="00845E97"/>
    <w:rsid w:val="0085156D"/>
    <w:rsid w:val="00852B28"/>
    <w:rsid w:val="0085641B"/>
    <w:rsid w:val="00857136"/>
    <w:rsid w:val="0087264A"/>
    <w:rsid w:val="0087267A"/>
    <w:rsid w:val="00875A6B"/>
    <w:rsid w:val="0088476D"/>
    <w:rsid w:val="00885B11"/>
    <w:rsid w:val="00886D15"/>
    <w:rsid w:val="00887DD8"/>
    <w:rsid w:val="00891BA9"/>
    <w:rsid w:val="00896018"/>
    <w:rsid w:val="008960DD"/>
    <w:rsid w:val="0089635C"/>
    <w:rsid w:val="008A2B9D"/>
    <w:rsid w:val="008A3D9F"/>
    <w:rsid w:val="008A5E0B"/>
    <w:rsid w:val="008A6D59"/>
    <w:rsid w:val="008B4B03"/>
    <w:rsid w:val="008B596F"/>
    <w:rsid w:val="008C159F"/>
    <w:rsid w:val="008C1623"/>
    <w:rsid w:val="008C1850"/>
    <w:rsid w:val="008C51A9"/>
    <w:rsid w:val="008E49B7"/>
    <w:rsid w:val="008E7846"/>
    <w:rsid w:val="008F02E5"/>
    <w:rsid w:val="008F1CCC"/>
    <w:rsid w:val="008F2967"/>
    <w:rsid w:val="008F6943"/>
    <w:rsid w:val="00902A21"/>
    <w:rsid w:val="00903789"/>
    <w:rsid w:val="0091523F"/>
    <w:rsid w:val="00920330"/>
    <w:rsid w:val="009219D7"/>
    <w:rsid w:val="00922D53"/>
    <w:rsid w:val="00923B70"/>
    <w:rsid w:val="00924482"/>
    <w:rsid w:val="00930237"/>
    <w:rsid w:val="00937C17"/>
    <w:rsid w:val="00940A89"/>
    <w:rsid w:val="00941F77"/>
    <w:rsid w:val="00946EA5"/>
    <w:rsid w:val="00960520"/>
    <w:rsid w:val="00963C08"/>
    <w:rsid w:val="009752A5"/>
    <w:rsid w:val="0098585A"/>
    <w:rsid w:val="009A4CED"/>
    <w:rsid w:val="009A690D"/>
    <w:rsid w:val="009B1D12"/>
    <w:rsid w:val="009B416B"/>
    <w:rsid w:val="009C324D"/>
    <w:rsid w:val="009C4BD5"/>
    <w:rsid w:val="009D7B77"/>
    <w:rsid w:val="009E0BB0"/>
    <w:rsid w:val="009E3FBB"/>
    <w:rsid w:val="009F7353"/>
    <w:rsid w:val="00A04F85"/>
    <w:rsid w:val="00A05FA4"/>
    <w:rsid w:val="00A102E4"/>
    <w:rsid w:val="00A1219C"/>
    <w:rsid w:val="00A12C42"/>
    <w:rsid w:val="00A14DF7"/>
    <w:rsid w:val="00A151B5"/>
    <w:rsid w:val="00A22D57"/>
    <w:rsid w:val="00A3246D"/>
    <w:rsid w:val="00A36FA7"/>
    <w:rsid w:val="00A44DDB"/>
    <w:rsid w:val="00A475B7"/>
    <w:rsid w:val="00A47AF7"/>
    <w:rsid w:val="00A47C3E"/>
    <w:rsid w:val="00A50226"/>
    <w:rsid w:val="00A60BAD"/>
    <w:rsid w:val="00A63A78"/>
    <w:rsid w:val="00A6450D"/>
    <w:rsid w:val="00A718A5"/>
    <w:rsid w:val="00A773D7"/>
    <w:rsid w:val="00A77F87"/>
    <w:rsid w:val="00A80B5B"/>
    <w:rsid w:val="00A84E36"/>
    <w:rsid w:val="00A964D1"/>
    <w:rsid w:val="00AA0ED0"/>
    <w:rsid w:val="00AC2B40"/>
    <w:rsid w:val="00AC2BB2"/>
    <w:rsid w:val="00AC2C3C"/>
    <w:rsid w:val="00AC512D"/>
    <w:rsid w:val="00AD0083"/>
    <w:rsid w:val="00AD3935"/>
    <w:rsid w:val="00AD4188"/>
    <w:rsid w:val="00AE65EB"/>
    <w:rsid w:val="00AE67A7"/>
    <w:rsid w:val="00AF1D94"/>
    <w:rsid w:val="00AF2C86"/>
    <w:rsid w:val="00AF60C5"/>
    <w:rsid w:val="00B009C6"/>
    <w:rsid w:val="00B01548"/>
    <w:rsid w:val="00B130C5"/>
    <w:rsid w:val="00B13EBD"/>
    <w:rsid w:val="00B21D29"/>
    <w:rsid w:val="00B25034"/>
    <w:rsid w:val="00B33588"/>
    <w:rsid w:val="00B33863"/>
    <w:rsid w:val="00B37D17"/>
    <w:rsid w:val="00B4175E"/>
    <w:rsid w:val="00B41C85"/>
    <w:rsid w:val="00B452CE"/>
    <w:rsid w:val="00B54C25"/>
    <w:rsid w:val="00B55389"/>
    <w:rsid w:val="00B76B91"/>
    <w:rsid w:val="00B77EB1"/>
    <w:rsid w:val="00B811C6"/>
    <w:rsid w:val="00B855B0"/>
    <w:rsid w:val="00B92E08"/>
    <w:rsid w:val="00BA1F9E"/>
    <w:rsid w:val="00BA4143"/>
    <w:rsid w:val="00BB4692"/>
    <w:rsid w:val="00BC622A"/>
    <w:rsid w:val="00BD4D9E"/>
    <w:rsid w:val="00BE0A78"/>
    <w:rsid w:val="00BE79F0"/>
    <w:rsid w:val="00BE7CB8"/>
    <w:rsid w:val="00BF046D"/>
    <w:rsid w:val="00BF1190"/>
    <w:rsid w:val="00BF3774"/>
    <w:rsid w:val="00BF5D04"/>
    <w:rsid w:val="00C009AA"/>
    <w:rsid w:val="00C1164D"/>
    <w:rsid w:val="00C1479B"/>
    <w:rsid w:val="00C16861"/>
    <w:rsid w:val="00C2731F"/>
    <w:rsid w:val="00C346AB"/>
    <w:rsid w:val="00C404A6"/>
    <w:rsid w:val="00C40A36"/>
    <w:rsid w:val="00C44419"/>
    <w:rsid w:val="00C45E7B"/>
    <w:rsid w:val="00C471B1"/>
    <w:rsid w:val="00C52E24"/>
    <w:rsid w:val="00C6316B"/>
    <w:rsid w:val="00C634A9"/>
    <w:rsid w:val="00C64586"/>
    <w:rsid w:val="00C70D53"/>
    <w:rsid w:val="00C73D0B"/>
    <w:rsid w:val="00C74383"/>
    <w:rsid w:val="00C74F5C"/>
    <w:rsid w:val="00C772FF"/>
    <w:rsid w:val="00C80137"/>
    <w:rsid w:val="00C801AF"/>
    <w:rsid w:val="00C80256"/>
    <w:rsid w:val="00C857C7"/>
    <w:rsid w:val="00C94CD4"/>
    <w:rsid w:val="00C9747E"/>
    <w:rsid w:val="00CB6BC0"/>
    <w:rsid w:val="00CC1B7C"/>
    <w:rsid w:val="00CC727F"/>
    <w:rsid w:val="00CD5417"/>
    <w:rsid w:val="00CF15C3"/>
    <w:rsid w:val="00CF2B6F"/>
    <w:rsid w:val="00CF2F3E"/>
    <w:rsid w:val="00CF58B6"/>
    <w:rsid w:val="00D0062D"/>
    <w:rsid w:val="00D017ED"/>
    <w:rsid w:val="00D040D3"/>
    <w:rsid w:val="00D04C65"/>
    <w:rsid w:val="00D153D8"/>
    <w:rsid w:val="00D201D2"/>
    <w:rsid w:val="00D224FE"/>
    <w:rsid w:val="00D23139"/>
    <w:rsid w:val="00D30A9B"/>
    <w:rsid w:val="00D425BB"/>
    <w:rsid w:val="00D453FA"/>
    <w:rsid w:val="00D6493E"/>
    <w:rsid w:val="00D7195D"/>
    <w:rsid w:val="00D7301E"/>
    <w:rsid w:val="00D83AE1"/>
    <w:rsid w:val="00D855D4"/>
    <w:rsid w:val="00D902C9"/>
    <w:rsid w:val="00D93466"/>
    <w:rsid w:val="00DA1124"/>
    <w:rsid w:val="00DA64CB"/>
    <w:rsid w:val="00DB06B8"/>
    <w:rsid w:val="00DB6124"/>
    <w:rsid w:val="00DB750B"/>
    <w:rsid w:val="00DB75B7"/>
    <w:rsid w:val="00DC0A2F"/>
    <w:rsid w:val="00DC1948"/>
    <w:rsid w:val="00DC6E02"/>
    <w:rsid w:val="00DD28CD"/>
    <w:rsid w:val="00DE02AE"/>
    <w:rsid w:val="00DE39D1"/>
    <w:rsid w:val="00DF1D7F"/>
    <w:rsid w:val="00DF4BE4"/>
    <w:rsid w:val="00E02382"/>
    <w:rsid w:val="00E02FB4"/>
    <w:rsid w:val="00E03585"/>
    <w:rsid w:val="00E13FC7"/>
    <w:rsid w:val="00E20571"/>
    <w:rsid w:val="00E235F7"/>
    <w:rsid w:val="00E23659"/>
    <w:rsid w:val="00E239D4"/>
    <w:rsid w:val="00E26130"/>
    <w:rsid w:val="00E26AAB"/>
    <w:rsid w:val="00E40B22"/>
    <w:rsid w:val="00E44ED1"/>
    <w:rsid w:val="00E45619"/>
    <w:rsid w:val="00E4588F"/>
    <w:rsid w:val="00E46DA3"/>
    <w:rsid w:val="00E46FD3"/>
    <w:rsid w:val="00E51BB1"/>
    <w:rsid w:val="00E55CB0"/>
    <w:rsid w:val="00E624A5"/>
    <w:rsid w:val="00E64BA4"/>
    <w:rsid w:val="00E711F6"/>
    <w:rsid w:val="00E7344E"/>
    <w:rsid w:val="00E82665"/>
    <w:rsid w:val="00EB0798"/>
    <w:rsid w:val="00EB40AD"/>
    <w:rsid w:val="00EB586E"/>
    <w:rsid w:val="00EB5FC8"/>
    <w:rsid w:val="00EB71DE"/>
    <w:rsid w:val="00EC463D"/>
    <w:rsid w:val="00EC7A85"/>
    <w:rsid w:val="00ED2922"/>
    <w:rsid w:val="00ED3CAD"/>
    <w:rsid w:val="00ED5A41"/>
    <w:rsid w:val="00EE1DE8"/>
    <w:rsid w:val="00EE27C2"/>
    <w:rsid w:val="00EF4BAD"/>
    <w:rsid w:val="00EF59DC"/>
    <w:rsid w:val="00F033EC"/>
    <w:rsid w:val="00F04F68"/>
    <w:rsid w:val="00F12670"/>
    <w:rsid w:val="00F14B27"/>
    <w:rsid w:val="00F3148D"/>
    <w:rsid w:val="00F325C5"/>
    <w:rsid w:val="00F32FE0"/>
    <w:rsid w:val="00F35298"/>
    <w:rsid w:val="00F47333"/>
    <w:rsid w:val="00F47E37"/>
    <w:rsid w:val="00F53C07"/>
    <w:rsid w:val="00F54B65"/>
    <w:rsid w:val="00F640B6"/>
    <w:rsid w:val="00F66DF2"/>
    <w:rsid w:val="00F80E40"/>
    <w:rsid w:val="00F848D9"/>
    <w:rsid w:val="00FA5069"/>
    <w:rsid w:val="00FA5B82"/>
    <w:rsid w:val="00FA639E"/>
    <w:rsid w:val="00FC1FCA"/>
    <w:rsid w:val="00FC25E4"/>
    <w:rsid w:val="00FC4EF7"/>
    <w:rsid w:val="00FD0824"/>
    <w:rsid w:val="00FD119B"/>
    <w:rsid w:val="00FD1EDC"/>
    <w:rsid w:val="00FE1DEE"/>
    <w:rsid w:val="00FF2126"/>
    <w:rsid w:val="00FF5755"/>
    <w:rsid w:val="00FF69BE"/>
    <w:rsid w:val="00FF7B93"/>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404DD2"/>
  <w15:docId w15:val="{CC23F446-DDE1-40D4-85F3-957B70CF3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0" w:defUnhideWhenUsed="0" w:defQFormat="0" w:count="371">
    <w:lsdException w:name="Normal" w:uiPriority="1" w:qFormat="1"/>
    <w:lsdException w:name="heading 1" w:uiPriority="0"/>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2"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823BFF"/>
    <w:pPr>
      <w:spacing w:before="120" w:after="120" w:line="240" w:lineRule="atLeast"/>
    </w:pPr>
    <w:rPr>
      <w:rFonts w:ascii="Cambria" w:eastAsia="Cambria" w:hAnsi="Cambria" w:cs="Times New Roman"/>
    </w:rPr>
  </w:style>
  <w:style w:type="paragraph" w:styleId="Heading1">
    <w:name w:val="heading 1"/>
    <w:basedOn w:val="Heading2"/>
    <w:next w:val="Normal"/>
    <w:link w:val="Heading1Char"/>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qFormat/>
    <w:rsid w:val="00EF59DC"/>
    <w:pPr>
      <w:keepNext/>
      <w:keepLines/>
      <w:spacing w:before="480" w:after="0" w:line="220" w:lineRule="atLeast"/>
      <w:outlineLvl w:val="2"/>
    </w:pPr>
    <w:rPr>
      <w:rFonts w:ascii="Arial" w:eastAsia="Times New Roman" w:hAnsi="Arial"/>
      <w:b/>
      <w:bCs/>
      <w:sz w:val="26"/>
      <w:szCs w:val="21"/>
    </w:rPr>
  </w:style>
  <w:style w:type="paragraph" w:styleId="Heading4">
    <w:name w:val="heading 4"/>
    <w:basedOn w:val="Normal"/>
    <w:next w:val="Normal"/>
    <w:link w:val="Heading4Char"/>
    <w:qFormat/>
    <w:rsid w:val="00AD0083"/>
    <w:pPr>
      <w:keepNext/>
      <w:spacing w:before="360" w:after="0" w:line="220" w:lineRule="atLeast"/>
      <w:outlineLvl w:val="3"/>
    </w:pPr>
    <w:rPr>
      <w:b/>
      <w:bCs/>
      <w:szCs w:val="21"/>
    </w:rPr>
  </w:style>
  <w:style w:type="paragraph" w:styleId="Heading5">
    <w:name w:val="heading 5"/>
    <w:basedOn w:val="Normal"/>
    <w:next w:val="Normal"/>
    <w:link w:val="Heading5Char"/>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
    <w:rsid w:val="00577130"/>
    <w:pPr>
      <w:keepNext/>
      <w:spacing w:line="220" w:lineRule="atLeast"/>
      <w:outlineLvl w:val="5"/>
    </w:pPr>
    <w:rPr>
      <w:rFonts w:eastAsia="Times New Roman"/>
      <w:bCs/>
      <w:i/>
      <w:szCs w:val="21"/>
    </w:rPr>
  </w:style>
  <w:style w:type="paragraph" w:styleId="Heading7">
    <w:name w:val="heading 7"/>
    <w:basedOn w:val="Normal"/>
    <w:next w:val="Normal"/>
    <w:link w:val="Heading7Char"/>
    <w:uiPriority w:val="9"/>
    <w:rsid w:val="00770CAC"/>
    <w:pPr>
      <w:keepNext/>
      <w:spacing w:after="60" w:line="180" w:lineRule="atLeast"/>
      <w:outlineLvl w:val="6"/>
    </w:pPr>
    <w:rPr>
      <w:rFonts w:eastAsia="Times New Roman"/>
      <w:b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rsid w:val="00AD3935"/>
    <w:rPr>
      <w:rFonts w:ascii="Arial" w:eastAsia="Times New Roman" w:hAnsi="Arial" w:cs="Times New Roman"/>
      <w:b/>
      <w:bCs/>
      <w:sz w:val="32"/>
      <w:szCs w:val="26"/>
    </w:rPr>
  </w:style>
  <w:style w:type="character" w:customStyle="1" w:styleId="Heading3Char">
    <w:name w:val="Heading 3 Char"/>
    <w:basedOn w:val="DefaultParagraphFont"/>
    <w:link w:val="Heading3"/>
    <w:rsid w:val="00EF59DC"/>
    <w:rPr>
      <w:rFonts w:ascii="Arial" w:eastAsia="Times New Roman" w:hAnsi="Arial" w:cs="Times New Roman"/>
      <w:b/>
      <w:bCs/>
      <w:sz w:val="26"/>
      <w:szCs w:val="21"/>
    </w:rPr>
  </w:style>
  <w:style w:type="paragraph" w:customStyle="1" w:styleId="Address">
    <w:name w:val="Address"/>
    <w:basedOn w:val="Normal"/>
    <w:rsid w:val="00E45619"/>
    <w:pPr>
      <w:spacing w:before="0" w:after="0" w:line="280" w:lineRule="atLeast"/>
      <w:jc w:val="center"/>
    </w:pPr>
  </w:style>
  <w:style w:type="paragraph" w:customStyle="1" w:styleId="AxisLabel">
    <w:name w:val="Axis Label"/>
    <w:basedOn w:val="Normal"/>
    <w:rsid w:val="00F3148D"/>
    <w:pPr>
      <w:spacing w:after="0" w:line="240" w:lineRule="auto"/>
    </w:pPr>
    <w:rPr>
      <w:rFonts w:ascii="Arial" w:hAnsi="Arial"/>
      <w:noProof/>
      <w:sz w:val="14"/>
      <w:lang w:eastAsia="en-AU"/>
    </w:rPr>
  </w:style>
  <w:style w:type="paragraph" w:customStyle="1" w:styleId="AxisTitle">
    <w:name w:val="Axis Title"/>
    <w:basedOn w:val="Normal"/>
    <w:rsid w:val="00F3148D"/>
    <w:pPr>
      <w:spacing w:after="0" w:line="240" w:lineRule="auto"/>
    </w:pPr>
    <w:rPr>
      <w:rFonts w:ascii="Arial" w:hAnsi="Arial"/>
      <w:sz w:val="16"/>
    </w:rPr>
  </w:style>
  <w:style w:type="paragraph" w:styleId="BalloonText">
    <w:name w:val="Balloon Text"/>
    <w:basedOn w:val="Normal"/>
    <w:link w:val="BalloonTextChar"/>
    <w:uiPriority w:val="99"/>
    <w:semiHidden/>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148D"/>
    <w:rPr>
      <w:rFonts w:ascii="Tahoma" w:hAnsi="Tahoma" w:cs="Tahoma"/>
      <w:sz w:val="16"/>
      <w:szCs w:val="16"/>
    </w:rPr>
  </w:style>
  <w:style w:type="paragraph" w:styleId="Caption">
    <w:name w:val="caption"/>
    <w:basedOn w:val="Normal"/>
    <w:next w:val="Normal"/>
    <w:uiPriority w:val="35"/>
    <w:rsid w:val="003D1E62"/>
    <w:pPr>
      <w:spacing w:before="0"/>
    </w:pPr>
    <w:rPr>
      <w:sz w:val="19"/>
      <w:szCs w:val="18"/>
    </w:rPr>
  </w:style>
  <w:style w:type="paragraph" w:customStyle="1" w:styleId="Contents">
    <w:name w:val="Contents"/>
    <w:basedOn w:val="Normal"/>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rsid w:val="003D1E62"/>
    <w:pPr>
      <w:spacing w:after="0"/>
    </w:pPr>
    <w:rPr>
      <w:sz w:val="19"/>
    </w:rPr>
  </w:style>
  <w:style w:type="paragraph" w:customStyle="1" w:styleId="FigureTitle">
    <w:name w:val="Figure Title"/>
    <w:basedOn w:val="Normal"/>
    <w:rsid w:val="001B5C90"/>
    <w:pPr>
      <w:keepNext/>
      <w:spacing w:line="220" w:lineRule="atLeast"/>
    </w:pPr>
    <w:rPr>
      <w:b/>
    </w:rPr>
  </w:style>
  <w:style w:type="character" w:customStyle="1" w:styleId="Heading4Char">
    <w:name w:val="Heading 4 Char"/>
    <w:basedOn w:val="DefaultParagraphFont"/>
    <w:link w:val="Heading4"/>
    <w:rsid w:val="00AD3935"/>
    <w:rPr>
      <w:rFonts w:ascii="Cambria" w:eastAsia="Cambria" w:hAnsi="Cambria" w:cs="Times New Roman"/>
      <w:b/>
      <w:bCs/>
      <w:szCs w:val="21"/>
    </w:rPr>
  </w:style>
  <w:style w:type="character" w:styleId="FollowedHyperlink">
    <w:name w:val="FollowedHyperlink"/>
    <w:basedOn w:val="DefaultParagraphFont"/>
    <w:uiPriority w:val="99"/>
    <w:semiHidden/>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rsid w:val="00F3148D"/>
    <w:pPr>
      <w:pBdr>
        <w:bottom w:val="none" w:sz="0" w:space="0" w:color="auto"/>
      </w:pBdr>
      <w:jc w:val="left"/>
    </w:pPr>
  </w:style>
  <w:style w:type="character" w:customStyle="1" w:styleId="Heading5Char">
    <w:name w:val="Heading 5 Char"/>
    <w:basedOn w:val="DefaultParagraphFont"/>
    <w:link w:val="Heading5"/>
    <w:rsid w:val="00AD3935"/>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
    <w:rsid w:val="00577130"/>
    <w:rPr>
      <w:rFonts w:ascii="Cambria" w:eastAsia="Times New Roman" w:hAnsi="Cambria" w:cs="Times New Roman"/>
      <w:bCs/>
      <w:i/>
      <w:szCs w:val="21"/>
    </w:rPr>
  </w:style>
  <w:style w:type="character" w:customStyle="1" w:styleId="Heading7Char">
    <w:name w:val="Heading 7 Char"/>
    <w:basedOn w:val="DefaultParagraphFont"/>
    <w:link w:val="Heading7"/>
    <w:uiPriority w:val="9"/>
    <w:rsid w:val="00770CAC"/>
    <w:rPr>
      <w:rFonts w:ascii="Cambria" w:eastAsia="Times New Roman" w:hAnsi="Cambria" w:cs="Times New Roman"/>
      <w:bCs/>
      <w:sz w:val="20"/>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rsid w:val="00F3148D"/>
    <w:rPr>
      <w:sz w:val="14"/>
    </w:rPr>
  </w:style>
  <w:style w:type="paragraph" w:customStyle="1" w:styleId="LegalCopy">
    <w:name w:val="Legal Copy"/>
    <w:basedOn w:val="Footer"/>
    <w:rsid w:val="00F3148D"/>
  </w:style>
  <w:style w:type="paragraph" w:customStyle="1" w:styleId="LegalSubheading">
    <w:name w:val="Legal Subheading"/>
    <w:basedOn w:val="Footer"/>
    <w:rsid w:val="00C74F5C"/>
    <w:pPr>
      <w:outlineLvl w:val="1"/>
    </w:pPr>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2"/>
    <w:qFormat/>
    <w:rsid w:val="004C2DCA"/>
    <w:pPr>
      <w:numPr>
        <w:numId w:val="21"/>
      </w:numPr>
    </w:pPr>
  </w:style>
  <w:style w:type="paragraph" w:styleId="ListBullet2">
    <w:name w:val="List Bullet 2"/>
    <w:basedOn w:val="Normal"/>
    <w:uiPriority w:val="2"/>
    <w:qFormat/>
    <w:rsid w:val="004C2DCA"/>
    <w:pPr>
      <w:numPr>
        <w:ilvl w:val="1"/>
        <w:numId w:val="21"/>
      </w:numPr>
    </w:pPr>
  </w:style>
  <w:style w:type="paragraph" w:styleId="ListBullet3">
    <w:name w:val="List Bullet 3"/>
    <w:basedOn w:val="Normal"/>
    <w:uiPriority w:val="2"/>
    <w:qFormat/>
    <w:rsid w:val="004C2DCA"/>
    <w:pPr>
      <w:numPr>
        <w:ilvl w:val="2"/>
        <w:numId w:val="21"/>
      </w:numPr>
    </w:pPr>
  </w:style>
  <w:style w:type="numbering" w:customStyle="1" w:styleId="ListBullets">
    <w:name w:val="ListBullets"/>
    <w:uiPriority w:val="99"/>
    <w:locked/>
    <w:rsid w:val="00F3148D"/>
    <w:pPr>
      <w:numPr>
        <w:numId w:val="3"/>
      </w:numPr>
    </w:pPr>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rsid w:val="00C74F5C"/>
    <w:pPr>
      <w:spacing w:before="240"/>
      <w:outlineLvl w:val="1"/>
    </w:pPr>
    <w:rPr>
      <w:rFonts w:ascii="Arial" w:hAnsi="Arial"/>
      <w:b/>
      <w:sz w:val="32"/>
    </w:rPr>
  </w:style>
  <w:style w:type="paragraph" w:customStyle="1" w:styleId="Notes">
    <w:name w:val="Notes"/>
    <w:basedOn w:val="Normal"/>
    <w:locked/>
    <w:rsid w:val="00F3148D"/>
    <w:pPr>
      <w:spacing w:after="0" w:line="240" w:lineRule="auto"/>
    </w:pPr>
    <w:rPr>
      <w:rFonts w:ascii="Arial" w:hAnsi="Arial"/>
      <w:sz w:val="16"/>
    </w:rPr>
  </w:style>
  <w:style w:type="paragraph" w:customStyle="1" w:styleId="Numberbullet0">
    <w:name w:val="Number bullet"/>
    <w:basedOn w:val="ListBullet"/>
    <w:uiPriority w:val="2"/>
    <w:qFormat/>
    <w:rsid w:val="004C2DCA"/>
    <w:pPr>
      <w:numPr>
        <w:numId w:val="24"/>
      </w:numPr>
    </w:pPr>
  </w:style>
  <w:style w:type="paragraph" w:customStyle="1" w:styleId="Numberbullet2">
    <w:name w:val="Number bullet 2"/>
    <w:basedOn w:val="ListBullet2"/>
    <w:uiPriority w:val="2"/>
    <w:qFormat/>
    <w:rsid w:val="004C2DCA"/>
    <w:pPr>
      <w:numPr>
        <w:numId w:val="24"/>
      </w:numPr>
    </w:pPr>
  </w:style>
  <w:style w:type="paragraph" w:customStyle="1" w:styleId="Numberbullet3">
    <w:name w:val="Number bullet 3"/>
    <w:basedOn w:val="ListBullet3"/>
    <w:uiPriority w:val="2"/>
    <w:qFormat/>
    <w:rsid w:val="004C2DCA"/>
    <w:pPr>
      <w:numPr>
        <w:numId w:val="24"/>
      </w:numPr>
    </w:pPr>
  </w:style>
  <w:style w:type="numbering" w:customStyle="1" w:styleId="NumberBullet">
    <w:name w:val="NumberBullet"/>
    <w:uiPriority w:val="99"/>
    <w:locked/>
    <w:rsid w:val="00F3148D"/>
    <w:pPr>
      <w:numPr>
        <w:numId w:val="8"/>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rsid w:val="005512C2"/>
    <w:pPr>
      <w:framePr w:hSpace="180" w:wrap="around" w:vAnchor="page" w:hAnchor="text" w:y="3316"/>
      <w:numPr>
        <w:ilvl w:val="1"/>
      </w:numPr>
      <w:spacing w:after="360"/>
      <w:ind w:left="170"/>
    </w:pPr>
    <w:rPr>
      <w:rFonts w:ascii="Arial" w:eastAsia="Times New Roman" w:hAnsi="Arial"/>
      <w:bCs/>
      <w:iCs/>
      <w:color w:val="FFFFFF" w:themeColor="background1"/>
      <w:sz w:val="40"/>
      <w:szCs w:val="24"/>
    </w:rPr>
  </w:style>
  <w:style w:type="character" w:customStyle="1" w:styleId="SubtitleChar">
    <w:name w:val="Subtitle Char"/>
    <w:basedOn w:val="DefaultParagraphFont"/>
    <w:link w:val="Subtitle"/>
    <w:uiPriority w:val="11"/>
    <w:rsid w:val="005512C2"/>
    <w:rPr>
      <w:rFonts w:ascii="Arial" w:eastAsia="Times New Roman" w:hAnsi="Arial" w:cs="Times New Roman"/>
      <w:bCs/>
      <w:iCs/>
      <w:color w:val="FFFFFF" w:themeColor="background1"/>
      <w:sz w:val="40"/>
      <w:szCs w:val="24"/>
    </w:rPr>
  </w:style>
  <w:style w:type="paragraph" w:customStyle="1" w:styleId="TableDescription">
    <w:name w:val="Table Description"/>
    <w:basedOn w:val="FigureDescription"/>
    <w:rsid w:val="00500337"/>
    <w:pPr>
      <w:spacing w:line="240" w:lineRule="auto"/>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rsid w:val="00F3148D"/>
    <w:rPr>
      <w:sz w:val="19"/>
    </w:rPr>
  </w:style>
  <w:style w:type="table" w:customStyle="1" w:styleId="TableTGAblue">
    <w:name w:val="Table TGA blue"/>
    <w:basedOn w:val="TableNormal"/>
    <w:uiPriority w:val="99"/>
    <w:qFormat/>
    <w:rsid w:val="00FD119B"/>
    <w:pPr>
      <w:spacing w:after="0" w:line="240" w:lineRule="auto"/>
      <w:ind w:left="170" w:right="170"/>
    </w:pPr>
    <w:rPr>
      <w:rFonts w:ascii="Cambria" w:hAnsi="Cambria" w:cs="Times New Roman"/>
      <w:color w:val="000000" w:themeColor="text1"/>
      <w:szCs w:val="21"/>
      <w:lang w:eastAsia="en-AU"/>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auto"/>
    </w:tcPr>
    <w:tblStylePr w:type="firstRow">
      <w:pPr>
        <w:keepNext/>
        <w:wordWrap/>
      </w:pPr>
      <w:rPr>
        <w:rFonts w:ascii="Cambria" w:hAnsi="Cambria"/>
        <w:b/>
        <w:color w:val="FFFFFF" w:themeColor="background1"/>
        <w:sz w:val="22"/>
      </w:rPr>
      <w:tblPr/>
      <w:trPr>
        <w:tblHeader/>
      </w:tr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rsid w:val="002E40B3"/>
    <w:pPr>
      <w:keepNext/>
    </w:pPr>
    <w:rPr>
      <w:b/>
    </w:rPr>
  </w:style>
  <w:style w:type="paragraph" w:customStyle="1" w:styleId="TGASignoff">
    <w:name w:val="TGA Signoff"/>
    <w:basedOn w:val="Normal"/>
    <w:rsid w:val="00F3148D"/>
    <w:pPr>
      <w:jc w:val="center"/>
    </w:pPr>
    <w:rPr>
      <w:rFonts w:ascii="Arial" w:hAnsi="Arial"/>
      <w:b/>
      <w:sz w:val="28"/>
    </w:rPr>
  </w:style>
  <w:style w:type="paragraph" w:styleId="Title">
    <w:name w:val="Title"/>
    <w:next w:val="Normal"/>
    <w:link w:val="TitleChar"/>
    <w:uiPriority w:val="10"/>
    <w:rsid w:val="005512C2"/>
    <w:pPr>
      <w:framePr w:hSpace="180" w:wrap="around" w:vAnchor="page" w:hAnchor="text" w:y="3316"/>
      <w:spacing w:after="480" w:line="240" w:lineRule="auto"/>
      <w:contextualSpacing/>
      <w:outlineLvl w:val="0"/>
    </w:pPr>
    <w:rPr>
      <w:rFonts w:ascii="Arial" w:eastAsia="Times New Roman" w:hAnsi="Arial" w:cs="Times New Roman"/>
      <w:color w:val="FFFFFF" w:themeColor="background1"/>
      <w:spacing w:val="5"/>
      <w:kern w:val="28"/>
      <w:sz w:val="52"/>
      <w:szCs w:val="52"/>
    </w:rPr>
  </w:style>
  <w:style w:type="character" w:customStyle="1" w:styleId="TitleChar">
    <w:name w:val="Title Char"/>
    <w:basedOn w:val="DefaultParagraphFont"/>
    <w:link w:val="Title"/>
    <w:uiPriority w:val="10"/>
    <w:rsid w:val="005512C2"/>
    <w:rPr>
      <w:rFonts w:ascii="Arial" w:eastAsia="Times New Roman" w:hAnsi="Arial" w:cs="Times New Roman"/>
      <w:color w:val="FFFFFF" w:themeColor="background1"/>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39"/>
    <w:semiHidden/>
    <w:unhideWhenUsed/>
    <w:qFormat/>
    <w:rsid w:val="00F3148D"/>
    <w:pPr>
      <w:framePr w:wrap="around" w:hAnchor="text"/>
      <w:spacing w:before="480" w:after="0" w:line="276" w:lineRule="auto"/>
      <w:outlineLvl w:val="9"/>
    </w:pPr>
    <w:rPr>
      <w:rFonts w:cstheme="minorBidi"/>
      <w:color w:val="002035"/>
      <w:sz w:val="28"/>
      <w:lang w:val="en-US"/>
    </w:rPr>
  </w:style>
  <w:style w:type="paragraph" w:styleId="FootnoteText">
    <w:name w:val="footnote text"/>
    <w:basedOn w:val="Normal"/>
    <w:link w:val="FootnoteTextChar"/>
    <w:unhideWhenUsed/>
    <w:rsid w:val="001B5C90"/>
    <w:pPr>
      <w:spacing w:before="0" w:after="0" w:line="240" w:lineRule="auto"/>
    </w:pPr>
    <w:rPr>
      <w:sz w:val="18"/>
      <w:szCs w:val="20"/>
    </w:rPr>
  </w:style>
  <w:style w:type="character" w:customStyle="1" w:styleId="FootnoteTextChar">
    <w:name w:val="Footnote Text Char"/>
    <w:basedOn w:val="DefaultParagraphFont"/>
    <w:link w:val="FootnoteText"/>
    <w:rsid w:val="001B5C90"/>
    <w:rPr>
      <w:rFonts w:ascii="Cambria" w:eastAsia="Cambria" w:hAnsi="Cambria" w:cs="Times New Roman"/>
      <w:sz w:val="18"/>
      <w:szCs w:val="20"/>
    </w:rPr>
  </w:style>
  <w:style w:type="character" w:styleId="FootnoteReference">
    <w:name w:val="footnote reference"/>
    <w:basedOn w:val="DefaultParagraphFont"/>
    <w:uiPriority w:val="99"/>
    <w:unhideWhenUsed/>
    <w:rsid w:val="001B5C90"/>
    <w:rPr>
      <w:vertAlign w:val="superscript"/>
    </w:rPr>
  </w:style>
  <w:style w:type="paragraph" w:customStyle="1" w:styleId="Quotation">
    <w:name w:val="Quotation"/>
    <w:basedOn w:val="Normal"/>
    <w:next w:val="Normal"/>
    <w:uiPriority w:val="4"/>
    <w:qFormat/>
    <w:rsid w:val="00E13FC7"/>
    <w:pPr>
      <w:spacing w:after="180"/>
      <w:ind w:left="425"/>
    </w:pPr>
    <w:rPr>
      <w:rFonts w:eastAsiaTheme="minorEastAsia" w:cstheme="minorBidi"/>
      <w:sz w:val="20"/>
      <w:lang w:eastAsia="zh-TW"/>
    </w:rPr>
  </w:style>
  <w:style w:type="paragraph" w:customStyle="1" w:styleId="Comment">
    <w:name w:val="Comment"/>
    <w:basedOn w:val="Normal"/>
    <w:next w:val="Normal"/>
    <w:uiPriority w:val="1"/>
    <w:qFormat/>
    <w:rsid w:val="00DD28CD"/>
    <w:pPr>
      <w:ind w:left="992" w:hanging="992"/>
    </w:pPr>
  </w:style>
  <w:style w:type="paragraph" w:styleId="EndnoteText">
    <w:name w:val="endnote text"/>
    <w:basedOn w:val="Normal"/>
    <w:link w:val="EndnoteTextChar"/>
    <w:uiPriority w:val="99"/>
    <w:semiHidden/>
    <w:unhideWhenUsed/>
    <w:rsid w:val="000E6196"/>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0E6196"/>
    <w:rPr>
      <w:rFonts w:ascii="Cambria" w:eastAsia="Cambria" w:hAnsi="Cambria" w:cs="Times New Roman"/>
      <w:sz w:val="20"/>
      <w:szCs w:val="20"/>
    </w:rPr>
  </w:style>
  <w:style w:type="character" w:styleId="EndnoteReference">
    <w:name w:val="endnote reference"/>
    <w:basedOn w:val="DefaultParagraphFont"/>
    <w:uiPriority w:val="99"/>
    <w:semiHidden/>
    <w:unhideWhenUsed/>
    <w:rsid w:val="000E6196"/>
    <w:rPr>
      <w:vertAlign w:val="superscript"/>
    </w:rPr>
  </w:style>
  <w:style w:type="character" w:styleId="CommentReference">
    <w:name w:val="annotation reference"/>
    <w:basedOn w:val="DefaultParagraphFont"/>
    <w:uiPriority w:val="99"/>
    <w:semiHidden/>
    <w:unhideWhenUsed/>
    <w:rsid w:val="00EC463D"/>
    <w:rPr>
      <w:sz w:val="16"/>
      <w:szCs w:val="16"/>
    </w:rPr>
  </w:style>
  <w:style w:type="paragraph" w:styleId="CommentText">
    <w:name w:val="annotation text"/>
    <w:basedOn w:val="Normal"/>
    <w:link w:val="CommentTextChar"/>
    <w:uiPriority w:val="99"/>
    <w:semiHidden/>
    <w:unhideWhenUsed/>
    <w:rsid w:val="00EC463D"/>
    <w:pPr>
      <w:spacing w:line="240" w:lineRule="auto"/>
    </w:pPr>
    <w:rPr>
      <w:sz w:val="20"/>
      <w:szCs w:val="20"/>
    </w:rPr>
  </w:style>
  <w:style w:type="character" w:customStyle="1" w:styleId="CommentTextChar">
    <w:name w:val="Comment Text Char"/>
    <w:basedOn w:val="DefaultParagraphFont"/>
    <w:link w:val="CommentText"/>
    <w:uiPriority w:val="99"/>
    <w:semiHidden/>
    <w:rsid w:val="00EC463D"/>
    <w:rPr>
      <w:rFonts w:ascii="Cambria" w:eastAsia="Cambria" w:hAnsi="Cambria" w:cs="Times New Roman"/>
      <w:sz w:val="20"/>
      <w:szCs w:val="20"/>
    </w:rPr>
  </w:style>
  <w:style w:type="paragraph" w:styleId="CommentSubject">
    <w:name w:val="annotation subject"/>
    <w:basedOn w:val="CommentText"/>
    <w:next w:val="CommentText"/>
    <w:link w:val="CommentSubjectChar"/>
    <w:uiPriority w:val="99"/>
    <w:semiHidden/>
    <w:unhideWhenUsed/>
    <w:rsid w:val="00EC463D"/>
    <w:rPr>
      <w:b/>
      <w:bCs/>
    </w:rPr>
  </w:style>
  <w:style w:type="character" w:customStyle="1" w:styleId="CommentSubjectChar">
    <w:name w:val="Comment Subject Char"/>
    <w:basedOn w:val="CommentTextChar"/>
    <w:link w:val="CommentSubject"/>
    <w:uiPriority w:val="99"/>
    <w:semiHidden/>
    <w:rsid w:val="00EC463D"/>
    <w:rPr>
      <w:rFonts w:ascii="Cambria" w:eastAsia="Cambria" w:hAnsi="Cambria" w:cs="Times New Roman"/>
      <w:b/>
      <w:bCs/>
      <w:sz w:val="20"/>
      <w:szCs w:val="20"/>
    </w:rPr>
  </w:style>
  <w:style w:type="paragraph" w:styleId="Revision">
    <w:name w:val="Revision"/>
    <w:hidden/>
    <w:uiPriority w:val="99"/>
    <w:semiHidden/>
    <w:rsid w:val="003442FD"/>
    <w:pPr>
      <w:spacing w:after="0" w:line="240" w:lineRule="auto"/>
    </w:pPr>
    <w:rPr>
      <w:rFonts w:ascii="Cambria" w:eastAsia="Cambria" w:hAnsi="Cambria" w:cs="Times New Roman"/>
    </w:rPr>
  </w:style>
  <w:style w:type="paragraph" w:customStyle="1" w:styleId="Instructions">
    <w:name w:val="Instructions"/>
    <w:basedOn w:val="Normal"/>
    <w:next w:val="Normal"/>
    <w:uiPriority w:val="1"/>
    <w:qFormat/>
    <w:rsid w:val="00EE27C2"/>
    <w:rPr>
      <w:i/>
      <w:color w:val="007099"/>
    </w:rPr>
  </w:style>
  <w:style w:type="paragraph" w:styleId="ListParagraph">
    <w:name w:val="List Paragraph"/>
    <w:basedOn w:val="Normal"/>
    <w:uiPriority w:val="34"/>
    <w:rsid w:val="00C857C7"/>
    <w:pPr>
      <w:adjustRightInd w:val="0"/>
      <w:snapToGrid w:val="0"/>
      <w:spacing w:before="180" w:after="180"/>
      <w:ind w:left="720"/>
      <w:contextualSpacing/>
    </w:pPr>
    <w:rPr>
      <w:rFonts w:eastAsia="MS Mincho"/>
      <w:szCs w:val="20"/>
      <w:lang w:eastAsia="ja-JP"/>
    </w:rPr>
  </w:style>
  <w:style w:type="paragraph" w:customStyle="1" w:styleId="Default">
    <w:name w:val="Default"/>
    <w:rsid w:val="00C857C7"/>
    <w:pPr>
      <w:autoSpaceDE w:val="0"/>
      <w:autoSpaceDN w:val="0"/>
      <w:adjustRightInd w:val="0"/>
      <w:spacing w:after="0" w:line="240" w:lineRule="auto"/>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242193">
      <w:bodyDiv w:val="1"/>
      <w:marLeft w:val="0"/>
      <w:marRight w:val="0"/>
      <w:marTop w:val="0"/>
      <w:marBottom w:val="0"/>
      <w:divBdr>
        <w:top w:val="none" w:sz="0" w:space="0" w:color="auto"/>
        <w:left w:val="none" w:sz="0" w:space="0" w:color="auto"/>
        <w:bottom w:val="none" w:sz="0" w:space="0" w:color="auto"/>
        <w:right w:val="none" w:sz="0" w:space="0" w:color="auto"/>
      </w:divBdr>
    </w:div>
    <w:div w:id="95947503">
      <w:bodyDiv w:val="1"/>
      <w:marLeft w:val="0"/>
      <w:marRight w:val="0"/>
      <w:marTop w:val="0"/>
      <w:marBottom w:val="0"/>
      <w:divBdr>
        <w:top w:val="none" w:sz="0" w:space="0" w:color="auto"/>
        <w:left w:val="none" w:sz="0" w:space="0" w:color="auto"/>
        <w:bottom w:val="none" w:sz="0" w:space="0" w:color="auto"/>
        <w:right w:val="none" w:sz="0" w:space="0" w:color="auto"/>
      </w:divBdr>
    </w:div>
    <w:div w:id="256180473">
      <w:bodyDiv w:val="1"/>
      <w:marLeft w:val="0"/>
      <w:marRight w:val="0"/>
      <w:marTop w:val="0"/>
      <w:marBottom w:val="0"/>
      <w:divBdr>
        <w:top w:val="none" w:sz="0" w:space="0" w:color="auto"/>
        <w:left w:val="none" w:sz="0" w:space="0" w:color="auto"/>
        <w:bottom w:val="none" w:sz="0" w:space="0" w:color="auto"/>
        <w:right w:val="none" w:sz="0" w:space="0" w:color="auto"/>
      </w:divBdr>
    </w:div>
    <w:div w:id="422799453">
      <w:bodyDiv w:val="1"/>
      <w:marLeft w:val="0"/>
      <w:marRight w:val="0"/>
      <w:marTop w:val="0"/>
      <w:marBottom w:val="0"/>
      <w:divBdr>
        <w:top w:val="none" w:sz="0" w:space="0" w:color="auto"/>
        <w:left w:val="none" w:sz="0" w:space="0" w:color="auto"/>
        <w:bottom w:val="none" w:sz="0" w:space="0" w:color="auto"/>
        <w:right w:val="none" w:sz="0" w:space="0" w:color="auto"/>
      </w:divBdr>
    </w:div>
    <w:div w:id="468206147">
      <w:bodyDiv w:val="1"/>
      <w:marLeft w:val="0"/>
      <w:marRight w:val="0"/>
      <w:marTop w:val="0"/>
      <w:marBottom w:val="0"/>
      <w:divBdr>
        <w:top w:val="none" w:sz="0" w:space="0" w:color="auto"/>
        <w:left w:val="none" w:sz="0" w:space="0" w:color="auto"/>
        <w:bottom w:val="none" w:sz="0" w:space="0" w:color="auto"/>
        <w:right w:val="none" w:sz="0" w:space="0" w:color="auto"/>
      </w:divBdr>
    </w:div>
    <w:div w:id="468521587">
      <w:bodyDiv w:val="1"/>
      <w:marLeft w:val="0"/>
      <w:marRight w:val="0"/>
      <w:marTop w:val="0"/>
      <w:marBottom w:val="0"/>
      <w:divBdr>
        <w:top w:val="none" w:sz="0" w:space="0" w:color="auto"/>
        <w:left w:val="none" w:sz="0" w:space="0" w:color="auto"/>
        <w:bottom w:val="none" w:sz="0" w:space="0" w:color="auto"/>
        <w:right w:val="none" w:sz="0" w:space="0" w:color="auto"/>
      </w:divBdr>
    </w:div>
    <w:div w:id="617373863">
      <w:bodyDiv w:val="1"/>
      <w:marLeft w:val="0"/>
      <w:marRight w:val="0"/>
      <w:marTop w:val="0"/>
      <w:marBottom w:val="0"/>
      <w:divBdr>
        <w:top w:val="none" w:sz="0" w:space="0" w:color="auto"/>
        <w:left w:val="none" w:sz="0" w:space="0" w:color="auto"/>
        <w:bottom w:val="none" w:sz="0" w:space="0" w:color="auto"/>
        <w:right w:val="none" w:sz="0" w:space="0" w:color="auto"/>
      </w:divBdr>
    </w:div>
    <w:div w:id="638875886">
      <w:bodyDiv w:val="1"/>
      <w:marLeft w:val="0"/>
      <w:marRight w:val="0"/>
      <w:marTop w:val="0"/>
      <w:marBottom w:val="0"/>
      <w:divBdr>
        <w:top w:val="none" w:sz="0" w:space="0" w:color="auto"/>
        <w:left w:val="none" w:sz="0" w:space="0" w:color="auto"/>
        <w:bottom w:val="none" w:sz="0" w:space="0" w:color="auto"/>
        <w:right w:val="none" w:sz="0" w:space="0" w:color="auto"/>
      </w:divBdr>
    </w:div>
    <w:div w:id="644555710">
      <w:bodyDiv w:val="1"/>
      <w:marLeft w:val="0"/>
      <w:marRight w:val="0"/>
      <w:marTop w:val="0"/>
      <w:marBottom w:val="0"/>
      <w:divBdr>
        <w:top w:val="none" w:sz="0" w:space="0" w:color="auto"/>
        <w:left w:val="none" w:sz="0" w:space="0" w:color="auto"/>
        <w:bottom w:val="none" w:sz="0" w:space="0" w:color="auto"/>
        <w:right w:val="none" w:sz="0" w:space="0" w:color="auto"/>
      </w:divBdr>
    </w:div>
    <w:div w:id="686718303">
      <w:bodyDiv w:val="1"/>
      <w:marLeft w:val="0"/>
      <w:marRight w:val="0"/>
      <w:marTop w:val="0"/>
      <w:marBottom w:val="0"/>
      <w:divBdr>
        <w:top w:val="none" w:sz="0" w:space="0" w:color="auto"/>
        <w:left w:val="none" w:sz="0" w:space="0" w:color="auto"/>
        <w:bottom w:val="none" w:sz="0" w:space="0" w:color="auto"/>
        <w:right w:val="none" w:sz="0" w:space="0" w:color="auto"/>
      </w:divBdr>
    </w:div>
    <w:div w:id="703674907">
      <w:bodyDiv w:val="1"/>
      <w:marLeft w:val="0"/>
      <w:marRight w:val="0"/>
      <w:marTop w:val="0"/>
      <w:marBottom w:val="0"/>
      <w:divBdr>
        <w:top w:val="none" w:sz="0" w:space="0" w:color="auto"/>
        <w:left w:val="none" w:sz="0" w:space="0" w:color="auto"/>
        <w:bottom w:val="none" w:sz="0" w:space="0" w:color="auto"/>
        <w:right w:val="none" w:sz="0" w:space="0" w:color="auto"/>
      </w:divBdr>
    </w:div>
    <w:div w:id="849871519">
      <w:bodyDiv w:val="1"/>
      <w:marLeft w:val="0"/>
      <w:marRight w:val="0"/>
      <w:marTop w:val="0"/>
      <w:marBottom w:val="0"/>
      <w:divBdr>
        <w:top w:val="none" w:sz="0" w:space="0" w:color="auto"/>
        <w:left w:val="none" w:sz="0" w:space="0" w:color="auto"/>
        <w:bottom w:val="none" w:sz="0" w:space="0" w:color="auto"/>
        <w:right w:val="none" w:sz="0" w:space="0" w:color="auto"/>
      </w:divBdr>
    </w:div>
    <w:div w:id="869685323">
      <w:bodyDiv w:val="1"/>
      <w:marLeft w:val="0"/>
      <w:marRight w:val="0"/>
      <w:marTop w:val="0"/>
      <w:marBottom w:val="0"/>
      <w:divBdr>
        <w:top w:val="none" w:sz="0" w:space="0" w:color="auto"/>
        <w:left w:val="none" w:sz="0" w:space="0" w:color="auto"/>
        <w:bottom w:val="none" w:sz="0" w:space="0" w:color="auto"/>
        <w:right w:val="none" w:sz="0" w:space="0" w:color="auto"/>
      </w:divBdr>
    </w:div>
    <w:div w:id="948203901">
      <w:bodyDiv w:val="1"/>
      <w:marLeft w:val="0"/>
      <w:marRight w:val="0"/>
      <w:marTop w:val="0"/>
      <w:marBottom w:val="0"/>
      <w:divBdr>
        <w:top w:val="none" w:sz="0" w:space="0" w:color="auto"/>
        <w:left w:val="none" w:sz="0" w:space="0" w:color="auto"/>
        <w:bottom w:val="none" w:sz="0" w:space="0" w:color="auto"/>
        <w:right w:val="none" w:sz="0" w:space="0" w:color="auto"/>
      </w:divBdr>
    </w:div>
    <w:div w:id="992295697">
      <w:bodyDiv w:val="1"/>
      <w:marLeft w:val="0"/>
      <w:marRight w:val="0"/>
      <w:marTop w:val="0"/>
      <w:marBottom w:val="0"/>
      <w:divBdr>
        <w:top w:val="none" w:sz="0" w:space="0" w:color="auto"/>
        <w:left w:val="none" w:sz="0" w:space="0" w:color="auto"/>
        <w:bottom w:val="none" w:sz="0" w:space="0" w:color="auto"/>
        <w:right w:val="none" w:sz="0" w:space="0" w:color="auto"/>
      </w:divBdr>
    </w:div>
    <w:div w:id="1079404984">
      <w:bodyDiv w:val="1"/>
      <w:marLeft w:val="0"/>
      <w:marRight w:val="0"/>
      <w:marTop w:val="0"/>
      <w:marBottom w:val="0"/>
      <w:divBdr>
        <w:top w:val="none" w:sz="0" w:space="0" w:color="auto"/>
        <w:left w:val="none" w:sz="0" w:space="0" w:color="auto"/>
        <w:bottom w:val="none" w:sz="0" w:space="0" w:color="auto"/>
        <w:right w:val="none" w:sz="0" w:space="0" w:color="auto"/>
      </w:divBdr>
    </w:div>
    <w:div w:id="1195652367">
      <w:bodyDiv w:val="1"/>
      <w:marLeft w:val="0"/>
      <w:marRight w:val="0"/>
      <w:marTop w:val="0"/>
      <w:marBottom w:val="0"/>
      <w:divBdr>
        <w:top w:val="none" w:sz="0" w:space="0" w:color="auto"/>
        <w:left w:val="none" w:sz="0" w:space="0" w:color="auto"/>
        <w:bottom w:val="none" w:sz="0" w:space="0" w:color="auto"/>
        <w:right w:val="none" w:sz="0" w:space="0" w:color="auto"/>
      </w:divBdr>
    </w:div>
    <w:div w:id="1326473963">
      <w:bodyDiv w:val="1"/>
      <w:marLeft w:val="0"/>
      <w:marRight w:val="0"/>
      <w:marTop w:val="0"/>
      <w:marBottom w:val="0"/>
      <w:divBdr>
        <w:top w:val="none" w:sz="0" w:space="0" w:color="auto"/>
        <w:left w:val="none" w:sz="0" w:space="0" w:color="auto"/>
        <w:bottom w:val="none" w:sz="0" w:space="0" w:color="auto"/>
        <w:right w:val="none" w:sz="0" w:space="0" w:color="auto"/>
      </w:divBdr>
    </w:div>
    <w:div w:id="1408112793">
      <w:bodyDiv w:val="1"/>
      <w:marLeft w:val="0"/>
      <w:marRight w:val="0"/>
      <w:marTop w:val="0"/>
      <w:marBottom w:val="0"/>
      <w:divBdr>
        <w:top w:val="none" w:sz="0" w:space="0" w:color="auto"/>
        <w:left w:val="none" w:sz="0" w:space="0" w:color="auto"/>
        <w:bottom w:val="none" w:sz="0" w:space="0" w:color="auto"/>
        <w:right w:val="none" w:sz="0" w:space="0" w:color="auto"/>
      </w:divBdr>
    </w:div>
    <w:div w:id="1433163975">
      <w:bodyDiv w:val="1"/>
      <w:marLeft w:val="0"/>
      <w:marRight w:val="0"/>
      <w:marTop w:val="0"/>
      <w:marBottom w:val="0"/>
      <w:divBdr>
        <w:top w:val="none" w:sz="0" w:space="0" w:color="auto"/>
        <w:left w:val="none" w:sz="0" w:space="0" w:color="auto"/>
        <w:bottom w:val="none" w:sz="0" w:space="0" w:color="auto"/>
        <w:right w:val="none" w:sz="0" w:space="0" w:color="auto"/>
      </w:divBdr>
    </w:div>
    <w:div w:id="1448045042">
      <w:bodyDiv w:val="1"/>
      <w:marLeft w:val="0"/>
      <w:marRight w:val="0"/>
      <w:marTop w:val="0"/>
      <w:marBottom w:val="0"/>
      <w:divBdr>
        <w:top w:val="none" w:sz="0" w:space="0" w:color="auto"/>
        <w:left w:val="none" w:sz="0" w:space="0" w:color="auto"/>
        <w:bottom w:val="none" w:sz="0" w:space="0" w:color="auto"/>
        <w:right w:val="none" w:sz="0" w:space="0" w:color="auto"/>
      </w:divBdr>
    </w:div>
    <w:div w:id="1484783771">
      <w:bodyDiv w:val="1"/>
      <w:marLeft w:val="0"/>
      <w:marRight w:val="0"/>
      <w:marTop w:val="0"/>
      <w:marBottom w:val="0"/>
      <w:divBdr>
        <w:top w:val="none" w:sz="0" w:space="0" w:color="auto"/>
        <w:left w:val="none" w:sz="0" w:space="0" w:color="auto"/>
        <w:bottom w:val="none" w:sz="0" w:space="0" w:color="auto"/>
        <w:right w:val="none" w:sz="0" w:space="0" w:color="auto"/>
      </w:divBdr>
    </w:div>
    <w:div w:id="1558128714">
      <w:bodyDiv w:val="1"/>
      <w:marLeft w:val="0"/>
      <w:marRight w:val="0"/>
      <w:marTop w:val="0"/>
      <w:marBottom w:val="0"/>
      <w:divBdr>
        <w:top w:val="none" w:sz="0" w:space="0" w:color="auto"/>
        <w:left w:val="none" w:sz="0" w:space="0" w:color="auto"/>
        <w:bottom w:val="none" w:sz="0" w:space="0" w:color="auto"/>
        <w:right w:val="none" w:sz="0" w:space="0" w:color="auto"/>
      </w:divBdr>
    </w:div>
    <w:div w:id="1663924886">
      <w:bodyDiv w:val="1"/>
      <w:marLeft w:val="0"/>
      <w:marRight w:val="0"/>
      <w:marTop w:val="0"/>
      <w:marBottom w:val="0"/>
      <w:divBdr>
        <w:top w:val="none" w:sz="0" w:space="0" w:color="auto"/>
        <w:left w:val="none" w:sz="0" w:space="0" w:color="auto"/>
        <w:bottom w:val="none" w:sz="0" w:space="0" w:color="auto"/>
        <w:right w:val="none" w:sz="0" w:space="0" w:color="auto"/>
      </w:divBdr>
    </w:div>
    <w:div w:id="1807746287">
      <w:bodyDiv w:val="1"/>
      <w:marLeft w:val="0"/>
      <w:marRight w:val="0"/>
      <w:marTop w:val="0"/>
      <w:marBottom w:val="0"/>
      <w:divBdr>
        <w:top w:val="none" w:sz="0" w:space="0" w:color="auto"/>
        <w:left w:val="none" w:sz="0" w:space="0" w:color="auto"/>
        <w:bottom w:val="none" w:sz="0" w:space="0" w:color="auto"/>
        <w:right w:val="none" w:sz="0" w:space="0" w:color="auto"/>
      </w:divBdr>
    </w:div>
    <w:div w:id="1861314782">
      <w:bodyDiv w:val="1"/>
      <w:marLeft w:val="0"/>
      <w:marRight w:val="0"/>
      <w:marTop w:val="0"/>
      <w:marBottom w:val="0"/>
      <w:divBdr>
        <w:top w:val="none" w:sz="0" w:space="0" w:color="auto"/>
        <w:left w:val="none" w:sz="0" w:space="0" w:color="auto"/>
        <w:bottom w:val="none" w:sz="0" w:space="0" w:color="auto"/>
        <w:right w:val="none" w:sz="0" w:space="0" w:color="auto"/>
      </w:divBdr>
    </w:div>
    <w:div w:id="1876386948">
      <w:bodyDiv w:val="1"/>
      <w:marLeft w:val="0"/>
      <w:marRight w:val="0"/>
      <w:marTop w:val="0"/>
      <w:marBottom w:val="0"/>
      <w:divBdr>
        <w:top w:val="none" w:sz="0" w:space="0" w:color="auto"/>
        <w:left w:val="none" w:sz="0" w:space="0" w:color="auto"/>
        <w:bottom w:val="none" w:sz="0" w:space="0" w:color="auto"/>
        <w:right w:val="none" w:sz="0" w:space="0" w:color="auto"/>
      </w:divBdr>
    </w:div>
    <w:div w:id="1893229267">
      <w:bodyDiv w:val="1"/>
      <w:marLeft w:val="0"/>
      <w:marRight w:val="0"/>
      <w:marTop w:val="0"/>
      <w:marBottom w:val="0"/>
      <w:divBdr>
        <w:top w:val="none" w:sz="0" w:space="0" w:color="auto"/>
        <w:left w:val="none" w:sz="0" w:space="0" w:color="auto"/>
        <w:bottom w:val="none" w:sz="0" w:space="0" w:color="auto"/>
        <w:right w:val="none" w:sz="0" w:space="0" w:color="auto"/>
      </w:divBdr>
    </w:div>
    <w:div w:id="1946615823">
      <w:bodyDiv w:val="1"/>
      <w:marLeft w:val="0"/>
      <w:marRight w:val="0"/>
      <w:marTop w:val="0"/>
      <w:marBottom w:val="0"/>
      <w:divBdr>
        <w:top w:val="none" w:sz="0" w:space="0" w:color="auto"/>
        <w:left w:val="none" w:sz="0" w:space="0" w:color="auto"/>
        <w:bottom w:val="none" w:sz="0" w:space="0" w:color="auto"/>
        <w:right w:val="none" w:sz="0" w:space="0" w:color="auto"/>
      </w:divBdr>
    </w:div>
    <w:div w:id="1967200067">
      <w:bodyDiv w:val="1"/>
      <w:marLeft w:val="0"/>
      <w:marRight w:val="0"/>
      <w:marTop w:val="0"/>
      <w:marBottom w:val="0"/>
      <w:divBdr>
        <w:top w:val="none" w:sz="0" w:space="0" w:color="auto"/>
        <w:left w:val="none" w:sz="0" w:space="0" w:color="auto"/>
        <w:bottom w:val="none" w:sz="0" w:space="0" w:color="auto"/>
        <w:right w:val="none" w:sz="0" w:space="0" w:color="auto"/>
      </w:divBdr>
    </w:div>
    <w:div w:id="1972325802">
      <w:bodyDiv w:val="1"/>
      <w:marLeft w:val="0"/>
      <w:marRight w:val="0"/>
      <w:marTop w:val="0"/>
      <w:marBottom w:val="0"/>
      <w:divBdr>
        <w:top w:val="none" w:sz="0" w:space="0" w:color="auto"/>
        <w:left w:val="none" w:sz="0" w:space="0" w:color="auto"/>
        <w:bottom w:val="none" w:sz="0" w:space="0" w:color="auto"/>
        <w:right w:val="none" w:sz="0" w:space="0" w:color="auto"/>
      </w:divBdr>
    </w:div>
    <w:div w:id="2053268004">
      <w:bodyDiv w:val="1"/>
      <w:marLeft w:val="0"/>
      <w:marRight w:val="0"/>
      <w:marTop w:val="0"/>
      <w:marBottom w:val="0"/>
      <w:divBdr>
        <w:top w:val="none" w:sz="0" w:space="0" w:color="auto"/>
        <w:left w:val="none" w:sz="0" w:space="0" w:color="auto"/>
        <w:bottom w:val="none" w:sz="0" w:space="0" w:color="auto"/>
        <w:right w:val="none" w:sz="0" w:space="0" w:color="auto"/>
      </w:divBdr>
    </w:div>
    <w:div w:id="2124373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ga.gov.au" TargetMode="External"/><Relationship Id="rId13" Type="http://schemas.openxmlformats.org/officeDocument/2006/relationships/image" Target="media/image3.png"/><Relationship Id="rId18" Type="http://schemas.openxmlformats.org/officeDocument/2006/relationships/hyperlink" Target="mailto:info@tga.gov.au"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10" Type="http://schemas.openxmlformats.org/officeDocument/2006/relationships/header" Target="header1.xml"/><Relationship Id="rId19" Type="http://schemas.openxmlformats.org/officeDocument/2006/relationships/hyperlink" Target="https://www.tga.gov.au" TargetMode="Externa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tga.copyright@tga.gov.au" TargetMode="External"/><Relationship Id="rId14" Type="http://schemas.openxmlformats.org/officeDocument/2006/relationships/header" Target="header3.xml"/><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ergul\AppData\Local\Hewlett-Packard\HP%20TRIM\TEMP\HPTRIM.8664\t0RBJJLY.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D63544-DB4D-4417-8585-FD5327654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t0RBJJLY.DOTX</Template>
  <TotalTime>25</TotalTime>
  <Pages>20</Pages>
  <Words>5662</Words>
  <Characters>32278</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Australian public assessment report for Mepolizumab</vt:lpstr>
    </vt:vector>
  </TitlesOfParts>
  <Company>Department of Health Therapeutic Goods Administration</Company>
  <LinksUpToDate>false</LinksUpToDate>
  <CharactersWithSpaces>37865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Mepolizumab</dc:title>
  <dc:subject>prescription medicine regulation</dc:subject>
  <dc:creator>Therapeutic Goods Administration</dc:creator>
  <cp:keywords>AusPARs</cp:keywords>
  <cp:lastPrinted>2019-08-14T04:30:00Z</cp:lastPrinted>
  <dcterms:created xsi:type="dcterms:W3CDTF">2020-02-17T21:57:00Z</dcterms:created>
  <dcterms:modified xsi:type="dcterms:W3CDTF">2020-03-05T03:59:00Z</dcterms:modified>
</cp:coreProperties>
</file>