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1C397F2D" w14:textId="77777777" w:rsidTr="00BF1190">
        <w:trPr>
          <w:trHeight w:val="1863"/>
        </w:trPr>
        <w:tc>
          <w:tcPr>
            <w:tcW w:w="3652" w:type="dxa"/>
            <w:tcBorders>
              <w:top w:val="nil"/>
              <w:left w:val="nil"/>
              <w:bottom w:val="nil"/>
              <w:right w:val="nil"/>
            </w:tcBorders>
          </w:tcPr>
          <w:p w14:paraId="26A17CB2" w14:textId="2E315996" w:rsidR="008E7846" w:rsidRPr="00096AA7" w:rsidRDefault="009943FE" w:rsidP="00096AA7">
            <w:pPr>
              <w:rPr>
                <w:rFonts w:ascii="Arial" w:hAnsi="Arial" w:cs="Arial"/>
                <w:b/>
                <w:color w:val="002C47"/>
                <w:sz w:val="36"/>
                <w:szCs w:val="36"/>
              </w:rPr>
            </w:pPr>
            <w:r>
              <w:rPr>
                <w:rFonts w:ascii="Arial" w:hAnsi="Arial" w:cs="Arial"/>
                <w:b/>
                <w:color w:val="002C47"/>
                <w:sz w:val="36"/>
                <w:szCs w:val="36"/>
              </w:rPr>
              <w:t>October</w:t>
            </w:r>
            <w:r w:rsidR="00FE176F">
              <w:rPr>
                <w:rFonts w:ascii="Arial" w:hAnsi="Arial" w:cs="Arial"/>
                <w:b/>
                <w:color w:val="002C47"/>
                <w:sz w:val="36"/>
                <w:szCs w:val="36"/>
              </w:rPr>
              <w:t xml:space="preserve"> </w:t>
            </w:r>
            <w:r w:rsidR="00EF26DF">
              <w:rPr>
                <w:rFonts w:ascii="Arial" w:hAnsi="Arial" w:cs="Arial"/>
                <w:b/>
                <w:color w:val="002C47"/>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07A195F" w14:textId="77777777" w:rsidTr="0032583B">
        <w:trPr>
          <w:trHeight w:val="868"/>
        </w:trPr>
        <w:tc>
          <w:tcPr>
            <w:tcW w:w="9079" w:type="dxa"/>
          </w:tcPr>
          <w:p w14:paraId="64D091E6" w14:textId="77777777" w:rsidR="0032583B" w:rsidRPr="00A964D1" w:rsidRDefault="0032583B" w:rsidP="00EF26DF">
            <w:pPr>
              <w:pStyle w:val="Title"/>
              <w:rPr>
                <w:color w:val="FFFFFF" w:themeColor="background1"/>
              </w:rPr>
            </w:pPr>
            <w:r w:rsidRPr="00A964D1">
              <w:rPr>
                <w:color w:val="FFFFFF" w:themeColor="background1"/>
              </w:rPr>
              <w:t xml:space="preserve">Australian Public Assessment Report for </w:t>
            </w:r>
            <w:bookmarkStart w:id="0" w:name="_GoBack"/>
            <w:proofErr w:type="spellStart"/>
            <w:r w:rsidR="00EF26DF">
              <w:rPr>
                <w:color w:val="FFFFFF" w:themeColor="background1"/>
              </w:rPr>
              <w:t>Mepolizumab</w:t>
            </w:r>
            <w:bookmarkEnd w:id="0"/>
            <w:proofErr w:type="spellEnd"/>
          </w:p>
        </w:tc>
      </w:tr>
      <w:tr w:rsidR="0032583B" w:rsidRPr="00B64760" w14:paraId="4FCDC3D0" w14:textId="77777777" w:rsidTr="0032583B">
        <w:tc>
          <w:tcPr>
            <w:tcW w:w="9079" w:type="dxa"/>
          </w:tcPr>
          <w:p w14:paraId="572C0BCE" w14:textId="77777777"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EF26DF">
              <w:rPr>
                <w:color w:val="FFFFFF" w:themeColor="background1"/>
              </w:rPr>
              <w:t>N</w:t>
            </w:r>
            <w:r w:rsidR="00EF26DF" w:rsidRPr="00EF26DF">
              <w:rPr>
                <w:color w:val="FFFFFF" w:themeColor="background1"/>
              </w:rPr>
              <w:t>ucala</w:t>
            </w:r>
            <w:proofErr w:type="spellEnd"/>
          </w:p>
        </w:tc>
      </w:tr>
      <w:tr w:rsidR="0032583B" w:rsidRPr="00B64760" w14:paraId="12967EFF" w14:textId="77777777" w:rsidTr="0032583B">
        <w:trPr>
          <w:trHeight w:val="486"/>
        </w:trPr>
        <w:tc>
          <w:tcPr>
            <w:tcW w:w="9079" w:type="dxa"/>
          </w:tcPr>
          <w:p w14:paraId="23DDE492" w14:textId="77777777" w:rsidR="0032583B" w:rsidRPr="008E7846" w:rsidRDefault="0032583B" w:rsidP="0032583B">
            <w:pPr>
              <w:pStyle w:val="Subtitle"/>
              <w:rPr>
                <w:color w:val="FFFFFF" w:themeColor="background1"/>
              </w:rPr>
            </w:pPr>
            <w:r w:rsidRPr="008E7846">
              <w:rPr>
                <w:color w:val="FFFFFF" w:themeColor="background1"/>
              </w:rPr>
              <w:t xml:space="preserve">Sponsor: </w:t>
            </w:r>
            <w:r w:rsidR="00EF26DF" w:rsidRPr="00EF26DF">
              <w:rPr>
                <w:color w:val="FFFFFF" w:themeColor="background1"/>
              </w:rPr>
              <w:t>GlaxoSmithKline Australia Pty Ltd</w:t>
            </w:r>
          </w:p>
        </w:tc>
      </w:tr>
    </w:tbl>
    <w:p w14:paraId="3292BAD4" w14:textId="77777777" w:rsidR="008E7846" w:rsidRPr="0085156D" w:rsidRDefault="008E7846" w:rsidP="0085156D">
      <w:r w:rsidRPr="0085156D">
        <w:br w:type="page"/>
      </w:r>
    </w:p>
    <w:p w14:paraId="421627B7" w14:textId="77777777" w:rsidR="008E7846" w:rsidRPr="001F6CBA" w:rsidRDefault="008E7846" w:rsidP="008E7846">
      <w:pPr>
        <w:pStyle w:val="NonTOCHeading2"/>
      </w:pPr>
      <w:r w:rsidRPr="001F6CBA">
        <w:lastRenderedPageBreak/>
        <w:t>About the Therapeutic Goods Administration (TGA)</w:t>
      </w:r>
    </w:p>
    <w:p w14:paraId="66FE6302" w14:textId="77777777" w:rsidR="008E7846" w:rsidRDefault="008E7846" w:rsidP="00681B98">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8292129" w14:textId="77777777" w:rsidR="008E7846" w:rsidRDefault="00C80137" w:rsidP="00681B98">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6CEA0F23" w14:textId="77777777" w:rsidR="008E7846" w:rsidRDefault="008E7846" w:rsidP="00681B98">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6A53AB79" w14:textId="77777777" w:rsidR="008E7846" w:rsidRDefault="008E7846" w:rsidP="00681B98">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26E6213E" w14:textId="77777777" w:rsidR="00441C3F" w:rsidRDefault="008E7846" w:rsidP="00681B98">
      <w:pPr>
        <w:pStyle w:val="ListBullet"/>
        <w:numPr>
          <w:ilvl w:val="0"/>
          <w:numId w:val="1"/>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65960AA8" w14:textId="77777777" w:rsidR="008E7846" w:rsidRDefault="008E7846" w:rsidP="00875A6B">
      <w:pPr>
        <w:pStyle w:val="NonTOCHeading2"/>
      </w:pPr>
      <w:r>
        <w:t>About AusPARs</w:t>
      </w:r>
    </w:p>
    <w:p w14:paraId="4823C5A4" w14:textId="77777777" w:rsidR="008E7846" w:rsidRDefault="008E7846" w:rsidP="00681B98">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1F621306" w14:textId="77777777" w:rsidR="008E7846" w:rsidRDefault="008E7846" w:rsidP="00681B98">
      <w:pPr>
        <w:pStyle w:val="ListBullet"/>
        <w:numPr>
          <w:ilvl w:val="0"/>
          <w:numId w:val="1"/>
        </w:numPr>
        <w:ind w:left="357" w:hanging="357"/>
      </w:pPr>
      <w:r>
        <w:t>AusPARs are prepared and published by the TGA.</w:t>
      </w:r>
    </w:p>
    <w:p w14:paraId="10809CFB" w14:textId="77777777" w:rsidR="008E7846" w:rsidRDefault="008E7846" w:rsidP="00681B98">
      <w:pPr>
        <w:pStyle w:val="ListBullet"/>
        <w:numPr>
          <w:ilvl w:val="0"/>
          <w:numId w:val="1"/>
        </w:numPr>
        <w:ind w:left="357" w:hanging="357"/>
      </w:pPr>
      <w:r>
        <w:t>An AusPAR is prepared for submissions that relate to new chemical entities, generic medicines, major variations and extensions of indications.</w:t>
      </w:r>
    </w:p>
    <w:p w14:paraId="31130DD2" w14:textId="77777777" w:rsidR="008E7846" w:rsidRDefault="008E7846" w:rsidP="00681B98">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305F373" w14:textId="77777777" w:rsidR="00B452CE" w:rsidRDefault="008E7846" w:rsidP="00681B98">
      <w:pPr>
        <w:pStyle w:val="ListBullet"/>
        <w:numPr>
          <w:ilvl w:val="0"/>
          <w:numId w:val="1"/>
        </w:numPr>
        <w:ind w:left="357" w:hanging="357"/>
      </w:pPr>
      <w:r>
        <w:t>A new AusPAR will be developed to reflect changes to indications and/or major variations to a prescription medicine subject to evaluation by the TGA.</w:t>
      </w:r>
    </w:p>
    <w:p w14:paraId="56596B87" w14:textId="77777777" w:rsidR="00924482" w:rsidRPr="00DF1D7F" w:rsidRDefault="00924482" w:rsidP="00F54B65">
      <w:pPr>
        <w:pStyle w:val="LegalSubheading"/>
        <w:spacing w:before="3120"/>
      </w:pPr>
      <w:r w:rsidRPr="00DF1D7F">
        <w:t>Copyright</w:t>
      </w:r>
    </w:p>
    <w:p w14:paraId="3F7EF156" w14:textId="77777777" w:rsidR="00924482" w:rsidRDefault="00924482" w:rsidP="00924482">
      <w:pPr>
        <w:pStyle w:val="LegalCopy"/>
      </w:pPr>
      <w:r w:rsidRPr="00191B3B">
        <w:rPr>
          <w:rFonts w:cs="Arial"/>
          <w:lang w:val="en-GB"/>
        </w:rPr>
        <w:t>© Comm</w:t>
      </w:r>
      <w:r>
        <w:rPr>
          <w:rFonts w:cs="Arial"/>
          <w:lang w:val="en-GB"/>
        </w:rPr>
        <w:t>onwealth of Australia 201</w:t>
      </w:r>
      <w:r w:rsidR="00C52E24">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03FD3B2D"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4D3D30A" w14:textId="77777777" w:rsidR="0089635C" w:rsidRPr="004101C8" w:rsidRDefault="0089635C" w:rsidP="0010788A">
          <w:pPr>
            <w:pStyle w:val="Contents"/>
            <w:rPr>
              <w:sz w:val="28"/>
              <w:szCs w:val="28"/>
            </w:rPr>
          </w:pPr>
          <w:r w:rsidRPr="0010788A">
            <w:t>Contents</w:t>
          </w:r>
        </w:p>
        <w:p w14:paraId="6EEC86F6" w14:textId="7E647D7B" w:rsidR="00BC3D4E"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5227365" w:history="1">
            <w:r w:rsidR="00BC3D4E" w:rsidRPr="00D86E33">
              <w:rPr>
                <w:rStyle w:val="Hyperlink"/>
                <w:noProof/>
              </w:rPr>
              <w:t>Common abbreviations</w:t>
            </w:r>
            <w:r w:rsidR="00BC3D4E">
              <w:rPr>
                <w:noProof/>
                <w:webHidden/>
              </w:rPr>
              <w:tab/>
            </w:r>
            <w:r w:rsidR="00BC3D4E">
              <w:rPr>
                <w:noProof/>
                <w:webHidden/>
              </w:rPr>
              <w:fldChar w:fldCharType="begin"/>
            </w:r>
            <w:r w:rsidR="00BC3D4E">
              <w:rPr>
                <w:noProof/>
                <w:webHidden/>
              </w:rPr>
              <w:instrText xml:space="preserve"> PAGEREF _Toc25227365 \h </w:instrText>
            </w:r>
            <w:r w:rsidR="00BC3D4E">
              <w:rPr>
                <w:noProof/>
                <w:webHidden/>
              </w:rPr>
            </w:r>
            <w:r w:rsidR="00BC3D4E">
              <w:rPr>
                <w:noProof/>
                <w:webHidden/>
              </w:rPr>
              <w:fldChar w:fldCharType="separate"/>
            </w:r>
            <w:r w:rsidR="00BC3D4E">
              <w:rPr>
                <w:noProof/>
                <w:webHidden/>
              </w:rPr>
              <w:t>5</w:t>
            </w:r>
            <w:r w:rsidR="00BC3D4E">
              <w:rPr>
                <w:noProof/>
                <w:webHidden/>
              </w:rPr>
              <w:fldChar w:fldCharType="end"/>
            </w:r>
          </w:hyperlink>
        </w:p>
        <w:p w14:paraId="03028774" w14:textId="76F60ECB" w:rsidR="00BC3D4E" w:rsidRDefault="00BC3D4E">
          <w:pPr>
            <w:pStyle w:val="TOC2"/>
            <w:rPr>
              <w:rFonts w:asciiTheme="minorHAnsi" w:eastAsiaTheme="minorEastAsia" w:hAnsiTheme="minorHAnsi" w:cstheme="minorBidi"/>
              <w:b w:val="0"/>
              <w:noProof/>
              <w:sz w:val="22"/>
              <w:lang w:eastAsia="en-AU"/>
            </w:rPr>
          </w:pPr>
          <w:hyperlink w:anchor="_Toc25227366" w:history="1">
            <w:r w:rsidRPr="00D86E33">
              <w:rPr>
                <w:rStyle w:val="Hyperlink"/>
                <w:noProof/>
              </w:rPr>
              <w:t>I. Introduction to product submission</w:t>
            </w:r>
            <w:r>
              <w:rPr>
                <w:noProof/>
                <w:webHidden/>
              </w:rPr>
              <w:tab/>
            </w:r>
            <w:r>
              <w:rPr>
                <w:noProof/>
                <w:webHidden/>
              </w:rPr>
              <w:fldChar w:fldCharType="begin"/>
            </w:r>
            <w:r>
              <w:rPr>
                <w:noProof/>
                <w:webHidden/>
              </w:rPr>
              <w:instrText xml:space="preserve"> PAGEREF _Toc25227366 \h </w:instrText>
            </w:r>
            <w:r>
              <w:rPr>
                <w:noProof/>
                <w:webHidden/>
              </w:rPr>
            </w:r>
            <w:r>
              <w:rPr>
                <w:noProof/>
                <w:webHidden/>
              </w:rPr>
              <w:fldChar w:fldCharType="separate"/>
            </w:r>
            <w:r>
              <w:rPr>
                <w:noProof/>
                <w:webHidden/>
              </w:rPr>
              <w:t>9</w:t>
            </w:r>
            <w:r>
              <w:rPr>
                <w:noProof/>
                <w:webHidden/>
              </w:rPr>
              <w:fldChar w:fldCharType="end"/>
            </w:r>
          </w:hyperlink>
        </w:p>
        <w:p w14:paraId="131318D4" w14:textId="2C3833F1" w:rsidR="00BC3D4E" w:rsidRDefault="00BC3D4E">
          <w:pPr>
            <w:pStyle w:val="TOC3"/>
            <w:rPr>
              <w:rFonts w:asciiTheme="minorHAnsi" w:eastAsiaTheme="minorEastAsia" w:hAnsiTheme="minorHAnsi" w:cstheme="minorBidi"/>
              <w:noProof/>
              <w:lang w:eastAsia="en-AU"/>
            </w:rPr>
          </w:pPr>
          <w:hyperlink w:anchor="_Toc25227367" w:history="1">
            <w:r w:rsidRPr="00D86E33">
              <w:rPr>
                <w:rStyle w:val="Hyperlink"/>
                <w:noProof/>
                <w:lang w:eastAsia="en-AU"/>
              </w:rPr>
              <w:t>Submission details</w:t>
            </w:r>
            <w:r>
              <w:rPr>
                <w:noProof/>
                <w:webHidden/>
              </w:rPr>
              <w:tab/>
            </w:r>
            <w:r>
              <w:rPr>
                <w:noProof/>
                <w:webHidden/>
              </w:rPr>
              <w:fldChar w:fldCharType="begin"/>
            </w:r>
            <w:r>
              <w:rPr>
                <w:noProof/>
                <w:webHidden/>
              </w:rPr>
              <w:instrText xml:space="preserve"> PAGEREF _Toc25227367 \h </w:instrText>
            </w:r>
            <w:r>
              <w:rPr>
                <w:noProof/>
                <w:webHidden/>
              </w:rPr>
            </w:r>
            <w:r>
              <w:rPr>
                <w:noProof/>
                <w:webHidden/>
              </w:rPr>
              <w:fldChar w:fldCharType="separate"/>
            </w:r>
            <w:r>
              <w:rPr>
                <w:noProof/>
                <w:webHidden/>
              </w:rPr>
              <w:t>9</w:t>
            </w:r>
            <w:r>
              <w:rPr>
                <w:noProof/>
                <w:webHidden/>
              </w:rPr>
              <w:fldChar w:fldCharType="end"/>
            </w:r>
          </w:hyperlink>
        </w:p>
        <w:p w14:paraId="5EAC2C85" w14:textId="13279AE1" w:rsidR="00BC3D4E" w:rsidRDefault="00BC3D4E">
          <w:pPr>
            <w:pStyle w:val="TOC3"/>
            <w:rPr>
              <w:rFonts w:asciiTheme="minorHAnsi" w:eastAsiaTheme="minorEastAsia" w:hAnsiTheme="minorHAnsi" w:cstheme="minorBidi"/>
              <w:noProof/>
              <w:lang w:eastAsia="en-AU"/>
            </w:rPr>
          </w:pPr>
          <w:hyperlink w:anchor="_Toc25227368" w:history="1">
            <w:r w:rsidRPr="00D86E33">
              <w:rPr>
                <w:rStyle w:val="Hyperlink"/>
                <w:noProof/>
              </w:rPr>
              <w:t>Product background</w:t>
            </w:r>
            <w:r>
              <w:rPr>
                <w:noProof/>
                <w:webHidden/>
              </w:rPr>
              <w:tab/>
            </w:r>
            <w:r>
              <w:rPr>
                <w:noProof/>
                <w:webHidden/>
              </w:rPr>
              <w:fldChar w:fldCharType="begin"/>
            </w:r>
            <w:r>
              <w:rPr>
                <w:noProof/>
                <w:webHidden/>
              </w:rPr>
              <w:instrText xml:space="preserve"> PAGEREF _Toc25227368 \h </w:instrText>
            </w:r>
            <w:r>
              <w:rPr>
                <w:noProof/>
                <w:webHidden/>
              </w:rPr>
            </w:r>
            <w:r>
              <w:rPr>
                <w:noProof/>
                <w:webHidden/>
              </w:rPr>
              <w:fldChar w:fldCharType="separate"/>
            </w:r>
            <w:r>
              <w:rPr>
                <w:noProof/>
                <w:webHidden/>
              </w:rPr>
              <w:t>10</w:t>
            </w:r>
            <w:r>
              <w:rPr>
                <w:noProof/>
                <w:webHidden/>
              </w:rPr>
              <w:fldChar w:fldCharType="end"/>
            </w:r>
          </w:hyperlink>
        </w:p>
        <w:p w14:paraId="0E34E14E" w14:textId="4D4395D0" w:rsidR="00BC3D4E" w:rsidRDefault="00BC3D4E">
          <w:pPr>
            <w:pStyle w:val="TOC3"/>
            <w:rPr>
              <w:rFonts w:asciiTheme="minorHAnsi" w:eastAsiaTheme="minorEastAsia" w:hAnsiTheme="minorHAnsi" w:cstheme="minorBidi"/>
              <w:noProof/>
              <w:lang w:eastAsia="en-AU"/>
            </w:rPr>
          </w:pPr>
          <w:hyperlink w:anchor="_Toc25227369" w:history="1">
            <w:r w:rsidRPr="00D86E33">
              <w:rPr>
                <w:rStyle w:val="Hyperlink"/>
                <w:noProof/>
              </w:rPr>
              <w:t>Regulatory status</w:t>
            </w:r>
            <w:r>
              <w:rPr>
                <w:noProof/>
                <w:webHidden/>
              </w:rPr>
              <w:tab/>
            </w:r>
            <w:r>
              <w:rPr>
                <w:noProof/>
                <w:webHidden/>
              </w:rPr>
              <w:fldChar w:fldCharType="begin"/>
            </w:r>
            <w:r>
              <w:rPr>
                <w:noProof/>
                <w:webHidden/>
              </w:rPr>
              <w:instrText xml:space="preserve"> PAGEREF _Toc25227369 \h </w:instrText>
            </w:r>
            <w:r>
              <w:rPr>
                <w:noProof/>
                <w:webHidden/>
              </w:rPr>
            </w:r>
            <w:r>
              <w:rPr>
                <w:noProof/>
                <w:webHidden/>
              </w:rPr>
              <w:fldChar w:fldCharType="separate"/>
            </w:r>
            <w:r>
              <w:rPr>
                <w:noProof/>
                <w:webHidden/>
              </w:rPr>
              <w:t>10</w:t>
            </w:r>
            <w:r>
              <w:rPr>
                <w:noProof/>
                <w:webHidden/>
              </w:rPr>
              <w:fldChar w:fldCharType="end"/>
            </w:r>
          </w:hyperlink>
        </w:p>
        <w:p w14:paraId="1DB431E6" w14:textId="074222C2" w:rsidR="00BC3D4E" w:rsidRDefault="00BC3D4E">
          <w:pPr>
            <w:pStyle w:val="TOC3"/>
            <w:rPr>
              <w:rFonts w:asciiTheme="minorHAnsi" w:eastAsiaTheme="minorEastAsia" w:hAnsiTheme="minorHAnsi" w:cstheme="minorBidi"/>
              <w:noProof/>
              <w:lang w:eastAsia="en-AU"/>
            </w:rPr>
          </w:pPr>
          <w:hyperlink w:anchor="_Toc25227370" w:history="1">
            <w:r w:rsidRPr="00D86E33">
              <w:rPr>
                <w:rStyle w:val="Hyperlink"/>
                <w:noProof/>
              </w:rPr>
              <w:t>Product Information</w:t>
            </w:r>
            <w:r>
              <w:rPr>
                <w:noProof/>
                <w:webHidden/>
              </w:rPr>
              <w:tab/>
            </w:r>
            <w:r>
              <w:rPr>
                <w:noProof/>
                <w:webHidden/>
              </w:rPr>
              <w:fldChar w:fldCharType="begin"/>
            </w:r>
            <w:r>
              <w:rPr>
                <w:noProof/>
                <w:webHidden/>
              </w:rPr>
              <w:instrText xml:space="preserve"> PAGEREF _Toc25227370 \h </w:instrText>
            </w:r>
            <w:r>
              <w:rPr>
                <w:noProof/>
                <w:webHidden/>
              </w:rPr>
            </w:r>
            <w:r>
              <w:rPr>
                <w:noProof/>
                <w:webHidden/>
              </w:rPr>
              <w:fldChar w:fldCharType="separate"/>
            </w:r>
            <w:r>
              <w:rPr>
                <w:noProof/>
                <w:webHidden/>
              </w:rPr>
              <w:t>11</w:t>
            </w:r>
            <w:r>
              <w:rPr>
                <w:noProof/>
                <w:webHidden/>
              </w:rPr>
              <w:fldChar w:fldCharType="end"/>
            </w:r>
          </w:hyperlink>
        </w:p>
        <w:p w14:paraId="24EAFFC0" w14:textId="094570FE" w:rsidR="00BC3D4E" w:rsidRDefault="00BC3D4E">
          <w:pPr>
            <w:pStyle w:val="TOC2"/>
            <w:rPr>
              <w:rFonts w:asciiTheme="minorHAnsi" w:eastAsiaTheme="minorEastAsia" w:hAnsiTheme="minorHAnsi" w:cstheme="minorBidi"/>
              <w:b w:val="0"/>
              <w:noProof/>
              <w:sz w:val="22"/>
              <w:lang w:eastAsia="en-AU"/>
            </w:rPr>
          </w:pPr>
          <w:hyperlink w:anchor="_Toc25227371" w:history="1">
            <w:r w:rsidRPr="00D86E33">
              <w:rPr>
                <w:rStyle w:val="Hyperlink"/>
                <w:noProof/>
              </w:rPr>
              <w:t>II. Registration time line</w:t>
            </w:r>
            <w:r>
              <w:rPr>
                <w:noProof/>
                <w:webHidden/>
              </w:rPr>
              <w:tab/>
            </w:r>
            <w:r>
              <w:rPr>
                <w:noProof/>
                <w:webHidden/>
              </w:rPr>
              <w:fldChar w:fldCharType="begin"/>
            </w:r>
            <w:r>
              <w:rPr>
                <w:noProof/>
                <w:webHidden/>
              </w:rPr>
              <w:instrText xml:space="preserve"> PAGEREF _Toc25227371 \h </w:instrText>
            </w:r>
            <w:r>
              <w:rPr>
                <w:noProof/>
                <w:webHidden/>
              </w:rPr>
            </w:r>
            <w:r>
              <w:rPr>
                <w:noProof/>
                <w:webHidden/>
              </w:rPr>
              <w:fldChar w:fldCharType="separate"/>
            </w:r>
            <w:r>
              <w:rPr>
                <w:noProof/>
                <w:webHidden/>
              </w:rPr>
              <w:t>11</w:t>
            </w:r>
            <w:r>
              <w:rPr>
                <w:noProof/>
                <w:webHidden/>
              </w:rPr>
              <w:fldChar w:fldCharType="end"/>
            </w:r>
          </w:hyperlink>
        </w:p>
        <w:p w14:paraId="66622F41" w14:textId="46703714" w:rsidR="00BC3D4E" w:rsidRDefault="00BC3D4E">
          <w:pPr>
            <w:pStyle w:val="TOC2"/>
            <w:rPr>
              <w:rFonts w:asciiTheme="minorHAnsi" w:eastAsiaTheme="minorEastAsia" w:hAnsiTheme="minorHAnsi" w:cstheme="minorBidi"/>
              <w:b w:val="0"/>
              <w:noProof/>
              <w:sz w:val="22"/>
              <w:lang w:eastAsia="en-AU"/>
            </w:rPr>
          </w:pPr>
          <w:hyperlink w:anchor="_Toc25227372" w:history="1">
            <w:r w:rsidRPr="00D86E33">
              <w:rPr>
                <w:rStyle w:val="Hyperlink"/>
                <w:noProof/>
              </w:rPr>
              <w:t>III. Quality findings</w:t>
            </w:r>
            <w:r>
              <w:rPr>
                <w:noProof/>
                <w:webHidden/>
              </w:rPr>
              <w:tab/>
            </w:r>
            <w:r>
              <w:rPr>
                <w:noProof/>
                <w:webHidden/>
              </w:rPr>
              <w:fldChar w:fldCharType="begin"/>
            </w:r>
            <w:r>
              <w:rPr>
                <w:noProof/>
                <w:webHidden/>
              </w:rPr>
              <w:instrText xml:space="preserve"> PAGEREF _Toc25227372 \h </w:instrText>
            </w:r>
            <w:r>
              <w:rPr>
                <w:noProof/>
                <w:webHidden/>
              </w:rPr>
            </w:r>
            <w:r>
              <w:rPr>
                <w:noProof/>
                <w:webHidden/>
              </w:rPr>
              <w:fldChar w:fldCharType="separate"/>
            </w:r>
            <w:r>
              <w:rPr>
                <w:noProof/>
                <w:webHidden/>
              </w:rPr>
              <w:t>12</w:t>
            </w:r>
            <w:r>
              <w:rPr>
                <w:noProof/>
                <w:webHidden/>
              </w:rPr>
              <w:fldChar w:fldCharType="end"/>
            </w:r>
          </w:hyperlink>
        </w:p>
        <w:p w14:paraId="5FBBCDE4" w14:textId="2653ECE6" w:rsidR="00BC3D4E" w:rsidRDefault="00BC3D4E">
          <w:pPr>
            <w:pStyle w:val="TOC2"/>
            <w:rPr>
              <w:rFonts w:asciiTheme="minorHAnsi" w:eastAsiaTheme="minorEastAsia" w:hAnsiTheme="minorHAnsi" w:cstheme="minorBidi"/>
              <w:b w:val="0"/>
              <w:noProof/>
              <w:sz w:val="22"/>
              <w:lang w:eastAsia="en-AU"/>
            </w:rPr>
          </w:pPr>
          <w:hyperlink w:anchor="_Toc25227373" w:history="1">
            <w:r w:rsidRPr="00D86E33">
              <w:rPr>
                <w:rStyle w:val="Hyperlink"/>
                <w:noProof/>
              </w:rPr>
              <w:t>IV. Nonclinical findings</w:t>
            </w:r>
            <w:r>
              <w:rPr>
                <w:noProof/>
                <w:webHidden/>
              </w:rPr>
              <w:tab/>
            </w:r>
            <w:r>
              <w:rPr>
                <w:noProof/>
                <w:webHidden/>
              </w:rPr>
              <w:fldChar w:fldCharType="begin"/>
            </w:r>
            <w:r>
              <w:rPr>
                <w:noProof/>
                <w:webHidden/>
              </w:rPr>
              <w:instrText xml:space="preserve"> PAGEREF _Toc25227373 \h </w:instrText>
            </w:r>
            <w:r>
              <w:rPr>
                <w:noProof/>
                <w:webHidden/>
              </w:rPr>
            </w:r>
            <w:r>
              <w:rPr>
                <w:noProof/>
                <w:webHidden/>
              </w:rPr>
              <w:fldChar w:fldCharType="separate"/>
            </w:r>
            <w:r>
              <w:rPr>
                <w:noProof/>
                <w:webHidden/>
              </w:rPr>
              <w:t>12</w:t>
            </w:r>
            <w:r>
              <w:rPr>
                <w:noProof/>
                <w:webHidden/>
              </w:rPr>
              <w:fldChar w:fldCharType="end"/>
            </w:r>
          </w:hyperlink>
        </w:p>
        <w:p w14:paraId="42D698A4" w14:textId="566F3D99" w:rsidR="00BC3D4E" w:rsidRDefault="00BC3D4E">
          <w:pPr>
            <w:pStyle w:val="TOC3"/>
            <w:rPr>
              <w:rFonts w:asciiTheme="minorHAnsi" w:eastAsiaTheme="minorEastAsia" w:hAnsiTheme="minorHAnsi" w:cstheme="minorBidi"/>
              <w:noProof/>
              <w:lang w:eastAsia="en-AU"/>
            </w:rPr>
          </w:pPr>
          <w:hyperlink w:anchor="_Toc25227374" w:history="1">
            <w:r w:rsidRPr="00D86E33">
              <w:rPr>
                <w:rStyle w:val="Hyperlink"/>
                <w:noProof/>
              </w:rPr>
              <w:t>Introduction</w:t>
            </w:r>
            <w:r>
              <w:rPr>
                <w:noProof/>
                <w:webHidden/>
              </w:rPr>
              <w:tab/>
            </w:r>
            <w:r>
              <w:rPr>
                <w:noProof/>
                <w:webHidden/>
              </w:rPr>
              <w:fldChar w:fldCharType="begin"/>
            </w:r>
            <w:r>
              <w:rPr>
                <w:noProof/>
                <w:webHidden/>
              </w:rPr>
              <w:instrText xml:space="preserve"> PAGEREF _Toc25227374 \h </w:instrText>
            </w:r>
            <w:r>
              <w:rPr>
                <w:noProof/>
                <w:webHidden/>
              </w:rPr>
            </w:r>
            <w:r>
              <w:rPr>
                <w:noProof/>
                <w:webHidden/>
              </w:rPr>
              <w:fldChar w:fldCharType="separate"/>
            </w:r>
            <w:r>
              <w:rPr>
                <w:noProof/>
                <w:webHidden/>
              </w:rPr>
              <w:t>12</w:t>
            </w:r>
            <w:r>
              <w:rPr>
                <w:noProof/>
                <w:webHidden/>
              </w:rPr>
              <w:fldChar w:fldCharType="end"/>
            </w:r>
          </w:hyperlink>
        </w:p>
        <w:p w14:paraId="3DAAAC3C" w14:textId="6A881F4E" w:rsidR="00BC3D4E" w:rsidRDefault="00BC3D4E">
          <w:pPr>
            <w:pStyle w:val="TOC3"/>
            <w:rPr>
              <w:rFonts w:asciiTheme="minorHAnsi" w:eastAsiaTheme="minorEastAsia" w:hAnsiTheme="minorHAnsi" w:cstheme="minorBidi"/>
              <w:noProof/>
              <w:lang w:eastAsia="en-AU"/>
            </w:rPr>
          </w:pPr>
          <w:hyperlink w:anchor="_Toc25227375" w:history="1">
            <w:r w:rsidRPr="00D86E33">
              <w:rPr>
                <w:rStyle w:val="Hyperlink"/>
                <w:noProof/>
              </w:rPr>
              <w:t>Nonclinical summary and conclusions</w:t>
            </w:r>
            <w:r>
              <w:rPr>
                <w:noProof/>
                <w:webHidden/>
              </w:rPr>
              <w:tab/>
            </w:r>
            <w:r>
              <w:rPr>
                <w:noProof/>
                <w:webHidden/>
              </w:rPr>
              <w:fldChar w:fldCharType="begin"/>
            </w:r>
            <w:r>
              <w:rPr>
                <w:noProof/>
                <w:webHidden/>
              </w:rPr>
              <w:instrText xml:space="preserve"> PAGEREF _Toc25227375 \h </w:instrText>
            </w:r>
            <w:r>
              <w:rPr>
                <w:noProof/>
                <w:webHidden/>
              </w:rPr>
            </w:r>
            <w:r>
              <w:rPr>
                <w:noProof/>
                <w:webHidden/>
              </w:rPr>
              <w:fldChar w:fldCharType="separate"/>
            </w:r>
            <w:r>
              <w:rPr>
                <w:noProof/>
                <w:webHidden/>
              </w:rPr>
              <w:t>14</w:t>
            </w:r>
            <w:r>
              <w:rPr>
                <w:noProof/>
                <w:webHidden/>
              </w:rPr>
              <w:fldChar w:fldCharType="end"/>
            </w:r>
          </w:hyperlink>
        </w:p>
        <w:p w14:paraId="579E5FC6" w14:textId="793A1471" w:rsidR="00BC3D4E" w:rsidRDefault="00BC3D4E">
          <w:pPr>
            <w:pStyle w:val="TOC2"/>
            <w:rPr>
              <w:rFonts w:asciiTheme="minorHAnsi" w:eastAsiaTheme="minorEastAsia" w:hAnsiTheme="minorHAnsi" w:cstheme="minorBidi"/>
              <w:b w:val="0"/>
              <w:noProof/>
              <w:sz w:val="22"/>
              <w:lang w:eastAsia="en-AU"/>
            </w:rPr>
          </w:pPr>
          <w:hyperlink w:anchor="_Toc25227376" w:history="1">
            <w:r w:rsidRPr="00D86E33">
              <w:rPr>
                <w:rStyle w:val="Hyperlink"/>
                <w:noProof/>
              </w:rPr>
              <w:t>V. Clinical findings</w:t>
            </w:r>
            <w:r>
              <w:rPr>
                <w:noProof/>
                <w:webHidden/>
              </w:rPr>
              <w:tab/>
            </w:r>
            <w:r>
              <w:rPr>
                <w:noProof/>
                <w:webHidden/>
              </w:rPr>
              <w:fldChar w:fldCharType="begin"/>
            </w:r>
            <w:r>
              <w:rPr>
                <w:noProof/>
                <w:webHidden/>
              </w:rPr>
              <w:instrText xml:space="preserve"> PAGEREF _Toc25227376 \h </w:instrText>
            </w:r>
            <w:r>
              <w:rPr>
                <w:noProof/>
                <w:webHidden/>
              </w:rPr>
            </w:r>
            <w:r>
              <w:rPr>
                <w:noProof/>
                <w:webHidden/>
              </w:rPr>
              <w:fldChar w:fldCharType="separate"/>
            </w:r>
            <w:r>
              <w:rPr>
                <w:noProof/>
                <w:webHidden/>
              </w:rPr>
              <w:t>14</w:t>
            </w:r>
            <w:r>
              <w:rPr>
                <w:noProof/>
                <w:webHidden/>
              </w:rPr>
              <w:fldChar w:fldCharType="end"/>
            </w:r>
          </w:hyperlink>
        </w:p>
        <w:p w14:paraId="71CD10EF" w14:textId="5EB623D3" w:rsidR="00BC3D4E" w:rsidRDefault="00BC3D4E">
          <w:pPr>
            <w:pStyle w:val="TOC3"/>
            <w:rPr>
              <w:rFonts w:asciiTheme="minorHAnsi" w:eastAsiaTheme="minorEastAsia" w:hAnsiTheme="minorHAnsi" w:cstheme="minorBidi"/>
              <w:noProof/>
              <w:lang w:eastAsia="en-AU"/>
            </w:rPr>
          </w:pPr>
          <w:hyperlink w:anchor="_Toc25227377" w:history="1">
            <w:r w:rsidRPr="00D86E33">
              <w:rPr>
                <w:rStyle w:val="Hyperlink"/>
                <w:noProof/>
              </w:rPr>
              <w:t>Introduction</w:t>
            </w:r>
            <w:r>
              <w:rPr>
                <w:noProof/>
                <w:webHidden/>
              </w:rPr>
              <w:tab/>
            </w:r>
            <w:r>
              <w:rPr>
                <w:noProof/>
                <w:webHidden/>
              </w:rPr>
              <w:fldChar w:fldCharType="begin"/>
            </w:r>
            <w:r>
              <w:rPr>
                <w:noProof/>
                <w:webHidden/>
              </w:rPr>
              <w:instrText xml:space="preserve"> PAGEREF _Toc25227377 \h </w:instrText>
            </w:r>
            <w:r>
              <w:rPr>
                <w:noProof/>
                <w:webHidden/>
              </w:rPr>
            </w:r>
            <w:r>
              <w:rPr>
                <w:noProof/>
                <w:webHidden/>
              </w:rPr>
              <w:fldChar w:fldCharType="separate"/>
            </w:r>
            <w:r>
              <w:rPr>
                <w:noProof/>
                <w:webHidden/>
              </w:rPr>
              <w:t>14</w:t>
            </w:r>
            <w:r>
              <w:rPr>
                <w:noProof/>
                <w:webHidden/>
              </w:rPr>
              <w:fldChar w:fldCharType="end"/>
            </w:r>
          </w:hyperlink>
        </w:p>
        <w:p w14:paraId="630F9124" w14:textId="4DFCECB0" w:rsidR="00BC3D4E" w:rsidRDefault="00BC3D4E">
          <w:pPr>
            <w:pStyle w:val="TOC3"/>
            <w:rPr>
              <w:rFonts w:asciiTheme="minorHAnsi" w:eastAsiaTheme="minorEastAsia" w:hAnsiTheme="minorHAnsi" w:cstheme="minorBidi"/>
              <w:noProof/>
              <w:lang w:eastAsia="en-AU"/>
            </w:rPr>
          </w:pPr>
          <w:hyperlink w:anchor="_Toc25227378" w:history="1">
            <w:r w:rsidRPr="00D86E33">
              <w:rPr>
                <w:rStyle w:val="Hyperlink"/>
                <w:noProof/>
              </w:rPr>
              <w:t>Pharmacokinetics</w:t>
            </w:r>
            <w:r>
              <w:rPr>
                <w:noProof/>
                <w:webHidden/>
              </w:rPr>
              <w:tab/>
            </w:r>
            <w:r>
              <w:rPr>
                <w:noProof/>
                <w:webHidden/>
              </w:rPr>
              <w:fldChar w:fldCharType="begin"/>
            </w:r>
            <w:r>
              <w:rPr>
                <w:noProof/>
                <w:webHidden/>
              </w:rPr>
              <w:instrText xml:space="preserve"> PAGEREF _Toc25227378 \h </w:instrText>
            </w:r>
            <w:r>
              <w:rPr>
                <w:noProof/>
                <w:webHidden/>
              </w:rPr>
            </w:r>
            <w:r>
              <w:rPr>
                <w:noProof/>
                <w:webHidden/>
              </w:rPr>
              <w:fldChar w:fldCharType="separate"/>
            </w:r>
            <w:r>
              <w:rPr>
                <w:noProof/>
                <w:webHidden/>
              </w:rPr>
              <w:t>23</w:t>
            </w:r>
            <w:r>
              <w:rPr>
                <w:noProof/>
                <w:webHidden/>
              </w:rPr>
              <w:fldChar w:fldCharType="end"/>
            </w:r>
          </w:hyperlink>
        </w:p>
        <w:p w14:paraId="673FF6B4" w14:textId="5E7E0B5A" w:rsidR="00BC3D4E" w:rsidRDefault="00BC3D4E">
          <w:pPr>
            <w:pStyle w:val="TOC3"/>
            <w:rPr>
              <w:rFonts w:asciiTheme="minorHAnsi" w:eastAsiaTheme="minorEastAsia" w:hAnsiTheme="minorHAnsi" w:cstheme="minorBidi"/>
              <w:noProof/>
              <w:lang w:eastAsia="en-AU"/>
            </w:rPr>
          </w:pPr>
          <w:hyperlink w:anchor="_Toc25227379" w:history="1">
            <w:r w:rsidRPr="00D86E33">
              <w:rPr>
                <w:rStyle w:val="Hyperlink"/>
                <w:noProof/>
              </w:rPr>
              <w:t>Pharmacodynamics</w:t>
            </w:r>
            <w:r>
              <w:rPr>
                <w:noProof/>
                <w:webHidden/>
              </w:rPr>
              <w:tab/>
            </w:r>
            <w:r>
              <w:rPr>
                <w:noProof/>
                <w:webHidden/>
              </w:rPr>
              <w:fldChar w:fldCharType="begin"/>
            </w:r>
            <w:r>
              <w:rPr>
                <w:noProof/>
                <w:webHidden/>
              </w:rPr>
              <w:instrText xml:space="preserve"> PAGEREF _Toc25227379 \h </w:instrText>
            </w:r>
            <w:r>
              <w:rPr>
                <w:noProof/>
                <w:webHidden/>
              </w:rPr>
            </w:r>
            <w:r>
              <w:rPr>
                <w:noProof/>
                <w:webHidden/>
              </w:rPr>
              <w:fldChar w:fldCharType="separate"/>
            </w:r>
            <w:r>
              <w:rPr>
                <w:noProof/>
                <w:webHidden/>
              </w:rPr>
              <w:t>24</w:t>
            </w:r>
            <w:r>
              <w:rPr>
                <w:noProof/>
                <w:webHidden/>
              </w:rPr>
              <w:fldChar w:fldCharType="end"/>
            </w:r>
          </w:hyperlink>
        </w:p>
        <w:p w14:paraId="1BE8556C" w14:textId="464B01FB" w:rsidR="00BC3D4E" w:rsidRDefault="00BC3D4E">
          <w:pPr>
            <w:pStyle w:val="TOC3"/>
            <w:rPr>
              <w:rFonts w:asciiTheme="minorHAnsi" w:eastAsiaTheme="minorEastAsia" w:hAnsiTheme="minorHAnsi" w:cstheme="minorBidi"/>
              <w:noProof/>
              <w:lang w:eastAsia="en-AU"/>
            </w:rPr>
          </w:pPr>
          <w:hyperlink w:anchor="_Toc25227380" w:history="1">
            <w:r w:rsidRPr="00D86E33">
              <w:rPr>
                <w:rStyle w:val="Hyperlink"/>
                <w:noProof/>
              </w:rPr>
              <w:t>Dosage selection for the pivotal studies</w:t>
            </w:r>
            <w:r>
              <w:rPr>
                <w:noProof/>
                <w:webHidden/>
              </w:rPr>
              <w:tab/>
            </w:r>
            <w:r>
              <w:rPr>
                <w:noProof/>
                <w:webHidden/>
              </w:rPr>
              <w:fldChar w:fldCharType="begin"/>
            </w:r>
            <w:r>
              <w:rPr>
                <w:noProof/>
                <w:webHidden/>
              </w:rPr>
              <w:instrText xml:space="preserve"> PAGEREF _Toc25227380 \h </w:instrText>
            </w:r>
            <w:r>
              <w:rPr>
                <w:noProof/>
                <w:webHidden/>
              </w:rPr>
            </w:r>
            <w:r>
              <w:rPr>
                <w:noProof/>
                <w:webHidden/>
              </w:rPr>
              <w:fldChar w:fldCharType="separate"/>
            </w:r>
            <w:r>
              <w:rPr>
                <w:noProof/>
                <w:webHidden/>
              </w:rPr>
              <w:t>27</w:t>
            </w:r>
            <w:r>
              <w:rPr>
                <w:noProof/>
                <w:webHidden/>
              </w:rPr>
              <w:fldChar w:fldCharType="end"/>
            </w:r>
          </w:hyperlink>
        </w:p>
        <w:p w14:paraId="3B21D7A4" w14:textId="36DF4B3E" w:rsidR="00BC3D4E" w:rsidRDefault="00BC3D4E">
          <w:pPr>
            <w:pStyle w:val="TOC3"/>
            <w:rPr>
              <w:rFonts w:asciiTheme="minorHAnsi" w:eastAsiaTheme="minorEastAsia" w:hAnsiTheme="minorHAnsi" w:cstheme="minorBidi"/>
              <w:noProof/>
              <w:lang w:eastAsia="en-AU"/>
            </w:rPr>
          </w:pPr>
          <w:hyperlink w:anchor="_Toc25227381" w:history="1">
            <w:r w:rsidRPr="00D86E33">
              <w:rPr>
                <w:rStyle w:val="Hyperlink"/>
                <w:noProof/>
              </w:rPr>
              <w:t>Efficacy</w:t>
            </w:r>
            <w:r>
              <w:rPr>
                <w:noProof/>
                <w:webHidden/>
              </w:rPr>
              <w:tab/>
            </w:r>
            <w:r>
              <w:rPr>
                <w:noProof/>
                <w:webHidden/>
              </w:rPr>
              <w:fldChar w:fldCharType="begin"/>
            </w:r>
            <w:r>
              <w:rPr>
                <w:noProof/>
                <w:webHidden/>
              </w:rPr>
              <w:instrText xml:space="preserve"> PAGEREF _Toc25227381 \h </w:instrText>
            </w:r>
            <w:r>
              <w:rPr>
                <w:noProof/>
                <w:webHidden/>
              </w:rPr>
            </w:r>
            <w:r>
              <w:rPr>
                <w:noProof/>
                <w:webHidden/>
              </w:rPr>
              <w:fldChar w:fldCharType="separate"/>
            </w:r>
            <w:r>
              <w:rPr>
                <w:noProof/>
                <w:webHidden/>
              </w:rPr>
              <w:t>28</w:t>
            </w:r>
            <w:r>
              <w:rPr>
                <w:noProof/>
                <w:webHidden/>
              </w:rPr>
              <w:fldChar w:fldCharType="end"/>
            </w:r>
          </w:hyperlink>
        </w:p>
        <w:p w14:paraId="1C5A8C64" w14:textId="043BB43B" w:rsidR="00BC3D4E" w:rsidRDefault="00BC3D4E">
          <w:pPr>
            <w:pStyle w:val="TOC3"/>
            <w:rPr>
              <w:rFonts w:asciiTheme="minorHAnsi" w:eastAsiaTheme="minorEastAsia" w:hAnsiTheme="minorHAnsi" w:cstheme="minorBidi"/>
              <w:noProof/>
              <w:lang w:eastAsia="en-AU"/>
            </w:rPr>
          </w:pPr>
          <w:hyperlink w:anchor="_Toc25227382" w:history="1">
            <w:r w:rsidRPr="00D86E33">
              <w:rPr>
                <w:rStyle w:val="Hyperlink"/>
                <w:noProof/>
              </w:rPr>
              <w:t>Safety</w:t>
            </w:r>
            <w:r>
              <w:rPr>
                <w:noProof/>
                <w:webHidden/>
              </w:rPr>
              <w:tab/>
            </w:r>
            <w:r>
              <w:rPr>
                <w:noProof/>
                <w:webHidden/>
              </w:rPr>
              <w:fldChar w:fldCharType="begin"/>
            </w:r>
            <w:r>
              <w:rPr>
                <w:noProof/>
                <w:webHidden/>
              </w:rPr>
              <w:instrText xml:space="preserve"> PAGEREF _Toc25227382 \h </w:instrText>
            </w:r>
            <w:r>
              <w:rPr>
                <w:noProof/>
                <w:webHidden/>
              </w:rPr>
            </w:r>
            <w:r>
              <w:rPr>
                <w:noProof/>
                <w:webHidden/>
              </w:rPr>
              <w:fldChar w:fldCharType="separate"/>
            </w:r>
            <w:r>
              <w:rPr>
                <w:noProof/>
                <w:webHidden/>
              </w:rPr>
              <w:t>31</w:t>
            </w:r>
            <w:r>
              <w:rPr>
                <w:noProof/>
                <w:webHidden/>
              </w:rPr>
              <w:fldChar w:fldCharType="end"/>
            </w:r>
          </w:hyperlink>
        </w:p>
        <w:p w14:paraId="58C89BB0" w14:textId="6565CEB1" w:rsidR="00BC3D4E" w:rsidRDefault="00BC3D4E">
          <w:pPr>
            <w:pStyle w:val="TOC3"/>
            <w:rPr>
              <w:rFonts w:asciiTheme="minorHAnsi" w:eastAsiaTheme="minorEastAsia" w:hAnsiTheme="minorHAnsi" w:cstheme="minorBidi"/>
              <w:noProof/>
              <w:lang w:eastAsia="en-AU"/>
            </w:rPr>
          </w:pPr>
          <w:hyperlink w:anchor="_Toc25227383" w:history="1">
            <w:r w:rsidRPr="00D86E33">
              <w:rPr>
                <w:rStyle w:val="Hyperlink"/>
                <w:noProof/>
              </w:rPr>
              <w:t>Use of mepolizumab in children with EGPA</w:t>
            </w:r>
            <w:r>
              <w:rPr>
                <w:noProof/>
                <w:webHidden/>
              </w:rPr>
              <w:tab/>
            </w:r>
            <w:r>
              <w:rPr>
                <w:noProof/>
                <w:webHidden/>
              </w:rPr>
              <w:fldChar w:fldCharType="begin"/>
            </w:r>
            <w:r>
              <w:rPr>
                <w:noProof/>
                <w:webHidden/>
              </w:rPr>
              <w:instrText xml:space="preserve"> PAGEREF _Toc25227383 \h </w:instrText>
            </w:r>
            <w:r>
              <w:rPr>
                <w:noProof/>
                <w:webHidden/>
              </w:rPr>
            </w:r>
            <w:r>
              <w:rPr>
                <w:noProof/>
                <w:webHidden/>
              </w:rPr>
              <w:fldChar w:fldCharType="separate"/>
            </w:r>
            <w:r>
              <w:rPr>
                <w:noProof/>
                <w:webHidden/>
              </w:rPr>
              <w:t>47</w:t>
            </w:r>
            <w:r>
              <w:rPr>
                <w:noProof/>
                <w:webHidden/>
              </w:rPr>
              <w:fldChar w:fldCharType="end"/>
            </w:r>
          </w:hyperlink>
        </w:p>
        <w:p w14:paraId="23099418" w14:textId="2FAFDE2D" w:rsidR="00BC3D4E" w:rsidRDefault="00BC3D4E">
          <w:pPr>
            <w:pStyle w:val="TOC3"/>
            <w:rPr>
              <w:rFonts w:asciiTheme="minorHAnsi" w:eastAsiaTheme="minorEastAsia" w:hAnsiTheme="minorHAnsi" w:cstheme="minorBidi"/>
              <w:noProof/>
              <w:lang w:eastAsia="en-AU"/>
            </w:rPr>
          </w:pPr>
          <w:hyperlink w:anchor="_Toc25227384" w:history="1">
            <w:r w:rsidRPr="00D86E33">
              <w:rPr>
                <w:rStyle w:val="Hyperlink"/>
                <w:noProof/>
              </w:rPr>
              <w:t>First round benefit-risk assessment</w:t>
            </w:r>
            <w:r>
              <w:rPr>
                <w:noProof/>
                <w:webHidden/>
              </w:rPr>
              <w:tab/>
            </w:r>
            <w:r>
              <w:rPr>
                <w:noProof/>
                <w:webHidden/>
              </w:rPr>
              <w:fldChar w:fldCharType="begin"/>
            </w:r>
            <w:r>
              <w:rPr>
                <w:noProof/>
                <w:webHidden/>
              </w:rPr>
              <w:instrText xml:space="preserve"> PAGEREF _Toc25227384 \h </w:instrText>
            </w:r>
            <w:r>
              <w:rPr>
                <w:noProof/>
                <w:webHidden/>
              </w:rPr>
            </w:r>
            <w:r>
              <w:rPr>
                <w:noProof/>
                <w:webHidden/>
              </w:rPr>
              <w:fldChar w:fldCharType="separate"/>
            </w:r>
            <w:r>
              <w:rPr>
                <w:noProof/>
                <w:webHidden/>
              </w:rPr>
              <w:t>48</w:t>
            </w:r>
            <w:r>
              <w:rPr>
                <w:noProof/>
                <w:webHidden/>
              </w:rPr>
              <w:fldChar w:fldCharType="end"/>
            </w:r>
          </w:hyperlink>
        </w:p>
        <w:p w14:paraId="41831870" w14:textId="5A4ABAEA" w:rsidR="00BC3D4E" w:rsidRDefault="00BC3D4E">
          <w:pPr>
            <w:pStyle w:val="TOC3"/>
            <w:rPr>
              <w:rFonts w:asciiTheme="minorHAnsi" w:eastAsiaTheme="minorEastAsia" w:hAnsiTheme="minorHAnsi" w:cstheme="minorBidi"/>
              <w:noProof/>
              <w:lang w:eastAsia="en-AU"/>
            </w:rPr>
          </w:pPr>
          <w:hyperlink w:anchor="_Toc25227385" w:history="1">
            <w:r w:rsidRPr="00D86E33">
              <w:rPr>
                <w:rStyle w:val="Hyperlink"/>
                <w:noProof/>
              </w:rPr>
              <w:t>First round recommendation regarding authorisation</w:t>
            </w:r>
            <w:r>
              <w:rPr>
                <w:noProof/>
                <w:webHidden/>
              </w:rPr>
              <w:tab/>
            </w:r>
            <w:r>
              <w:rPr>
                <w:noProof/>
                <w:webHidden/>
              </w:rPr>
              <w:fldChar w:fldCharType="begin"/>
            </w:r>
            <w:r>
              <w:rPr>
                <w:noProof/>
                <w:webHidden/>
              </w:rPr>
              <w:instrText xml:space="preserve"> PAGEREF _Toc25227385 \h </w:instrText>
            </w:r>
            <w:r>
              <w:rPr>
                <w:noProof/>
                <w:webHidden/>
              </w:rPr>
            </w:r>
            <w:r>
              <w:rPr>
                <w:noProof/>
                <w:webHidden/>
              </w:rPr>
              <w:fldChar w:fldCharType="separate"/>
            </w:r>
            <w:r>
              <w:rPr>
                <w:noProof/>
                <w:webHidden/>
              </w:rPr>
              <w:t>51</w:t>
            </w:r>
            <w:r>
              <w:rPr>
                <w:noProof/>
                <w:webHidden/>
              </w:rPr>
              <w:fldChar w:fldCharType="end"/>
            </w:r>
          </w:hyperlink>
        </w:p>
        <w:p w14:paraId="5D4D519C" w14:textId="4899C925" w:rsidR="00BC3D4E" w:rsidRDefault="00BC3D4E">
          <w:pPr>
            <w:pStyle w:val="TOC3"/>
            <w:rPr>
              <w:rFonts w:asciiTheme="minorHAnsi" w:eastAsiaTheme="minorEastAsia" w:hAnsiTheme="minorHAnsi" w:cstheme="minorBidi"/>
              <w:noProof/>
              <w:lang w:eastAsia="en-AU"/>
            </w:rPr>
          </w:pPr>
          <w:hyperlink w:anchor="_Toc25227386" w:history="1">
            <w:r w:rsidRPr="00D86E33">
              <w:rPr>
                <w:rStyle w:val="Hyperlink"/>
                <w:noProof/>
              </w:rPr>
              <w:t>Clinical questions and second round evaluation</w:t>
            </w:r>
            <w:r>
              <w:rPr>
                <w:noProof/>
                <w:webHidden/>
              </w:rPr>
              <w:tab/>
            </w:r>
            <w:r>
              <w:rPr>
                <w:noProof/>
                <w:webHidden/>
              </w:rPr>
              <w:fldChar w:fldCharType="begin"/>
            </w:r>
            <w:r>
              <w:rPr>
                <w:noProof/>
                <w:webHidden/>
              </w:rPr>
              <w:instrText xml:space="preserve"> PAGEREF _Toc25227386 \h </w:instrText>
            </w:r>
            <w:r>
              <w:rPr>
                <w:noProof/>
                <w:webHidden/>
              </w:rPr>
            </w:r>
            <w:r>
              <w:rPr>
                <w:noProof/>
                <w:webHidden/>
              </w:rPr>
              <w:fldChar w:fldCharType="separate"/>
            </w:r>
            <w:r>
              <w:rPr>
                <w:noProof/>
                <w:webHidden/>
              </w:rPr>
              <w:t>51</w:t>
            </w:r>
            <w:r>
              <w:rPr>
                <w:noProof/>
                <w:webHidden/>
              </w:rPr>
              <w:fldChar w:fldCharType="end"/>
            </w:r>
          </w:hyperlink>
        </w:p>
        <w:p w14:paraId="7A40AE1A" w14:textId="427FBAB7" w:rsidR="00BC3D4E" w:rsidRDefault="00BC3D4E">
          <w:pPr>
            <w:pStyle w:val="TOC3"/>
            <w:rPr>
              <w:rFonts w:asciiTheme="minorHAnsi" w:eastAsiaTheme="minorEastAsia" w:hAnsiTheme="minorHAnsi" w:cstheme="minorBidi"/>
              <w:noProof/>
              <w:lang w:eastAsia="en-AU"/>
            </w:rPr>
          </w:pPr>
          <w:hyperlink w:anchor="_Toc25227387" w:history="1">
            <w:r w:rsidRPr="00D86E33">
              <w:rPr>
                <w:rStyle w:val="Hyperlink"/>
                <w:noProof/>
              </w:rPr>
              <w:t>Second round benefit-risk assessment</w:t>
            </w:r>
            <w:r>
              <w:rPr>
                <w:noProof/>
                <w:webHidden/>
              </w:rPr>
              <w:tab/>
            </w:r>
            <w:r>
              <w:rPr>
                <w:noProof/>
                <w:webHidden/>
              </w:rPr>
              <w:fldChar w:fldCharType="begin"/>
            </w:r>
            <w:r>
              <w:rPr>
                <w:noProof/>
                <w:webHidden/>
              </w:rPr>
              <w:instrText xml:space="preserve"> PAGEREF _Toc25227387 \h </w:instrText>
            </w:r>
            <w:r>
              <w:rPr>
                <w:noProof/>
                <w:webHidden/>
              </w:rPr>
            </w:r>
            <w:r>
              <w:rPr>
                <w:noProof/>
                <w:webHidden/>
              </w:rPr>
              <w:fldChar w:fldCharType="separate"/>
            </w:r>
            <w:r>
              <w:rPr>
                <w:noProof/>
                <w:webHidden/>
              </w:rPr>
              <w:t>64</w:t>
            </w:r>
            <w:r>
              <w:rPr>
                <w:noProof/>
                <w:webHidden/>
              </w:rPr>
              <w:fldChar w:fldCharType="end"/>
            </w:r>
          </w:hyperlink>
        </w:p>
        <w:p w14:paraId="1E6412E2" w14:textId="3AF32078" w:rsidR="00BC3D4E" w:rsidRDefault="00BC3D4E">
          <w:pPr>
            <w:pStyle w:val="TOC3"/>
            <w:rPr>
              <w:rFonts w:asciiTheme="minorHAnsi" w:eastAsiaTheme="minorEastAsia" w:hAnsiTheme="minorHAnsi" w:cstheme="minorBidi"/>
              <w:noProof/>
              <w:lang w:eastAsia="en-AU"/>
            </w:rPr>
          </w:pPr>
          <w:hyperlink w:anchor="_Toc25227388" w:history="1">
            <w:r w:rsidRPr="00D86E33">
              <w:rPr>
                <w:rStyle w:val="Hyperlink"/>
                <w:noProof/>
              </w:rPr>
              <w:t>Second round recommendation regarding authorisation</w:t>
            </w:r>
            <w:r>
              <w:rPr>
                <w:noProof/>
                <w:webHidden/>
              </w:rPr>
              <w:tab/>
            </w:r>
            <w:r>
              <w:rPr>
                <w:noProof/>
                <w:webHidden/>
              </w:rPr>
              <w:fldChar w:fldCharType="begin"/>
            </w:r>
            <w:r>
              <w:rPr>
                <w:noProof/>
                <w:webHidden/>
              </w:rPr>
              <w:instrText xml:space="preserve"> PAGEREF _Toc25227388 \h </w:instrText>
            </w:r>
            <w:r>
              <w:rPr>
                <w:noProof/>
                <w:webHidden/>
              </w:rPr>
            </w:r>
            <w:r>
              <w:rPr>
                <w:noProof/>
                <w:webHidden/>
              </w:rPr>
              <w:fldChar w:fldCharType="separate"/>
            </w:r>
            <w:r>
              <w:rPr>
                <w:noProof/>
                <w:webHidden/>
              </w:rPr>
              <w:t>65</w:t>
            </w:r>
            <w:r>
              <w:rPr>
                <w:noProof/>
                <w:webHidden/>
              </w:rPr>
              <w:fldChar w:fldCharType="end"/>
            </w:r>
          </w:hyperlink>
        </w:p>
        <w:p w14:paraId="00353043" w14:textId="31BE384B" w:rsidR="00BC3D4E" w:rsidRDefault="00BC3D4E">
          <w:pPr>
            <w:pStyle w:val="TOC2"/>
            <w:rPr>
              <w:rFonts w:asciiTheme="minorHAnsi" w:eastAsiaTheme="minorEastAsia" w:hAnsiTheme="minorHAnsi" w:cstheme="minorBidi"/>
              <w:b w:val="0"/>
              <w:noProof/>
              <w:sz w:val="22"/>
              <w:lang w:eastAsia="en-AU"/>
            </w:rPr>
          </w:pPr>
          <w:hyperlink w:anchor="_Toc25227389" w:history="1">
            <w:r w:rsidRPr="00D86E33">
              <w:rPr>
                <w:rStyle w:val="Hyperlink"/>
                <w:noProof/>
              </w:rPr>
              <w:t>VI. Pharmacovigilance findings</w:t>
            </w:r>
            <w:r>
              <w:rPr>
                <w:noProof/>
                <w:webHidden/>
              </w:rPr>
              <w:tab/>
            </w:r>
            <w:r>
              <w:rPr>
                <w:noProof/>
                <w:webHidden/>
              </w:rPr>
              <w:fldChar w:fldCharType="begin"/>
            </w:r>
            <w:r>
              <w:rPr>
                <w:noProof/>
                <w:webHidden/>
              </w:rPr>
              <w:instrText xml:space="preserve"> PAGEREF _Toc25227389 \h </w:instrText>
            </w:r>
            <w:r>
              <w:rPr>
                <w:noProof/>
                <w:webHidden/>
              </w:rPr>
            </w:r>
            <w:r>
              <w:rPr>
                <w:noProof/>
                <w:webHidden/>
              </w:rPr>
              <w:fldChar w:fldCharType="separate"/>
            </w:r>
            <w:r>
              <w:rPr>
                <w:noProof/>
                <w:webHidden/>
              </w:rPr>
              <w:t>65</w:t>
            </w:r>
            <w:r>
              <w:rPr>
                <w:noProof/>
                <w:webHidden/>
              </w:rPr>
              <w:fldChar w:fldCharType="end"/>
            </w:r>
          </w:hyperlink>
        </w:p>
        <w:p w14:paraId="13892ABF" w14:textId="65F3F4D7" w:rsidR="00BC3D4E" w:rsidRDefault="00BC3D4E">
          <w:pPr>
            <w:pStyle w:val="TOC2"/>
            <w:rPr>
              <w:rFonts w:asciiTheme="minorHAnsi" w:eastAsiaTheme="minorEastAsia" w:hAnsiTheme="minorHAnsi" w:cstheme="minorBidi"/>
              <w:b w:val="0"/>
              <w:noProof/>
              <w:sz w:val="22"/>
              <w:lang w:eastAsia="en-AU"/>
            </w:rPr>
          </w:pPr>
          <w:hyperlink w:anchor="_Toc25227390" w:history="1">
            <w:r w:rsidRPr="00D86E33">
              <w:rPr>
                <w:rStyle w:val="Hyperlink"/>
                <w:noProof/>
              </w:rPr>
              <w:t>VII. Overall conclusion and risk/benefit assessment</w:t>
            </w:r>
            <w:r>
              <w:rPr>
                <w:noProof/>
                <w:webHidden/>
              </w:rPr>
              <w:tab/>
            </w:r>
            <w:r>
              <w:rPr>
                <w:noProof/>
                <w:webHidden/>
              </w:rPr>
              <w:fldChar w:fldCharType="begin"/>
            </w:r>
            <w:r>
              <w:rPr>
                <w:noProof/>
                <w:webHidden/>
              </w:rPr>
              <w:instrText xml:space="preserve"> PAGEREF _Toc25227390 \h </w:instrText>
            </w:r>
            <w:r>
              <w:rPr>
                <w:noProof/>
                <w:webHidden/>
              </w:rPr>
            </w:r>
            <w:r>
              <w:rPr>
                <w:noProof/>
                <w:webHidden/>
              </w:rPr>
              <w:fldChar w:fldCharType="separate"/>
            </w:r>
            <w:r>
              <w:rPr>
                <w:noProof/>
                <w:webHidden/>
              </w:rPr>
              <w:t>65</w:t>
            </w:r>
            <w:r>
              <w:rPr>
                <w:noProof/>
                <w:webHidden/>
              </w:rPr>
              <w:fldChar w:fldCharType="end"/>
            </w:r>
          </w:hyperlink>
        </w:p>
        <w:p w14:paraId="1039A1E8" w14:textId="06BE7157" w:rsidR="00BC3D4E" w:rsidRDefault="00BC3D4E">
          <w:pPr>
            <w:pStyle w:val="TOC3"/>
            <w:rPr>
              <w:rFonts w:asciiTheme="minorHAnsi" w:eastAsiaTheme="minorEastAsia" w:hAnsiTheme="minorHAnsi" w:cstheme="minorBidi"/>
              <w:noProof/>
              <w:lang w:eastAsia="en-AU"/>
            </w:rPr>
          </w:pPr>
          <w:hyperlink w:anchor="_Toc25227391" w:history="1">
            <w:r w:rsidRPr="00D86E33">
              <w:rPr>
                <w:rStyle w:val="Hyperlink"/>
                <w:noProof/>
              </w:rPr>
              <w:t>Background</w:t>
            </w:r>
            <w:r>
              <w:rPr>
                <w:noProof/>
                <w:webHidden/>
              </w:rPr>
              <w:tab/>
            </w:r>
            <w:r>
              <w:rPr>
                <w:noProof/>
                <w:webHidden/>
              </w:rPr>
              <w:fldChar w:fldCharType="begin"/>
            </w:r>
            <w:r>
              <w:rPr>
                <w:noProof/>
                <w:webHidden/>
              </w:rPr>
              <w:instrText xml:space="preserve"> PAGEREF _Toc25227391 \h </w:instrText>
            </w:r>
            <w:r>
              <w:rPr>
                <w:noProof/>
                <w:webHidden/>
              </w:rPr>
            </w:r>
            <w:r>
              <w:rPr>
                <w:noProof/>
                <w:webHidden/>
              </w:rPr>
              <w:fldChar w:fldCharType="separate"/>
            </w:r>
            <w:r>
              <w:rPr>
                <w:noProof/>
                <w:webHidden/>
              </w:rPr>
              <w:t>65</w:t>
            </w:r>
            <w:r>
              <w:rPr>
                <w:noProof/>
                <w:webHidden/>
              </w:rPr>
              <w:fldChar w:fldCharType="end"/>
            </w:r>
          </w:hyperlink>
        </w:p>
        <w:p w14:paraId="0E04EBD3" w14:textId="3DCB26CF" w:rsidR="00BC3D4E" w:rsidRDefault="00BC3D4E">
          <w:pPr>
            <w:pStyle w:val="TOC3"/>
            <w:rPr>
              <w:rFonts w:asciiTheme="minorHAnsi" w:eastAsiaTheme="minorEastAsia" w:hAnsiTheme="minorHAnsi" w:cstheme="minorBidi"/>
              <w:noProof/>
              <w:lang w:eastAsia="en-AU"/>
            </w:rPr>
          </w:pPr>
          <w:hyperlink w:anchor="_Toc25227392" w:history="1">
            <w:r w:rsidRPr="00D86E33">
              <w:rPr>
                <w:rStyle w:val="Hyperlink"/>
                <w:noProof/>
              </w:rPr>
              <w:t>Quality</w:t>
            </w:r>
            <w:r>
              <w:rPr>
                <w:noProof/>
                <w:webHidden/>
              </w:rPr>
              <w:tab/>
            </w:r>
            <w:r>
              <w:rPr>
                <w:noProof/>
                <w:webHidden/>
              </w:rPr>
              <w:fldChar w:fldCharType="begin"/>
            </w:r>
            <w:r>
              <w:rPr>
                <w:noProof/>
                <w:webHidden/>
              </w:rPr>
              <w:instrText xml:space="preserve"> PAGEREF _Toc25227392 \h </w:instrText>
            </w:r>
            <w:r>
              <w:rPr>
                <w:noProof/>
                <w:webHidden/>
              </w:rPr>
            </w:r>
            <w:r>
              <w:rPr>
                <w:noProof/>
                <w:webHidden/>
              </w:rPr>
              <w:fldChar w:fldCharType="separate"/>
            </w:r>
            <w:r>
              <w:rPr>
                <w:noProof/>
                <w:webHidden/>
              </w:rPr>
              <w:t>66</w:t>
            </w:r>
            <w:r>
              <w:rPr>
                <w:noProof/>
                <w:webHidden/>
              </w:rPr>
              <w:fldChar w:fldCharType="end"/>
            </w:r>
          </w:hyperlink>
        </w:p>
        <w:p w14:paraId="6DD7BF91" w14:textId="2D52717B" w:rsidR="00BC3D4E" w:rsidRDefault="00BC3D4E">
          <w:pPr>
            <w:pStyle w:val="TOC3"/>
            <w:rPr>
              <w:rFonts w:asciiTheme="minorHAnsi" w:eastAsiaTheme="minorEastAsia" w:hAnsiTheme="minorHAnsi" w:cstheme="minorBidi"/>
              <w:noProof/>
              <w:lang w:eastAsia="en-AU"/>
            </w:rPr>
          </w:pPr>
          <w:hyperlink w:anchor="_Toc25227393" w:history="1">
            <w:r w:rsidRPr="00D86E33">
              <w:rPr>
                <w:rStyle w:val="Hyperlink"/>
                <w:noProof/>
              </w:rPr>
              <w:t>Nonclinical</w:t>
            </w:r>
            <w:r>
              <w:rPr>
                <w:noProof/>
                <w:webHidden/>
              </w:rPr>
              <w:tab/>
            </w:r>
            <w:r>
              <w:rPr>
                <w:noProof/>
                <w:webHidden/>
              </w:rPr>
              <w:fldChar w:fldCharType="begin"/>
            </w:r>
            <w:r>
              <w:rPr>
                <w:noProof/>
                <w:webHidden/>
              </w:rPr>
              <w:instrText xml:space="preserve"> PAGEREF _Toc25227393 \h </w:instrText>
            </w:r>
            <w:r>
              <w:rPr>
                <w:noProof/>
                <w:webHidden/>
              </w:rPr>
            </w:r>
            <w:r>
              <w:rPr>
                <w:noProof/>
                <w:webHidden/>
              </w:rPr>
              <w:fldChar w:fldCharType="separate"/>
            </w:r>
            <w:r>
              <w:rPr>
                <w:noProof/>
                <w:webHidden/>
              </w:rPr>
              <w:t>66</w:t>
            </w:r>
            <w:r>
              <w:rPr>
                <w:noProof/>
                <w:webHidden/>
              </w:rPr>
              <w:fldChar w:fldCharType="end"/>
            </w:r>
          </w:hyperlink>
        </w:p>
        <w:p w14:paraId="08DD1FBC" w14:textId="4A3DE10F" w:rsidR="00BC3D4E" w:rsidRDefault="00BC3D4E">
          <w:pPr>
            <w:pStyle w:val="TOC3"/>
            <w:rPr>
              <w:rFonts w:asciiTheme="minorHAnsi" w:eastAsiaTheme="minorEastAsia" w:hAnsiTheme="minorHAnsi" w:cstheme="minorBidi"/>
              <w:noProof/>
              <w:lang w:eastAsia="en-AU"/>
            </w:rPr>
          </w:pPr>
          <w:hyperlink w:anchor="_Toc25227394" w:history="1">
            <w:r w:rsidRPr="00D86E33">
              <w:rPr>
                <w:rStyle w:val="Hyperlink"/>
                <w:noProof/>
              </w:rPr>
              <w:t>Clinical</w:t>
            </w:r>
            <w:r>
              <w:rPr>
                <w:noProof/>
                <w:webHidden/>
              </w:rPr>
              <w:tab/>
            </w:r>
            <w:r>
              <w:rPr>
                <w:noProof/>
                <w:webHidden/>
              </w:rPr>
              <w:fldChar w:fldCharType="begin"/>
            </w:r>
            <w:r>
              <w:rPr>
                <w:noProof/>
                <w:webHidden/>
              </w:rPr>
              <w:instrText xml:space="preserve"> PAGEREF _Toc25227394 \h </w:instrText>
            </w:r>
            <w:r>
              <w:rPr>
                <w:noProof/>
                <w:webHidden/>
              </w:rPr>
            </w:r>
            <w:r>
              <w:rPr>
                <w:noProof/>
                <w:webHidden/>
              </w:rPr>
              <w:fldChar w:fldCharType="separate"/>
            </w:r>
            <w:r>
              <w:rPr>
                <w:noProof/>
                <w:webHidden/>
              </w:rPr>
              <w:t>67</w:t>
            </w:r>
            <w:r>
              <w:rPr>
                <w:noProof/>
                <w:webHidden/>
              </w:rPr>
              <w:fldChar w:fldCharType="end"/>
            </w:r>
          </w:hyperlink>
        </w:p>
        <w:p w14:paraId="2617374E" w14:textId="417FCAC8" w:rsidR="00BC3D4E" w:rsidRDefault="00BC3D4E">
          <w:pPr>
            <w:pStyle w:val="TOC3"/>
            <w:rPr>
              <w:rFonts w:asciiTheme="minorHAnsi" w:eastAsiaTheme="minorEastAsia" w:hAnsiTheme="minorHAnsi" w:cstheme="minorBidi"/>
              <w:noProof/>
              <w:lang w:eastAsia="en-AU"/>
            </w:rPr>
          </w:pPr>
          <w:hyperlink w:anchor="_Toc25227395" w:history="1">
            <w:r w:rsidRPr="00D86E33">
              <w:rPr>
                <w:rStyle w:val="Hyperlink"/>
                <w:noProof/>
              </w:rPr>
              <w:t>Risk management plan</w:t>
            </w:r>
            <w:r>
              <w:rPr>
                <w:noProof/>
                <w:webHidden/>
              </w:rPr>
              <w:tab/>
            </w:r>
            <w:r>
              <w:rPr>
                <w:noProof/>
                <w:webHidden/>
              </w:rPr>
              <w:fldChar w:fldCharType="begin"/>
            </w:r>
            <w:r>
              <w:rPr>
                <w:noProof/>
                <w:webHidden/>
              </w:rPr>
              <w:instrText xml:space="preserve"> PAGEREF _Toc25227395 \h </w:instrText>
            </w:r>
            <w:r>
              <w:rPr>
                <w:noProof/>
                <w:webHidden/>
              </w:rPr>
            </w:r>
            <w:r>
              <w:rPr>
                <w:noProof/>
                <w:webHidden/>
              </w:rPr>
              <w:fldChar w:fldCharType="separate"/>
            </w:r>
            <w:r>
              <w:rPr>
                <w:noProof/>
                <w:webHidden/>
              </w:rPr>
              <w:t>71</w:t>
            </w:r>
            <w:r>
              <w:rPr>
                <w:noProof/>
                <w:webHidden/>
              </w:rPr>
              <w:fldChar w:fldCharType="end"/>
            </w:r>
          </w:hyperlink>
        </w:p>
        <w:p w14:paraId="63B1742A" w14:textId="70A7E68C" w:rsidR="00BC3D4E" w:rsidRDefault="00BC3D4E">
          <w:pPr>
            <w:pStyle w:val="TOC3"/>
            <w:rPr>
              <w:rFonts w:asciiTheme="minorHAnsi" w:eastAsiaTheme="minorEastAsia" w:hAnsiTheme="minorHAnsi" w:cstheme="minorBidi"/>
              <w:noProof/>
              <w:lang w:eastAsia="en-AU"/>
            </w:rPr>
          </w:pPr>
          <w:hyperlink w:anchor="_Toc25227396" w:history="1">
            <w:r w:rsidRPr="00D86E33">
              <w:rPr>
                <w:rStyle w:val="Hyperlink"/>
                <w:noProof/>
              </w:rPr>
              <w:t>Risk-benefit analysis</w:t>
            </w:r>
            <w:r>
              <w:rPr>
                <w:noProof/>
                <w:webHidden/>
              </w:rPr>
              <w:tab/>
            </w:r>
            <w:r>
              <w:rPr>
                <w:noProof/>
                <w:webHidden/>
              </w:rPr>
              <w:fldChar w:fldCharType="begin"/>
            </w:r>
            <w:r>
              <w:rPr>
                <w:noProof/>
                <w:webHidden/>
              </w:rPr>
              <w:instrText xml:space="preserve"> PAGEREF _Toc25227396 \h </w:instrText>
            </w:r>
            <w:r>
              <w:rPr>
                <w:noProof/>
                <w:webHidden/>
              </w:rPr>
            </w:r>
            <w:r>
              <w:rPr>
                <w:noProof/>
                <w:webHidden/>
              </w:rPr>
              <w:fldChar w:fldCharType="separate"/>
            </w:r>
            <w:r>
              <w:rPr>
                <w:noProof/>
                <w:webHidden/>
              </w:rPr>
              <w:t>73</w:t>
            </w:r>
            <w:r>
              <w:rPr>
                <w:noProof/>
                <w:webHidden/>
              </w:rPr>
              <w:fldChar w:fldCharType="end"/>
            </w:r>
          </w:hyperlink>
        </w:p>
        <w:p w14:paraId="29C25E61" w14:textId="4A9EF36D" w:rsidR="00BC3D4E" w:rsidRDefault="00BC3D4E">
          <w:pPr>
            <w:pStyle w:val="TOC3"/>
            <w:rPr>
              <w:rFonts w:asciiTheme="minorHAnsi" w:eastAsiaTheme="minorEastAsia" w:hAnsiTheme="minorHAnsi" w:cstheme="minorBidi"/>
              <w:noProof/>
              <w:lang w:eastAsia="en-AU"/>
            </w:rPr>
          </w:pPr>
          <w:hyperlink w:anchor="_Toc25227397" w:history="1">
            <w:r w:rsidRPr="00D86E33">
              <w:rPr>
                <w:rStyle w:val="Hyperlink"/>
                <w:noProof/>
              </w:rPr>
              <w:t>Outcome</w:t>
            </w:r>
            <w:r>
              <w:rPr>
                <w:noProof/>
                <w:webHidden/>
              </w:rPr>
              <w:tab/>
            </w:r>
            <w:r>
              <w:rPr>
                <w:noProof/>
                <w:webHidden/>
              </w:rPr>
              <w:fldChar w:fldCharType="begin"/>
            </w:r>
            <w:r>
              <w:rPr>
                <w:noProof/>
                <w:webHidden/>
              </w:rPr>
              <w:instrText xml:space="preserve"> PAGEREF _Toc25227397 \h </w:instrText>
            </w:r>
            <w:r>
              <w:rPr>
                <w:noProof/>
                <w:webHidden/>
              </w:rPr>
            </w:r>
            <w:r>
              <w:rPr>
                <w:noProof/>
                <w:webHidden/>
              </w:rPr>
              <w:fldChar w:fldCharType="separate"/>
            </w:r>
            <w:r>
              <w:rPr>
                <w:noProof/>
                <w:webHidden/>
              </w:rPr>
              <w:t>83</w:t>
            </w:r>
            <w:r>
              <w:rPr>
                <w:noProof/>
                <w:webHidden/>
              </w:rPr>
              <w:fldChar w:fldCharType="end"/>
            </w:r>
          </w:hyperlink>
        </w:p>
        <w:p w14:paraId="20AB7107" w14:textId="0317417D" w:rsidR="00BC3D4E" w:rsidRDefault="00BC3D4E">
          <w:pPr>
            <w:pStyle w:val="TOC2"/>
            <w:rPr>
              <w:rFonts w:asciiTheme="minorHAnsi" w:eastAsiaTheme="minorEastAsia" w:hAnsiTheme="minorHAnsi" w:cstheme="minorBidi"/>
              <w:b w:val="0"/>
              <w:noProof/>
              <w:sz w:val="22"/>
              <w:lang w:eastAsia="en-AU"/>
            </w:rPr>
          </w:pPr>
          <w:hyperlink w:anchor="_Toc25227398" w:history="1">
            <w:r w:rsidRPr="00D86E33">
              <w:rPr>
                <w:rStyle w:val="Hyperlink"/>
                <w:noProof/>
              </w:rPr>
              <w:t>Attachment 1. Product Information</w:t>
            </w:r>
            <w:r>
              <w:rPr>
                <w:noProof/>
                <w:webHidden/>
              </w:rPr>
              <w:tab/>
            </w:r>
            <w:r>
              <w:rPr>
                <w:noProof/>
                <w:webHidden/>
              </w:rPr>
              <w:fldChar w:fldCharType="begin"/>
            </w:r>
            <w:r>
              <w:rPr>
                <w:noProof/>
                <w:webHidden/>
              </w:rPr>
              <w:instrText xml:space="preserve"> PAGEREF _Toc25227398 \h </w:instrText>
            </w:r>
            <w:r>
              <w:rPr>
                <w:noProof/>
                <w:webHidden/>
              </w:rPr>
            </w:r>
            <w:r>
              <w:rPr>
                <w:noProof/>
                <w:webHidden/>
              </w:rPr>
              <w:fldChar w:fldCharType="separate"/>
            </w:r>
            <w:r>
              <w:rPr>
                <w:noProof/>
                <w:webHidden/>
              </w:rPr>
              <w:t>84</w:t>
            </w:r>
            <w:r>
              <w:rPr>
                <w:noProof/>
                <w:webHidden/>
              </w:rPr>
              <w:fldChar w:fldCharType="end"/>
            </w:r>
          </w:hyperlink>
        </w:p>
        <w:p w14:paraId="546626D1" w14:textId="517E2209" w:rsidR="003A7F6C" w:rsidRPr="00B811C6" w:rsidRDefault="00DB6124" w:rsidP="00B811C6">
          <w:pPr>
            <w:pStyle w:val="TOC2"/>
          </w:pPr>
          <w:r>
            <w:lastRenderedPageBreak/>
            <w:fldChar w:fldCharType="end"/>
          </w:r>
        </w:p>
      </w:sdtContent>
    </w:sdt>
    <w:bookmarkStart w:id="3" w:name="_Toc314842482" w:displacedByCustomXml="prev"/>
    <w:p w14:paraId="6DEC017B" w14:textId="77777777" w:rsidR="00FD119B" w:rsidRDefault="00FD119B">
      <w:pPr>
        <w:spacing w:before="0" w:after="200" w:line="0" w:lineRule="auto"/>
      </w:pPr>
      <w:r>
        <w:br w:type="page"/>
      </w:r>
    </w:p>
    <w:p w14:paraId="1201B88F" w14:textId="77777777" w:rsidR="00C52E24" w:rsidRPr="00C52E24" w:rsidRDefault="00441C3F" w:rsidP="00AF7B2C">
      <w:pPr>
        <w:pStyle w:val="Heading2"/>
      </w:pPr>
      <w:bookmarkStart w:id="4" w:name="_Toc351716269"/>
      <w:bookmarkStart w:id="5" w:name="_Toc351718881"/>
      <w:bookmarkStart w:id="6" w:name="_Toc355338616"/>
      <w:bookmarkStart w:id="7" w:name="_Toc356306144"/>
      <w:bookmarkStart w:id="8" w:name="_Toc25227365"/>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718"/>
        <w:gridCol w:w="6563"/>
      </w:tblGrid>
      <w:tr w:rsidR="00FD119B" w:rsidRPr="00AF7B2C" w14:paraId="62F6249C" w14:textId="77777777" w:rsidTr="00AF7B2C">
        <w:trPr>
          <w:cnfStyle w:val="100000000000" w:firstRow="1" w:lastRow="0" w:firstColumn="0" w:lastColumn="0" w:oddVBand="0" w:evenVBand="0" w:oddHBand="0" w:evenHBand="0" w:firstRowFirstColumn="0" w:firstRowLastColumn="0" w:lastRowFirstColumn="0" w:lastRowLastColumn="0"/>
          <w:trHeight w:val="70"/>
        </w:trPr>
        <w:tc>
          <w:tcPr>
            <w:tcW w:w="1718" w:type="dxa"/>
          </w:tcPr>
          <w:p w14:paraId="6711F693" w14:textId="77777777" w:rsidR="00FD119B" w:rsidRPr="00AF7B2C" w:rsidRDefault="00FD119B" w:rsidP="00AF7B2C">
            <w:pPr>
              <w:keepNext w:val="0"/>
              <w:ind w:left="0" w:right="0"/>
              <w:rPr>
                <w:szCs w:val="22"/>
                <w:lang w:eastAsia="en-US"/>
              </w:rPr>
            </w:pPr>
            <w:r w:rsidRPr="00AF7B2C">
              <w:rPr>
                <w:szCs w:val="22"/>
                <w:lang w:eastAsia="en-US"/>
              </w:rPr>
              <w:t>Abbreviation</w:t>
            </w:r>
          </w:p>
        </w:tc>
        <w:tc>
          <w:tcPr>
            <w:tcW w:w="6563" w:type="dxa"/>
          </w:tcPr>
          <w:p w14:paraId="372D612F" w14:textId="77777777" w:rsidR="00FD119B" w:rsidRPr="00AF7B2C" w:rsidRDefault="00FD119B" w:rsidP="00AF7B2C">
            <w:pPr>
              <w:keepNext w:val="0"/>
              <w:ind w:left="0" w:right="0"/>
              <w:rPr>
                <w:szCs w:val="22"/>
                <w:lang w:eastAsia="en-US"/>
              </w:rPr>
            </w:pPr>
            <w:r w:rsidRPr="00AF7B2C">
              <w:rPr>
                <w:szCs w:val="22"/>
                <w:lang w:eastAsia="en-US"/>
              </w:rPr>
              <w:t>Meaning</w:t>
            </w:r>
          </w:p>
        </w:tc>
      </w:tr>
      <w:tr w:rsidR="006850B7" w:rsidRPr="00AF7B2C" w14:paraId="7213FC78" w14:textId="77777777" w:rsidTr="00AF7B2C">
        <w:trPr>
          <w:trHeight w:val="70"/>
        </w:trPr>
        <w:tc>
          <w:tcPr>
            <w:tcW w:w="1718" w:type="dxa"/>
          </w:tcPr>
          <w:p w14:paraId="17E75B07" w14:textId="77777777" w:rsidR="006850B7" w:rsidRPr="00AF7B2C" w:rsidRDefault="006850B7" w:rsidP="00AF7B2C">
            <w:r>
              <w:t>ACM</w:t>
            </w:r>
          </w:p>
        </w:tc>
        <w:tc>
          <w:tcPr>
            <w:tcW w:w="6563" w:type="dxa"/>
          </w:tcPr>
          <w:p w14:paraId="219BD3AB" w14:textId="77777777" w:rsidR="006850B7" w:rsidRPr="00AF7B2C" w:rsidRDefault="006850B7" w:rsidP="00AF7B2C">
            <w:pPr>
              <w:rPr>
                <w:rFonts w:eastAsia="TimesNewRoman" w:cs="TimesNewRoman"/>
              </w:rPr>
            </w:pPr>
            <w:r>
              <w:rPr>
                <w:rFonts w:eastAsia="TimesNewRoman" w:cs="TimesNewRoman"/>
              </w:rPr>
              <w:t>Advisory Committee on Medicines</w:t>
            </w:r>
          </w:p>
        </w:tc>
      </w:tr>
      <w:tr w:rsidR="00AF7B2C" w:rsidRPr="00AF7B2C" w14:paraId="36EA5D87" w14:textId="77777777" w:rsidTr="00AF7B2C">
        <w:trPr>
          <w:trHeight w:val="70"/>
        </w:trPr>
        <w:tc>
          <w:tcPr>
            <w:tcW w:w="1718" w:type="dxa"/>
          </w:tcPr>
          <w:p w14:paraId="03C96E06" w14:textId="77777777" w:rsidR="00AF7B2C" w:rsidRPr="00AF7B2C" w:rsidRDefault="00AF7B2C" w:rsidP="00AF7B2C">
            <w:pPr>
              <w:rPr>
                <w:szCs w:val="22"/>
              </w:rPr>
            </w:pPr>
            <w:r w:rsidRPr="00AF7B2C">
              <w:rPr>
                <w:szCs w:val="22"/>
              </w:rPr>
              <w:t>ACR</w:t>
            </w:r>
          </w:p>
        </w:tc>
        <w:tc>
          <w:tcPr>
            <w:tcW w:w="6563" w:type="dxa"/>
          </w:tcPr>
          <w:p w14:paraId="618E9B58" w14:textId="77777777" w:rsidR="00AF7B2C" w:rsidRPr="00AF7B2C" w:rsidRDefault="00AF7B2C" w:rsidP="00AF7B2C">
            <w:pPr>
              <w:rPr>
                <w:szCs w:val="22"/>
              </w:rPr>
            </w:pPr>
            <w:r w:rsidRPr="00AF7B2C">
              <w:rPr>
                <w:rFonts w:eastAsia="TimesNewRoman" w:cs="TimesNewRoman"/>
                <w:szCs w:val="22"/>
              </w:rPr>
              <w:t>American College of Rheumatology</w:t>
            </w:r>
          </w:p>
        </w:tc>
      </w:tr>
      <w:tr w:rsidR="00AF7B2C" w:rsidRPr="00AF7B2C" w14:paraId="34876C6B" w14:textId="77777777" w:rsidTr="00AF7B2C">
        <w:trPr>
          <w:trHeight w:val="70"/>
        </w:trPr>
        <w:tc>
          <w:tcPr>
            <w:tcW w:w="1718" w:type="dxa"/>
          </w:tcPr>
          <w:p w14:paraId="5812E6B9" w14:textId="77777777" w:rsidR="00AF7B2C" w:rsidRPr="00AF7B2C" w:rsidRDefault="00AF7B2C" w:rsidP="00AF7B2C">
            <w:pPr>
              <w:rPr>
                <w:szCs w:val="22"/>
              </w:rPr>
            </w:pPr>
            <w:r w:rsidRPr="00AF7B2C">
              <w:rPr>
                <w:szCs w:val="22"/>
              </w:rPr>
              <w:t>ACQ-6</w:t>
            </w:r>
          </w:p>
        </w:tc>
        <w:tc>
          <w:tcPr>
            <w:tcW w:w="6563" w:type="dxa"/>
          </w:tcPr>
          <w:p w14:paraId="682A2983" w14:textId="63A9668A" w:rsidR="00AF7B2C" w:rsidRPr="00AF7B2C" w:rsidRDefault="00E03BA3" w:rsidP="00AF7B2C">
            <w:pPr>
              <w:rPr>
                <w:szCs w:val="22"/>
              </w:rPr>
            </w:pPr>
            <w:r>
              <w:rPr>
                <w:szCs w:val="22"/>
              </w:rPr>
              <w:t xml:space="preserve">Asthma </w:t>
            </w:r>
            <w:r w:rsidR="00B4206F">
              <w:rPr>
                <w:szCs w:val="22"/>
              </w:rPr>
              <w:t>C</w:t>
            </w:r>
            <w:r>
              <w:rPr>
                <w:szCs w:val="22"/>
              </w:rPr>
              <w:t xml:space="preserve">ontrol </w:t>
            </w:r>
            <w:r w:rsidR="00B4206F">
              <w:rPr>
                <w:szCs w:val="22"/>
              </w:rPr>
              <w:t>Q</w:t>
            </w:r>
            <w:r>
              <w:rPr>
                <w:szCs w:val="22"/>
              </w:rPr>
              <w:t>uestionnaire-</w:t>
            </w:r>
            <w:r w:rsidR="00AF7B2C" w:rsidRPr="00AF7B2C">
              <w:rPr>
                <w:szCs w:val="22"/>
              </w:rPr>
              <w:t>6</w:t>
            </w:r>
          </w:p>
        </w:tc>
      </w:tr>
      <w:tr w:rsidR="00AF7B2C" w:rsidRPr="00AF7B2C" w14:paraId="52842E31" w14:textId="77777777" w:rsidTr="00AF7B2C">
        <w:trPr>
          <w:trHeight w:val="70"/>
        </w:trPr>
        <w:tc>
          <w:tcPr>
            <w:tcW w:w="1718" w:type="dxa"/>
          </w:tcPr>
          <w:p w14:paraId="4A5718F1" w14:textId="77777777" w:rsidR="00AF7B2C" w:rsidRPr="00AF7B2C" w:rsidRDefault="00AF7B2C" w:rsidP="00AF7B2C">
            <w:pPr>
              <w:rPr>
                <w:szCs w:val="22"/>
              </w:rPr>
            </w:pPr>
            <w:r w:rsidRPr="00AF7B2C">
              <w:rPr>
                <w:szCs w:val="22"/>
              </w:rPr>
              <w:t>ADA</w:t>
            </w:r>
          </w:p>
        </w:tc>
        <w:tc>
          <w:tcPr>
            <w:tcW w:w="6563" w:type="dxa"/>
          </w:tcPr>
          <w:p w14:paraId="0A64A7C0" w14:textId="77777777" w:rsidR="00AF7B2C" w:rsidRPr="00AF7B2C" w:rsidRDefault="00AF7B2C" w:rsidP="00AF7B2C">
            <w:pPr>
              <w:rPr>
                <w:szCs w:val="22"/>
              </w:rPr>
            </w:pPr>
            <w:r w:rsidRPr="00AF7B2C">
              <w:rPr>
                <w:szCs w:val="22"/>
              </w:rPr>
              <w:t>Anti</w:t>
            </w:r>
            <w:r w:rsidR="00954304">
              <w:rPr>
                <w:szCs w:val="22"/>
              </w:rPr>
              <w:t>-</w:t>
            </w:r>
            <w:r w:rsidRPr="00AF7B2C">
              <w:rPr>
                <w:szCs w:val="22"/>
              </w:rPr>
              <w:t>drug antibody</w:t>
            </w:r>
          </w:p>
        </w:tc>
      </w:tr>
      <w:tr w:rsidR="00AF7B2C" w:rsidRPr="00AF7B2C" w14:paraId="7982EBB3" w14:textId="77777777" w:rsidTr="00AF7B2C">
        <w:trPr>
          <w:trHeight w:val="70"/>
        </w:trPr>
        <w:tc>
          <w:tcPr>
            <w:tcW w:w="1718" w:type="dxa"/>
          </w:tcPr>
          <w:p w14:paraId="33ECE58B" w14:textId="77777777" w:rsidR="00AF7B2C" w:rsidRPr="00AF7B2C" w:rsidRDefault="00AF7B2C" w:rsidP="00AF7B2C">
            <w:pPr>
              <w:rPr>
                <w:szCs w:val="22"/>
              </w:rPr>
            </w:pPr>
            <w:r w:rsidRPr="00AF7B2C">
              <w:rPr>
                <w:szCs w:val="22"/>
              </w:rPr>
              <w:t>AE</w:t>
            </w:r>
          </w:p>
        </w:tc>
        <w:tc>
          <w:tcPr>
            <w:tcW w:w="6563" w:type="dxa"/>
          </w:tcPr>
          <w:p w14:paraId="222ED3E0" w14:textId="77777777" w:rsidR="00AF7B2C" w:rsidRPr="00AF7B2C" w:rsidRDefault="00AF7B2C" w:rsidP="00AF7B2C">
            <w:pPr>
              <w:rPr>
                <w:szCs w:val="22"/>
              </w:rPr>
            </w:pPr>
            <w:r w:rsidRPr="00AF7B2C">
              <w:rPr>
                <w:szCs w:val="22"/>
              </w:rPr>
              <w:t>Adverse event</w:t>
            </w:r>
          </w:p>
        </w:tc>
      </w:tr>
      <w:tr w:rsidR="00AF7B2C" w:rsidRPr="00AF7B2C" w14:paraId="14138675" w14:textId="77777777" w:rsidTr="00AF7B2C">
        <w:trPr>
          <w:trHeight w:val="70"/>
        </w:trPr>
        <w:tc>
          <w:tcPr>
            <w:tcW w:w="1718" w:type="dxa"/>
          </w:tcPr>
          <w:p w14:paraId="2E991C21" w14:textId="77777777" w:rsidR="00AF7B2C" w:rsidRPr="00AF7B2C" w:rsidRDefault="00AF7B2C" w:rsidP="00AF7B2C">
            <w:pPr>
              <w:rPr>
                <w:szCs w:val="22"/>
              </w:rPr>
            </w:pPr>
            <w:r w:rsidRPr="00AF7B2C">
              <w:rPr>
                <w:szCs w:val="22"/>
              </w:rPr>
              <w:t>ALT</w:t>
            </w:r>
          </w:p>
        </w:tc>
        <w:tc>
          <w:tcPr>
            <w:tcW w:w="6563" w:type="dxa"/>
          </w:tcPr>
          <w:p w14:paraId="42D8D942" w14:textId="77777777" w:rsidR="00AF7B2C" w:rsidRPr="00AF7B2C" w:rsidRDefault="00AF7B2C" w:rsidP="00AF7B2C">
            <w:pPr>
              <w:rPr>
                <w:szCs w:val="22"/>
              </w:rPr>
            </w:pPr>
            <w:r w:rsidRPr="00AF7B2C">
              <w:rPr>
                <w:szCs w:val="22"/>
              </w:rPr>
              <w:t>Alanine aminotransferase</w:t>
            </w:r>
          </w:p>
        </w:tc>
      </w:tr>
      <w:tr w:rsidR="00AF7B2C" w:rsidRPr="00AF7B2C" w14:paraId="3355B03A" w14:textId="77777777" w:rsidTr="00AF7B2C">
        <w:trPr>
          <w:trHeight w:val="70"/>
        </w:trPr>
        <w:tc>
          <w:tcPr>
            <w:tcW w:w="1718" w:type="dxa"/>
          </w:tcPr>
          <w:p w14:paraId="4C19E2F0" w14:textId="77777777" w:rsidR="00AF7B2C" w:rsidRPr="00AF7B2C" w:rsidRDefault="00AF7B2C" w:rsidP="00AF7B2C">
            <w:pPr>
              <w:rPr>
                <w:szCs w:val="22"/>
              </w:rPr>
            </w:pPr>
            <w:r w:rsidRPr="00AF7B2C">
              <w:rPr>
                <w:szCs w:val="22"/>
              </w:rPr>
              <w:t>ANCA</w:t>
            </w:r>
          </w:p>
        </w:tc>
        <w:tc>
          <w:tcPr>
            <w:tcW w:w="6563" w:type="dxa"/>
          </w:tcPr>
          <w:p w14:paraId="1823E004" w14:textId="77777777" w:rsidR="00AF7B2C" w:rsidRPr="00AF7B2C" w:rsidRDefault="00AF7B2C" w:rsidP="00AF7B2C">
            <w:pPr>
              <w:rPr>
                <w:szCs w:val="22"/>
              </w:rPr>
            </w:pPr>
            <w:r w:rsidRPr="00AF7B2C">
              <w:rPr>
                <w:rFonts w:eastAsia="TimesNewRoman" w:cs="TimesNewRoman"/>
                <w:szCs w:val="22"/>
              </w:rPr>
              <w:t>Anti-neutrophil cytoplasmic antibodies</w:t>
            </w:r>
          </w:p>
        </w:tc>
      </w:tr>
      <w:tr w:rsidR="00AA026D" w:rsidRPr="00AF7B2C" w14:paraId="073B5540" w14:textId="77777777" w:rsidTr="00AF7B2C">
        <w:trPr>
          <w:trHeight w:val="70"/>
        </w:trPr>
        <w:tc>
          <w:tcPr>
            <w:tcW w:w="1718" w:type="dxa"/>
          </w:tcPr>
          <w:p w14:paraId="79567270" w14:textId="77777777" w:rsidR="00AA026D" w:rsidRPr="00AF7B2C" w:rsidRDefault="00AA026D" w:rsidP="00AF7B2C">
            <w:r>
              <w:t>ANSM</w:t>
            </w:r>
          </w:p>
        </w:tc>
        <w:tc>
          <w:tcPr>
            <w:tcW w:w="6563" w:type="dxa"/>
          </w:tcPr>
          <w:p w14:paraId="04713CEF" w14:textId="40B2C130" w:rsidR="00AA026D" w:rsidRPr="00AF7B2C" w:rsidRDefault="00AA026D" w:rsidP="00AF7B2C">
            <w:pPr>
              <w:rPr>
                <w:rFonts w:eastAsia="TimesNewRoman" w:cs="TimesNewRoman"/>
              </w:rPr>
            </w:pPr>
            <w:proofErr w:type="spellStart"/>
            <w:r w:rsidRPr="00AA026D">
              <w:rPr>
                <w:rFonts w:eastAsia="TimesNewRoman" w:cs="TimesNewRoman"/>
              </w:rPr>
              <w:t>Agence</w:t>
            </w:r>
            <w:proofErr w:type="spellEnd"/>
            <w:r w:rsidRPr="00AA026D">
              <w:rPr>
                <w:rFonts w:eastAsia="TimesNewRoman" w:cs="TimesNewRoman"/>
              </w:rPr>
              <w:t xml:space="preserve"> </w:t>
            </w:r>
            <w:proofErr w:type="spellStart"/>
            <w:r w:rsidRPr="00AA026D">
              <w:rPr>
                <w:rFonts w:eastAsia="TimesNewRoman" w:cs="TimesNewRoman"/>
              </w:rPr>
              <w:t>Nationale</w:t>
            </w:r>
            <w:proofErr w:type="spellEnd"/>
            <w:r w:rsidRPr="00AA026D">
              <w:rPr>
                <w:rFonts w:eastAsia="TimesNewRoman" w:cs="TimesNewRoman"/>
              </w:rPr>
              <w:t xml:space="preserve"> de </w:t>
            </w:r>
            <w:proofErr w:type="spellStart"/>
            <w:r w:rsidRPr="00AA026D">
              <w:rPr>
                <w:rFonts w:eastAsia="TimesNewRoman" w:cs="TimesNewRoman"/>
              </w:rPr>
              <w:t>Sécurité</w:t>
            </w:r>
            <w:proofErr w:type="spellEnd"/>
            <w:r w:rsidRPr="00AA026D">
              <w:rPr>
                <w:rFonts w:eastAsia="TimesNewRoman" w:cs="TimesNewRoman"/>
              </w:rPr>
              <w:t xml:space="preserve"> du </w:t>
            </w:r>
            <w:proofErr w:type="spellStart"/>
            <w:r w:rsidRPr="00AA026D">
              <w:rPr>
                <w:rFonts w:eastAsia="TimesNewRoman" w:cs="TimesNewRoman"/>
              </w:rPr>
              <w:t>Médicament</w:t>
            </w:r>
            <w:proofErr w:type="spellEnd"/>
            <w:r w:rsidRPr="00AA026D">
              <w:rPr>
                <w:rFonts w:eastAsia="TimesNewRoman" w:cs="TimesNewRoman"/>
              </w:rPr>
              <w:t xml:space="preserve"> et des </w:t>
            </w:r>
            <w:proofErr w:type="spellStart"/>
            <w:r w:rsidRPr="00AA026D">
              <w:rPr>
                <w:rFonts w:eastAsia="TimesNewRoman" w:cs="TimesNewRoman"/>
              </w:rPr>
              <w:t>Produits</w:t>
            </w:r>
            <w:proofErr w:type="spellEnd"/>
            <w:r w:rsidRPr="00AA026D">
              <w:rPr>
                <w:rFonts w:eastAsia="TimesNewRoman" w:cs="TimesNewRoman"/>
              </w:rPr>
              <w:t xml:space="preserve"> de Santé</w:t>
            </w:r>
            <w:r w:rsidR="00B4206F">
              <w:rPr>
                <w:rFonts w:eastAsia="TimesNewRoman" w:cs="TimesNewRoman"/>
              </w:rPr>
              <w:t xml:space="preserve"> (France)</w:t>
            </w:r>
          </w:p>
        </w:tc>
      </w:tr>
      <w:tr w:rsidR="00AF7B2C" w:rsidRPr="00AF7B2C" w14:paraId="7635A27C" w14:textId="77777777" w:rsidTr="00AF7B2C">
        <w:trPr>
          <w:trHeight w:val="70"/>
        </w:trPr>
        <w:tc>
          <w:tcPr>
            <w:tcW w:w="1718" w:type="dxa"/>
          </w:tcPr>
          <w:p w14:paraId="0A42231D" w14:textId="77777777" w:rsidR="00AF7B2C" w:rsidRPr="00AF7B2C" w:rsidRDefault="00AF7B2C" w:rsidP="00AF7B2C">
            <w:pPr>
              <w:rPr>
                <w:szCs w:val="22"/>
              </w:rPr>
            </w:pPr>
            <w:r w:rsidRPr="00AF7B2C">
              <w:rPr>
                <w:szCs w:val="22"/>
              </w:rPr>
              <w:t>AST</w:t>
            </w:r>
          </w:p>
        </w:tc>
        <w:tc>
          <w:tcPr>
            <w:tcW w:w="6563" w:type="dxa"/>
          </w:tcPr>
          <w:p w14:paraId="2649BF1E" w14:textId="77777777" w:rsidR="00AF7B2C" w:rsidRPr="00AF7B2C" w:rsidRDefault="00AF7B2C" w:rsidP="00AF7B2C">
            <w:pPr>
              <w:rPr>
                <w:szCs w:val="22"/>
              </w:rPr>
            </w:pPr>
            <w:r w:rsidRPr="00AF7B2C">
              <w:rPr>
                <w:szCs w:val="22"/>
              </w:rPr>
              <w:t>Aspartate aminotransferase</w:t>
            </w:r>
          </w:p>
        </w:tc>
      </w:tr>
      <w:tr w:rsidR="00AF7B2C" w:rsidRPr="00AF7B2C" w14:paraId="6139D9D5" w14:textId="77777777" w:rsidTr="00AF7B2C">
        <w:trPr>
          <w:trHeight w:val="70"/>
        </w:trPr>
        <w:tc>
          <w:tcPr>
            <w:tcW w:w="1718" w:type="dxa"/>
          </w:tcPr>
          <w:p w14:paraId="02A75EEB" w14:textId="77777777" w:rsidR="00AF7B2C" w:rsidRPr="00AF7B2C" w:rsidRDefault="00AF7B2C" w:rsidP="00AF7B2C">
            <w:pPr>
              <w:rPr>
                <w:szCs w:val="22"/>
              </w:rPr>
            </w:pPr>
            <w:r w:rsidRPr="00AF7B2C">
              <w:rPr>
                <w:szCs w:val="22"/>
              </w:rPr>
              <w:t>AUC</w:t>
            </w:r>
          </w:p>
        </w:tc>
        <w:tc>
          <w:tcPr>
            <w:tcW w:w="6563" w:type="dxa"/>
          </w:tcPr>
          <w:p w14:paraId="69F11830" w14:textId="77777777" w:rsidR="00AF7B2C" w:rsidRPr="00AF7B2C" w:rsidRDefault="00AF7B2C" w:rsidP="00AF7B2C">
            <w:pPr>
              <w:rPr>
                <w:szCs w:val="22"/>
              </w:rPr>
            </w:pPr>
            <w:r w:rsidRPr="00AF7B2C">
              <w:rPr>
                <w:szCs w:val="22"/>
              </w:rPr>
              <w:t>Area under the concentration-time curve</w:t>
            </w:r>
          </w:p>
        </w:tc>
      </w:tr>
      <w:tr w:rsidR="00AF7B2C" w:rsidRPr="00AF7B2C" w14:paraId="438DCD74" w14:textId="77777777" w:rsidTr="00AF7B2C">
        <w:trPr>
          <w:trHeight w:val="70"/>
        </w:trPr>
        <w:tc>
          <w:tcPr>
            <w:tcW w:w="1718" w:type="dxa"/>
          </w:tcPr>
          <w:p w14:paraId="03669C8B" w14:textId="77777777" w:rsidR="00AF7B2C" w:rsidRPr="00AF7B2C" w:rsidRDefault="00AF7B2C" w:rsidP="00AF7B2C">
            <w:pPr>
              <w:rPr>
                <w:szCs w:val="22"/>
              </w:rPr>
            </w:pPr>
            <w:r w:rsidRPr="00AF7B2C">
              <w:rPr>
                <w:szCs w:val="22"/>
              </w:rPr>
              <w:t>BMI</w:t>
            </w:r>
          </w:p>
        </w:tc>
        <w:tc>
          <w:tcPr>
            <w:tcW w:w="6563" w:type="dxa"/>
          </w:tcPr>
          <w:p w14:paraId="12904402" w14:textId="77777777" w:rsidR="00AF7B2C" w:rsidRPr="00AF7B2C" w:rsidRDefault="00AF7B2C" w:rsidP="00AF7B2C">
            <w:pPr>
              <w:rPr>
                <w:szCs w:val="22"/>
              </w:rPr>
            </w:pPr>
            <w:r w:rsidRPr="00AF7B2C">
              <w:rPr>
                <w:szCs w:val="22"/>
              </w:rPr>
              <w:t>Body mass index</w:t>
            </w:r>
          </w:p>
        </w:tc>
      </w:tr>
      <w:tr w:rsidR="00AF7B2C" w:rsidRPr="00AF7B2C" w14:paraId="2B0BF4F3" w14:textId="77777777" w:rsidTr="00AF7B2C">
        <w:trPr>
          <w:trHeight w:val="70"/>
        </w:trPr>
        <w:tc>
          <w:tcPr>
            <w:tcW w:w="1718" w:type="dxa"/>
          </w:tcPr>
          <w:p w14:paraId="320FB4FB" w14:textId="77777777" w:rsidR="00AF7B2C" w:rsidRPr="00AF7B2C" w:rsidRDefault="00AF7B2C" w:rsidP="00AF7B2C">
            <w:pPr>
              <w:rPr>
                <w:szCs w:val="22"/>
              </w:rPr>
            </w:pPr>
            <w:r w:rsidRPr="00AF7B2C">
              <w:rPr>
                <w:szCs w:val="22"/>
              </w:rPr>
              <w:t>BVAS</w:t>
            </w:r>
          </w:p>
        </w:tc>
        <w:tc>
          <w:tcPr>
            <w:tcW w:w="6563" w:type="dxa"/>
          </w:tcPr>
          <w:p w14:paraId="1F9ED2DC" w14:textId="77777777" w:rsidR="00AF7B2C" w:rsidRPr="00AF7B2C" w:rsidRDefault="00AF7B2C" w:rsidP="00AF7B2C">
            <w:pPr>
              <w:rPr>
                <w:szCs w:val="22"/>
              </w:rPr>
            </w:pPr>
            <w:r w:rsidRPr="00AF7B2C">
              <w:rPr>
                <w:rFonts w:eastAsia="TimesNewRoman" w:cs="TimesNewRoman"/>
                <w:szCs w:val="22"/>
              </w:rPr>
              <w:t>Birmingham Vasculitis Activity Score</w:t>
            </w:r>
          </w:p>
        </w:tc>
      </w:tr>
      <w:tr w:rsidR="00AF7B2C" w:rsidRPr="00AF7B2C" w14:paraId="7C68D55F" w14:textId="77777777" w:rsidTr="00AF7B2C">
        <w:trPr>
          <w:trHeight w:val="70"/>
        </w:trPr>
        <w:tc>
          <w:tcPr>
            <w:tcW w:w="1718" w:type="dxa"/>
          </w:tcPr>
          <w:p w14:paraId="04C0DC82" w14:textId="77777777" w:rsidR="00AF7B2C" w:rsidRPr="00AF7B2C" w:rsidRDefault="00AF7B2C" w:rsidP="00AF7B2C">
            <w:pPr>
              <w:rPr>
                <w:szCs w:val="22"/>
              </w:rPr>
            </w:pPr>
            <w:proofErr w:type="spellStart"/>
            <w:r w:rsidRPr="00AF7B2C">
              <w:rPr>
                <w:szCs w:val="22"/>
              </w:rPr>
              <w:t>cEGPA</w:t>
            </w:r>
            <w:proofErr w:type="spellEnd"/>
          </w:p>
        </w:tc>
        <w:tc>
          <w:tcPr>
            <w:tcW w:w="6563" w:type="dxa"/>
          </w:tcPr>
          <w:p w14:paraId="75D80C9D" w14:textId="77777777" w:rsidR="00AF7B2C" w:rsidRPr="00AF7B2C" w:rsidRDefault="00B948A2" w:rsidP="00B948A2">
            <w:pPr>
              <w:rPr>
                <w:szCs w:val="22"/>
              </w:rPr>
            </w:pPr>
            <w:r>
              <w:rPr>
                <w:rFonts w:asciiTheme="minorHAnsi" w:eastAsiaTheme="minorHAnsi" w:hAnsiTheme="minorHAnsi" w:cs="AdvTT94c8263f.I"/>
              </w:rPr>
              <w:t xml:space="preserve">Childhood </w:t>
            </w:r>
            <w:r w:rsidRPr="000B32E4">
              <w:rPr>
                <w:rFonts w:asciiTheme="minorHAnsi" w:eastAsiaTheme="minorHAnsi" w:hAnsiTheme="minorHAnsi" w:cs="AdvTT94c8263f.I"/>
              </w:rPr>
              <w:t>onset</w:t>
            </w:r>
            <w:r>
              <w:rPr>
                <w:rFonts w:asciiTheme="minorHAnsi" w:eastAsiaTheme="minorHAnsi" w:hAnsiTheme="minorHAnsi" w:cs="AdvTT94c8263f.I"/>
              </w:rPr>
              <w:t xml:space="preserve"> EGPA</w:t>
            </w:r>
          </w:p>
        </w:tc>
      </w:tr>
      <w:tr w:rsidR="0085159D" w:rsidRPr="00AF7B2C" w14:paraId="577211EE" w14:textId="77777777" w:rsidTr="00AF7B2C">
        <w:trPr>
          <w:trHeight w:val="70"/>
        </w:trPr>
        <w:tc>
          <w:tcPr>
            <w:tcW w:w="1718" w:type="dxa"/>
          </w:tcPr>
          <w:p w14:paraId="5CCEA4E8" w14:textId="77777777" w:rsidR="0085159D" w:rsidRPr="00AF7B2C" w:rsidRDefault="0085159D" w:rsidP="00AF7B2C">
            <w:r>
              <w:rPr>
                <w:rFonts w:asciiTheme="minorHAnsi" w:eastAsia="TimesNewRoman" w:hAnsiTheme="minorHAnsi" w:cs="TimesNewRoman"/>
              </w:rPr>
              <w:t>CHMP</w:t>
            </w:r>
          </w:p>
        </w:tc>
        <w:tc>
          <w:tcPr>
            <w:tcW w:w="6563" w:type="dxa"/>
          </w:tcPr>
          <w:p w14:paraId="7E993ACF" w14:textId="77777777" w:rsidR="0085159D" w:rsidRPr="00AF7B2C" w:rsidRDefault="0085159D" w:rsidP="0085159D">
            <w:r w:rsidRPr="005E04B6">
              <w:rPr>
                <w:rFonts w:asciiTheme="minorHAnsi" w:eastAsia="TimesNewRoman" w:hAnsiTheme="minorHAnsi" w:cs="TimesNewRoman"/>
              </w:rPr>
              <w:t>Committee for Medicinal Products for Human Use</w:t>
            </w:r>
          </w:p>
        </w:tc>
      </w:tr>
      <w:tr w:rsidR="00AF7B2C" w:rsidRPr="00AF7B2C" w14:paraId="375F1D98" w14:textId="77777777" w:rsidTr="00AF7B2C">
        <w:trPr>
          <w:trHeight w:val="70"/>
        </w:trPr>
        <w:tc>
          <w:tcPr>
            <w:tcW w:w="1718" w:type="dxa"/>
          </w:tcPr>
          <w:p w14:paraId="4E26C5AE" w14:textId="77777777" w:rsidR="00AF7B2C" w:rsidRPr="00AF7B2C" w:rsidRDefault="00AF7B2C" w:rsidP="00AF7B2C">
            <w:pPr>
              <w:rPr>
                <w:szCs w:val="22"/>
              </w:rPr>
            </w:pPr>
            <w:r w:rsidRPr="00AF7B2C">
              <w:rPr>
                <w:szCs w:val="22"/>
              </w:rPr>
              <w:t>CI</w:t>
            </w:r>
          </w:p>
        </w:tc>
        <w:tc>
          <w:tcPr>
            <w:tcW w:w="6563" w:type="dxa"/>
          </w:tcPr>
          <w:p w14:paraId="407A8578" w14:textId="77777777" w:rsidR="00AF7B2C" w:rsidRPr="00AF7B2C" w:rsidRDefault="00AF7B2C" w:rsidP="00AF7B2C">
            <w:pPr>
              <w:rPr>
                <w:szCs w:val="22"/>
              </w:rPr>
            </w:pPr>
            <w:r w:rsidRPr="00AF7B2C">
              <w:rPr>
                <w:szCs w:val="22"/>
              </w:rPr>
              <w:t>Confidence interval</w:t>
            </w:r>
          </w:p>
        </w:tc>
      </w:tr>
      <w:tr w:rsidR="00571E52" w:rsidRPr="00AF7B2C" w14:paraId="1D5FBBD8" w14:textId="77777777" w:rsidTr="00AF7B2C">
        <w:trPr>
          <w:trHeight w:val="70"/>
        </w:trPr>
        <w:tc>
          <w:tcPr>
            <w:tcW w:w="1718" w:type="dxa"/>
          </w:tcPr>
          <w:p w14:paraId="56FF1141" w14:textId="77777777" w:rsidR="00571E52" w:rsidRPr="00AF7B2C" w:rsidRDefault="00571E52" w:rsidP="00AF7B2C">
            <w:r>
              <w:t>CL/F</w:t>
            </w:r>
          </w:p>
        </w:tc>
        <w:tc>
          <w:tcPr>
            <w:tcW w:w="6563" w:type="dxa"/>
          </w:tcPr>
          <w:p w14:paraId="1245DDEE" w14:textId="77777777" w:rsidR="00571E52" w:rsidRPr="00AF7B2C" w:rsidRDefault="00571E52" w:rsidP="00AF7B2C">
            <w:r>
              <w:t>Apparent clearance</w:t>
            </w:r>
          </w:p>
        </w:tc>
      </w:tr>
      <w:tr w:rsidR="00AF7B2C" w:rsidRPr="00AF7B2C" w14:paraId="137266DD" w14:textId="77777777" w:rsidTr="00AF7B2C">
        <w:trPr>
          <w:trHeight w:val="70"/>
        </w:trPr>
        <w:tc>
          <w:tcPr>
            <w:tcW w:w="1718" w:type="dxa"/>
          </w:tcPr>
          <w:p w14:paraId="7CB612C6" w14:textId="77777777" w:rsidR="00AF7B2C" w:rsidRPr="00AF7B2C" w:rsidRDefault="00AF7B2C" w:rsidP="00AF7B2C">
            <w:pPr>
              <w:rPr>
                <w:szCs w:val="22"/>
              </w:rPr>
            </w:pPr>
            <w:proofErr w:type="spellStart"/>
            <w:r w:rsidRPr="00AF7B2C">
              <w:rPr>
                <w:szCs w:val="22"/>
              </w:rPr>
              <w:t>C</w:t>
            </w:r>
            <w:r w:rsidRPr="00AF7B2C">
              <w:rPr>
                <w:szCs w:val="22"/>
                <w:vertAlign w:val="subscript"/>
              </w:rPr>
              <w:t>max</w:t>
            </w:r>
            <w:proofErr w:type="spellEnd"/>
          </w:p>
        </w:tc>
        <w:tc>
          <w:tcPr>
            <w:tcW w:w="6563" w:type="dxa"/>
          </w:tcPr>
          <w:p w14:paraId="6FFB36CE" w14:textId="77777777" w:rsidR="00AF7B2C" w:rsidRPr="00AF7B2C" w:rsidRDefault="00AF7B2C" w:rsidP="00AF7B2C">
            <w:pPr>
              <w:rPr>
                <w:szCs w:val="22"/>
              </w:rPr>
            </w:pPr>
            <w:r w:rsidRPr="00AF7B2C">
              <w:rPr>
                <w:szCs w:val="22"/>
              </w:rPr>
              <w:t>Maximum plasma concentration</w:t>
            </w:r>
          </w:p>
        </w:tc>
      </w:tr>
      <w:tr w:rsidR="00AF7B2C" w:rsidRPr="00AF7B2C" w14:paraId="4E612AAB" w14:textId="77777777" w:rsidTr="00AF7B2C">
        <w:trPr>
          <w:trHeight w:val="70"/>
        </w:trPr>
        <w:tc>
          <w:tcPr>
            <w:tcW w:w="1718" w:type="dxa"/>
          </w:tcPr>
          <w:p w14:paraId="26E0E0A9" w14:textId="77777777" w:rsidR="00AF7B2C" w:rsidRPr="00AF7B2C" w:rsidRDefault="00AF7B2C" w:rsidP="00AF7B2C">
            <w:pPr>
              <w:rPr>
                <w:szCs w:val="22"/>
              </w:rPr>
            </w:pPr>
            <w:r w:rsidRPr="00AF7B2C">
              <w:rPr>
                <w:szCs w:val="22"/>
              </w:rPr>
              <w:t>CMI</w:t>
            </w:r>
          </w:p>
        </w:tc>
        <w:tc>
          <w:tcPr>
            <w:tcW w:w="6563" w:type="dxa"/>
          </w:tcPr>
          <w:p w14:paraId="1C178BF6" w14:textId="77777777" w:rsidR="00AF7B2C" w:rsidRPr="00AF7B2C" w:rsidRDefault="00AF7B2C" w:rsidP="00AF7B2C">
            <w:pPr>
              <w:rPr>
                <w:szCs w:val="22"/>
              </w:rPr>
            </w:pPr>
            <w:r w:rsidRPr="00AF7B2C">
              <w:rPr>
                <w:szCs w:val="22"/>
              </w:rPr>
              <w:t>Consumer Medicines Information</w:t>
            </w:r>
          </w:p>
        </w:tc>
      </w:tr>
      <w:tr w:rsidR="00A74898" w:rsidRPr="00AF7B2C" w14:paraId="7E337368" w14:textId="77777777" w:rsidTr="00AF7B2C">
        <w:trPr>
          <w:trHeight w:val="70"/>
        </w:trPr>
        <w:tc>
          <w:tcPr>
            <w:tcW w:w="1718" w:type="dxa"/>
          </w:tcPr>
          <w:p w14:paraId="00AEB4D9" w14:textId="77777777" w:rsidR="00A74898" w:rsidRPr="00AF7B2C" w:rsidRDefault="00A74898" w:rsidP="00AF7B2C">
            <w:r>
              <w:rPr>
                <w:lang w:eastAsia="ja-JP"/>
              </w:rPr>
              <w:t>COPD</w:t>
            </w:r>
          </w:p>
        </w:tc>
        <w:tc>
          <w:tcPr>
            <w:tcW w:w="6563" w:type="dxa"/>
          </w:tcPr>
          <w:p w14:paraId="495C8A53" w14:textId="77777777" w:rsidR="00A74898" w:rsidRPr="00AF7B2C" w:rsidRDefault="00A74898" w:rsidP="00A74898">
            <w:r>
              <w:rPr>
                <w:lang w:eastAsia="ja-JP"/>
              </w:rPr>
              <w:t>C</w:t>
            </w:r>
            <w:r w:rsidRPr="00A74898">
              <w:rPr>
                <w:lang w:eastAsia="ja-JP"/>
              </w:rPr>
              <w:t>hronic obstructive pulmonary disease</w:t>
            </w:r>
          </w:p>
        </w:tc>
      </w:tr>
      <w:tr w:rsidR="0067675C" w:rsidRPr="00AF7B2C" w14:paraId="1284D4A7" w14:textId="77777777" w:rsidTr="00AF7B2C">
        <w:trPr>
          <w:trHeight w:val="70"/>
        </w:trPr>
        <w:tc>
          <w:tcPr>
            <w:tcW w:w="1718" w:type="dxa"/>
          </w:tcPr>
          <w:p w14:paraId="16DF5F9C" w14:textId="77777777" w:rsidR="0067675C" w:rsidRPr="00AF7B2C" w:rsidRDefault="0067675C" w:rsidP="00AF7B2C">
            <w:r w:rsidRPr="00B534FA">
              <w:t>CRP</w:t>
            </w:r>
          </w:p>
        </w:tc>
        <w:tc>
          <w:tcPr>
            <w:tcW w:w="6563" w:type="dxa"/>
          </w:tcPr>
          <w:p w14:paraId="12639CD8" w14:textId="77777777" w:rsidR="0067675C" w:rsidRPr="00AF7B2C" w:rsidRDefault="0067675C" w:rsidP="0067675C">
            <w:r>
              <w:t>C-reactive protein</w:t>
            </w:r>
          </w:p>
        </w:tc>
      </w:tr>
      <w:tr w:rsidR="00AF7B2C" w:rsidRPr="00AF7B2C" w14:paraId="34F2EEC4" w14:textId="77777777" w:rsidTr="00AF7B2C">
        <w:trPr>
          <w:trHeight w:val="70"/>
        </w:trPr>
        <w:tc>
          <w:tcPr>
            <w:tcW w:w="1718" w:type="dxa"/>
          </w:tcPr>
          <w:p w14:paraId="0CDEB767" w14:textId="77777777" w:rsidR="00AF7B2C" w:rsidRPr="00AF7B2C" w:rsidRDefault="00AF7B2C" w:rsidP="00AF7B2C">
            <w:pPr>
              <w:rPr>
                <w:szCs w:val="22"/>
              </w:rPr>
            </w:pPr>
            <w:r w:rsidRPr="00AF7B2C">
              <w:rPr>
                <w:szCs w:val="22"/>
              </w:rPr>
              <w:t>CSR</w:t>
            </w:r>
          </w:p>
        </w:tc>
        <w:tc>
          <w:tcPr>
            <w:tcW w:w="6563" w:type="dxa"/>
          </w:tcPr>
          <w:p w14:paraId="572EAEC0" w14:textId="77777777" w:rsidR="00AF7B2C" w:rsidRPr="00AF7B2C" w:rsidRDefault="00AF7B2C" w:rsidP="00AF7B2C">
            <w:pPr>
              <w:rPr>
                <w:szCs w:val="22"/>
              </w:rPr>
            </w:pPr>
            <w:r w:rsidRPr="00AF7B2C">
              <w:rPr>
                <w:szCs w:val="22"/>
              </w:rPr>
              <w:t>Clinical study report</w:t>
            </w:r>
          </w:p>
        </w:tc>
      </w:tr>
      <w:tr w:rsidR="00C67BDE" w:rsidRPr="00AF7B2C" w14:paraId="0967A3AF" w14:textId="77777777" w:rsidTr="00AF7B2C">
        <w:trPr>
          <w:trHeight w:val="70"/>
        </w:trPr>
        <w:tc>
          <w:tcPr>
            <w:tcW w:w="1718" w:type="dxa"/>
          </w:tcPr>
          <w:p w14:paraId="66BEA812" w14:textId="77777777" w:rsidR="00C67BDE" w:rsidRPr="00AF7B2C" w:rsidRDefault="00C67BDE" w:rsidP="00AF7B2C">
            <w:r w:rsidRPr="00C53FE6">
              <w:rPr>
                <w:rFonts w:asciiTheme="minorHAnsi" w:hAnsiTheme="minorHAnsi"/>
              </w:rPr>
              <w:t>CSS</w:t>
            </w:r>
          </w:p>
        </w:tc>
        <w:tc>
          <w:tcPr>
            <w:tcW w:w="6563" w:type="dxa"/>
          </w:tcPr>
          <w:p w14:paraId="3B42B6B2" w14:textId="77777777" w:rsidR="00C67BDE" w:rsidRPr="00AF7B2C" w:rsidRDefault="00C67BDE" w:rsidP="00C67BDE">
            <w:proofErr w:type="spellStart"/>
            <w:r>
              <w:rPr>
                <w:rFonts w:asciiTheme="minorHAnsi" w:hAnsiTheme="minorHAnsi"/>
              </w:rPr>
              <w:t>Churg</w:t>
            </w:r>
            <w:proofErr w:type="spellEnd"/>
            <w:r>
              <w:rPr>
                <w:rFonts w:asciiTheme="minorHAnsi" w:hAnsiTheme="minorHAnsi"/>
              </w:rPr>
              <w:t>-Strauss syndrome</w:t>
            </w:r>
          </w:p>
        </w:tc>
      </w:tr>
      <w:tr w:rsidR="00AF7B2C" w:rsidRPr="00AF7B2C" w14:paraId="7BC3C7E3" w14:textId="77777777" w:rsidTr="00AF7B2C">
        <w:trPr>
          <w:trHeight w:val="70"/>
        </w:trPr>
        <w:tc>
          <w:tcPr>
            <w:tcW w:w="1718" w:type="dxa"/>
          </w:tcPr>
          <w:p w14:paraId="67FF1BF5" w14:textId="77777777" w:rsidR="00AF7B2C" w:rsidRPr="00AF7B2C" w:rsidRDefault="00AF7B2C" w:rsidP="00AF7B2C">
            <w:pPr>
              <w:rPr>
                <w:szCs w:val="22"/>
              </w:rPr>
            </w:pPr>
            <w:r w:rsidRPr="00AF7B2C">
              <w:rPr>
                <w:szCs w:val="22"/>
              </w:rPr>
              <w:t>CUP</w:t>
            </w:r>
          </w:p>
        </w:tc>
        <w:tc>
          <w:tcPr>
            <w:tcW w:w="6563" w:type="dxa"/>
          </w:tcPr>
          <w:p w14:paraId="40E0665D" w14:textId="77777777" w:rsidR="00AF7B2C" w:rsidRPr="00AF7B2C" w:rsidRDefault="00FA06C6" w:rsidP="00AF7B2C">
            <w:pPr>
              <w:rPr>
                <w:szCs w:val="22"/>
              </w:rPr>
            </w:pPr>
            <w:r>
              <w:rPr>
                <w:szCs w:val="22"/>
              </w:rPr>
              <w:t>Compassionate Use Program</w:t>
            </w:r>
            <w:r w:rsidR="00AF7B2C" w:rsidRPr="00AF7B2C">
              <w:rPr>
                <w:szCs w:val="22"/>
              </w:rPr>
              <w:t>me</w:t>
            </w:r>
          </w:p>
        </w:tc>
      </w:tr>
      <w:tr w:rsidR="00AF7B2C" w:rsidRPr="00AF7B2C" w14:paraId="45BBA725" w14:textId="77777777" w:rsidTr="00AF7B2C">
        <w:trPr>
          <w:trHeight w:val="70"/>
        </w:trPr>
        <w:tc>
          <w:tcPr>
            <w:tcW w:w="1718" w:type="dxa"/>
          </w:tcPr>
          <w:p w14:paraId="20D841F5" w14:textId="77777777" w:rsidR="00AF7B2C" w:rsidRPr="00AF7B2C" w:rsidRDefault="00AF7B2C" w:rsidP="00AF7B2C">
            <w:pPr>
              <w:rPr>
                <w:szCs w:val="22"/>
              </w:rPr>
            </w:pPr>
            <w:r w:rsidRPr="00AF7B2C">
              <w:rPr>
                <w:szCs w:val="22"/>
              </w:rPr>
              <w:t>CV</w:t>
            </w:r>
          </w:p>
        </w:tc>
        <w:tc>
          <w:tcPr>
            <w:tcW w:w="6563" w:type="dxa"/>
          </w:tcPr>
          <w:p w14:paraId="23671C76" w14:textId="77777777" w:rsidR="00AF7B2C" w:rsidRPr="00AF7B2C" w:rsidRDefault="00AF7B2C" w:rsidP="00AF7B2C">
            <w:pPr>
              <w:rPr>
                <w:szCs w:val="22"/>
              </w:rPr>
            </w:pPr>
            <w:r w:rsidRPr="00AF7B2C">
              <w:rPr>
                <w:szCs w:val="22"/>
              </w:rPr>
              <w:t>Cardiovascular</w:t>
            </w:r>
          </w:p>
        </w:tc>
      </w:tr>
      <w:tr w:rsidR="00AF7B2C" w:rsidRPr="00AF7B2C" w14:paraId="703F766F" w14:textId="77777777" w:rsidTr="00AF7B2C">
        <w:trPr>
          <w:trHeight w:val="70"/>
        </w:trPr>
        <w:tc>
          <w:tcPr>
            <w:tcW w:w="1718" w:type="dxa"/>
          </w:tcPr>
          <w:p w14:paraId="4B080CD5" w14:textId="77777777" w:rsidR="00AF7B2C" w:rsidRPr="00AF7B2C" w:rsidRDefault="00AF7B2C" w:rsidP="00AF7B2C">
            <w:pPr>
              <w:rPr>
                <w:szCs w:val="22"/>
              </w:rPr>
            </w:pPr>
            <w:r w:rsidRPr="00AF7B2C">
              <w:rPr>
                <w:szCs w:val="22"/>
              </w:rPr>
              <w:lastRenderedPageBreak/>
              <w:t>CVT</w:t>
            </w:r>
          </w:p>
        </w:tc>
        <w:tc>
          <w:tcPr>
            <w:tcW w:w="6563" w:type="dxa"/>
          </w:tcPr>
          <w:p w14:paraId="0EE131C8" w14:textId="77777777" w:rsidR="00AF7B2C" w:rsidRPr="00AF7B2C" w:rsidRDefault="00AF7B2C" w:rsidP="00AF7B2C">
            <w:pPr>
              <w:rPr>
                <w:szCs w:val="22"/>
              </w:rPr>
            </w:pPr>
            <w:r w:rsidRPr="00AF7B2C">
              <w:rPr>
                <w:rFonts w:eastAsia="TimesNewRoman" w:cs="TimesNewRoman"/>
                <w:szCs w:val="22"/>
              </w:rPr>
              <w:t>Cardiac, vascular, thromboembolic</w:t>
            </w:r>
          </w:p>
        </w:tc>
      </w:tr>
      <w:tr w:rsidR="00F30907" w:rsidRPr="00AF7B2C" w14:paraId="165DA1B5" w14:textId="77777777" w:rsidTr="00AF7B2C">
        <w:trPr>
          <w:trHeight w:val="70"/>
        </w:trPr>
        <w:tc>
          <w:tcPr>
            <w:tcW w:w="1718" w:type="dxa"/>
          </w:tcPr>
          <w:p w14:paraId="4DAF63AE" w14:textId="77777777" w:rsidR="00F30907" w:rsidRPr="00AF7B2C" w:rsidRDefault="00F30907" w:rsidP="00AF7B2C">
            <w:r>
              <w:t>DVT</w:t>
            </w:r>
          </w:p>
        </w:tc>
        <w:tc>
          <w:tcPr>
            <w:tcW w:w="6563" w:type="dxa"/>
          </w:tcPr>
          <w:p w14:paraId="5C8FDEA7" w14:textId="77777777" w:rsidR="00F30907" w:rsidRPr="00AF7B2C" w:rsidRDefault="00F30907" w:rsidP="00F30907">
            <w:r>
              <w:t>D</w:t>
            </w:r>
            <w:r w:rsidRPr="00F30907">
              <w:t>eep vein thrombosis</w:t>
            </w:r>
          </w:p>
        </w:tc>
      </w:tr>
      <w:tr w:rsidR="00AF7B2C" w:rsidRPr="00AF7B2C" w14:paraId="797225BD" w14:textId="77777777" w:rsidTr="00AF7B2C">
        <w:trPr>
          <w:trHeight w:val="70"/>
        </w:trPr>
        <w:tc>
          <w:tcPr>
            <w:tcW w:w="1718" w:type="dxa"/>
          </w:tcPr>
          <w:p w14:paraId="21116BF5" w14:textId="77777777" w:rsidR="00AF7B2C" w:rsidRPr="00AF7B2C" w:rsidRDefault="00AF7B2C" w:rsidP="00AF7B2C">
            <w:pPr>
              <w:rPr>
                <w:szCs w:val="22"/>
              </w:rPr>
            </w:pPr>
            <w:r w:rsidRPr="00AF7B2C">
              <w:rPr>
                <w:szCs w:val="22"/>
              </w:rPr>
              <w:t>ECG</w:t>
            </w:r>
          </w:p>
        </w:tc>
        <w:tc>
          <w:tcPr>
            <w:tcW w:w="6563" w:type="dxa"/>
          </w:tcPr>
          <w:p w14:paraId="34674942" w14:textId="77777777" w:rsidR="00AF7B2C" w:rsidRPr="00AF7B2C" w:rsidRDefault="00AF7B2C" w:rsidP="00AF7B2C">
            <w:pPr>
              <w:rPr>
                <w:szCs w:val="22"/>
              </w:rPr>
            </w:pPr>
            <w:r w:rsidRPr="00AF7B2C">
              <w:rPr>
                <w:szCs w:val="22"/>
              </w:rPr>
              <w:t>Electrocardiogram</w:t>
            </w:r>
          </w:p>
        </w:tc>
      </w:tr>
      <w:tr w:rsidR="00AF7B2C" w:rsidRPr="00AF7B2C" w14:paraId="583B02C0" w14:textId="77777777" w:rsidTr="00AF7B2C">
        <w:trPr>
          <w:trHeight w:val="70"/>
        </w:trPr>
        <w:tc>
          <w:tcPr>
            <w:tcW w:w="1718" w:type="dxa"/>
          </w:tcPr>
          <w:p w14:paraId="2B1ECFC7" w14:textId="77777777" w:rsidR="00AF7B2C" w:rsidRPr="00AF7B2C" w:rsidRDefault="00AF7B2C" w:rsidP="00AF7B2C">
            <w:pPr>
              <w:rPr>
                <w:szCs w:val="22"/>
              </w:rPr>
            </w:pPr>
            <w:proofErr w:type="spellStart"/>
            <w:r w:rsidRPr="00AF7B2C">
              <w:rPr>
                <w:szCs w:val="22"/>
              </w:rPr>
              <w:t>eCRF</w:t>
            </w:r>
            <w:proofErr w:type="spellEnd"/>
          </w:p>
        </w:tc>
        <w:tc>
          <w:tcPr>
            <w:tcW w:w="6563" w:type="dxa"/>
          </w:tcPr>
          <w:p w14:paraId="5815D28B" w14:textId="77777777" w:rsidR="00AF7B2C" w:rsidRPr="00AF7B2C" w:rsidRDefault="00AF7B2C" w:rsidP="00AF7B2C">
            <w:pPr>
              <w:rPr>
                <w:szCs w:val="22"/>
              </w:rPr>
            </w:pPr>
            <w:r w:rsidRPr="00AF7B2C">
              <w:rPr>
                <w:szCs w:val="22"/>
              </w:rPr>
              <w:t>Electronic case report form</w:t>
            </w:r>
          </w:p>
        </w:tc>
      </w:tr>
      <w:tr w:rsidR="00AF7B2C" w:rsidRPr="00AF7B2C" w14:paraId="22A8D177" w14:textId="77777777" w:rsidTr="00AF7B2C">
        <w:trPr>
          <w:trHeight w:val="70"/>
        </w:trPr>
        <w:tc>
          <w:tcPr>
            <w:tcW w:w="1718" w:type="dxa"/>
          </w:tcPr>
          <w:p w14:paraId="6AE55AEF" w14:textId="77777777" w:rsidR="00AF7B2C" w:rsidRPr="00AF7B2C" w:rsidRDefault="00AF7B2C" w:rsidP="00AF7B2C">
            <w:pPr>
              <w:rPr>
                <w:szCs w:val="22"/>
              </w:rPr>
            </w:pPr>
            <w:r w:rsidRPr="00AF7B2C">
              <w:rPr>
                <w:szCs w:val="22"/>
              </w:rPr>
              <w:t>ED</w:t>
            </w:r>
            <w:r w:rsidRPr="00AF7B2C">
              <w:rPr>
                <w:szCs w:val="22"/>
                <w:vertAlign w:val="subscript"/>
              </w:rPr>
              <w:t>50</w:t>
            </w:r>
          </w:p>
        </w:tc>
        <w:tc>
          <w:tcPr>
            <w:tcW w:w="6563" w:type="dxa"/>
          </w:tcPr>
          <w:p w14:paraId="7BDE8532" w14:textId="77777777" w:rsidR="00AF7B2C" w:rsidRPr="00AF7B2C" w:rsidRDefault="00AF7B2C" w:rsidP="00AF7B2C">
            <w:pPr>
              <w:rPr>
                <w:szCs w:val="22"/>
              </w:rPr>
            </w:pPr>
            <w:r w:rsidRPr="00AF7B2C">
              <w:rPr>
                <w:szCs w:val="22"/>
              </w:rPr>
              <w:t>Dose associated with 50% maximal effect attributable to drug</w:t>
            </w:r>
          </w:p>
        </w:tc>
      </w:tr>
      <w:tr w:rsidR="003A4529" w:rsidRPr="00AF7B2C" w14:paraId="0293E802" w14:textId="77777777" w:rsidTr="00AF7B2C">
        <w:trPr>
          <w:trHeight w:val="70"/>
        </w:trPr>
        <w:tc>
          <w:tcPr>
            <w:tcW w:w="1718" w:type="dxa"/>
          </w:tcPr>
          <w:p w14:paraId="41789746" w14:textId="77777777" w:rsidR="003A4529" w:rsidRPr="00AF7B2C" w:rsidRDefault="003A4529" w:rsidP="00AF7B2C">
            <w:r w:rsidRPr="00C4608D">
              <w:t>EE</w:t>
            </w:r>
          </w:p>
        </w:tc>
        <w:tc>
          <w:tcPr>
            <w:tcW w:w="6563" w:type="dxa"/>
          </w:tcPr>
          <w:p w14:paraId="4A50387D" w14:textId="77777777" w:rsidR="003A4529" w:rsidRPr="00AF7B2C" w:rsidRDefault="003A4529" w:rsidP="003A4529">
            <w:r>
              <w:t>Eosinophilic esophagitis</w:t>
            </w:r>
          </w:p>
        </w:tc>
      </w:tr>
      <w:tr w:rsidR="0008700A" w:rsidRPr="00AF7B2C" w14:paraId="194D06AA" w14:textId="77777777" w:rsidTr="00AF7B2C">
        <w:trPr>
          <w:trHeight w:val="70"/>
        </w:trPr>
        <w:tc>
          <w:tcPr>
            <w:tcW w:w="1718" w:type="dxa"/>
          </w:tcPr>
          <w:p w14:paraId="7F384AF9" w14:textId="77777777" w:rsidR="0008700A" w:rsidRPr="00C4608D" w:rsidRDefault="0008700A" w:rsidP="00AF7B2C">
            <w:r>
              <w:rPr>
                <w:rFonts w:asciiTheme="minorHAnsi" w:eastAsia="Times New Roman" w:hAnsiTheme="minorHAnsi"/>
              </w:rPr>
              <w:t>EGE</w:t>
            </w:r>
          </w:p>
        </w:tc>
        <w:tc>
          <w:tcPr>
            <w:tcW w:w="6563" w:type="dxa"/>
          </w:tcPr>
          <w:p w14:paraId="2DA11FC8" w14:textId="77777777" w:rsidR="0008700A" w:rsidRDefault="0008700A" w:rsidP="0008700A">
            <w:r>
              <w:rPr>
                <w:rFonts w:asciiTheme="minorHAnsi" w:eastAsia="Times New Roman" w:hAnsiTheme="minorHAnsi"/>
              </w:rPr>
              <w:t>Eosinophilic gastroenteritis</w:t>
            </w:r>
          </w:p>
        </w:tc>
      </w:tr>
      <w:tr w:rsidR="00AF7B2C" w:rsidRPr="00AF7B2C" w14:paraId="2C20D6EF" w14:textId="77777777" w:rsidTr="00AF7B2C">
        <w:trPr>
          <w:trHeight w:val="70"/>
        </w:trPr>
        <w:tc>
          <w:tcPr>
            <w:tcW w:w="1718" w:type="dxa"/>
          </w:tcPr>
          <w:p w14:paraId="3B05546A" w14:textId="77777777" w:rsidR="00AF7B2C" w:rsidRPr="00AF7B2C" w:rsidRDefault="00AF7B2C" w:rsidP="00AF7B2C">
            <w:pPr>
              <w:rPr>
                <w:szCs w:val="22"/>
              </w:rPr>
            </w:pPr>
            <w:r w:rsidRPr="00AF7B2C">
              <w:rPr>
                <w:szCs w:val="22"/>
              </w:rPr>
              <w:t>EGPA</w:t>
            </w:r>
          </w:p>
        </w:tc>
        <w:tc>
          <w:tcPr>
            <w:tcW w:w="6563" w:type="dxa"/>
          </w:tcPr>
          <w:p w14:paraId="56844A3C" w14:textId="77777777" w:rsidR="00AF7B2C" w:rsidRPr="00AF7B2C" w:rsidRDefault="00AF7B2C" w:rsidP="00AF7B2C">
            <w:pPr>
              <w:rPr>
                <w:szCs w:val="22"/>
              </w:rPr>
            </w:pPr>
            <w:r w:rsidRPr="00AF7B2C">
              <w:rPr>
                <w:szCs w:val="22"/>
              </w:rPr>
              <w:t xml:space="preserve">Eosinophilic granulomatosis with </w:t>
            </w:r>
            <w:proofErr w:type="spellStart"/>
            <w:r w:rsidRPr="00AF7B2C">
              <w:rPr>
                <w:szCs w:val="22"/>
              </w:rPr>
              <w:t>polyangiitis</w:t>
            </w:r>
            <w:proofErr w:type="spellEnd"/>
          </w:p>
        </w:tc>
      </w:tr>
      <w:tr w:rsidR="00AF7B2C" w:rsidRPr="00AF7B2C" w14:paraId="72BFB311" w14:textId="77777777" w:rsidTr="00AF7B2C">
        <w:trPr>
          <w:trHeight w:val="70"/>
        </w:trPr>
        <w:tc>
          <w:tcPr>
            <w:tcW w:w="1718" w:type="dxa"/>
          </w:tcPr>
          <w:p w14:paraId="02E26153" w14:textId="77777777" w:rsidR="00AF7B2C" w:rsidRPr="00AF7B2C" w:rsidRDefault="00AF7B2C" w:rsidP="00AF7B2C">
            <w:pPr>
              <w:rPr>
                <w:szCs w:val="22"/>
              </w:rPr>
            </w:pPr>
            <w:r w:rsidRPr="00AF7B2C">
              <w:rPr>
                <w:szCs w:val="22"/>
              </w:rPr>
              <w:t>EMA</w:t>
            </w:r>
          </w:p>
        </w:tc>
        <w:tc>
          <w:tcPr>
            <w:tcW w:w="6563" w:type="dxa"/>
          </w:tcPr>
          <w:p w14:paraId="41BC601B" w14:textId="24AA20A3" w:rsidR="00AF7B2C" w:rsidRPr="00AF7B2C" w:rsidRDefault="00AF7B2C" w:rsidP="00AF7B2C">
            <w:pPr>
              <w:rPr>
                <w:szCs w:val="22"/>
              </w:rPr>
            </w:pPr>
            <w:r w:rsidRPr="00AF7B2C">
              <w:rPr>
                <w:szCs w:val="22"/>
              </w:rPr>
              <w:t>European Medicines Agency</w:t>
            </w:r>
            <w:r w:rsidR="00B4206F">
              <w:rPr>
                <w:szCs w:val="22"/>
              </w:rPr>
              <w:t xml:space="preserve"> (EU)</w:t>
            </w:r>
          </w:p>
        </w:tc>
      </w:tr>
      <w:tr w:rsidR="00F920CA" w:rsidRPr="00AF7B2C" w14:paraId="22ADF1DD" w14:textId="77777777" w:rsidTr="00AF7B2C">
        <w:trPr>
          <w:trHeight w:val="70"/>
        </w:trPr>
        <w:tc>
          <w:tcPr>
            <w:tcW w:w="1718" w:type="dxa"/>
          </w:tcPr>
          <w:p w14:paraId="3F457A0D" w14:textId="77777777" w:rsidR="00F920CA" w:rsidRPr="00AF7B2C" w:rsidRDefault="00F920CA" w:rsidP="00AF7B2C">
            <w:r w:rsidRPr="00130106">
              <w:rPr>
                <w:rFonts w:asciiTheme="minorHAnsi" w:hAnsiTheme="minorHAnsi"/>
              </w:rPr>
              <w:t>ENT</w:t>
            </w:r>
          </w:p>
        </w:tc>
        <w:tc>
          <w:tcPr>
            <w:tcW w:w="6563" w:type="dxa"/>
          </w:tcPr>
          <w:p w14:paraId="67682DB2" w14:textId="77777777" w:rsidR="00F920CA" w:rsidRPr="00AF7B2C" w:rsidRDefault="00F920CA" w:rsidP="00F920CA">
            <w:r>
              <w:rPr>
                <w:rFonts w:asciiTheme="minorHAnsi" w:hAnsiTheme="minorHAnsi"/>
              </w:rPr>
              <w:t>Ear, nose and throat</w:t>
            </w:r>
          </w:p>
        </w:tc>
      </w:tr>
      <w:tr w:rsidR="008318B3" w:rsidRPr="00AF7B2C" w14:paraId="458B22CC" w14:textId="77777777" w:rsidTr="00AF7B2C">
        <w:trPr>
          <w:trHeight w:val="70"/>
        </w:trPr>
        <w:tc>
          <w:tcPr>
            <w:tcW w:w="1718" w:type="dxa"/>
          </w:tcPr>
          <w:p w14:paraId="062469DB" w14:textId="77777777" w:rsidR="008318B3" w:rsidRPr="00AF7B2C" w:rsidRDefault="008318B3" w:rsidP="00AF7B2C">
            <w:r>
              <w:t>ERA-EDTA</w:t>
            </w:r>
          </w:p>
        </w:tc>
        <w:tc>
          <w:tcPr>
            <w:tcW w:w="6563" w:type="dxa"/>
          </w:tcPr>
          <w:p w14:paraId="3DFD9D5F" w14:textId="77777777" w:rsidR="008318B3" w:rsidRPr="00AF7B2C" w:rsidRDefault="008318B3" w:rsidP="008318B3">
            <w:r>
              <w:t>European Renal Association-European Dialysis and Transplant Association</w:t>
            </w:r>
          </w:p>
        </w:tc>
      </w:tr>
      <w:tr w:rsidR="0067675C" w:rsidRPr="00AF7B2C" w14:paraId="094791B0" w14:textId="77777777" w:rsidTr="00AF7B2C">
        <w:trPr>
          <w:trHeight w:val="70"/>
        </w:trPr>
        <w:tc>
          <w:tcPr>
            <w:tcW w:w="1718" w:type="dxa"/>
          </w:tcPr>
          <w:p w14:paraId="05C2CB6C" w14:textId="77777777" w:rsidR="0067675C" w:rsidRDefault="0067675C" w:rsidP="00AF7B2C">
            <w:r w:rsidRPr="00B534FA">
              <w:t>ESR</w:t>
            </w:r>
          </w:p>
        </w:tc>
        <w:tc>
          <w:tcPr>
            <w:tcW w:w="6563" w:type="dxa"/>
          </w:tcPr>
          <w:p w14:paraId="1D02A383" w14:textId="77777777" w:rsidR="0067675C" w:rsidRDefault="0067675C" w:rsidP="0067675C">
            <w:r>
              <w:t>E</w:t>
            </w:r>
            <w:r w:rsidRPr="00B534FA">
              <w:t>rythrocyte</w:t>
            </w:r>
            <w:r>
              <w:t xml:space="preserve"> sedimentation rate</w:t>
            </w:r>
          </w:p>
        </w:tc>
      </w:tr>
      <w:tr w:rsidR="00AF7B2C" w:rsidRPr="00AF7B2C" w14:paraId="1F5EBF24" w14:textId="77777777" w:rsidTr="00AF7B2C">
        <w:trPr>
          <w:trHeight w:val="70"/>
        </w:trPr>
        <w:tc>
          <w:tcPr>
            <w:tcW w:w="1718" w:type="dxa"/>
          </w:tcPr>
          <w:p w14:paraId="19ACD027" w14:textId="77777777" w:rsidR="00AF7B2C" w:rsidRPr="00AF7B2C" w:rsidRDefault="00AF7B2C" w:rsidP="00AF7B2C">
            <w:pPr>
              <w:rPr>
                <w:szCs w:val="22"/>
              </w:rPr>
            </w:pPr>
            <w:r w:rsidRPr="00AF7B2C">
              <w:rPr>
                <w:szCs w:val="22"/>
              </w:rPr>
              <w:t>EU</w:t>
            </w:r>
          </w:p>
        </w:tc>
        <w:tc>
          <w:tcPr>
            <w:tcW w:w="6563" w:type="dxa"/>
          </w:tcPr>
          <w:p w14:paraId="15BA1906" w14:textId="77777777" w:rsidR="00AF7B2C" w:rsidRPr="00AF7B2C" w:rsidRDefault="00AF7B2C" w:rsidP="00AF7B2C">
            <w:pPr>
              <w:rPr>
                <w:rFonts w:eastAsia="TimesNewRoman" w:cs="TimesNewRoman"/>
                <w:szCs w:val="22"/>
              </w:rPr>
            </w:pPr>
            <w:r w:rsidRPr="00AF7B2C">
              <w:rPr>
                <w:rFonts w:eastAsia="TimesNewRoman" w:cs="TimesNewRoman"/>
                <w:szCs w:val="22"/>
              </w:rPr>
              <w:t>European Union</w:t>
            </w:r>
          </w:p>
        </w:tc>
      </w:tr>
      <w:tr w:rsidR="00AF7B2C" w:rsidRPr="00AF7B2C" w14:paraId="1586D17E" w14:textId="77777777" w:rsidTr="00AF7B2C">
        <w:trPr>
          <w:trHeight w:val="70"/>
        </w:trPr>
        <w:tc>
          <w:tcPr>
            <w:tcW w:w="1718" w:type="dxa"/>
          </w:tcPr>
          <w:p w14:paraId="10D79841" w14:textId="77777777" w:rsidR="00AF7B2C" w:rsidRPr="00AF7B2C" w:rsidRDefault="00AF7B2C" w:rsidP="00AF7B2C">
            <w:pPr>
              <w:rPr>
                <w:szCs w:val="22"/>
              </w:rPr>
            </w:pPr>
            <w:r w:rsidRPr="00AF7B2C">
              <w:rPr>
                <w:szCs w:val="22"/>
              </w:rPr>
              <w:t>EULAR</w:t>
            </w:r>
          </w:p>
        </w:tc>
        <w:tc>
          <w:tcPr>
            <w:tcW w:w="6563" w:type="dxa"/>
          </w:tcPr>
          <w:p w14:paraId="39F8B6BA" w14:textId="77777777" w:rsidR="00AF7B2C" w:rsidRPr="00AF7B2C" w:rsidRDefault="00AF7B2C" w:rsidP="00AF7B2C">
            <w:pPr>
              <w:rPr>
                <w:szCs w:val="22"/>
              </w:rPr>
            </w:pPr>
            <w:r w:rsidRPr="00AF7B2C">
              <w:rPr>
                <w:rFonts w:eastAsia="TimesNewRoman" w:cs="TimesNewRoman"/>
                <w:szCs w:val="22"/>
              </w:rPr>
              <w:t>European League Against Rheumatism</w:t>
            </w:r>
          </w:p>
        </w:tc>
      </w:tr>
      <w:tr w:rsidR="00AF7B2C" w:rsidRPr="00AF7B2C" w14:paraId="0D17B8C9" w14:textId="77777777" w:rsidTr="00AF7B2C">
        <w:trPr>
          <w:trHeight w:val="70"/>
        </w:trPr>
        <w:tc>
          <w:tcPr>
            <w:tcW w:w="1718" w:type="dxa"/>
          </w:tcPr>
          <w:p w14:paraId="701F9308" w14:textId="77777777" w:rsidR="00AF7B2C" w:rsidRPr="00AF7B2C" w:rsidRDefault="00AF7B2C" w:rsidP="00AF7B2C">
            <w:pPr>
              <w:rPr>
                <w:szCs w:val="22"/>
              </w:rPr>
            </w:pPr>
            <w:r w:rsidRPr="00AF7B2C">
              <w:rPr>
                <w:szCs w:val="22"/>
              </w:rPr>
              <w:t>FDA</w:t>
            </w:r>
          </w:p>
        </w:tc>
        <w:tc>
          <w:tcPr>
            <w:tcW w:w="6563" w:type="dxa"/>
          </w:tcPr>
          <w:p w14:paraId="065885F5" w14:textId="77777777" w:rsidR="00AF7B2C" w:rsidRPr="00AF7B2C" w:rsidRDefault="00AF7B2C" w:rsidP="00AF7B2C">
            <w:pPr>
              <w:rPr>
                <w:szCs w:val="22"/>
              </w:rPr>
            </w:pPr>
            <w:r w:rsidRPr="00AF7B2C">
              <w:rPr>
                <w:szCs w:val="22"/>
              </w:rPr>
              <w:t>Food and Drug Administration (USA)</w:t>
            </w:r>
          </w:p>
        </w:tc>
      </w:tr>
      <w:tr w:rsidR="00AF7B2C" w:rsidRPr="00AF7B2C" w14:paraId="75C1B5B3" w14:textId="77777777" w:rsidTr="00AF7B2C">
        <w:trPr>
          <w:trHeight w:val="70"/>
        </w:trPr>
        <w:tc>
          <w:tcPr>
            <w:tcW w:w="1718" w:type="dxa"/>
          </w:tcPr>
          <w:p w14:paraId="6218B402" w14:textId="77777777" w:rsidR="00AF7B2C" w:rsidRPr="00AF7B2C" w:rsidRDefault="00AF7B2C" w:rsidP="00AF7B2C">
            <w:pPr>
              <w:rPr>
                <w:szCs w:val="22"/>
              </w:rPr>
            </w:pPr>
            <w:proofErr w:type="spellStart"/>
            <w:r w:rsidRPr="00AF7B2C">
              <w:rPr>
                <w:szCs w:val="22"/>
              </w:rPr>
              <w:t>FeNO</w:t>
            </w:r>
            <w:proofErr w:type="spellEnd"/>
          </w:p>
        </w:tc>
        <w:tc>
          <w:tcPr>
            <w:tcW w:w="6563" w:type="dxa"/>
          </w:tcPr>
          <w:p w14:paraId="68BEAB62" w14:textId="77777777" w:rsidR="00AF7B2C" w:rsidRPr="00AF7B2C" w:rsidRDefault="00AF7B2C" w:rsidP="00AF7B2C">
            <w:pPr>
              <w:rPr>
                <w:szCs w:val="22"/>
              </w:rPr>
            </w:pPr>
            <w:r w:rsidRPr="00AF7B2C">
              <w:rPr>
                <w:szCs w:val="22"/>
              </w:rPr>
              <w:t>Fractional exhaled nitric oxide</w:t>
            </w:r>
          </w:p>
        </w:tc>
      </w:tr>
      <w:tr w:rsidR="00AF7B2C" w:rsidRPr="00AF7B2C" w14:paraId="57772191" w14:textId="77777777" w:rsidTr="00AF7B2C">
        <w:trPr>
          <w:trHeight w:val="70"/>
        </w:trPr>
        <w:tc>
          <w:tcPr>
            <w:tcW w:w="1718" w:type="dxa"/>
          </w:tcPr>
          <w:p w14:paraId="236491D6" w14:textId="77777777" w:rsidR="00AF7B2C" w:rsidRPr="00AF7B2C" w:rsidRDefault="00AF7B2C" w:rsidP="00AF7B2C">
            <w:pPr>
              <w:rPr>
                <w:szCs w:val="22"/>
              </w:rPr>
            </w:pPr>
            <w:r w:rsidRPr="00AF7B2C">
              <w:rPr>
                <w:szCs w:val="22"/>
              </w:rPr>
              <w:t>FEV</w:t>
            </w:r>
            <w:r w:rsidRPr="00AF7B2C">
              <w:rPr>
                <w:szCs w:val="22"/>
                <w:vertAlign w:val="subscript"/>
              </w:rPr>
              <w:t>1</w:t>
            </w:r>
          </w:p>
        </w:tc>
        <w:tc>
          <w:tcPr>
            <w:tcW w:w="6563" w:type="dxa"/>
          </w:tcPr>
          <w:p w14:paraId="643B7151" w14:textId="77777777" w:rsidR="00AF7B2C" w:rsidRPr="00AF7B2C" w:rsidRDefault="00AF7B2C" w:rsidP="00AF7B2C">
            <w:pPr>
              <w:rPr>
                <w:szCs w:val="22"/>
              </w:rPr>
            </w:pPr>
            <w:r w:rsidRPr="00AF7B2C">
              <w:rPr>
                <w:szCs w:val="22"/>
              </w:rPr>
              <w:t>Forced expiratory volume in one second</w:t>
            </w:r>
          </w:p>
        </w:tc>
      </w:tr>
      <w:tr w:rsidR="00077958" w:rsidRPr="00AF7B2C" w14:paraId="3346FDFD" w14:textId="77777777" w:rsidTr="00AF7B2C">
        <w:trPr>
          <w:trHeight w:val="70"/>
        </w:trPr>
        <w:tc>
          <w:tcPr>
            <w:tcW w:w="1718" w:type="dxa"/>
          </w:tcPr>
          <w:p w14:paraId="104F9C28" w14:textId="77777777" w:rsidR="00077958" w:rsidRPr="00AF7B2C" w:rsidRDefault="00077958" w:rsidP="00AF7B2C">
            <w:r w:rsidRPr="00077958">
              <w:t>GGT</w:t>
            </w:r>
          </w:p>
        </w:tc>
        <w:tc>
          <w:tcPr>
            <w:tcW w:w="6563" w:type="dxa"/>
          </w:tcPr>
          <w:p w14:paraId="59267442" w14:textId="77777777" w:rsidR="00077958" w:rsidRPr="00AF7B2C" w:rsidRDefault="00077958" w:rsidP="00077958">
            <w:r w:rsidRPr="00077958">
              <w:t>Gamma-</w:t>
            </w:r>
            <w:proofErr w:type="spellStart"/>
            <w:r w:rsidRPr="00077958">
              <w:t>glutamyl</w:t>
            </w:r>
            <w:proofErr w:type="spellEnd"/>
            <w:r w:rsidRPr="00077958">
              <w:t xml:space="preserve"> tra</w:t>
            </w:r>
            <w:r>
              <w:t>nsferase</w:t>
            </w:r>
          </w:p>
        </w:tc>
      </w:tr>
      <w:tr w:rsidR="00AF7B2C" w:rsidRPr="00AF7B2C" w14:paraId="7A53B8EB" w14:textId="77777777" w:rsidTr="00AF7B2C">
        <w:trPr>
          <w:trHeight w:val="70"/>
        </w:trPr>
        <w:tc>
          <w:tcPr>
            <w:tcW w:w="1718" w:type="dxa"/>
          </w:tcPr>
          <w:p w14:paraId="458AAFF9" w14:textId="77777777" w:rsidR="00AF7B2C" w:rsidRPr="00AF7B2C" w:rsidRDefault="00AF7B2C" w:rsidP="00AF7B2C">
            <w:pPr>
              <w:rPr>
                <w:szCs w:val="22"/>
              </w:rPr>
            </w:pPr>
            <w:r w:rsidRPr="00AF7B2C">
              <w:rPr>
                <w:szCs w:val="22"/>
              </w:rPr>
              <w:t>GI</w:t>
            </w:r>
          </w:p>
        </w:tc>
        <w:tc>
          <w:tcPr>
            <w:tcW w:w="6563" w:type="dxa"/>
          </w:tcPr>
          <w:p w14:paraId="748DADDC" w14:textId="77777777" w:rsidR="00AF7B2C" w:rsidRPr="00AF7B2C" w:rsidRDefault="00AF7B2C" w:rsidP="00AF7B2C">
            <w:pPr>
              <w:rPr>
                <w:szCs w:val="22"/>
              </w:rPr>
            </w:pPr>
            <w:r w:rsidRPr="00AF7B2C">
              <w:rPr>
                <w:szCs w:val="22"/>
              </w:rPr>
              <w:t>Gastrointestinal</w:t>
            </w:r>
          </w:p>
        </w:tc>
      </w:tr>
      <w:tr w:rsidR="0010624A" w:rsidRPr="00AF7B2C" w14:paraId="0C012144" w14:textId="77777777" w:rsidTr="00AF7B2C">
        <w:trPr>
          <w:trHeight w:val="70"/>
        </w:trPr>
        <w:tc>
          <w:tcPr>
            <w:tcW w:w="1718" w:type="dxa"/>
          </w:tcPr>
          <w:p w14:paraId="6E32D284" w14:textId="3EA35933" w:rsidR="0010624A" w:rsidRPr="00AF7B2C" w:rsidRDefault="0010624A" w:rsidP="00AF7B2C">
            <w:r>
              <w:t>GI/L</w:t>
            </w:r>
          </w:p>
        </w:tc>
        <w:tc>
          <w:tcPr>
            <w:tcW w:w="6563" w:type="dxa"/>
          </w:tcPr>
          <w:p w14:paraId="2EC30E1C" w14:textId="121B6104" w:rsidR="0010624A" w:rsidRPr="00AF7B2C" w:rsidRDefault="0010624A" w:rsidP="0010624A">
            <w:r>
              <w:t>Giga (10</w:t>
            </w:r>
            <w:r w:rsidRPr="00E2402E">
              <w:rPr>
                <w:vertAlign w:val="superscript"/>
              </w:rPr>
              <w:t>9</w:t>
            </w:r>
            <w:r>
              <w:t>) per litre (blood eosinophil count)</w:t>
            </w:r>
          </w:p>
        </w:tc>
      </w:tr>
      <w:tr w:rsidR="00F920CA" w:rsidRPr="00AF7B2C" w14:paraId="694AFFAD" w14:textId="77777777" w:rsidTr="00AF7B2C">
        <w:trPr>
          <w:trHeight w:val="70"/>
        </w:trPr>
        <w:tc>
          <w:tcPr>
            <w:tcW w:w="1718" w:type="dxa"/>
          </w:tcPr>
          <w:p w14:paraId="78EA1411" w14:textId="77777777" w:rsidR="00F920CA" w:rsidRPr="00AF7B2C" w:rsidRDefault="00F920CA" w:rsidP="00AF7B2C">
            <w:r w:rsidRPr="00130106">
              <w:rPr>
                <w:rFonts w:asciiTheme="minorHAnsi" w:hAnsiTheme="minorHAnsi"/>
              </w:rPr>
              <w:t>GIT</w:t>
            </w:r>
          </w:p>
        </w:tc>
        <w:tc>
          <w:tcPr>
            <w:tcW w:w="6563" w:type="dxa"/>
          </w:tcPr>
          <w:p w14:paraId="4710C464" w14:textId="77777777" w:rsidR="00F920CA" w:rsidRPr="00AF7B2C" w:rsidRDefault="00F920CA" w:rsidP="00F920CA">
            <w:r>
              <w:rPr>
                <w:rFonts w:asciiTheme="minorHAnsi" w:hAnsiTheme="minorHAnsi"/>
              </w:rPr>
              <w:t>Gastrointestinal tract</w:t>
            </w:r>
          </w:p>
        </w:tc>
      </w:tr>
      <w:tr w:rsidR="007B19BE" w:rsidRPr="00AF7B2C" w14:paraId="1C4B2A21" w14:textId="77777777" w:rsidTr="00AF7B2C">
        <w:trPr>
          <w:trHeight w:val="70"/>
        </w:trPr>
        <w:tc>
          <w:tcPr>
            <w:tcW w:w="1718" w:type="dxa"/>
          </w:tcPr>
          <w:p w14:paraId="7D3F7765" w14:textId="77777777" w:rsidR="007B19BE" w:rsidRPr="00AF7B2C" w:rsidRDefault="007B19BE" w:rsidP="00AF7B2C">
            <w:r w:rsidRPr="00C02779">
              <w:rPr>
                <w:rFonts w:asciiTheme="minorHAnsi" w:eastAsia="Times New Roman" w:hAnsiTheme="minorHAnsi"/>
                <w:lang w:eastAsia="zh-CN"/>
              </w:rPr>
              <w:t>GPA</w:t>
            </w:r>
          </w:p>
        </w:tc>
        <w:tc>
          <w:tcPr>
            <w:tcW w:w="6563" w:type="dxa"/>
          </w:tcPr>
          <w:p w14:paraId="06D45EF2" w14:textId="30E9A1A7" w:rsidR="007B19BE" w:rsidRPr="00AF7B2C" w:rsidRDefault="007B19BE" w:rsidP="007B19BE">
            <w:r w:rsidRPr="00C02779">
              <w:rPr>
                <w:rFonts w:asciiTheme="minorHAnsi" w:eastAsia="Times New Roman" w:hAnsiTheme="minorHAnsi"/>
                <w:lang w:eastAsia="zh-CN"/>
              </w:rPr>
              <w:t>Granulomato</w:t>
            </w:r>
            <w:r>
              <w:rPr>
                <w:rFonts w:asciiTheme="minorHAnsi" w:eastAsia="Times New Roman" w:hAnsiTheme="minorHAnsi"/>
                <w:lang w:eastAsia="zh-CN"/>
              </w:rPr>
              <w:t xml:space="preserve">sis with </w:t>
            </w:r>
            <w:proofErr w:type="spellStart"/>
            <w:r w:rsidR="00B4206F">
              <w:rPr>
                <w:rFonts w:asciiTheme="minorHAnsi" w:eastAsia="Times New Roman" w:hAnsiTheme="minorHAnsi"/>
                <w:lang w:eastAsia="zh-CN"/>
              </w:rPr>
              <w:t>p</w:t>
            </w:r>
            <w:r>
              <w:rPr>
                <w:rFonts w:asciiTheme="minorHAnsi" w:eastAsia="Times New Roman" w:hAnsiTheme="minorHAnsi"/>
                <w:lang w:eastAsia="zh-CN"/>
              </w:rPr>
              <w:t>olyangiitis</w:t>
            </w:r>
            <w:proofErr w:type="spellEnd"/>
          </w:p>
        </w:tc>
      </w:tr>
      <w:tr w:rsidR="00AF7B2C" w:rsidRPr="00AF7B2C" w14:paraId="2CB43106" w14:textId="77777777" w:rsidTr="00AF7B2C">
        <w:trPr>
          <w:trHeight w:val="70"/>
        </w:trPr>
        <w:tc>
          <w:tcPr>
            <w:tcW w:w="1718" w:type="dxa"/>
          </w:tcPr>
          <w:p w14:paraId="0A9C0105" w14:textId="12E2F4C7" w:rsidR="00AF7B2C" w:rsidRPr="00AF7B2C" w:rsidRDefault="00B4206F" w:rsidP="00AF7B2C">
            <w:pPr>
              <w:rPr>
                <w:szCs w:val="22"/>
              </w:rPr>
            </w:pPr>
            <w:r>
              <w:rPr>
                <w:szCs w:val="22"/>
              </w:rPr>
              <w:t>h</w:t>
            </w:r>
          </w:p>
        </w:tc>
        <w:tc>
          <w:tcPr>
            <w:tcW w:w="6563" w:type="dxa"/>
          </w:tcPr>
          <w:p w14:paraId="1DDFC5CE" w14:textId="2665A747" w:rsidR="00AF7B2C" w:rsidRPr="00AF7B2C" w:rsidRDefault="00AF7B2C" w:rsidP="00AF7B2C">
            <w:pPr>
              <w:rPr>
                <w:szCs w:val="22"/>
              </w:rPr>
            </w:pPr>
            <w:r w:rsidRPr="00AF7B2C">
              <w:rPr>
                <w:szCs w:val="22"/>
              </w:rPr>
              <w:t>Hour</w:t>
            </w:r>
            <w:r w:rsidR="00B4206F">
              <w:rPr>
                <w:szCs w:val="22"/>
              </w:rPr>
              <w:t>(</w:t>
            </w:r>
            <w:r w:rsidRPr="00AF7B2C">
              <w:rPr>
                <w:szCs w:val="22"/>
              </w:rPr>
              <w:t>s</w:t>
            </w:r>
            <w:r w:rsidR="00B4206F">
              <w:rPr>
                <w:szCs w:val="22"/>
              </w:rPr>
              <w:t>)</w:t>
            </w:r>
          </w:p>
        </w:tc>
      </w:tr>
      <w:tr w:rsidR="00AF7B2C" w:rsidRPr="00AF7B2C" w14:paraId="27C5C145" w14:textId="77777777" w:rsidTr="00AF7B2C">
        <w:trPr>
          <w:trHeight w:val="70"/>
        </w:trPr>
        <w:tc>
          <w:tcPr>
            <w:tcW w:w="1718" w:type="dxa"/>
          </w:tcPr>
          <w:p w14:paraId="17C98E12" w14:textId="77777777" w:rsidR="00AF7B2C" w:rsidRPr="00AF7B2C" w:rsidRDefault="00AF7B2C" w:rsidP="00AF7B2C">
            <w:pPr>
              <w:rPr>
                <w:szCs w:val="22"/>
              </w:rPr>
            </w:pPr>
            <w:r w:rsidRPr="00AF7B2C">
              <w:rPr>
                <w:szCs w:val="22"/>
              </w:rPr>
              <w:t>HES</w:t>
            </w:r>
          </w:p>
        </w:tc>
        <w:tc>
          <w:tcPr>
            <w:tcW w:w="6563" w:type="dxa"/>
          </w:tcPr>
          <w:p w14:paraId="2A5C08AE" w14:textId="77777777" w:rsidR="00AF7B2C" w:rsidRPr="00AF7B2C" w:rsidRDefault="00AF7B2C" w:rsidP="00AF7B2C">
            <w:pPr>
              <w:rPr>
                <w:szCs w:val="22"/>
              </w:rPr>
            </w:pPr>
            <w:proofErr w:type="spellStart"/>
            <w:r w:rsidRPr="00AF7B2C">
              <w:rPr>
                <w:szCs w:val="22"/>
              </w:rPr>
              <w:t>Hypereosinophilic</w:t>
            </w:r>
            <w:proofErr w:type="spellEnd"/>
            <w:r w:rsidRPr="00AF7B2C">
              <w:rPr>
                <w:szCs w:val="22"/>
              </w:rPr>
              <w:t xml:space="preserve"> syndrome</w:t>
            </w:r>
          </w:p>
        </w:tc>
      </w:tr>
      <w:tr w:rsidR="00707CC4" w:rsidRPr="00AF7B2C" w14:paraId="7A80D752" w14:textId="77777777" w:rsidTr="00AF7B2C">
        <w:trPr>
          <w:trHeight w:val="70"/>
        </w:trPr>
        <w:tc>
          <w:tcPr>
            <w:tcW w:w="1718" w:type="dxa"/>
          </w:tcPr>
          <w:p w14:paraId="68944789" w14:textId="77777777" w:rsidR="00707CC4" w:rsidRPr="00AF7B2C" w:rsidRDefault="00707CC4" w:rsidP="00AF7B2C">
            <w:r>
              <w:rPr>
                <w:rFonts w:asciiTheme="minorHAnsi" w:eastAsia="Times New Roman" w:hAnsiTheme="minorHAnsi"/>
              </w:rPr>
              <w:t>HPF</w:t>
            </w:r>
          </w:p>
        </w:tc>
        <w:tc>
          <w:tcPr>
            <w:tcW w:w="6563" w:type="dxa"/>
          </w:tcPr>
          <w:p w14:paraId="1B8939F3" w14:textId="77777777" w:rsidR="00707CC4" w:rsidRPr="00AF7B2C" w:rsidRDefault="00707CC4" w:rsidP="00707CC4">
            <w:r>
              <w:rPr>
                <w:rFonts w:asciiTheme="minorHAnsi" w:eastAsia="Times New Roman" w:hAnsiTheme="minorHAnsi"/>
              </w:rPr>
              <w:t>High power field</w:t>
            </w:r>
          </w:p>
        </w:tc>
      </w:tr>
      <w:tr w:rsidR="00AF7B2C" w:rsidRPr="00AF7B2C" w14:paraId="699D1D9B" w14:textId="77777777" w:rsidTr="00AF7B2C">
        <w:trPr>
          <w:trHeight w:val="239"/>
        </w:trPr>
        <w:tc>
          <w:tcPr>
            <w:tcW w:w="1718" w:type="dxa"/>
          </w:tcPr>
          <w:p w14:paraId="3BD15FE6" w14:textId="77777777" w:rsidR="00AF7B2C" w:rsidRPr="00AF7B2C" w:rsidRDefault="00AF7B2C" w:rsidP="00AF7B2C">
            <w:pPr>
              <w:rPr>
                <w:szCs w:val="22"/>
              </w:rPr>
            </w:pPr>
            <w:r w:rsidRPr="00AF7B2C">
              <w:rPr>
                <w:szCs w:val="22"/>
              </w:rPr>
              <w:lastRenderedPageBreak/>
              <w:t>ICH</w:t>
            </w:r>
          </w:p>
        </w:tc>
        <w:tc>
          <w:tcPr>
            <w:tcW w:w="6563" w:type="dxa"/>
          </w:tcPr>
          <w:p w14:paraId="6A58BED0" w14:textId="77777777" w:rsidR="00AF7B2C" w:rsidRPr="00AF7B2C" w:rsidRDefault="00AF7B2C" w:rsidP="00AF7B2C">
            <w:pPr>
              <w:rPr>
                <w:szCs w:val="22"/>
              </w:rPr>
            </w:pPr>
            <w:r w:rsidRPr="00AF7B2C">
              <w:rPr>
                <w:szCs w:val="22"/>
              </w:rPr>
              <w:t>International Conference on Harmonisation</w:t>
            </w:r>
          </w:p>
        </w:tc>
      </w:tr>
      <w:tr w:rsidR="00AF7B2C" w:rsidRPr="00AF7B2C" w14:paraId="727C0DE2" w14:textId="77777777" w:rsidTr="00AF7B2C">
        <w:trPr>
          <w:trHeight w:val="239"/>
        </w:trPr>
        <w:tc>
          <w:tcPr>
            <w:tcW w:w="1718" w:type="dxa"/>
          </w:tcPr>
          <w:p w14:paraId="4B85C0AA" w14:textId="77777777" w:rsidR="00AF7B2C" w:rsidRPr="00AF7B2C" w:rsidRDefault="00AF7B2C" w:rsidP="00AF7B2C">
            <w:pPr>
              <w:rPr>
                <w:szCs w:val="22"/>
              </w:rPr>
            </w:pPr>
            <w:r w:rsidRPr="00AF7B2C">
              <w:rPr>
                <w:szCs w:val="22"/>
              </w:rPr>
              <w:t>ID</w:t>
            </w:r>
            <w:r w:rsidRPr="00AF7B2C">
              <w:rPr>
                <w:szCs w:val="22"/>
                <w:vertAlign w:val="subscript"/>
              </w:rPr>
              <w:t>50</w:t>
            </w:r>
            <w:r w:rsidRPr="00AF7B2C">
              <w:rPr>
                <w:szCs w:val="22"/>
              </w:rPr>
              <w:t xml:space="preserve"> </w:t>
            </w:r>
          </w:p>
        </w:tc>
        <w:tc>
          <w:tcPr>
            <w:tcW w:w="6563" w:type="dxa"/>
          </w:tcPr>
          <w:p w14:paraId="653D0F2D" w14:textId="77777777" w:rsidR="00AF7B2C" w:rsidRPr="00AF7B2C" w:rsidRDefault="00AF7B2C" w:rsidP="00AF7B2C">
            <w:pPr>
              <w:rPr>
                <w:szCs w:val="22"/>
              </w:rPr>
            </w:pPr>
            <w:r w:rsidRPr="00AF7B2C">
              <w:rPr>
                <w:szCs w:val="22"/>
              </w:rPr>
              <w:t>Dose associated with 50% of the maximal inhibition effect</w:t>
            </w:r>
          </w:p>
        </w:tc>
      </w:tr>
      <w:tr w:rsidR="00AF7B2C" w:rsidRPr="00AF7B2C" w14:paraId="6AA7FA94" w14:textId="77777777" w:rsidTr="00AF7B2C">
        <w:trPr>
          <w:trHeight w:val="239"/>
        </w:trPr>
        <w:tc>
          <w:tcPr>
            <w:tcW w:w="1718" w:type="dxa"/>
          </w:tcPr>
          <w:p w14:paraId="1C2D7D75" w14:textId="3103CE3C" w:rsidR="00AF7B2C" w:rsidRPr="00AF7B2C" w:rsidRDefault="00AF7B2C" w:rsidP="00AF7B2C">
            <w:pPr>
              <w:rPr>
                <w:szCs w:val="22"/>
              </w:rPr>
            </w:pPr>
            <w:r w:rsidRPr="00AF7B2C">
              <w:rPr>
                <w:szCs w:val="22"/>
              </w:rPr>
              <w:t>Ig</w:t>
            </w:r>
            <w:r w:rsidR="00B4206F">
              <w:rPr>
                <w:szCs w:val="22"/>
              </w:rPr>
              <w:t>;</w:t>
            </w:r>
            <w:r w:rsidRPr="00AF7B2C">
              <w:rPr>
                <w:szCs w:val="22"/>
              </w:rPr>
              <w:t xml:space="preserve"> </w:t>
            </w:r>
            <w:proofErr w:type="spellStart"/>
            <w:r w:rsidRPr="00AF7B2C">
              <w:rPr>
                <w:szCs w:val="22"/>
              </w:rPr>
              <w:t>IgE</w:t>
            </w:r>
            <w:proofErr w:type="spellEnd"/>
          </w:p>
        </w:tc>
        <w:tc>
          <w:tcPr>
            <w:tcW w:w="6563" w:type="dxa"/>
          </w:tcPr>
          <w:p w14:paraId="1832A9C7" w14:textId="5496A211" w:rsidR="00AF7B2C" w:rsidRPr="00AF7B2C" w:rsidRDefault="00AF7B2C" w:rsidP="00AF7B2C">
            <w:pPr>
              <w:rPr>
                <w:szCs w:val="22"/>
              </w:rPr>
            </w:pPr>
            <w:r w:rsidRPr="00AF7B2C">
              <w:rPr>
                <w:szCs w:val="22"/>
              </w:rPr>
              <w:t>Immunoglobulin</w:t>
            </w:r>
            <w:r w:rsidR="00B4206F">
              <w:rPr>
                <w:szCs w:val="22"/>
              </w:rPr>
              <w:t>;</w:t>
            </w:r>
            <w:r w:rsidRPr="00AF7B2C">
              <w:rPr>
                <w:szCs w:val="22"/>
              </w:rPr>
              <w:t xml:space="preserve"> </w:t>
            </w:r>
            <w:r w:rsidR="00B4206F">
              <w:rPr>
                <w:szCs w:val="22"/>
              </w:rPr>
              <w:t>i</w:t>
            </w:r>
            <w:r w:rsidRPr="00AF7B2C">
              <w:rPr>
                <w:szCs w:val="22"/>
              </w:rPr>
              <w:t>mmunoglobulin E</w:t>
            </w:r>
          </w:p>
        </w:tc>
      </w:tr>
      <w:tr w:rsidR="00AF7B2C" w:rsidRPr="00AF7B2C" w14:paraId="0F23D43C" w14:textId="77777777" w:rsidTr="00AF7B2C">
        <w:trPr>
          <w:trHeight w:val="239"/>
        </w:trPr>
        <w:tc>
          <w:tcPr>
            <w:tcW w:w="1718" w:type="dxa"/>
          </w:tcPr>
          <w:p w14:paraId="4944DDF3" w14:textId="77777777" w:rsidR="00AF7B2C" w:rsidRPr="00AF7B2C" w:rsidRDefault="00AF7B2C" w:rsidP="00AF7B2C">
            <w:pPr>
              <w:rPr>
                <w:szCs w:val="22"/>
              </w:rPr>
            </w:pPr>
            <w:r w:rsidRPr="00AF7B2C">
              <w:rPr>
                <w:szCs w:val="22"/>
              </w:rPr>
              <w:t>IL-5</w:t>
            </w:r>
          </w:p>
        </w:tc>
        <w:tc>
          <w:tcPr>
            <w:tcW w:w="6563" w:type="dxa"/>
          </w:tcPr>
          <w:p w14:paraId="7203997A" w14:textId="77777777" w:rsidR="00AF7B2C" w:rsidRPr="00AF7B2C" w:rsidRDefault="00AF7B2C" w:rsidP="00AF7B2C">
            <w:pPr>
              <w:rPr>
                <w:szCs w:val="22"/>
              </w:rPr>
            </w:pPr>
            <w:r w:rsidRPr="00AF7B2C">
              <w:rPr>
                <w:szCs w:val="22"/>
              </w:rPr>
              <w:t>Interleukin-5</w:t>
            </w:r>
          </w:p>
        </w:tc>
      </w:tr>
      <w:tr w:rsidR="00AF7B2C" w:rsidRPr="00AF7B2C" w14:paraId="59B2D01D" w14:textId="77777777" w:rsidTr="00AF7B2C">
        <w:trPr>
          <w:trHeight w:val="239"/>
        </w:trPr>
        <w:tc>
          <w:tcPr>
            <w:tcW w:w="1718" w:type="dxa"/>
          </w:tcPr>
          <w:p w14:paraId="6C91BF76" w14:textId="77777777" w:rsidR="00AF7B2C" w:rsidRPr="00AF7B2C" w:rsidRDefault="00AF7B2C" w:rsidP="00AF7B2C">
            <w:pPr>
              <w:rPr>
                <w:szCs w:val="22"/>
              </w:rPr>
            </w:pPr>
            <w:r w:rsidRPr="00AF7B2C">
              <w:rPr>
                <w:szCs w:val="22"/>
              </w:rPr>
              <w:t>IV</w:t>
            </w:r>
          </w:p>
        </w:tc>
        <w:tc>
          <w:tcPr>
            <w:tcW w:w="6563" w:type="dxa"/>
          </w:tcPr>
          <w:p w14:paraId="2E6AFE84" w14:textId="77777777" w:rsidR="00AF7B2C" w:rsidRPr="00AF7B2C" w:rsidRDefault="00AF7B2C" w:rsidP="00AF7B2C">
            <w:pPr>
              <w:rPr>
                <w:szCs w:val="22"/>
              </w:rPr>
            </w:pPr>
            <w:r w:rsidRPr="00AF7B2C">
              <w:rPr>
                <w:szCs w:val="22"/>
              </w:rPr>
              <w:t>Intravenous</w:t>
            </w:r>
          </w:p>
        </w:tc>
      </w:tr>
      <w:tr w:rsidR="00AF7B2C" w:rsidRPr="00AF7B2C" w14:paraId="59E05A7D" w14:textId="77777777" w:rsidTr="00AF7B2C">
        <w:trPr>
          <w:trHeight w:val="239"/>
        </w:trPr>
        <w:tc>
          <w:tcPr>
            <w:tcW w:w="1718" w:type="dxa"/>
          </w:tcPr>
          <w:p w14:paraId="3BE6D149" w14:textId="77777777" w:rsidR="00AF7B2C" w:rsidRPr="00AF7B2C" w:rsidRDefault="00AF7B2C" w:rsidP="00AF7B2C">
            <w:pPr>
              <w:rPr>
                <w:szCs w:val="22"/>
              </w:rPr>
            </w:pPr>
            <w:r w:rsidRPr="00AF7B2C">
              <w:rPr>
                <w:szCs w:val="22"/>
              </w:rPr>
              <w:t>LFT</w:t>
            </w:r>
          </w:p>
        </w:tc>
        <w:tc>
          <w:tcPr>
            <w:tcW w:w="6563" w:type="dxa"/>
          </w:tcPr>
          <w:p w14:paraId="20F7B4D0" w14:textId="77777777" w:rsidR="00AF7B2C" w:rsidRPr="00AF7B2C" w:rsidRDefault="00AF7B2C" w:rsidP="00AF7B2C">
            <w:pPr>
              <w:rPr>
                <w:szCs w:val="22"/>
              </w:rPr>
            </w:pPr>
            <w:r w:rsidRPr="00AF7B2C">
              <w:rPr>
                <w:szCs w:val="22"/>
              </w:rPr>
              <w:t>Liver function test</w:t>
            </w:r>
          </w:p>
        </w:tc>
      </w:tr>
      <w:tr w:rsidR="00AF7B2C" w:rsidRPr="00AF7B2C" w14:paraId="0D7A6A44" w14:textId="77777777" w:rsidTr="00AF7B2C">
        <w:trPr>
          <w:trHeight w:val="239"/>
        </w:trPr>
        <w:tc>
          <w:tcPr>
            <w:tcW w:w="1718" w:type="dxa"/>
          </w:tcPr>
          <w:p w14:paraId="0EFC5FD4" w14:textId="77777777" w:rsidR="00AF7B2C" w:rsidRPr="00AF7B2C" w:rsidRDefault="00AF7B2C" w:rsidP="00AF7B2C">
            <w:pPr>
              <w:rPr>
                <w:szCs w:val="22"/>
              </w:rPr>
            </w:pPr>
            <w:proofErr w:type="spellStart"/>
            <w:r w:rsidRPr="00AF7B2C">
              <w:rPr>
                <w:szCs w:val="22"/>
              </w:rPr>
              <w:t>mAb</w:t>
            </w:r>
            <w:proofErr w:type="spellEnd"/>
          </w:p>
        </w:tc>
        <w:tc>
          <w:tcPr>
            <w:tcW w:w="6563" w:type="dxa"/>
          </w:tcPr>
          <w:p w14:paraId="02F50982" w14:textId="44365F5F" w:rsidR="00AF7B2C" w:rsidRPr="00AF7B2C" w:rsidRDefault="00B4206F" w:rsidP="00AF7B2C">
            <w:pPr>
              <w:rPr>
                <w:szCs w:val="22"/>
              </w:rPr>
            </w:pPr>
            <w:r>
              <w:rPr>
                <w:rFonts w:eastAsia="TimesNewRoman" w:cs="TimesNewRoman"/>
                <w:szCs w:val="22"/>
              </w:rPr>
              <w:t>M</w:t>
            </w:r>
            <w:r w:rsidRPr="00AF7B2C">
              <w:rPr>
                <w:rFonts w:eastAsia="TimesNewRoman" w:cs="TimesNewRoman"/>
                <w:szCs w:val="22"/>
              </w:rPr>
              <w:t xml:space="preserve">onoclonal </w:t>
            </w:r>
            <w:r w:rsidR="00AF7B2C" w:rsidRPr="00AF7B2C">
              <w:rPr>
                <w:rFonts w:eastAsia="TimesNewRoman" w:cs="TimesNewRoman"/>
                <w:szCs w:val="22"/>
              </w:rPr>
              <w:t>antibody</w:t>
            </w:r>
          </w:p>
        </w:tc>
      </w:tr>
      <w:tr w:rsidR="00AF7B2C" w:rsidRPr="00AF7B2C" w14:paraId="75351CDC" w14:textId="77777777" w:rsidTr="00AF7B2C">
        <w:trPr>
          <w:trHeight w:val="239"/>
        </w:trPr>
        <w:tc>
          <w:tcPr>
            <w:tcW w:w="1718" w:type="dxa"/>
          </w:tcPr>
          <w:p w14:paraId="2C4B625D" w14:textId="77777777" w:rsidR="00AF7B2C" w:rsidRPr="00AF7B2C" w:rsidRDefault="00AF7B2C" w:rsidP="00AF7B2C">
            <w:pPr>
              <w:rPr>
                <w:szCs w:val="22"/>
              </w:rPr>
            </w:pPr>
            <w:proofErr w:type="spellStart"/>
            <w:r w:rsidRPr="00AF7B2C">
              <w:rPr>
                <w:szCs w:val="22"/>
              </w:rPr>
              <w:t>MedDRA</w:t>
            </w:r>
            <w:proofErr w:type="spellEnd"/>
          </w:p>
        </w:tc>
        <w:tc>
          <w:tcPr>
            <w:tcW w:w="6563" w:type="dxa"/>
          </w:tcPr>
          <w:p w14:paraId="630941FB" w14:textId="77777777" w:rsidR="00AF7B2C" w:rsidRPr="00AF7B2C" w:rsidRDefault="00AF7B2C" w:rsidP="00AF7B2C">
            <w:pPr>
              <w:rPr>
                <w:szCs w:val="22"/>
              </w:rPr>
            </w:pPr>
            <w:r w:rsidRPr="00AF7B2C">
              <w:rPr>
                <w:szCs w:val="22"/>
              </w:rPr>
              <w:t>Medical Dictionary for Regulatory Activities</w:t>
            </w:r>
          </w:p>
        </w:tc>
      </w:tr>
      <w:tr w:rsidR="00077958" w:rsidRPr="00AF7B2C" w14:paraId="65FA47A4" w14:textId="77777777" w:rsidTr="00AF7B2C">
        <w:trPr>
          <w:trHeight w:val="239"/>
        </w:trPr>
        <w:tc>
          <w:tcPr>
            <w:tcW w:w="1718" w:type="dxa"/>
          </w:tcPr>
          <w:p w14:paraId="11A12C98" w14:textId="77777777" w:rsidR="00077958" w:rsidRPr="00AF7B2C" w:rsidRDefault="00077958" w:rsidP="00AF7B2C">
            <w:r>
              <w:t>MI</w:t>
            </w:r>
          </w:p>
        </w:tc>
        <w:tc>
          <w:tcPr>
            <w:tcW w:w="6563" w:type="dxa"/>
          </w:tcPr>
          <w:p w14:paraId="6F3882AE" w14:textId="77777777" w:rsidR="00077958" w:rsidRPr="00AF7B2C" w:rsidRDefault="00077958" w:rsidP="00AF7B2C">
            <w:r>
              <w:t>Myocardial infarction</w:t>
            </w:r>
          </w:p>
        </w:tc>
      </w:tr>
      <w:tr w:rsidR="007B19BE" w:rsidRPr="00AF7B2C" w14:paraId="058242D8" w14:textId="77777777" w:rsidTr="00AF7B2C">
        <w:trPr>
          <w:trHeight w:val="239"/>
        </w:trPr>
        <w:tc>
          <w:tcPr>
            <w:tcW w:w="1718" w:type="dxa"/>
          </w:tcPr>
          <w:p w14:paraId="4D9B5749" w14:textId="77777777" w:rsidR="007B19BE" w:rsidRPr="00AF7B2C" w:rsidRDefault="007B19BE" w:rsidP="00AF7B2C">
            <w:r w:rsidRPr="00C02779">
              <w:rPr>
                <w:rFonts w:asciiTheme="minorHAnsi" w:eastAsia="Times New Roman" w:hAnsiTheme="minorHAnsi"/>
                <w:lang w:eastAsia="zh-CN"/>
              </w:rPr>
              <w:t>MPA</w:t>
            </w:r>
          </w:p>
        </w:tc>
        <w:tc>
          <w:tcPr>
            <w:tcW w:w="6563" w:type="dxa"/>
          </w:tcPr>
          <w:p w14:paraId="5B707D42" w14:textId="29E76284" w:rsidR="007B19BE" w:rsidRPr="00AF7B2C" w:rsidRDefault="007B19BE" w:rsidP="007B19BE">
            <w:r>
              <w:rPr>
                <w:rFonts w:asciiTheme="minorHAnsi" w:eastAsia="Times New Roman" w:hAnsiTheme="minorHAnsi"/>
                <w:lang w:eastAsia="zh-CN"/>
              </w:rPr>
              <w:t xml:space="preserve">Microscopic </w:t>
            </w:r>
            <w:proofErr w:type="spellStart"/>
            <w:r w:rsidR="00B4206F">
              <w:rPr>
                <w:rFonts w:asciiTheme="minorHAnsi" w:eastAsia="Times New Roman" w:hAnsiTheme="minorHAnsi"/>
                <w:lang w:eastAsia="zh-CN"/>
              </w:rPr>
              <w:t>p</w:t>
            </w:r>
            <w:r>
              <w:rPr>
                <w:rFonts w:asciiTheme="minorHAnsi" w:eastAsia="Times New Roman" w:hAnsiTheme="minorHAnsi"/>
                <w:lang w:eastAsia="zh-CN"/>
              </w:rPr>
              <w:t>olyangiitis</w:t>
            </w:r>
            <w:proofErr w:type="spellEnd"/>
          </w:p>
        </w:tc>
      </w:tr>
      <w:tr w:rsidR="00F920CA" w:rsidRPr="00AF7B2C" w14:paraId="3BCB7198" w14:textId="77777777" w:rsidTr="00AF7B2C">
        <w:trPr>
          <w:trHeight w:val="239"/>
        </w:trPr>
        <w:tc>
          <w:tcPr>
            <w:tcW w:w="1718" w:type="dxa"/>
          </w:tcPr>
          <w:p w14:paraId="714B013A" w14:textId="77777777" w:rsidR="00F920CA" w:rsidRPr="00AF7B2C" w:rsidRDefault="00F920CA" w:rsidP="00AF7B2C">
            <w:r w:rsidRPr="00130106">
              <w:rPr>
                <w:rFonts w:asciiTheme="minorHAnsi" w:eastAsiaTheme="minorHAnsi" w:hAnsiTheme="minorHAnsi" w:cs="AdvTT5235d5a9"/>
              </w:rPr>
              <w:t>MPO</w:t>
            </w:r>
          </w:p>
        </w:tc>
        <w:tc>
          <w:tcPr>
            <w:tcW w:w="6563" w:type="dxa"/>
          </w:tcPr>
          <w:p w14:paraId="657B0714" w14:textId="77777777" w:rsidR="00F920CA" w:rsidRPr="00AF7B2C" w:rsidRDefault="00F920CA" w:rsidP="00F920CA">
            <w:r>
              <w:rPr>
                <w:rFonts w:asciiTheme="minorHAnsi" w:eastAsiaTheme="minorHAnsi" w:hAnsiTheme="minorHAnsi" w:cs="AdvTT5235d5a9"/>
              </w:rPr>
              <w:t>Anti-myeloperoxidase</w:t>
            </w:r>
          </w:p>
        </w:tc>
      </w:tr>
      <w:tr w:rsidR="007340AC" w:rsidRPr="00AF7B2C" w14:paraId="7F44AC9F" w14:textId="77777777" w:rsidTr="00AF7B2C">
        <w:trPr>
          <w:trHeight w:val="239"/>
        </w:trPr>
        <w:tc>
          <w:tcPr>
            <w:tcW w:w="1718" w:type="dxa"/>
          </w:tcPr>
          <w:p w14:paraId="06D19A35" w14:textId="77777777" w:rsidR="007340AC" w:rsidRPr="00AF7B2C" w:rsidRDefault="007340AC" w:rsidP="00AF7B2C">
            <w:r>
              <w:t>NPDE</w:t>
            </w:r>
          </w:p>
        </w:tc>
        <w:tc>
          <w:tcPr>
            <w:tcW w:w="6563" w:type="dxa"/>
          </w:tcPr>
          <w:p w14:paraId="32158965" w14:textId="22B25443" w:rsidR="007340AC" w:rsidRPr="00AF7B2C" w:rsidRDefault="007340AC" w:rsidP="007340AC">
            <w:r>
              <w:t>N</w:t>
            </w:r>
            <w:r w:rsidRPr="007340AC">
              <w:t>ormali</w:t>
            </w:r>
            <w:r w:rsidR="00B4206F">
              <w:t>s</w:t>
            </w:r>
            <w:r w:rsidRPr="007340AC">
              <w:t>ed prediction distribution errors</w:t>
            </w:r>
          </w:p>
        </w:tc>
      </w:tr>
      <w:tr w:rsidR="00AF7B2C" w:rsidRPr="00AF7B2C" w14:paraId="54A6BA8E" w14:textId="77777777" w:rsidTr="00AF7B2C">
        <w:trPr>
          <w:trHeight w:val="239"/>
        </w:trPr>
        <w:tc>
          <w:tcPr>
            <w:tcW w:w="1718" w:type="dxa"/>
          </w:tcPr>
          <w:p w14:paraId="089F542A" w14:textId="77777777" w:rsidR="00AF7B2C" w:rsidRPr="00AF7B2C" w:rsidRDefault="00AF7B2C" w:rsidP="00AF7B2C">
            <w:pPr>
              <w:rPr>
                <w:szCs w:val="22"/>
              </w:rPr>
            </w:pPr>
            <w:r w:rsidRPr="00AF7B2C">
              <w:rPr>
                <w:szCs w:val="22"/>
              </w:rPr>
              <w:t>OCS</w:t>
            </w:r>
          </w:p>
        </w:tc>
        <w:tc>
          <w:tcPr>
            <w:tcW w:w="6563" w:type="dxa"/>
          </w:tcPr>
          <w:p w14:paraId="636C813C" w14:textId="77777777" w:rsidR="00AF7B2C" w:rsidRPr="00AF7B2C" w:rsidRDefault="00AF7B2C" w:rsidP="00AF7B2C">
            <w:pPr>
              <w:rPr>
                <w:szCs w:val="22"/>
              </w:rPr>
            </w:pPr>
            <w:r w:rsidRPr="00AF7B2C">
              <w:rPr>
                <w:szCs w:val="22"/>
              </w:rPr>
              <w:t xml:space="preserve">Oral corticosteroid </w:t>
            </w:r>
            <w:r w:rsidRPr="00AF7B2C">
              <w:rPr>
                <w:rFonts w:eastAsia="TimesNewRoman" w:cs="TimesNewRoman"/>
                <w:szCs w:val="22"/>
              </w:rPr>
              <w:t>(prednisone/prednisolone)</w:t>
            </w:r>
          </w:p>
        </w:tc>
      </w:tr>
      <w:tr w:rsidR="00AF7B2C" w:rsidRPr="00AF7B2C" w14:paraId="4573DACD" w14:textId="77777777" w:rsidTr="00AF7B2C">
        <w:trPr>
          <w:trHeight w:val="239"/>
        </w:trPr>
        <w:tc>
          <w:tcPr>
            <w:tcW w:w="1718" w:type="dxa"/>
          </w:tcPr>
          <w:p w14:paraId="1B4FB8AC" w14:textId="77777777" w:rsidR="00AF7B2C" w:rsidRPr="00AF7B2C" w:rsidRDefault="00AF7B2C" w:rsidP="00AF7B2C">
            <w:pPr>
              <w:rPr>
                <w:szCs w:val="22"/>
              </w:rPr>
            </w:pPr>
            <w:r w:rsidRPr="00AF7B2C">
              <w:rPr>
                <w:szCs w:val="22"/>
              </w:rPr>
              <w:t>OR</w:t>
            </w:r>
          </w:p>
        </w:tc>
        <w:tc>
          <w:tcPr>
            <w:tcW w:w="6563" w:type="dxa"/>
          </w:tcPr>
          <w:p w14:paraId="5C6C6537" w14:textId="77777777" w:rsidR="00AF7B2C" w:rsidRPr="00AF7B2C" w:rsidRDefault="00AF7B2C" w:rsidP="00AF7B2C">
            <w:pPr>
              <w:rPr>
                <w:szCs w:val="22"/>
              </w:rPr>
            </w:pPr>
            <w:r w:rsidRPr="00AF7B2C">
              <w:rPr>
                <w:szCs w:val="22"/>
              </w:rPr>
              <w:t>Odds ratio</w:t>
            </w:r>
          </w:p>
        </w:tc>
      </w:tr>
      <w:tr w:rsidR="00AF7B2C" w:rsidRPr="00AF7B2C" w14:paraId="1AF5685E" w14:textId="77777777" w:rsidTr="00AF7B2C">
        <w:trPr>
          <w:trHeight w:val="239"/>
        </w:trPr>
        <w:tc>
          <w:tcPr>
            <w:tcW w:w="1718" w:type="dxa"/>
          </w:tcPr>
          <w:p w14:paraId="089DD2ED" w14:textId="77777777" w:rsidR="00AF7B2C" w:rsidRPr="00AF7B2C" w:rsidRDefault="00AF7B2C" w:rsidP="00AF7B2C">
            <w:pPr>
              <w:rPr>
                <w:szCs w:val="22"/>
              </w:rPr>
            </w:pPr>
            <w:r w:rsidRPr="00AF7B2C">
              <w:rPr>
                <w:szCs w:val="22"/>
              </w:rPr>
              <w:t>PD</w:t>
            </w:r>
          </w:p>
        </w:tc>
        <w:tc>
          <w:tcPr>
            <w:tcW w:w="6563" w:type="dxa"/>
          </w:tcPr>
          <w:p w14:paraId="29B18984" w14:textId="77777777" w:rsidR="00AF7B2C" w:rsidRPr="00AF7B2C" w:rsidRDefault="00AF7B2C" w:rsidP="00AF7B2C">
            <w:pPr>
              <w:rPr>
                <w:szCs w:val="22"/>
              </w:rPr>
            </w:pPr>
            <w:proofErr w:type="spellStart"/>
            <w:r w:rsidRPr="00AF7B2C">
              <w:rPr>
                <w:szCs w:val="22"/>
              </w:rPr>
              <w:t>Pharmacodynamic</w:t>
            </w:r>
            <w:proofErr w:type="spellEnd"/>
            <w:r w:rsidRPr="00AF7B2C">
              <w:rPr>
                <w:szCs w:val="22"/>
              </w:rPr>
              <w:t>(s)</w:t>
            </w:r>
          </w:p>
        </w:tc>
      </w:tr>
      <w:tr w:rsidR="0085159D" w:rsidRPr="00AF7B2C" w14:paraId="17DA69D3" w14:textId="77777777" w:rsidTr="00AF7B2C">
        <w:trPr>
          <w:trHeight w:val="239"/>
        </w:trPr>
        <w:tc>
          <w:tcPr>
            <w:tcW w:w="1718" w:type="dxa"/>
          </w:tcPr>
          <w:p w14:paraId="53B1A8B4" w14:textId="77777777" w:rsidR="0085159D" w:rsidRPr="00AF7B2C" w:rsidRDefault="0085159D" w:rsidP="00AF7B2C">
            <w:r>
              <w:rPr>
                <w:rFonts w:asciiTheme="minorHAnsi" w:eastAsia="TimesNewRoman" w:hAnsiTheme="minorHAnsi" w:cs="TimesNewRoman"/>
              </w:rPr>
              <w:t>PDCO</w:t>
            </w:r>
          </w:p>
        </w:tc>
        <w:tc>
          <w:tcPr>
            <w:tcW w:w="6563" w:type="dxa"/>
          </w:tcPr>
          <w:p w14:paraId="61A1D0F6" w14:textId="77777777" w:rsidR="0085159D" w:rsidRPr="00AF7B2C" w:rsidRDefault="0085159D" w:rsidP="0085159D">
            <w:r w:rsidRPr="005E04B6">
              <w:rPr>
                <w:rFonts w:asciiTheme="minorHAnsi" w:eastAsia="TimesNewRoman" w:hAnsiTheme="minorHAnsi" w:cs="TimesNewRoman"/>
              </w:rPr>
              <w:t>Paediatric Committee</w:t>
            </w:r>
          </w:p>
        </w:tc>
      </w:tr>
      <w:tr w:rsidR="00AF7B2C" w:rsidRPr="00AF7B2C" w14:paraId="7579C54F" w14:textId="77777777" w:rsidTr="00AF7B2C">
        <w:trPr>
          <w:trHeight w:val="239"/>
        </w:trPr>
        <w:tc>
          <w:tcPr>
            <w:tcW w:w="1718" w:type="dxa"/>
          </w:tcPr>
          <w:p w14:paraId="311A922E" w14:textId="77777777" w:rsidR="00AF7B2C" w:rsidRPr="00AF7B2C" w:rsidRDefault="00AF7B2C" w:rsidP="00AF7B2C">
            <w:pPr>
              <w:rPr>
                <w:szCs w:val="22"/>
              </w:rPr>
            </w:pPr>
            <w:r w:rsidRPr="00AF7B2C">
              <w:rPr>
                <w:szCs w:val="22"/>
              </w:rPr>
              <w:t>PK</w:t>
            </w:r>
          </w:p>
        </w:tc>
        <w:tc>
          <w:tcPr>
            <w:tcW w:w="6563" w:type="dxa"/>
          </w:tcPr>
          <w:p w14:paraId="6366AFF9" w14:textId="77777777" w:rsidR="00AF7B2C" w:rsidRPr="00AF7B2C" w:rsidRDefault="00AF7B2C" w:rsidP="00AF7B2C">
            <w:pPr>
              <w:rPr>
                <w:szCs w:val="22"/>
              </w:rPr>
            </w:pPr>
            <w:r w:rsidRPr="00AF7B2C">
              <w:rPr>
                <w:szCs w:val="22"/>
              </w:rPr>
              <w:t>Pharmacokinetic(s)</w:t>
            </w:r>
          </w:p>
        </w:tc>
      </w:tr>
      <w:tr w:rsidR="00AF7B2C" w:rsidRPr="00AF7B2C" w14:paraId="33FDB3A7" w14:textId="77777777" w:rsidTr="00AF7B2C">
        <w:trPr>
          <w:trHeight w:val="239"/>
        </w:trPr>
        <w:tc>
          <w:tcPr>
            <w:tcW w:w="1718" w:type="dxa"/>
          </w:tcPr>
          <w:p w14:paraId="5B937071" w14:textId="77777777" w:rsidR="00AF7B2C" w:rsidRPr="00AF7B2C" w:rsidRDefault="00077958" w:rsidP="00AF7B2C">
            <w:pPr>
              <w:ind w:left="142"/>
              <w:rPr>
                <w:szCs w:val="22"/>
              </w:rPr>
            </w:pPr>
            <w:r>
              <w:rPr>
                <w:szCs w:val="22"/>
              </w:rPr>
              <w:t>PBRER</w:t>
            </w:r>
          </w:p>
        </w:tc>
        <w:tc>
          <w:tcPr>
            <w:tcW w:w="6563" w:type="dxa"/>
          </w:tcPr>
          <w:p w14:paraId="424D8BEC" w14:textId="77777777" w:rsidR="00AF7B2C" w:rsidRPr="00AF7B2C" w:rsidRDefault="00077958" w:rsidP="00077958">
            <w:pPr>
              <w:rPr>
                <w:szCs w:val="22"/>
              </w:rPr>
            </w:pPr>
            <w:r>
              <w:rPr>
                <w:rFonts w:eastAsia="TimesNewRoman" w:cs="TimesNewRoman"/>
              </w:rPr>
              <w:t>P</w:t>
            </w:r>
            <w:r w:rsidRPr="00077958">
              <w:rPr>
                <w:rFonts w:eastAsia="TimesNewRoman" w:cs="TimesNewRoman"/>
              </w:rPr>
              <w:t>eriodic</w:t>
            </w:r>
            <w:r>
              <w:rPr>
                <w:rFonts w:eastAsia="TimesNewRoman" w:cs="TimesNewRoman"/>
              </w:rPr>
              <w:t xml:space="preserve"> benefit-risk evaluation report</w:t>
            </w:r>
          </w:p>
        </w:tc>
      </w:tr>
      <w:tr w:rsidR="0085159D" w:rsidRPr="00AF7B2C" w14:paraId="6F4D6C90" w14:textId="77777777" w:rsidTr="00AF7B2C">
        <w:trPr>
          <w:trHeight w:val="239"/>
        </w:trPr>
        <w:tc>
          <w:tcPr>
            <w:tcW w:w="1718" w:type="dxa"/>
          </w:tcPr>
          <w:p w14:paraId="26E1DC1F" w14:textId="77777777" w:rsidR="0085159D" w:rsidRPr="00AF7B2C" w:rsidRDefault="0085159D" w:rsidP="00AF7B2C">
            <w:pPr>
              <w:ind w:left="142"/>
            </w:pPr>
            <w:r>
              <w:rPr>
                <w:rFonts w:asciiTheme="minorHAnsi" w:eastAsia="TimesNewRoman" w:hAnsiTheme="minorHAnsi" w:cs="TimesNewRoman"/>
              </w:rPr>
              <w:t>PRAC</w:t>
            </w:r>
          </w:p>
        </w:tc>
        <w:tc>
          <w:tcPr>
            <w:tcW w:w="6563" w:type="dxa"/>
          </w:tcPr>
          <w:p w14:paraId="41C64B8E" w14:textId="77777777" w:rsidR="0085159D" w:rsidRPr="00AF7B2C" w:rsidRDefault="0085159D" w:rsidP="0085159D">
            <w:r w:rsidRPr="005E04B6">
              <w:rPr>
                <w:rFonts w:asciiTheme="minorHAnsi" w:eastAsia="TimesNewRoman" w:hAnsiTheme="minorHAnsi" w:cs="TimesNewRoman"/>
              </w:rPr>
              <w:t>Pharmacovigilance Risk Assessment Committee</w:t>
            </w:r>
          </w:p>
        </w:tc>
      </w:tr>
      <w:tr w:rsidR="00AF7B2C" w:rsidRPr="00AF7B2C" w14:paraId="22270694" w14:textId="77777777" w:rsidTr="00AF7B2C">
        <w:trPr>
          <w:trHeight w:val="245"/>
        </w:trPr>
        <w:tc>
          <w:tcPr>
            <w:tcW w:w="1718" w:type="dxa"/>
          </w:tcPr>
          <w:p w14:paraId="084AB253" w14:textId="77777777" w:rsidR="00AF7B2C" w:rsidRPr="00AF7B2C" w:rsidRDefault="00AF7B2C" w:rsidP="00AF7B2C">
            <w:pPr>
              <w:ind w:left="142"/>
              <w:rPr>
                <w:szCs w:val="22"/>
              </w:rPr>
            </w:pPr>
            <w:r w:rsidRPr="00AF7B2C">
              <w:rPr>
                <w:szCs w:val="22"/>
              </w:rPr>
              <w:t>PSUR</w:t>
            </w:r>
          </w:p>
        </w:tc>
        <w:tc>
          <w:tcPr>
            <w:tcW w:w="6563" w:type="dxa"/>
          </w:tcPr>
          <w:p w14:paraId="34A7BDBF" w14:textId="75A78431" w:rsidR="00AF7B2C" w:rsidRPr="00AF7B2C" w:rsidRDefault="00AF7B2C" w:rsidP="00B4206F">
            <w:pPr>
              <w:rPr>
                <w:szCs w:val="22"/>
              </w:rPr>
            </w:pPr>
            <w:r w:rsidRPr="00AF7B2C">
              <w:rPr>
                <w:szCs w:val="22"/>
              </w:rPr>
              <w:t xml:space="preserve">Periodic </w:t>
            </w:r>
            <w:r w:rsidR="00B4206F">
              <w:rPr>
                <w:szCs w:val="22"/>
              </w:rPr>
              <w:t>s</w:t>
            </w:r>
            <w:r w:rsidR="00B4206F" w:rsidRPr="00AF7B2C">
              <w:rPr>
                <w:szCs w:val="22"/>
              </w:rPr>
              <w:t xml:space="preserve">afety </w:t>
            </w:r>
            <w:r w:rsidR="00B4206F">
              <w:rPr>
                <w:szCs w:val="22"/>
              </w:rPr>
              <w:t>u</w:t>
            </w:r>
            <w:r w:rsidR="00B4206F" w:rsidRPr="00AF7B2C">
              <w:rPr>
                <w:szCs w:val="22"/>
              </w:rPr>
              <w:t xml:space="preserve">pdate </w:t>
            </w:r>
            <w:r w:rsidR="00B4206F">
              <w:rPr>
                <w:szCs w:val="22"/>
              </w:rPr>
              <w:t>r</w:t>
            </w:r>
            <w:r w:rsidR="00B4206F" w:rsidRPr="00AF7B2C">
              <w:rPr>
                <w:szCs w:val="22"/>
              </w:rPr>
              <w:t>eport</w:t>
            </w:r>
          </w:p>
        </w:tc>
      </w:tr>
      <w:tr w:rsidR="00AF7B2C" w:rsidRPr="00AF7B2C" w14:paraId="407C9BEA" w14:textId="77777777" w:rsidTr="00AF7B2C">
        <w:trPr>
          <w:trHeight w:val="239"/>
        </w:trPr>
        <w:tc>
          <w:tcPr>
            <w:tcW w:w="1718" w:type="dxa"/>
          </w:tcPr>
          <w:p w14:paraId="4E342C76" w14:textId="77777777" w:rsidR="00AF7B2C" w:rsidRPr="00AF7B2C" w:rsidRDefault="00AF7B2C" w:rsidP="00AF7B2C">
            <w:pPr>
              <w:rPr>
                <w:szCs w:val="22"/>
              </w:rPr>
            </w:pPr>
            <w:r w:rsidRPr="00AF7B2C">
              <w:rPr>
                <w:szCs w:val="22"/>
              </w:rPr>
              <w:t>RMP</w:t>
            </w:r>
          </w:p>
        </w:tc>
        <w:tc>
          <w:tcPr>
            <w:tcW w:w="6563" w:type="dxa"/>
          </w:tcPr>
          <w:p w14:paraId="429A9CC2" w14:textId="77777777" w:rsidR="00AF7B2C" w:rsidRPr="00AF7B2C" w:rsidRDefault="00AF7B2C" w:rsidP="00AF7B2C">
            <w:pPr>
              <w:rPr>
                <w:szCs w:val="22"/>
              </w:rPr>
            </w:pPr>
            <w:r w:rsidRPr="00AF7B2C">
              <w:rPr>
                <w:szCs w:val="22"/>
              </w:rPr>
              <w:t>Risk Management Plan</w:t>
            </w:r>
          </w:p>
        </w:tc>
      </w:tr>
      <w:tr w:rsidR="00AF7B2C" w:rsidRPr="00AF7B2C" w14:paraId="64AD86EA" w14:textId="77777777" w:rsidTr="00AF7B2C">
        <w:trPr>
          <w:trHeight w:val="239"/>
        </w:trPr>
        <w:tc>
          <w:tcPr>
            <w:tcW w:w="1718" w:type="dxa"/>
          </w:tcPr>
          <w:p w14:paraId="077626E5" w14:textId="77777777" w:rsidR="00AF7B2C" w:rsidRPr="00AF7B2C" w:rsidRDefault="00AF7B2C" w:rsidP="00AF7B2C">
            <w:pPr>
              <w:rPr>
                <w:szCs w:val="22"/>
              </w:rPr>
            </w:pPr>
            <w:r w:rsidRPr="00AF7B2C">
              <w:rPr>
                <w:szCs w:val="22"/>
              </w:rPr>
              <w:t>SAE</w:t>
            </w:r>
          </w:p>
        </w:tc>
        <w:tc>
          <w:tcPr>
            <w:tcW w:w="6563" w:type="dxa"/>
          </w:tcPr>
          <w:p w14:paraId="5ABECC39" w14:textId="77777777" w:rsidR="00AF7B2C" w:rsidRPr="00AF7B2C" w:rsidRDefault="00AF7B2C" w:rsidP="00AF7B2C">
            <w:pPr>
              <w:rPr>
                <w:szCs w:val="22"/>
              </w:rPr>
            </w:pPr>
            <w:r w:rsidRPr="00AF7B2C">
              <w:rPr>
                <w:szCs w:val="22"/>
              </w:rPr>
              <w:t>Serious adverse event</w:t>
            </w:r>
          </w:p>
        </w:tc>
      </w:tr>
      <w:tr w:rsidR="00AF7B2C" w:rsidRPr="00AF7B2C" w14:paraId="75B8BFB7" w14:textId="77777777" w:rsidTr="00AF7B2C">
        <w:trPr>
          <w:trHeight w:val="239"/>
        </w:trPr>
        <w:tc>
          <w:tcPr>
            <w:tcW w:w="1718" w:type="dxa"/>
          </w:tcPr>
          <w:p w14:paraId="701DA189" w14:textId="77777777" w:rsidR="00AF7B2C" w:rsidRPr="00AF7B2C" w:rsidRDefault="00AF7B2C" w:rsidP="00AF7B2C">
            <w:pPr>
              <w:rPr>
                <w:szCs w:val="22"/>
              </w:rPr>
            </w:pPr>
            <w:r w:rsidRPr="00AF7B2C">
              <w:rPr>
                <w:szCs w:val="22"/>
              </w:rPr>
              <w:t>SC</w:t>
            </w:r>
          </w:p>
        </w:tc>
        <w:tc>
          <w:tcPr>
            <w:tcW w:w="6563" w:type="dxa"/>
          </w:tcPr>
          <w:p w14:paraId="3BCAFF81" w14:textId="77777777" w:rsidR="00AF7B2C" w:rsidRPr="00AF7B2C" w:rsidRDefault="00AF7B2C" w:rsidP="00AF7B2C">
            <w:pPr>
              <w:rPr>
                <w:szCs w:val="22"/>
              </w:rPr>
            </w:pPr>
            <w:r w:rsidRPr="00AF7B2C">
              <w:rPr>
                <w:szCs w:val="22"/>
              </w:rPr>
              <w:t>Subcutaneous</w:t>
            </w:r>
          </w:p>
        </w:tc>
      </w:tr>
      <w:tr w:rsidR="00AF7B2C" w:rsidRPr="00AF7B2C" w14:paraId="36748332" w14:textId="77777777" w:rsidTr="00AF7B2C">
        <w:trPr>
          <w:trHeight w:val="239"/>
        </w:trPr>
        <w:tc>
          <w:tcPr>
            <w:tcW w:w="1718" w:type="dxa"/>
          </w:tcPr>
          <w:p w14:paraId="4B9FD71A" w14:textId="77777777" w:rsidR="00AF7B2C" w:rsidRPr="00AF7B2C" w:rsidRDefault="00AF7B2C" w:rsidP="00AF7B2C">
            <w:pPr>
              <w:rPr>
                <w:szCs w:val="22"/>
              </w:rPr>
            </w:pPr>
            <w:r w:rsidRPr="00AF7B2C">
              <w:rPr>
                <w:szCs w:val="22"/>
              </w:rPr>
              <w:t>SCS</w:t>
            </w:r>
          </w:p>
        </w:tc>
        <w:tc>
          <w:tcPr>
            <w:tcW w:w="6563" w:type="dxa"/>
          </w:tcPr>
          <w:p w14:paraId="4E0BD198" w14:textId="77777777" w:rsidR="00AF7B2C" w:rsidRPr="00AF7B2C" w:rsidRDefault="00AF7B2C" w:rsidP="00AF7B2C">
            <w:pPr>
              <w:rPr>
                <w:szCs w:val="22"/>
              </w:rPr>
            </w:pPr>
            <w:r w:rsidRPr="00AF7B2C">
              <w:rPr>
                <w:szCs w:val="22"/>
              </w:rPr>
              <w:t>Summary of Clinical Safety</w:t>
            </w:r>
          </w:p>
        </w:tc>
      </w:tr>
      <w:tr w:rsidR="00AF7B2C" w:rsidRPr="00AF7B2C" w14:paraId="61934C7E" w14:textId="77777777" w:rsidTr="00AF7B2C">
        <w:trPr>
          <w:trHeight w:val="239"/>
        </w:trPr>
        <w:tc>
          <w:tcPr>
            <w:tcW w:w="1718" w:type="dxa"/>
          </w:tcPr>
          <w:p w14:paraId="2ED9D9E0" w14:textId="77777777" w:rsidR="00AF7B2C" w:rsidRPr="00AF7B2C" w:rsidRDefault="00AF7B2C" w:rsidP="00AF7B2C">
            <w:pPr>
              <w:rPr>
                <w:szCs w:val="22"/>
              </w:rPr>
            </w:pPr>
            <w:r w:rsidRPr="00AF7B2C">
              <w:rPr>
                <w:szCs w:val="22"/>
              </w:rPr>
              <w:t>SD</w:t>
            </w:r>
          </w:p>
        </w:tc>
        <w:tc>
          <w:tcPr>
            <w:tcW w:w="6563" w:type="dxa"/>
          </w:tcPr>
          <w:p w14:paraId="76882F81" w14:textId="77777777" w:rsidR="00AF7B2C" w:rsidRPr="00AF7B2C" w:rsidRDefault="00AF7B2C" w:rsidP="00AF7B2C">
            <w:pPr>
              <w:rPr>
                <w:szCs w:val="22"/>
              </w:rPr>
            </w:pPr>
            <w:r w:rsidRPr="00AF7B2C">
              <w:rPr>
                <w:szCs w:val="22"/>
              </w:rPr>
              <w:t>Standard deviation</w:t>
            </w:r>
          </w:p>
        </w:tc>
      </w:tr>
      <w:tr w:rsidR="00AF7B2C" w:rsidRPr="00AF7B2C" w14:paraId="29F1AB5B" w14:textId="77777777" w:rsidTr="00AF7B2C">
        <w:trPr>
          <w:trHeight w:val="239"/>
        </w:trPr>
        <w:tc>
          <w:tcPr>
            <w:tcW w:w="1718" w:type="dxa"/>
          </w:tcPr>
          <w:p w14:paraId="6AEA5583" w14:textId="77777777" w:rsidR="00AF7B2C" w:rsidRPr="00AF7B2C" w:rsidRDefault="00AF7B2C" w:rsidP="00AF7B2C">
            <w:pPr>
              <w:rPr>
                <w:szCs w:val="22"/>
              </w:rPr>
            </w:pPr>
            <w:r w:rsidRPr="00AF7B2C">
              <w:rPr>
                <w:szCs w:val="22"/>
              </w:rPr>
              <w:t>SOC</w:t>
            </w:r>
          </w:p>
        </w:tc>
        <w:tc>
          <w:tcPr>
            <w:tcW w:w="6563" w:type="dxa"/>
          </w:tcPr>
          <w:p w14:paraId="3ADF7754" w14:textId="74FB5141" w:rsidR="00AF7B2C" w:rsidRPr="00AF7B2C" w:rsidRDefault="00AF7B2C" w:rsidP="00B4206F">
            <w:pPr>
              <w:rPr>
                <w:szCs w:val="22"/>
              </w:rPr>
            </w:pPr>
            <w:r w:rsidRPr="00AF7B2C">
              <w:rPr>
                <w:szCs w:val="22"/>
              </w:rPr>
              <w:t xml:space="preserve">System </w:t>
            </w:r>
            <w:r w:rsidR="00B4206F">
              <w:rPr>
                <w:szCs w:val="22"/>
              </w:rPr>
              <w:t>O</w:t>
            </w:r>
            <w:r w:rsidR="00B4206F" w:rsidRPr="00AF7B2C">
              <w:rPr>
                <w:szCs w:val="22"/>
              </w:rPr>
              <w:t xml:space="preserve">rgan </w:t>
            </w:r>
            <w:r w:rsidR="00B4206F">
              <w:rPr>
                <w:szCs w:val="22"/>
              </w:rPr>
              <w:t>C</w:t>
            </w:r>
            <w:r w:rsidR="00B4206F" w:rsidRPr="00AF7B2C">
              <w:rPr>
                <w:szCs w:val="22"/>
              </w:rPr>
              <w:t>lass</w:t>
            </w:r>
          </w:p>
        </w:tc>
      </w:tr>
      <w:tr w:rsidR="00AF7B2C" w:rsidRPr="00AF7B2C" w14:paraId="29F09401" w14:textId="77777777" w:rsidTr="00AF7B2C">
        <w:trPr>
          <w:trHeight w:val="239"/>
        </w:trPr>
        <w:tc>
          <w:tcPr>
            <w:tcW w:w="1718" w:type="dxa"/>
          </w:tcPr>
          <w:p w14:paraId="3B72D0FE" w14:textId="77777777" w:rsidR="00AF7B2C" w:rsidRPr="00AF7B2C" w:rsidRDefault="00AF7B2C" w:rsidP="00AF7B2C">
            <w:pPr>
              <w:rPr>
                <w:szCs w:val="22"/>
              </w:rPr>
            </w:pPr>
            <w:proofErr w:type="spellStart"/>
            <w:r w:rsidRPr="00AF7B2C">
              <w:rPr>
                <w:szCs w:val="22"/>
              </w:rPr>
              <w:lastRenderedPageBreak/>
              <w:t>SmPC</w:t>
            </w:r>
            <w:proofErr w:type="spellEnd"/>
          </w:p>
        </w:tc>
        <w:tc>
          <w:tcPr>
            <w:tcW w:w="6563" w:type="dxa"/>
          </w:tcPr>
          <w:p w14:paraId="3EC86C53" w14:textId="77777777" w:rsidR="00AF7B2C" w:rsidRPr="00AF7B2C" w:rsidRDefault="00AF7B2C" w:rsidP="00AF7B2C">
            <w:pPr>
              <w:rPr>
                <w:szCs w:val="22"/>
              </w:rPr>
            </w:pPr>
            <w:r w:rsidRPr="00AF7B2C">
              <w:rPr>
                <w:szCs w:val="22"/>
              </w:rPr>
              <w:t>Summary of Product Characteristics</w:t>
            </w:r>
          </w:p>
        </w:tc>
      </w:tr>
      <w:tr w:rsidR="00AF7B2C" w:rsidRPr="00AF7B2C" w14:paraId="51A6DF7A" w14:textId="77777777" w:rsidTr="00AF7B2C">
        <w:trPr>
          <w:trHeight w:val="239"/>
        </w:trPr>
        <w:tc>
          <w:tcPr>
            <w:tcW w:w="1718" w:type="dxa"/>
          </w:tcPr>
          <w:p w14:paraId="0D6ABAC4" w14:textId="77777777" w:rsidR="00AF7B2C" w:rsidRPr="00AF7B2C" w:rsidRDefault="00AF7B2C" w:rsidP="00AF7B2C">
            <w:pPr>
              <w:rPr>
                <w:szCs w:val="22"/>
              </w:rPr>
            </w:pPr>
            <w:r w:rsidRPr="00AF7B2C">
              <w:rPr>
                <w:szCs w:val="22"/>
              </w:rPr>
              <w:t>t</w:t>
            </w:r>
            <w:r w:rsidRPr="00AF7B2C">
              <w:rPr>
                <w:szCs w:val="22"/>
                <w:vertAlign w:val="subscript"/>
              </w:rPr>
              <w:t>½</w:t>
            </w:r>
          </w:p>
        </w:tc>
        <w:tc>
          <w:tcPr>
            <w:tcW w:w="6563" w:type="dxa"/>
          </w:tcPr>
          <w:p w14:paraId="528BA0DB" w14:textId="131D00AC" w:rsidR="00AF7B2C" w:rsidRPr="00AF7B2C" w:rsidRDefault="000D0557" w:rsidP="00AF7B2C">
            <w:pPr>
              <w:rPr>
                <w:szCs w:val="22"/>
              </w:rPr>
            </w:pPr>
            <w:r>
              <w:rPr>
                <w:szCs w:val="22"/>
              </w:rPr>
              <w:t>Terminal phase</w:t>
            </w:r>
            <w:r w:rsidR="00AF7B2C" w:rsidRPr="00AF7B2C">
              <w:rPr>
                <w:szCs w:val="22"/>
              </w:rPr>
              <w:t xml:space="preserve"> half life</w:t>
            </w:r>
          </w:p>
        </w:tc>
      </w:tr>
      <w:tr w:rsidR="00D63D68" w:rsidRPr="00AF7B2C" w14:paraId="1E4CDAF0" w14:textId="77777777" w:rsidTr="00AF7B2C">
        <w:trPr>
          <w:trHeight w:val="239"/>
        </w:trPr>
        <w:tc>
          <w:tcPr>
            <w:tcW w:w="1718" w:type="dxa"/>
          </w:tcPr>
          <w:p w14:paraId="09D83712" w14:textId="77777777" w:rsidR="00D63D68" w:rsidRPr="00AF7B2C" w:rsidRDefault="00D63D68" w:rsidP="00AF7B2C">
            <w:r>
              <w:t>Th-2</w:t>
            </w:r>
          </w:p>
        </w:tc>
        <w:tc>
          <w:tcPr>
            <w:tcW w:w="6563" w:type="dxa"/>
          </w:tcPr>
          <w:p w14:paraId="46C568A8" w14:textId="77777777" w:rsidR="00D63D68" w:rsidRPr="00AF7B2C" w:rsidRDefault="00D63D68" w:rsidP="00D63D68">
            <w:r>
              <w:t>T helper 2</w:t>
            </w:r>
          </w:p>
        </w:tc>
      </w:tr>
      <w:tr w:rsidR="00AF7B2C" w:rsidRPr="00AF7B2C" w14:paraId="7816EE99" w14:textId="77777777" w:rsidTr="00AF7B2C">
        <w:trPr>
          <w:trHeight w:val="239"/>
        </w:trPr>
        <w:tc>
          <w:tcPr>
            <w:tcW w:w="1718" w:type="dxa"/>
          </w:tcPr>
          <w:p w14:paraId="0577DDDE" w14:textId="77777777" w:rsidR="00AF7B2C" w:rsidRPr="00AF7B2C" w:rsidRDefault="00AF7B2C" w:rsidP="00AF7B2C">
            <w:pPr>
              <w:rPr>
                <w:szCs w:val="22"/>
              </w:rPr>
            </w:pPr>
            <w:r w:rsidRPr="00AF7B2C">
              <w:rPr>
                <w:szCs w:val="22"/>
              </w:rPr>
              <w:t>UK</w:t>
            </w:r>
          </w:p>
        </w:tc>
        <w:tc>
          <w:tcPr>
            <w:tcW w:w="6563" w:type="dxa"/>
          </w:tcPr>
          <w:p w14:paraId="6287355C" w14:textId="77777777" w:rsidR="00AF7B2C" w:rsidRPr="00AF7B2C" w:rsidRDefault="00AF7B2C" w:rsidP="00AF7B2C">
            <w:pPr>
              <w:rPr>
                <w:szCs w:val="22"/>
              </w:rPr>
            </w:pPr>
            <w:r w:rsidRPr="00AF7B2C">
              <w:rPr>
                <w:szCs w:val="22"/>
              </w:rPr>
              <w:t>United Kingdom</w:t>
            </w:r>
          </w:p>
        </w:tc>
      </w:tr>
      <w:tr w:rsidR="00AF7B2C" w:rsidRPr="00AF7B2C" w14:paraId="1F5044E5" w14:textId="77777777" w:rsidTr="00AF7B2C">
        <w:trPr>
          <w:trHeight w:val="239"/>
        </w:trPr>
        <w:tc>
          <w:tcPr>
            <w:tcW w:w="1718" w:type="dxa"/>
          </w:tcPr>
          <w:p w14:paraId="22CC5E2B" w14:textId="77777777" w:rsidR="00AF7B2C" w:rsidRPr="00AF7B2C" w:rsidRDefault="00AF7B2C" w:rsidP="00AF7B2C">
            <w:pPr>
              <w:rPr>
                <w:szCs w:val="22"/>
              </w:rPr>
            </w:pPr>
            <w:r w:rsidRPr="00AF7B2C">
              <w:rPr>
                <w:szCs w:val="22"/>
              </w:rPr>
              <w:t>US</w:t>
            </w:r>
            <w:r w:rsidR="00BC10B1">
              <w:rPr>
                <w:szCs w:val="22"/>
              </w:rPr>
              <w:t>A</w:t>
            </w:r>
          </w:p>
        </w:tc>
        <w:tc>
          <w:tcPr>
            <w:tcW w:w="6563" w:type="dxa"/>
          </w:tcPr>
          <w:p w14:paraId="15455165" w14:textId="77777777" w:rsidR="00AF7B2C" w:rsidRPr="00AF7B2C" w:rsidRDefault="00AF7B2C" w:rsidP="00AF7B2C">
            <w:pPr>
              <w:rPr>
                <w:szCs w:val="22"/>
              </w:rPr>
            </w:pPr>
            <w:r w:rsidRPr="00AF7B2C">
              <w:rPr>
                <w:szCs w:val="22"/>
              </w:rPr>
              <w:t>United States</w:t>
            </w:r>
            <w:r w:rsidR="00BC10B1">
              <w:rPr>
                <w:szCs w:val="22"/>
              </w:rPr>
              <w:t xml:space="preserve"> of America</w:t>
            </w:r>
          </w:p>
        </w:tc>
      </w:tr>
    </w:tbl>
    <w:p w14:paraId="656FB751" w14:textId="77777777" w:rsidR="00FD119B" w:rsidRDefault="00FD119B" w:rsidP="00FD119B"/>
    <w:p w14:paraId="09D88C20" w14:textId="77777777" w:rsidR="00FD119B" w:rsidRPr="00FD119B" w:rsidRDefault="00FD119B" w:rsidP="00FD119B">
      <w:pPr>
        <w:spacing w:before="0" w:after="200" w:line="0" w:lineRule="auto"/>
        <w:rPr>
          <w:b/>
          <w:i/>
          <w:sz w:val="24"/>
          <w:szCs w:val="24"/>
        </w:rPr>
      </w:pPr>
      <w:r w:rsidRPr="00FD119B">
        <w:rPr>
          <w:b/>
          <w:i/>
          <w:sz w:val="24"/>
          <w:szCs w:val="24"/>
        </w:rPr>
        <w:br w:type="page"/>
      </w:r>
    </w:p>
    <w:p w14:paraId="5384581A" w14:textId="77777777" w:rsidR="008E7846" w:rsidRDefault="00F53C07" w:rsidP="008E7846">
      <w:pPr>
        <w:pStyle w:val="Heading2"/>
      </w:pPr>
      <w:bookmarkStart w:id="9" w:name="_Toc25227366"/>
      <w:r>
        <w:lastRenderedPageBreak/>
        <w:t>I.</w:t>
      </w:r>
      <w:r w:rsidR="008E7846">
        <w:t xml:space="preserve"> Introduction to product submission</w:t>
      </w:r>
      <w:bookmarkEnd w:id="1"/>
      <w:bookmarkEnd w:id="3"/>
      <w:bookmarkEnd w:id="9"/>
    </w:p>
    <w:p w14:paraId="1734CB4B" w14:textId="77777777" w:rsidR="008E7846" w:rsidRDefault="008E7846" w:rsidP="008E7846">
      <w:pPr>
        <w:pStyle w:val="Heading3"/>
        <w:rPr>
          <w:lang w:eastAsia="en-AU"/>
        </w:rPr>
      </w:pPr>
      <w:bookmarkStart w:id="10" w:name="_Toc247691502"/>
      <w:bookmarkStart w:id="11" w:name="_Toc314842483"/>
      <w:bookmarkStart w:id="12" w:name="_Toc25227367"/>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883"/>
        <w:gridCol w:w="24"/>
        <w:gridCol w:w="6231"/>
        <w:gridCol w:w="76"/>
      </w:tblGrid>
      <w:tr w:rsidR="008E7846" w:rsidRPr="003D1E62" w14:paraId="67287E2A" w14:textId="77777777" w:rsidTr="004101C8">
        <w:trPr>
          <w:gridAfter w:val="1"/>
          <w:wAfter w:w="76" w:type="dxa"/>
          <w:trHeight w:val="138"/>
        </w:trPr>
        <w:tc>
          <w:tcPr>
            <w:tcW w:w="2883" w:type="dxa"/>
          </w:tcPr>
          <w:p w14:paraId="5F67BAA9" w14:textId="77777777" w:rsidR="008E7846" w:rsidRPr="003D1E62" w:rsidRDefault="001B5C90" w:rsidP="001B5C90">
            <w:pPr>
              <w:rPr>
                <w:i/>
              </w:rPr>
            </w:pPr>
            <w:r>
              <w:rPr>
                <w:i/>
              </w:rPr>
              <w:t>Type of s</w:t>
            </w:r>
            <w:r w:rsidR="008E7846" w:rsidRPr="003D1E62">
              <w:rPr>
                <w:i/>
              </w:rPr>
              <w:t>ubmission</w:t>
            </w:r>
            <w:r>
              <w:rPr>
                <w:i/>
              </w:rPr>
              <w:t>:</w:t>
            </w:r>
          </w:p>
        </w:tc>
        <w:tc>
          <w:tcPr>
            <w:tcW w:w="6255" w:type="dxa"/>
            <w:gridSpan w:val="2"/>
          </w:tcPr>
          <w:p w14:paraId="2970CB00" w14:textId="77777777" w:rsidR="008E7846" w:rsidRPr="003D1E62" w:rsidRDefault="006F2CFF" w:rsidP="001B5C90">
            <w:r>
              <w:t>Extension of indications</w:t>
            </w:r>
          </w:p>
        </w:tc>
      </w:tr>
      <w:tr w:rsidR="008E7846" w:rsidRPr="003D1E62" w14:paraId="0875A79E" w14:textId="77777777" w:rsidTr="004101C8">
        <w:trPr>
          <w:gridAfter w:val="1"/>
          <w:wAfter w:w="76" w:type="dxa"/>
          <w:trHeight w:val="142"/>
        </w:trPr>
        <w:tc>
          <w:tcPr>
            <w:tcW w:w="2883" w:type="dxa"/>
          </w:tcPr>
          <w:p w14:paraId="177CEFD2" w14:textId="77777777" w:rsidR="008E7846" w:rsidRPr="003D1E62" w:rsidRDefault="008E7846" w:rsidP="003D1E62">
            <w:r w:rsidRPr="003D1E62">
              <w:rPr>
                <w:i/>
              </w:rPr>
              <w:t>Decision</w:t>
            </w:r>
            <w:r w:rsidRPr="003D1E62">
              <w:t>:</w:t>
            </w:r>
          </w:p>
        </w:tc>
        <w:tc>
          <w:tcPr>
            <w:tcW w:w="6255" w:type="dxa"/>
            <w:gridSpan w:val="2"/>
          </w:tcPr>
          <w:p w14:paraId="2F09079C" w14:textId="77777777" w:rsidR="008E7846" w:rsidRPr="003D1E62" w:rsidRDefault="006F2CFF" w:rsidP="006F2CFF">
            <w:r>
              <w:t>Approved</w:t>
            </w:r>
          </w:p>
        </w:tc>
      </w:tr>
      <w:tr w:rsidR="008E7846" w:rsidRPr="003D1E62" w14:paraId="4DD06E41" w14:textId="77777777" w:rsidTr="004101C8">
        <w:trPr>
          <w:gridAfter w:val="1"/>
          <w:wAfter w:w="76" w:type="dxa"/>
          <w:trHeight w:val="138"/>
        </w:trPr>
        <w:tc>
          <w:tcPr>
            <w:tcW w:w="2883" w:type="dxa"/>
          </w:tcPr>
          <w:p w14:paraId="24AC17DD"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255" w:type="dxa"/>
            <w:gridSpan w:val="2"/>
          </w:tcPr>
          <w:p w14:paraId="791C4D5A" w14:textId="77777777" w:rsidR="008E7846" w:rsidRPr="003D1E62" w:rsidRDefault="006F2CFF" w:rsidP="001B5C90">
            <w:r>
              <w:t>24 January 2019</w:t>
            </w:r>
          </w:p>
        </w:tc>
      </w:tr>
      <w:tr w:rsidR="00ED2922" w:rsidRPr="003D1E62" w14:paraId="49CBAE4D" w14:textId="77777777" w:rsidTr="004101C8">
        <w:trPr>
          <w:gridAfter w:val="1"/>
          <w:wAfter w:w="76" w:type="dxa"/>
          <w:trHeight w:val="138"/>
        </w:trPr>
        <w:tc>
          <w:tcPr>
            <w:tcW w:w="2883" w:type="dxa"/>
          </w:tcPr>
          <w:p w14:paraId="5022977E" w14:textId="77777777" w:rsidR="00ED2922" w:rsidRPr="00441C3F" w:rsidRDefault="00ED2922" w:rsidP="001B5C90">
            <w:pPr>
              <w:rPr>
                <w:i/>
              </w:rPr>
            </w:pPr>
            <w:r w:rsidRPr="00441C3F">
              <w:rPr>
                <w:i/>
              </w:rPr>
              <w:t>Date of entry onto ARTG</w:t>
            </w:r>
            <w:r w:rsidR="00500337">
              <w:rPr>
                <w:i/>
              </w:rPr>
              <w:t>:</w:t>
            </w:r>
          </w:p>
        </w:tc>
        <w:tc>
          <w:tcPr>
            <w:tcW w:w="6255" w:type="dxa"/>
            <w:gridSpan w:val="2"/>
          </w:tcPr>
          <w:p w14:paraId="5A1A9B7B" w14:textId="77777777" w:rsidR="00ED2922" w:rsidRPr="00441C3F" w:rsidRDefault="006F2CFF" w:rsidP="00D153D8">
            <w:pPr>
              <w:rPr>
                <w:i/>
              </w:rPr>
            </w:pPr>
            <w:r>
              <w:t>29 January 2019</w:t>
            </w:r>
          </w:p>
        </w:tc>
      </w:tr>
      <w:tr w:rsidR="00500337" w:rsidRPr="003D1E62" w14:paraId="6B991EDB" w14:textId="77777777" w:rsidTr="004101C8">
        <w:trPr>
          <w:gridAfter w:val="1"/>
          <w:wAfter w:w="76" w:type="dxa"/>
          <w:trHeight w:val="138"/>
        </w:trPr>
        <w:tc>
          <w:tcPr>
            <w:tcW w:w="2883" w:type="dxa"/>
          </w:tcPr>
          <w:p w14:paraId="25EA9A0A" w14:textId="77777777" w:rsidR="00500337" w:rsidRPr="00441C3F" w:rsidRDefault="006F2CFF" w:rsidP="001B5C90">
            <w:pPr>
              <w:rPr>
                <w:i/>
              </w:rPr>
            </w:pPr>
            <w:r>
              <w:rPr>
                <w:i/>
              </w:rPr>
              <w:t>ARTG number</w:t>
            </w:r>
            <w:r w:rsidR="00500337">
              <w:rPr>
                <w:i/>
              </w:rPr>
              <w:t>:</w:t>
            </w:r>
          </w:p>
        </w:tc>
        <w:tc>
          <w:tcPr>
            <w:tcW w:w="6255" w:type="dxa"/>
            <w:gridSpan w:val="2"/>
          </w:tcPr>
          <w:p w14:paraId="342431D9" w14:textId="77777777" w:rsidR="00500337" w:rsidRPr="00441C3F" w:rsidRDefault="006F2CFF" w:rsidP="00EC463D">
            <w:r>
              <w:t>232028</w:t>
            </w:r>
          </w:p>
        </w:tc>
      </w:tr>
      <w:tr w:rsidR="003735BC" w:rsidRPr="003D1E62" w14:paraId="054C97C9" w14:textId="77777777" w:rsidTr="004101C8">
        <w:trPr>
          <w:gridAfter w:val="1"/>
          <w:wAfter w:w="76" w:type="dxa"/>
          <w:trHeight w:val="812"/>
        </w:trPr>
        <w:tc>
          <w:tcPr>
            <w:tcW w:w="2883" w:type="dxa"/>
          </w:tcPr>
          <w:p w14:paraId="6C41AD45"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255" w:type="dxa"/>
            <w:gridSpan w:val="2"/>
          </w:tcPr>
          <w:p w14:paraId="7516C33B" w14:textId="5CD65412" w:rsidR="003735BC" w:rsidRPr="00487162" w:rsidRDefault="00A947B6" w:rsidP="004101C8">
            <w:r>
              <w:t>No</w:t>
            </w:r>
          </w:p>
        </w:tc>
      </w:tr>
      <w:tr w:rsidR="008E7846" w:rsidRPr="00487162" w14:paraId="5D0A7FA2" w14:textId="77777777" w:rsidTr="004101C8">
        <w:tc>
          <w:tcPr>
            <w:tcW w:w="2907" w:type="dxa"/>
            <w:gridSpan w:val="2"/>
          </w:tcPr>
          <w:p w14:paraId="34B698F2" w14:textId="77777777" w:rsidR="008E7846" w:rsidRPr="00487162" w:rsidRDefault="006F2CFF" w:rsidP="00E45619">
            <w:pPr>
              <w:rPr>
                <w:i/>
              </w:rPr>
            </w:pPr>
            <w:r>
              <w:rPr>
                <w:i/>
              </w:rPr>
              <w:t>Active ingredient</w:t>
            </w:r>
            <w:r w:rsidR="001B5C90">
              <w:rPr>
                <w:i/>
              </w:rPr>
              <w:t>:</w:t>
            </w:r>
          </w:p>
        </w:tc>
        <w:tc>
          <w:tcPr>
            <w:tcW w:w="6307" w:type="dxa"/>
            <w:gridSpan w:val="2"/>
          </w:tcPr>
          <w:p w14:paraId="5C1642B8" w14:textId="77777777" w:rsidR="008E7846" w:rsidRPr="00487162" w:rsidRDefault="006F2CFF" w:rsidP="006F2CFF">
            <w:proofErr w:type="spellStart"/>
            <w:r>
              <w:t>Mepolizumab</w:t>
            </w:r>
            <w:proofErr w:type="spellEnd"/>
          </w:p>
        </w:tc>
      </w:tr>
      <w:tr w:rsidR="008E7846" w:rsidRPr="00487162" w14:paraId="681B48B0" w14:textId="77777777" w:rsidTr="004101C8">
        <w:tc>
          <w:tcPr>
            <w:tcW w:w="2907" w:type="dxa"/>
            <w:gridSpan w:val="2"/>
          </w:tcPr>
          <w:p w14:paraId="76CF4E2D" w14:textId="77777777" w:rsidR="008E7846" w:rsidRPr="00487162" w:rsidRDefault="008E7846" w:rsidP="001B5C90">
            <w:pPr>
              <w:rPr>
                <w:i/>
              </w:rPr>
            </w:pPr>
            <w:r w:rsidRPr="00487162">
              <w:rPr>
                <w:i/>
              </w:rPr>
              <w:t>Product</w:t>
            </w:r>
            <w:r w:rsidR="006F2CFF">
              <w:rPr>
                <w:i/>
              </w:rPr>
              <w:t xml:space="preserve"> name</w:t>
            </w:r>
            <w:r w:rsidR="001B5C90">
              <w:rPr>
                <w:i/>
              </w:rPr>
              <w:t>:</w:t>
            </w:r>
          </w:p>
        </w:tc>
        <w:tc>
          <w:tcPr>
            <w:tcW w:w="6307" w:type="dxa"/>
            <w:gridSpan w:val="2"/>
          </w:tcPr>
          <w:p w14:paraId="09F71CDF" w14:textId="77777777" w:rsidR="008E7846" w:rsidRPr="00487162" w:rsidRDefault="006F2CFF" w:rsidP="00E45619">
            <w:proofErr w:type="spellStart"/>
            <w:r>
              <w:t>Nucala</w:t>
            </w:r>
            <w:proofErr w:type="spellEnd"/>
          </w:p>
        </w:tc>
      </w:tr>
      <w:tr w:rsidR="008E7846" w:rsidRPr="00487162" w14:paraId="4BF9DADD" w14:textId="77777777" w:rsidTr="004101C8">
        <w:tc>
          <w:tcPr>
            <w:tcW w:w="2907" w:type="dxa"/>
            <w:gridSpan w:val="2"/>
          </w:tcPr>
          <w:p w14:paraId="79C0722F"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gridSpan w:val="2"/>
          </w:tcPr>
          <w:p w14:paraId="66E964A4" w14:textId="77777777" w:rsidR="008E7846" w:rsidRDefault="006F2CFF" w:rsidP="00E45619">
            <w:r>
              <w:t>GlaxoSmithKline</w:t>
            </w:r>
          </w:p>
          <w:p w14:paraId="22C6D341" w14:textId="77777777" w:rsidR="006F2CFF" w:rsidRDefault="006F2CFF" w:rsidP="00E45619">
            <w:r>
              <w:t>PO Box 18095</w:t>
            </w:r>
          </w:p>
          <w:p w14:paraId="40A318C3" w14:textId="77777777" w:rsidR="006F2CFF" w:rsidRPr="00487162" w:rsidRDefault="006F2CFF" w:rsidP="00E45619">
            <w:r>
              <w:t>Melbourne, VIC, 8003</w:t>
            </w:r>
          </w:p>
        </w:tc>
      </w:tr>
      <w:tr w:rsidR="008E7846" w:rsidRPr="00487162" w14:paraId="7633CCCB" w14:textId="77777777" w:rsidTr="004101C8">
        <w:tc>
          <w:tcPr>
            <w:tcW w:w="2907" w:type="dxa"/>
            <w:gridSpan w:val="2"/>
          </w:tcPr>
          <w:p w14:paraId="4B4E2AF3" w14:textId="77777777" w:rsidR="008E7846" w:rsidRPr="00487162" w:rsidRDefault="00CE227B" w:rsidP="00E45619">
            <w:pPr>
              <w:rPr>
                <w:i/>
              </w:rPr>
            </w:pPr>
            <w:r>
              <w:rPr>
                <w:i/>
              </w:rPr>
              <w:t>Dose form</w:t>
            </w:r>
            <w:r w:rsidR="001B5C90">
              <w:rPr>
                <w:i/>
              </w:rPr>
              <w:t>:</w:t>
            </w:r>
          </w:p>
        </w:tc>
        <w:tc>
          <w:tcPr>
            <w:tcW w:w="6307" w:type="dxa"/>
            <w:gridSpan w:val="2"/>
          </w:tcPr>
          <w:p w14:paraId="10D27DE1" w14:textId="77777777" w:rsidR="008E7846" w:rsidRPr="00487162" w:rsidRDefault="006F2CFF" w:rsidP="00E45619">
            <w:r>
              <w:t>Powder for injection</w:t>
            </w:r>
          </w:p>
        </w:tc>
      </w:tr>
      <w:tr w:rsidR="008E7846" w:rsidRPr="00487162" w14:paraId="59D03478" w14:textId="77777777" w:rsidTr="004101C8">
        <w:tc>
          <w:tcPr>
            <w:tcW w:w="2907" w:type="dxa"/>
            <w:gridSpan w:val="2"/>
          </w:tcPr>
          <w:p w14:paraId="3C448075" w14:textId="77777777" w:rsidR="008E7846" w:rsidRPr="00487162" w:rsidRDefault="00CE227B" w:rsidP="00E45619">
            <w:pPr>
              <w:rPr>
                <w:i/>
              </w:rPr>
            </w:pPr>
            <w:r>
              <w:rPr>
                <w:i/>
              </w:rPr>
              <w:t>Strength</w:t>
            </w:r>
            <w:r w:rsidR="008E7846" w:rsidRPr="00487162">
              <w:rPr>
                <w:i/>
              </w:rPr>
              <w:t xml:space="preserve">: </w:t>
            </w:r>
          </w:p>
        </w:tc>
        <w:tc>
          <w:tcPr>
            <w:tcW w:w="6307" w:type="dxa"/>
            <w:gridSpan w:val="2"/>
          </w:tcPr>
          <w:p w14:paraId="2B00D3F5" w14:textId="77777777" w:rsidR="008E7846" w:rsidRPr="00487162" w:rsidRDefault="006F2CFF" w:rsidP="00E45619">
            <w:r>
              <w:t>100 mg</w:t>
            </w:r>
          </w:p>
        </w:tc>
      </w:tr>
      <w:tr w:rsidR="008E7846" w:rsidRPr="00487162" w14:paraId="557CF9B2" w14:textId="77777777" w:rsidTr="004101C8">
        <w:tc>
          <w:tcPr>
            <w:tcW w:w="2907" w:type="dxa"/>
            <w:gridSpan w:val="2"/>
          </w:tcPr>
          <w:p w14:paraId="2379D0F6" w14:textId="77777777" w:rsidR="008E7846" w:rsidRPr="00487162" w:rsidRDefault="00CE227B" w:rsidP="00E45619">
            <w:pPr>
              <w:rPr>
                <w:i/>
              </w:rPr>
            </w:pPr>
            <w:r>
              <w:rPr>
                <w:i/>
              </w:rPr>
              <w:t>Container</w:t>
            </w:r>
            <w:r w:rsidR="008E7846" w:rsidRPr="00487162">
              <w:rPr>
                <w:i/>
              </w:rPr>
              <w:t>:</w:t>
            </w:r>
          </w:p>
        </w:tc>
        <w:tc>
          <w:tcPr>
            <w:tcW w:w="6307" w:type="dxa"/>
            <w:gridSpan w:val="2"/>
          </w:tcPr>
          <w:p w14:paraId="13524064" w14:textId="77777777" w:rsidR="008E7846" w:rsidRPr="00487162" w:rsidRDefault="006F2CFF" w:rsidP="00E45619">
            <w:r>
              <w:t>Vial</w:t>
            </w:r>
          </w:p>
        </w:tc>
      </w:tr>
      <w:tr w:rsidR="008E7846" w:rsidRPr="00487162" w14:paraId="1F1A3564" w14:textId="77777777" w:rsidTr="004101C8">
        <w:tc>
          <w:tcPr>
            <w:tcW w:w="2907" w:type="dxa"/>
            <w:gridSpan w:val="2"/>
          </w:tcPr>
          <w:p w14:paraId="3683F270" w14:textId="77777777" w:rsidR="008E7846" w:rsidRPr="00487162" w:rsidRDefault="00CE227B" w:rsidP="00E45619">
            <w:pPr>
              <w:rPr>
                <w:i/>
              </w:rPr>
            </w:pPr>
            <w:r>
              <w:rPr>
                <w:i/>
              </w:rPr>
              <w:t>Pack size</w:t>
            </w:r>
            <w:r w:rsidR="008E7846" w:rsidRPr="00487162">
              <w:rPr>
                <w:i/>
              </w:rPr>
              <w:t>:</w:t>
            </w:r>
          </w:p>
        </w:tc>
        <w:tc>
          <w:tcPr>
            <w:tcW w:w="6307" w:type="dxa"/>
            <w:gridSpan w:val="2"/>
          </w:tcPr>
          <w:p w14:paraId="7EF8852E" w14:textId="77777777" w:rsidR="008E7846" w:rsidRPr="00487162" w:rsidRDefault="006F2CFF" w:rsidP="00E45619">
            <w:r>
              <w:t>1</w:t>
            </w:r>
          </w:p>
        </w:tc>
      </w:tr>
      <w:tr w:rsidR="008E7846" w:rsidRPr="00487162" w14:paraId="04459528" w14:textId="77777777" w:rsidTr="004101C8">
        <w:tc>
          <w:tcPr>
            <w:tcW w:w="2907" w:type="dxa"/>
            <w:gridSpan w:val="2"/>
          </w:tcPr>
          <w:p w14:paraId="4B7F0496"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gridSpan w:val="2"/>
          </w:tcPr>
          <w:p w14:paraId="62DFBE5D" w14:textId="77777777" w:rsidR="006F2CFF" w:rsidRPr="006F2CFF" w:rsidRDefault="006F2CFF" w:rsidP="006F2CFF">
            <w:pPr>
              <w:rPr>
                <w:i/>
              </w:rPr>
            </w:pPr>
            <w:r w:rsidRPr="006F2CFF">
              <w:rPr>
                <w:i/>
              </w:rPr>
              <w:t>Relapsed or refractory EGPA</w:t>
            </w:r>
          </w:p>
          <w:p w14:paraId="3C96E7C0" w14:textId="27488985" w:rsidR="008E7846" w:rsidRPr="006F2CFF" w:rsidRDefault="00A947B6" w:rsidP="006F2CFF">
            <w:proofErr w:type="spellStart"/>
            <w:r>
              <w:rPr>
                <w:i/>
              </w:rPr>
              <w:t>N</w:t>
            </w:r>
            <w:r w:rsidRPr="006F2CFF">
              <w:rPr>
                <w:i/>
              </w:rPr>
              <w:t>ucala</w:t>
            </w:r>
            <w:proofErr w:type="spellEnd"/>
            <w:r w:rsidR="006F2CFF" w:rsidRPr="006F2CFF">
              <w:rPr>
                <w:i/>
              </w:rPr>
              <w:t xml:space="preserve"> is indicated as an add-on treatment for relapsing or refractory Eosinophilic Granulomatosis with </w:t>
            </w:r>
            <w:proofErr w:type="spellStart"/>
            <w:r w:rsidR="006F2CFF" w:rsidRPr="006F2CFF">
              <w:rPr>
                <w:i/>
              </w:rPr>
              <w:t>Polyangiitis</w:t>
            </w:r>
            <w:proofErr w:type="spellEnd"/>
            <w:r w:rsidR="006F2CFF" w:rsidRPr="006F2CFF">
              <w:rPr>
                <w:i/>
              </w:rPr>
              <w:t xml:space="preserve"> (EGPA) in adult patients aged 18 years and over (see section 5.1 </w:t>
            </w:r>
            <w:proofErr w:type="spellStart"/>
            <w:r w:rsidR="00B4206F" w:rsidRPr="006F2CFF">
              <w:rPr>
                <w:i/>
              </w:rPr>
              <w:t>Pharmacodynamic</w:t>
            </w:r>
            <w:proofErr w:type="spellEnd"/>
            <w:r w:rsidR="00B4206F" w:rsidRPr="006F2CFF">
              <w:rPr>
                <w:i/>
              </w:rPr>
              <w:t xml:space="preserve"> Properties </w:t>
            </w:r>
            <w:r w:rsidR="006F2CFF" w:rsidRPr="006F2CFF">
              <w:rPr>
                <w:i/>
              </w:rPr>
              <w:t>- Clinical Trials).</w:t>
            </w:r>
          </w:p>
        </w:tc>
      </w:tr>
      <w:tr w:rsidR="008E7846" w:rsidRPr="00487162" w14:paraId="5F4C154A" w14:textId="77777777" w:rsidTr="004101C8">
        <w:tc>
          <w:tcPr>
            <w:tcW w:w="2907" w:type="dxa"/>
            <w:gridSpan w:val="2"/>
          </w:tcPr>
          <w:p w14:paraId="7C77E24A" w14:textId="0877AB5D" w:rsidR="008E7846" w:rsidRPr="00487162" w:rsidRDefault="00717E67" w:rsidP="00E45619">
            <w:pPr>
              <w:rPr>
                <w:i/>
              </w:rPr>
            </w:pPr>
            <w:r>
              <w:rPr>
                <w:i/>
              </w:rPr>
              <w:t>Route</w:t>
            </w:r>
            <w:r w:rsidR="008E7846" w:rsidRPr="00487162">
              <w:rPr>
                <w:i/>
              </w:rPr>
              <w:t xml:space="preserve"> of administration:</w:t>
            </w:r>
          </w:p>
        </w:tc>
        <w:tc>
          <w:tcPr>
            <w:tcW w:w="6307" w:type="dxa"/>
            <w:gridSpan w:val="2"/>
          </w:tcPr>
          <w:p w14:paraId="1E312B05" w14:textId="77777777" w:rsidR="008E7846" w:rsidRPr="00487162" w:rsidRDefault="005351FE" w:rsidP="00E45619">
            <w:r>
              <w:t>Subcutaneous</w:t>
            </w:r>
          </w:p>
        </w:tc>
      </w:tr>
      <w:tr w:rsidR="008E7846" w:rsidRPr="00487162" w14:paraId="4952C7BF" w14:textId="77777777" w:rsidTr="004101C8">
        <w:tc>
          <w:tcPr>
            <w:tcW w:w="2907" w:type="dxa"/>
            <w:gridSpan w:val="2"/>
          </w:tcPr>
          <w:p w14:paraId="04D993C0" w14:textId="77777777" w:rsidR="008E7846" w:rsidRPr="00487162" w:rsidRDefault="008E7846" w:rsidP="00E45619">
            <w:pPr>
              <w:rPr>
                <w:i/>
              </w:rPr>
            </w:pPr>
            <w:r w:rsidRPr="00487162">
              <w:rPr>
                <w:i/>
              </w:rPr>
              <w:t>Dosage:</w:t>
            </w:r>
          </w:p>
        </w:tc>
        <w:tc>
          <w:tcPr>
            <w:tcW w:w="6307" w:type="dxa"/>
            <w:gridSpan w:val="2"/>
          </w:tcPr>
          <w:p w14:paraId="3CB1B72D" w14:textId="2CBE6ACD" w:rsidR="00362E89" w:rsidRPr="00362E89" w:rsidRDefault="00362E89" w:rsidP="00362E89">
            <w:r w:rsidRPr="00362E89">
              <w:t>Relapsed or refractory EGPA</w:t>
            </w:r>
            <w:r w:rsidR="00D06C4A">
              <w:t xml:space="preserve"> in a</w:t>
            </w:r>
            <w:r w:rsidR="00D06C4A" w:rsidRPr="00362E89">
              <w:t xml:space="preserve">dults </w:t>
            </w:r>
            <w:r w:rsidRPr="00362E89">
              <w:t>(18 years or older)</w:t>
            </w:r>
            <w:r w:rsidR="00D06C4A">
              <w:t>:</w:t>
            </w:r>
          </w:p>
          <w:p w14:paraId="08CD11B1" w14:textId="77777777" w:rsidR="008E7846" w:rsidRDefault="00362E89" w:rsidP="00362E89">
            <w:r w:rsidRPr="00362E89">
              <w:t xml:space="preserve">The recommended dose is 300 mg of </w:t>
            </w:r>
            <w:proofErr w:type="spellStart"/>
            <w:r w:rsidR="00A947B6">
              <w:t>N</w:t>
            </w:r>
            <w:r w:rsidR="00A947B6" w:rsidRPr="00362E89">
              <w:t>ucala</w:t>
            </w:r>
            <w:proofErr w:type="spellEnd"/>
            <w:r w:rsidRPr="00362E89">
              <w:t xml:space="preserve"> adminis</w:t>
            </w:r>
            <w:r w:rsidR="00A947B6">
              <w:t xml:space="preserve">tered by subcutaneous injection </w:t>
            </w:r>
            <w:r w:rsidRPr="00362E89">
              <w:t>once every 4 weeks.</w:t>
            </w:r>
          </w:p>
          <w:p w14:paraId="3E2C6CB2" w14:textId="77777777" w:rsidR="00A947B6" w:rsidRPr="00362E89" w:rsidRDefault="00A947B6" w:rsidP="00362E89">
            <w:r>
              <w:t>For further details refer to the Product Information.</w:t>
            </w:r>
          </w:p>
        </w:tc>
      </w:tr>
    </w:tbl>
    <w:p w14:paraId="07C5D77C" w14:textId="77777777" w:rsidR="008E7846" w:rsidRDefault="008E7846" w:rsidP="004101C8">
      <w:pPr>
        <w:pStyle w:val="Heading3"/>
        <w:pageBreakBefore/>
      </w:pPr>
      <w:bookmarkStart w:id="13" w:name="_Toc247691503"/>
      <w:bookmarkStart w:id="14" w:name="_Toc314842484"/>
      <w:bookmarkStart w:id="15" w:name="_Toc25227368"/>
      <w:r>
        <w:lastRenderedPageBreak/>
        <w:t>Product background</w:t>
      </w:r>
      <w:bookmarkEnd w:id="13"/>
      <w:bookmarkEnd w:id="14"/>
      <w:bookmarkEnd w:id="15"/>
    </w:p>
    <w:p w14:paraId="4BE87581" w14:textId="77777777" w:rsidR="008E7846" w:rsidRDefault="00126A5E" w:rsidP="00940A89">
      <w:r>
        <w:t>‘</w:t>
      </w:r>
      <w:r w:rsidR="00940A89" w:rsidRPr="00940A89">
        <w:t xml:space="preserve">This AusPAR describes the application by </w:t>
      </w:r>
      <w:r w:rsidR="000D394A">
        <w:t>GlaxoSmithKline (</w:t>
      </w:r>
      <w:r w:rsidR="00940A89" w:rsidRPr="00940A89">
        <w:t>the sponsor</w:t>
      </w:r>
      <w:r w:rsidR="000D394A">
        <w:t>)</w:t>
      </w:r>
      <w:r w:rsidR="00940A89" w:rsidRPr="00940A89">
        <w:t xml:space="preserve"> to register </w:t>
      </w:r>
      <w:proofErr w:type="spellStart"/>
      <w:r w:rsidR="000D394A">
        <w:t>Nucala</w:t>
      </w:r>
      <w:proofErr w:type="spellEnd"/>
      <w:r w:rsidR="000D394A">
        <w:t xml:space="preserve"> (</w:t>
      </w:r>
      <w:proofErr w:type="spellStart"/>
      <w:r w:rsidR="000D394A">
        <w:t>mepolizumab</w:t>
      </w:r>
      <w:proofErr w:type="spellEnd"/>
      <w:r w:rsidR="000D394A">
        <w:t>)</w:t>
      </w:r>
      <w:r w:rsidR="00940A89" w:rsidRPr="00940A89">
        <w:t xml:space="preserve"> </w:t>
      </w:r>
      <w:r w:rsidR="000D394A">
        <w:t>100 mg powder for injection for the following indication:</w:t>
      </w:r>
    </w:p>
    <w:p w14:paraId="2FF0BE51" w14:textId="77777777" w:rsidR="00982FEF" w:rsidRPr="00982FEF" w:rsidRDefault="00982FEF" w:rsidP="00982FEF">
      <w:pPr>
        <w:ind w:left="720"/>
        <w:rPr>
          <w:i/>
        </w:rPr>
      </w:pPr>
      <w:proofErr w:type="spellStart"/>
      <w:r>
        <w:rPr>
          <w:i/>
        </w:rPr>
        <w:t>N</w:t>
      </w:r>
      <w:r w:rsidRPr="00982FEF">
        <w:rPr>
          <w:i/>
        </w:rPr>
        <w:t>ucala</w:t>
      </w:r>
      <w:proofErr w:type="spellEnd"/>
      <w:r w:rsidRPr="00982FEF">
        <w:rPr>
          <w:i/>
        </w:rPr>
        <w:t xml:space="preserve"> is indicated as an add-on treatment for relapsing or refractory Eosinophilic Granulomatosis with </w:t>
      </w:r>
      <w:proofErr w:type="spellStart"/>
      <w:r w:rsidRPr="00982FEF">
        <w:rPr>
          <w:i/>
        </w:rPr>
        <w:t>Polyangiitis</w:t>
      </w:r>
      <w:proofErr w:type="spellEnd"/>
      <w:r w:rsidRPr="00982FEF">
        <w:rPr>
          <w:i/>
        </w:rPr>
        <w:t xml:space="preserve"> (EGPA) in patients aged 6 years and over.</w:t>
      </w:r>
    </w:p>
    <w:p w14:paraId="41C1E4D8" w14:textId="32C132DF" w:rsidR="00135415" w:rsidRDefault="00625C41" w:rsidP="00135415">
      <w:bookmarkStart w:id="16" w:name="_Toc314842485"/>
      <w:bookmarkStart w:id="17" w:name="_Toc247691504"/>
      <w:r w:rsidRPr="00B31B49">
        <w:t xml:space="preserve">Eosinophilic </w:t>
      </w:r>
      <w:r w:rsidR="00D06C4A">
        <w:t>g</w:t>
      </w:r>
      <w:r w:rsidR="00D06C4A" w:rsidRPr="00B31B49">
        <w:t xml:space="preserve">ranulomatosis </w:t>
      </w:r>
      <w:r w:rsidRPr="00B31B49">
        <w:t xml:space="preserve">with </w:t>
      </w:r>
      <w:proofErr w:type="spellStart"/>
      <w:r w:rsidR="00D06C4A">
        <w:t>p</w:t>
      </w:r>
      <w:r w:rsidR="00D06C4A" w:rsidRPr="00B31B49">
        <w:t>olyangiitis</w:t>
      </w:r>
      <w:proofErr w:type="spellEnd"/>
      <w:r w:rsidR="00D06C4A">
        <w:rPr>
          <w:rFonts w:asciiTheme="minorHAnsi" w:hAnsiTheme="minorHAnsi"/>
        </w:rPr>
        <w:t xml:space="preserve"> </w:t>
      </w:r>
      <w:r>
        <w:rPr>
          <w:rFonts w:asciiTheme="minorHAnsi" w:hAnsiTheme="minorHAnsi"/>
        </w:rPr>
        <w:t>(</w:t>
      </w:r>
      <w:r w:rsidR="00135415">
        <w:rPr>
          <w:rFonts w:asciiTheme="minorHAnsi" w:hAnsiTheme="minorHAnsi"/>
        </w:rPr>
        <w:t>EGPA</w:t>
      </w:r>
      <w:r>
        <w:rPr>
          <w:rFonts w:asciiTheme="minorHAnsi" w:hAnsiTheme="minorHAnsi"/>
        </w:rPr>
        <w:t>),</w:t>
      </w:r>
      <w:r w:rsidRPr="00625C41">
        <w:t xml:space="preserve"> </w:t>
      </w:r>
      <w:r w:rsidRPr="00625C41">
        <w:rPr>
          <w:rFonts w:asciiTheme="minorHAnsi" w:hAnsiTheme="minorHAnsi"/>
        </w:rPr>
        <w:t xml:space="preserve">formerly called </w:t>
      </w:r>
      <w:proofErr w:type="spellStart"/>
      <w:r w:rsidRPr="00625C41">
        <w:rPr>
          <w:rFonts w:asciiTheme="minorHAnsi" w:hAnsiTheme="minorHAnsi"/>
        </w:rPr>
        <w:t>Churg</w:t>
      </w:r>
      <w:proofErr w:type="spellEnd"/>
      <w:r w:rsidRPr="00625C41">
        <w:rPr>
          <w:rFonts w:asciiTheme="minorHAnsi" w:hAnsiTheme="minorHAnsi"/>
        </w:rPr>
        <w:t>-Strauss syndrome</w:t>
      </w:r>
      <w:r>
        <w:rPr>
          <w:rFonts w:asciiTheme="minorHAnsi" w:hAnsiTheme="minorHAnsi"/>
        </w:rPr>
        <w:t>,</w:t>
      </w:r>
      <w:r w:rsidR="00135415">
        <w:rPr>
          <w:rFonts w:asciiTheme="minorHAnsi" w:hAnsiTheme="minorHAnsi"/>
        </w:rPr>
        <w:t xml:space="preserve"> </w:t>
      </w:r>
      <w:r w:rsidR="00135415" w:rsidRPr="00C53FE6">
        <w:rPr>
          <w:rFonts w:asciiTheme="minorHAnsi" w:hAnsiTheme="minorHAnsi"/>
        </w:rPr>
        <w:t xml:space="preserve">is </w:t>
      </w:r>
      <w:r w:rsidR="00135415">
        <w:rPr>
          <w:rFonts w:asciiTheme="minorHAnsi" w:hAnsiTheme="minorHAnsi"/>
        </w:rPr>
        <w:t xml:space="preserve">described as </w:t>
      </w:r>
      <w:r w:rsidR="00135415" w:rsidRPr="00C53FE6">
        <w:rPr>
          <w:rFonts w:asciiTheme="minorHAnsi" w:hAnsiTheme="minorHAnsi"/>
        </w:rPr>
        <w:t>a</w:t>
      </w:r>
      <w:r w:rsidR="00135415">
        <w:rPr>
          <w:rFonts w:asciiTheme="minorHAnsi" w:hAnsiTheme="minorHAnsi"/>
        </w:rPr>
        <w:t>n</w:t>
      </w:r>
      <w:r w:rsidR="00135415" w:rsidRPr="00C53FE6">
        <w:rPr>
          <w:rFonts w:asciiTheme="minorHAnsi" w:hAnsiTheme="minorHAnsi"/>
        </w:rPr>
        <w:t xml:space="preserve"> idiopathic </w:t>
      </w:r>
      <w:r w:rsidR="00135415" w:rsidRPr="00C53FE6">
        <w:rPr>
          <w:rFonts w:asciiTheme="minorHAnsi" w:eastAsia="Times New Roman" w:hAnsiTheme="minorHAnsi"/>
          <w:lang w:eastAsia="zh-CN"/>
        </w:rPr>
        <w:t xml:space="preserve">systemic necrotizing vasculitis that </w:t>
      </w:r>
      <w:r w:rsidR="00C33647">
        <w:rPr>
          <w:rFonts w:asciiTheme="minorHAnsi" w:hAnsiTheme="minorHAnsi"/>
        </w:rPr>
        <w:t>is associated</w:t>
      </w:r>
      <w:r w:rsidR="00135415" w:rsidRPr="00C53FE6">
        <w:rPr>
          <w:rFonts w:asciiTheme="minorHAnsi" w:hAnsiTheme="minorHAnsi"/>
        </w:rPr>
        <w:t xml:space="preserve"> with asthma and </w:t>
      </w:r>
      <w:r w:rsidR="00135415">
        <w:rPr>
          <w:rFonts w:asciiTheme="minorHAnsi" w:hAnsiTheme="minorHAnsi"/>
        </w:rPr>
        <w:t xml:space="preserve">marked blood </w:t>
      </w:r>
      <w:r w:rsidR="00135415" w:rsidRPr="00C53FE6">
        <w:rPr>
          <w:rFonts w:asciiTheme="minorHAnsi" w:hAnsiTheme="minorHAnsi"/>
        </w:rPr>
        <w:t>eosinophilia</w:t>
      </w:r>
      <w:r w:rsidR="00135415">
        <w:rPr>
          <w:rFonts w:asciiTheme="minorHAnsi" w:hAnsiTheme="minorHAnsi"/>
        </w:rPr>
        <w:t xml:space="preserve"> (</w:t>
      </w:r>
      <w:r w:rsidR="00135415">
        <w:t>frequently between 5000 and 9000 eosinophils/</w:t>
      </w:r>
      <w:r w:rsidR="007C738F">
        <w:t>µ</w:t>
      </w:r>
      <w:r w:rsidR="00135415">
        <w:t>L at diagnosis)</w:t>
      </w:r>
      <w:r w:rsidR="00135415" w:rsidRPr="00C53FE6">
        <w:rPr>
          <w:rFonts w:asciiTheme="minorHAnsi" w:hAnsiTheme="minorHAnsi"/>
        </w:rPr>
        <w:t xml:space="preserve">. The vasculitis </w:t>
      </w:r>
      <w:r w:rsidR="00135415">
        <w:rPr>
          <w:rFonts w:asciiTheme="minorHAnsi" w:hAnsiTheme="minorHAnsi"/>
        </w:rPr>
        <w:t xml:space="preserve">most commonly involves the lungs but </w:t>
      </w:r>
      <w:r w:rsidR="00135415" w:rsidRPr="00C53FE6">
        <w:rPr>
          <w:rFonts w:asciiTheme="minorHAnsi" w:hAnsiTheme="minorHAnsi"/>
        </w:rPr>
        <w:t>may involve multiple organ systems</w:t>
      </w:r>
      <w:r w:rsidR="00135415">
        <w:rPr>
          <w:rFonts w:asciiTheme="minorHAnsi" w:hAnsiTheme="minorHAnsi"/>
        </w:rPr>
        <w:t>. Organ</w:t>
      </w:r>
      <w:r w:rsidR="00135415" w:rsidRPr="00C53FE6">
        <w:rPr>
          <w:rFonts w:asciiTheme="minorHAnsi" w:hAnsiTheme="minorHAnsi"/>
        </w:rPr>
        <w:t xml:space="preserve"> damage</w:t>
      </w:r>
      <w:r w:rsidR="00135415">
        <w:rPr>
          <w:rFonts w:asciiTheme="minorHAnsi" w:hAnsiTheme="minorHAnsi"/>
        </w:rPr>
        <w:t xml:space="preserve"> is believed to result from both v</w:t>
      </w:r>
      <w:r w:rsidR="00135415" w:rsidRPr="00C53FE6">
        <w:rPr>
          <w:rFonts w:asciiTheme="minorHAnsi" w:hAnsiTheme="minorHAnsi"/>
        </w:rPr>
        <w:t>essel inflammation and eosinophilic proliferation</w:t>
      </w:r>
      <w:r w:rsidR="00135415">
        <w:rPr>
          <w:rFonts w:asciiTheme="minorHAnsi" w:hAnsiTheme="minorHAnsi"/>
        </w:rPr>
        <w:t xml:space="preserve">. The aetiology of the disease and the </w:t>
      </w:r>
      <w:r w:rsidR="00135415" w:rsidRPr="00C53FE6">
        <w:rPr>
          <w:rFonts w:asciiTheme="minorHAnsi" w:hAnsiTheme="minorHAnsi"/>
        </w:rPr>
        <w:t xml:space="preserve">mechanistic relation between the vasculitis and the eosinophilic proliferation is </w:t>
      </w:r>
      <w:r w:rsidR="00135415">
        <w:rPr>
          <w:rFonts w:asciiTheme="minorHAnsi" w:hAnsiTheme="minorHAnsi"/>
        </w:rPr>
        <w:t>not kn</w:t>
      </w:r>
      <w:r w:rsidR="00135415" w:rsidRPr="00C53FE6">
        <w:rPr>
          <w:rFonts w:asciiTheme="minorHAnsi" w:hAnsiTheme="minorHAnsi"/>
        </w:rPr>
        <w:t>own.</w:t>
      </w:r>
      <w:r w:rsidR="00135415">
        <w:rPr>
          <w:rFonts w:asciiTheme="minorHAnsi" w:hAnsiTheme="minorHAnsi"/>
        </w:rPr>
        <w:t xml:space="preserve"> Current theories are that </w:t>
      </w:r>
      <w:r w:rsidR="004A2EC2">
        <w:t xml:space="preserve">activation of the </w:t>
      </w:r>
      <w:r w:rsidR="007C738F">
        <w:t>T helper 2 (</w:t>
      </w:r>
      <w:r w:rsidR="004A2EC2">
        <w:t>Th-2</w:t>
      </w:r>
      <w:r w:rsidR="007C738F">
        <w:t>)</w:t>
      </w:r>
      <w:r w:rsidR="004A2EC2">
        <w:t xml:space="preserve"> cellular </w:t>
      </w:r>
      <w:r w:rsidR="00135415">
        <w:t xml:space="preserve">mediated inflammatory response and humoral immunity may both play important roles. </w:t>
      </w:r>
      <w:r w:rsidR="00135415" w:rsidRPr="00135415">
        <w:t>EGPA is a rare disease: prevalence is</w:t>
      </w:r>
      <w:r w:rsidR="004A2EC2">
        <w:t xml:space="preserve"> estimated to range from 10.7 to </w:t>
      </w:r>
      <w:r w:rsidR="00135415" w:rsidRPr="00135415">
        <w:t>13 cases/million inhabitants and t</w:t>
      </w:r>
      <w:r w:rsidR="004A2EC2">
        <w:t xml:space="preserve">he annual incidence to be 0.5 to </w:t>
      </w:r>
      <w:r w:rsidR="00135415" w:rsidRPr="00135415">
        <w:t>6.8 new cases/million inhabitants.</w:t>
      </w:r>
    </w:p>
    <w:p w14:paraId="46750DE2" w14:textId="77777777" w:rsidR="00135415" w:rsidRDefault="00727D33" w:rsidP="00135415">
      <w:r>
        <w:t xml:space="preserve">Current treatment options are based on the use of glucocorticoids and immunosuppressive therapy. </w:t>
      </w:r>
      <w:r w:rsidR="00135415">
        <w:t>Most patients respond to treatment with g</w:t>
      </w:r>
      <w:r w:rsidR="004A2EC2">
        <w:t xml:space="preserve">lucocorticoids, remission in 80 to </w:t>
      </w:r>
      <w:r w:rsidR="00135415">
        <w:t xml:space="preserve">90% occurs with initial treatment. Refractory disease in the remaining patients may require treatment with cytotoxic </w:t>
      </w:r>
      <w:r w:rsidR="00135415" w:rsidRPr="00F94A18">
        <w:rPr>
          <w:rFonts w:asciiTheme="minorHAnsi" w:hAnsiTheme="minorHAnsi"/>
        </w:rPr>
        <w:t xml:space="preserve">immunosuppressive drugs. </w:t>
      </w:r>
      <w:r w:rsidR="00135415">
        <w:t>A relapsing course may also occur despite ongoing treatment with oral corticosteroids, requiring increased corticosteroid dose or addition of other immunosuppressiv</w:t>
      </w:r>
      <w:r w:rsidR="004A2EC2">
        <w:t xml:space="preserve">e agents. With treatment, the 1 </w:t>
      </w:r>
      <w:r w:rsidR="00135415">
        <w:t xml:space="preserve">year survival rate </w:t>
      </w:r>
      <w:r w:rsidR="004A2EC2">
        <w:t xml:space="preserve">is reported to be 90% and the 5 </w:t>
      </w:r>
      <w:r w:rsidR="00135415">
        <w:t>year survival rate 62 to 80%.</w:t>
      </w:r>
    </w:p>
    <w:p w14:paraId="13A261A9" w14:textId="77777777" w:rsidR="00624472" w:rsidRDefault="00727D33" w:rsidP="00135415">
      <w:proofErr w:type="spellStart"/>
      <w:r>
        <w:t>Mepolizumab</w:t>
      </w:r>
      <w:proofErr w:type="spellEnd"/>
      <w:r>
        <w:t xml:space="preserve"> is a humanised monoclonal antibody (</w:t>
      </w:r>
      <w:proofErr w:type="spellStart"/>
      <w:r w:rsidR="006879B1">
        <w:t>mAb</w:t>
      </w:r>
      <w:proofErr w:type="spellEnd"/>
      <w:r w:rsidR="006879B1">
        <w:t xml:space="preserve">; </w:t>
      </w:r>
      <w:r w:rsidR="004A2EC2">
        <w:t>immunoglobulin G1 (</w:t>
      </w:r>
      <w:r>
        <w:t>IgG1</w:t>
      </w:r>
      <w:r w:rsidR="004A2EC2">
        <w:t>)</w:t>
      </w:r>
      <w:r>
        <w:t xml:space="preserve"> kappa) produced by recombinant DNA technology in Chinese hamster ovary cells. </w:t>
      </w:r>
      <w:proofErr w:type="spellStart"/>
      <w:r>
        <w:t>Mepolizumab</w:t>
      </w:r>
      <w:proofErr w:type="spellEnd"/>
      <w:r>
        <w:t xml:space="preserve"> is an interleukin-5 (IL-5) antagonist that binds to IL-5 thereby preventing it from binding to its receptor on eosinophils</w:t>
      </w:r>
      <w:r w:rsidR="00624472">
        <w:t xml:space="preserve">. As IL-5 is </w:t>
      </w:r>
      <w:r w:rsidR="00624472" w:rsidRPr="00E01A6E">
        <w:t>a major survival factor for eosinophils</w:t>
      </w:r>
      <w:r w:rsidR="00624472">
        <w:t xml:space="preserve">, it is considered a suitable target for therapy in </w:t>
      </w:r>
      <w:proofErr w:type="spellStart"/>
      <w:r w:rsidR="00624472">
        <w:t>hypereosinophilic</w:t>
      </w:r>
      <w:proofErr w:type="spellEnd"/>
      <w:r w:rsidR="00624472">
        <w:t xml:space="preserve"> diseases such as EGPA.</w:t>
      </w:r>
    </w:p>
    <w:p w14:paraId="5789399B" w14:textId="77777777" w:rsidR="008E7846" w:rsidRPr="003F31A2" w:rsidRDefault="00386150" w:rsidP="008E7846">
      <w:pPr>
        <w:pStyle w:val="Heading3"/>
      </w:pPr>
      <w:bookmarkStart w:id="18" w:name="_Toc25227369"/>
      <w:r>
        <w:t>Regulatory s</w:t>
      </w:r>
      <w:r w:rsidR="008E7846">
        <w:t>tatus</w:t>
      </w:r>
      <w:bookmarkEnd w:id="16"/>
      <w:bookmarkEnd w:id="17"/>
      <w:bookmarkEnd w:id="18"/>
    </w:p>
    <w:p w14:paraId="4673C567" w14:textId="77777777" w:rsidR="00940A89" w:rsidRDefault="00940A89" w:rsidP="00940A89">
      <w:bookmarkStart w:id="19" w:name="_Toc247691505"/>
      <w:bookmarkStart w:id="20" w:name="_Toc314842486"/>
      <w:r w:rsidRPr="00940A89">
        <w:t>The product received initial registration on the Australian Register</w:t>
      </w:r>
      <w:r w:rsidR="00C148C3">
        <w:t xml:space="preserve"> of Therapeutic Goods (ARTG) on 2 February 2016 </w:t>
      </w:r>
      <w:r w:rsidR="00AA67E4">
        <w:t xml:space="preserve">(PM-2014-03872-1-5) </w:t>
      </w:r>
      <w:r w:rsidR="00C148C3">
        <w:t>for the following indication:</w:t>
      </w:r>
    </w:p>
    <w:p w14:paraId="6268CEF1" w14:textId="45381BEC" w:rsidR="00C148C3" w:rsidRDefault="00330337" w:rsidP="00330337">
      <w:pPr>
        <w:ind w:left="720"/>
        <w:rPr>
          <w:i/>
        </w:rPr>
      </w:pPr>
      <w:proofErr w:type="spellStart"/>
      <w:r w:rsidRPr="00330337">
        <w:rPr>
          <w:i/>
        </w:rPr>
        <w:t>Nucala</w:t>
      </w:r>
      <w:proofErr w:type="spellEnd"/>
      <w:r w:rsidR="00C148C3" w:rsidRPr="00330337">
        <w:rPr>
          <w:i/>
        </w:rPr>
        <w:t xml:space="preserve"> is indicated as an add-on treatment for severe refractory eosinophilic asthma in patients aged 12 years and over (see </w:t>
      </w:r>
      <w:r w:rsidR="007C738F" w:rsidRPr="00330337">
        <w:rPr>
          <w:i/>
        </w:rPr>
        <w:t>Clinical Trials</w:t>
      </w:r>
      <w:r w:rsidR="00C148C3" w:rsidRPr="00330337">
        <w:rPr>
          <w:i/>
        </w:rPr>
        <w:t>).</w:t>
      </w:r>
    </w:p>
    <w:p w14:paraId="69D7DB2D" w14:textId="315D3479" w:rsidR="00C90516" w:rsidRPr="00C90516" w:rsidRDefault="00C90516" w:rsidP="00C90516">
      <w:proofErr w:type="spellStart"/>
      <w:r>
        <w:t>Nucala</w:t>
      </w:r>
      <w:proofErr w:type="spellEnd"/>
      <w:r>
        <w:t xml:space="preserve"> received orphan drug designation on 11 May 2017</w:t>
      </w:r>
      <w:r w:rsidR="00A8334D">
        <w:t xml:space="preserve"> (PM-2017-01599-1-5)</w:t>
      </w:r>
      <w:r>
        <w:t xml:space="preserve"> for the treatment of patients with </w:t>
      </w:r>
      <w:r w:rsidR="007C738F">
        <w:t xml:space="preserve">eosinophilic granulomatosis with </w:t>
      </w:r>
      <w:proofErr w:type="spellStart"/>
      <w:r w:rsidR="007C738F">
        <w:t>polyangiitis</w:t>
      </w:r>
      <w:proofErr w:type="spellEnd"/>
      <w:r w:rsidR="007C738F">
        <w:t xml:space="preserve"> </w:t>
      </w:r>
      <w:r>
        <w:t>(EGPA).</w:t>
      </w:r>
    </w:p>
    <w:p w14:paraId="19002F35" w14:textId="0C9C1478" w:rsidR="007A6505" w:rsidRDefault="00940A89" w:rsidP="008301EA">
      <w:r w:rsidRPr="00940A89">
        <w:t xml:space="preserve">At the time the TGA considered this application, a similar application had been approved </w:t>
      </w:r>
      <w:r w:rsidR="008301EA">
        <w:t xml:space="preserve">in USA </w:t>
      </w:r>
      <w:r w:rsidR="007C738F">
        <w:t xml:space="preserve">on </w:t>
      </w:r>
      <w:r w:rsidR="008301EA">
        <w:t>28 June 2017,</w:t>
      </w:r>
      <w:r w:rsidR="007C738F">
        <w:t xml:space="preserve"> in</w:t>
      </w:r>
      <w:r w:rsidR="008301EA">
        <w:t xml:space="preserve"> Canada </w:t>
      </w:r>
      <w:r w:rsidR="007C738F">
        <w:t xml:space="preserve">on </w:t>
      </w:r>
      <w:r w:rsidR="008301EA">
        <w:t>15 August 2017</w:t>
      </w:r>
      <w:r w:rsidR="007C738F">
        <w:t>,</w:t>
      </w:r>
      <w:r w:rsidR="008301EA">
        <w:t xml:space="preserve"> and was under consideration in Switzerland (see</w:t>
      </w:r>
      <w:r w:rsidR="006879B1">
        <w:t xml:space="preserve"> </w:t>
      </w:r>
      <w:r w:rsidR="006879B1">
        <w:fldChar w:fldCharType="begin"/>
      </w:r>
      <w:r w:rsidR="006879B1">
        <w:instrText xml:space="preserve"> REF _Ref14871521 \h </w:instrText>
      </w:r>
      <w:r w:rsidR="006879B1">
        <w:fldChar w:fldCharType="separate"/>
      </w:r>
      <w:r w:rsidR="006879B1">
        <w:t xml:space="preserve">Table </w:t>
      </w:r>
      <w:r w:rsidR="006879B1">
        <w:rPr>
          <w:noProof/>
        </w:rPr>
        <w:t>1</w:t>
      </w:r>
      <w:r w:rsidR="006879B1">
        <w:fldChar w:fldCharType="end"/>
      </w:r>
      <w:r w:rsidR="008301EA">
        <w:t>).</w:t>
      </w:r>
    </w:p>
    <w:p w14:paraId="371FC046" w14:textId="77777777" w:rsidR="008301EA" w:rsidRDefault="00FA4A74" w:rsidP="00FA4A74">
      <w:pPr>
        <w:pStyle w:val="TableTitle"/>
      </w:pPr>
      <w:bookmarkStart w:id="21" w:name="_Ref14871521"/>
      <w:r>
        <w:lastRenderedPageBreak/>
        <w:t xml:space="preserve">Table </w:t>
      </w:r>
      <w:r w:rsidR="00C33647">
        <w:rPr>
          <w:noProof/>
        </w:rPr>
        <w:fldChar w:fldCharType="begin"/>
      </w:r>
      <w:r w:rsidR="00C33647">
        <w:rPr>
          <w:noProof/>
        </w:rPr>
        <w:instrText xml:space="preserve"> SEQ Table \* ARABIC </w:instrText>
      </w:r>
      <w:r w:rsidR="00C33647">
        <w:rPr>
          <w:noProof/>
        </w:rPr>
        <w:fldChar w:fldCharType="separate"/>
      </w:r>
      <w:r w:rsidR="00D84518">
        <w:rPr>
          <w:noProof/>
        </w:rPr>
        <w:t>1</w:t>
      </w:r>
      <w:r w:rsidR="00C33647">
        <w:rPr>
          <w:noProof/>
        </w:rPr>
        <w:fldChar w:fldCharType="end"/>
      </w:r>
      <w:bookmarkEnd w:id="21"/>
      <w:r>
        <w:t xml:space="preserve">: </w:t>
      </w:r>
      <w:r w:rsidR="008301EA">
        <w:t>International regulatory status as of 19 November 2018</w:t>
      </w:r>
    </w:p>
    <w:tbl>
      <w:tblPr>
        <w:tblStyle w:val="TableTGAblue"/>
        <w:tblW w:w="0" w:type="auto"/>
        <w:tblLook w:val="04A0" w:firstRow="1" w:lastRow="0" w:firstColumn="1" w:lastColumn="0" w:noHBand="0" w:noVBand="1"/>
      </w:tblPr>
      <w:tblGrid>
        <w:gridCol w:w="1682"/>
        <w:gridCol w:w="2112"/>
        <w:gridCol w:w="1843"/>
        <w:gridCol w:w="3083"/>
      </w:tblGrid>
      <w:tr w:rsidR="008301EA" w14:paraId="4A4A2C76" w14:textId="77777777" w:rsidTr="008301EA">
        <w:trPr>
          <w:cnfStyle w:val="100000000000" w:firstRow="1" w:lastRow="0" w:firstColumn="0" w:lastColumn="0" w:oddVBand="0" w:evenVBand="0" w:oddHBand="0" w:evenHBand="0" w:firstRowFirstColumn="0" w:firstRowLastColumn="0" w:lastRowFirstColumn="0" w:lastRowLastColumn="0"/>
        </w:trPr>
        <w:tc>
          <w:tcPr>
            <w:tcW w:w="1682" w:type="dxa"/>
          </w:tcPr>
          <w:p w14:paraId="582003DC" w14:textId="77777777" w:rsidR="008301EA" w:rsidRDefault="008301EA" w:rsidP="00717E67">
            <w:pPr>
              <w:ind w:left="0" w:right="0"/>
            </w:pPr>
            <w:r>
              <w:t>Region</w:t>
            </w:r>
          </w:p>
        </w:tc>
        <w:tc>
          <w:tcPr>
            <w:tcW w:w="2112" w:type="dxa"/>
          </w:tcPr>
          <w:p w14:paraId="5F41053B" w14:textId="77777777" w:rsidR="008301EA" w:rsidRDefault="008301EA" w:rsidP="00717E67">
            <w:pPr>
              <w:ind w:left="0" w:right="0"/>
            </w:pPr>
            <w:r>
              <w:t>Submission date</w:t>
            </w:r>
          </w:p>
        </w:tc>
        <w:tc>
          <w:tcPr>
            <w:tcW w:w="1843" w:type="dxa"/>
          </w:tcPr>
          <w:p w14:paraId="5C72A15E" w14:textId="77777777" w:rsidR="008301EA" w:rsidRDefault="008301EA" w:rsidP="00717E67">
            <w:pPr>
              <w:ind w:left="0" w:right="0"/>
            </w:pPr>
            <w:r>
              <w:t>Status</w:t>
            </w:r>
          </w:p>
        </w:tc>
        <w:tc>
          <w:tcPr>
            <w:tcW w:w="3083" w:type="dxa"/>
          </w:tcPr>
          <w:p w14:paraId="34A5736F" w14:textId="77777777" w:rsidR="008301EA" w:rsidRDefault="008301EA" w:rsidP="00717E67">
            <w:pPr>
              <w:ind w:left="0" w:right="0"/>
            </w:pPr>
            <w:r>
              <w:t>Indications</w:t>
            </w:r>
          </w:p>
        </w:tc>
      </w:tr>
      <w:tr w:rsidR="008301EA" w14:paraId="72E8488B" w14:textId="77777777" w:rsidTr="008301EA">
        <w:tc>
          <w:tcPr>
            <w:tcW w:w="1682" w:type="dxa"/>
          </w:tcPr>
          <w:p w14:paraId="1A987B1E" w14:textId="77777777" w:rsidR="008301EA" w:rsidRDefault="008301EA" w:rsidP="00717E67">
            <w:pPr>
              <w:keepNext/>
              <w:ind w:left="0" w:right="0"/>
            </w:pPr>
            <w:r>
              <w:t>USA</w:t>
            </w:r>
          </w:p>
        </w:tc>
        <w:tc>
          <w:tcPr>
            <w:tcW w:w="2112" w:type="dxa"/>
          </w:tcPr>
          <w:p w14:paraId="66B7F5FA" w14:textId="77777777" w:rsidR="008301EA" w:rsidRDefault="008301EA" w:rsidP="00717E67">
            <w:pPr>
              <w:keepNext/>
              <w:ind w:left="0" w:right="0"/>
            </w:pPr>
            <w:r>
              <w:t>28 June 2017</w:t>
            </w:r>
          </w:p>
        </w:tc>
        <w:tc>
          <w:tcPr>
            <w:tcW w:w="1843" w:type="dxa"/>
          </w:tcPr>
          <w:p w14:paraId="3A646DFC" w14:textId="77777777" w:rsidR="008301EA" w:rsidRDefault="008301EA" w:rsidP="00717E67">
            <w:pPr>
              <w:keepNext/>
              <w:ind w:left="0" w:right="0"/>
            </w:pPr>
            <w:r>
              <w:t>Approved</w:t>
            </w:r>
          </w:p>
          <w:p w14:paraId="39DC212F" w14:textId="77777777" w:rsidR="00625C41" w:rsidRDefault="00625C41" w:rsidP="00717E67">
            <w:pPr>
              <w:keepNext/>
              <w:ind w:left="0" w:right="0"/>
            </w:pPr>
            <w:r>
              <w:t>December 2017</w:t>
            </w:r>
          </w:p>
        </w:tc>
        <w:tc>
          <w:tcPr>
            <w:tcW w:w="3083" w:type="dxa"/>
          </w:tcPr>
          <w:p w14:paraId="4CF1CA3C" w14:textId="77777777" w:rsidR="008301EA" w:rsidRPr="008301EA" w:rsidRDefault="00B30701" w:rsidP="00717E67">
            <w:pPr>
              <w:keepNext/>
              <w:ind w:left="0" w:right="0"/>
              <w:rPr>
                <w:i/>
              </w:rPr>
            </w:pPr>
            <w:proofErr w:type="spellStart"/>
            <w:r>
              <w:rPr>
                <w:i/>
              </w:rPr>
              <w:t>Nucala</w:t>
            </w:r>
            <w:proofErr w:type="spellEnd"/>
            <w:r w:rsidR="008301EA" w:rsidRPr="008301EA">
              <w:rPr>
                <w:i/>
              </w:rPr>
              <w:t xml:space="preserve"> is indicated for the treatment of adult patients with eosinophilic granulomatosis with </w:t>
            </w:r>
            <w:proofErr w:type="spellStart"/>
            <w:r w:rsidR="008301EA" w:rsidRPr="008301EA">
              <w:rPr>
                <w:i/>
              </w:rPr>
              <w:t>polyangiitis</w:t>
            </w:r>
            <w:proofErr w:type="spellEnd"/>
            <w:r w:rsidR="008301EA" w:rsidRPr="008301EA">
              <w:rPr>
                <w:i/>
              </w:rPr>
              <w:t xml:space="preserve"> (EGPA).</w:t>
            </w:r>
          </w:p>
        </w:tc>
      </w:tr>
      <w:tr w:rsidR="008301EA" w14:paraId="1CC64F46" w14:textId="77777777" w:rsidTr="008301EA">
        <w:tc>
          <w:tcPr>
            <w:tcW w:w="1682" w:type="dxa"/>
          </w:tcPr>
          <w:p w14:paraId="5433FA26" w14:textId="77777777" w:rsidR="008301EA" w:rsidRDefault="008301EA" w:rsidP="00717E67">
            <w:pPr>
              <w:keepNext/>
              <w:ind w:left="0" w:right="0"/>
            </w:pPr>
            <w:r>
              <w:t>Canada</w:t>
            </w:r>
          </w:p>
        </w:tc>
        <w:tc>
          <w:tcPr>
            <w:tcW w:w="2112" w:type="dxa"/>
          </w:tcPr>
          <w:p w14:paraId="6910752B" w14:textId="77777777" w:rsidR="008301EA" w:rsidRDefault="008301EA" w:rsidP="00717E67">
            <w:pPr>
              <w:keepNext/>
              <w:ind w:left="0" w:right="0"/>
            </w:pPr>
            <w:r>
              <w:t>15 August 2017</w:t>
            </w:r>
          </w:p>
        </w:tc>
        <w:tc>
          <w:tcPr>
            <w:tcW w:w="1843" w:type="dxa"/>
          </w:tcPr>
          <w:p w14:paraId="376BEC01" w14:textId="77777777" w:rsidR="008301EA" w:rsidRDefault="008301EA" w:rsidP="00717E67">
            <w:pPr>
              <w:keepNext/>
              <w:ind w:left="0" w:right="0"/>
            </w:pPr>
            <w:r>
              <w:t>Approved</w:t>
            </w:r>
          </w:p>
          <w:p w14:paraId="4249C618" w14:textId="77777777" w:rsidR="00625C41" w:rsidRDefault="00625C41" w:rsidP="00717E67">
            <w:pPr>
              <w:keepNext/>
              <w:ind w:left="0" w:right="0"/>
            </w:pPr>
            <w:r>
              <w:t>July 2018</w:t>
            </w:r>
          </w:p>
        </w:tc>
        <w:tc>
          <w:tcPr>
            <w:tcW w:w="3083" w:type="dxa"/>
          </w:tcPr>
          <w:p w14:paraId="2341577E" w14:textId="77777777" w:rsidR="008301EA" w:rsidRPr="008301EA" w:rsidRDefault="00B30701" w:rsidP="00717E67">
            <w:pPr>
              <w:keepNext/>
              <w:ind w:left="0" w:right="0"/>
              <w:rPr>
                <w:i/>
              </w:rPr>
            </w:pPr>
            <w:proofErr w:type="spellStart"/>
            <w:r>
              <w:rPr>
                <w:i/>
              </w:rPr>
              <w:t>Nucala</w:t>
            </w:r>
            <w:proofErr w:type="spellEnd"/>
            <w:r w:rsidR="008301EA" w:rsidRPr="008301EA">
              <w:rPr>
                <w:i/>
              </w:rPr>
              <w:t xml:space="preserve"> (</w:t>
            </w:r>
            <w:proofErr w:type="spellStart"/>
            <w:r w:rsidR="008301EA" w:rsidRPr="008301EA">
              <w:rPr>
                <w:i/>
              </w:rPr>
              <w:t>mepolizumab</w:t>
            </w:r>
            <w:proofErr w:type="spellEnd"/>
            <w:r w:rsidR="008301EA" w:rsidRPr="008301EA">
              <w:rPr>
                <w:i/>
              </w:rPr>
              <w:t xml:space="preserve"> for injection) is indicated as an add-on to corticosteroids for the treatment of adult patients with eosinophilic granulomatosis with </w:t>
            </w:r>
            <w:proofErr w:type="spellStart"/>
            <w:r w:rsidR="008301EA" w:rsidRPr="008301EA">
              <w:rPr>
                <w:i/>
              </w:rPr>
              <w:t>polyangiitis</w:t>
            </w:r>
            <w:proofErr w:type="spellEnd"/>
            <w:r w:rsidR="008301EA" w:rsidRPr="008301EA">
              <w:rPr>
                <w:i/>
              </w:rPr>
              <w:t xml:space="preserve"> (EGPA).</w:t>
            </w:r>
          </w:p>
        </w:tc>
      </w:tr>
      <w:tr w:rsidR="008301EA" w14:paraId="1B6C3D6A" w14:textId="77777777" w:rsidTr="008301EA">
        <w:tc>
          <w:tcPr>
            <w:tcW w:w="1682" w:type="dxa"/>
          </w:tcPr>
          <w:p w14:paraId="7EDBE361" w14:textId="77777777" w:rsidR="008301EA" w:rsidRDefault="008301EA" w:rsidP="00717E67">
            <w:pPr>
              <w:keepNext/>
              <w:ind w:left="0" w:right="0"/>
            </w:pPr>
            <w:r>
              <w:t>Switzerland</w:t>
            </w:r>
          </w:p>
        </w:tc>
        <w:tc>
          <w:tcPr>
            <w:tcW w:w="2112" w:type="dxa"/>
          </w:tcPr>
          <w:p w14:paraId="54AEEDDC" w14:textId="77777777" w:rsidR="008301EA" w:rsidRDefault="008301EA" w:rsidP="00717E67">
            <w:pPr>
              <w:keepNext/>
              <w:ind w:left="0" w:right="0"/>
            </w:pPr>
            <w:r>
              <w:t>30 January 2018</w:t>
            </w:r>
          </w:p>
        </w:tc>
        <w:tc>
          <w:tcPr>
            <w:tcW w:w="1843" w:type="dxa"/>
          </w:tcPr>
          <w:p w14:paraId="55E7E0DF" w14:textId="77777777" w:rsidR="008301EA" w:rsidRDefault="008301EA" w:rsidP="00717E67">
            <w:pPr>
              <w:keepNext/>
              <w:ind w:left="0" w:right="0"/>
            </w:pPr>
            <w:r>
              <w:t>Under review</w:t>
            </w:r>
          </w:p>
        </w:tc>
        <w:tc>
          <w:tcPr>
            <w:tcW w:w="3083" w:type="dxa"/>
          </w:tcPr>
          <w:p w14:paraId="3BAA9D95" w14:textId="77777777" w:rsidR="008301EA" w:rsidRDefault="008301EA" w:rsidP="00717E67">
            <w:pPr>
              <w:keepNext/>
              <w:ind w:left="0" w:right="0"/>
            </w:pPr>
            <w:r>
              <w:t>Under review</w:t>
            </w:r>
          </w:p>
        </w:tc>
      </w:tr>
    </w:tbl>
    <w:p w14:paraId="29106031" w14:textId="77777777" w:rsidR="008E7846" w:rsidRDefault="008E7846" w:rsidP="00940A89">
      <w:pPr>
        <w:pStyle w:val="Heading3"/>
      </w:pPr>
      <w:bookmarkStart w:id="22" w:name="_Toc25227370"/>
      <w:r>
        <w:t>Product Information</w:t>
      </w:r>
      <w:bookmarkEnd w:id="19"/>
      <w:bookmarkEnd w:id="20"/>
      <w:bookmarkEnd w:id="22"/>
    </w:p>
    <w:p w14:paraId="7446FFE1" w14:textId="77777777" w:rsidR="00940A89" w:rsidRDefault="006136D7" w:rsidP="00940A89">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62D350E6" w14:textId="77777777" w:rsidR="00500337" w:rsidRDefault="00500337" w:rsidP="00500337">
      <w:pPr>
        <w:pStyle w:val="Heading2"/>
      </w:pPr>
      <w:bookmarkStart w:id="25" w:name="_Toc504480011"/>
      <w:bookmarkStart w:id="26" w:name="_Toc25227371"/>
      <w:r>
        <w:t>II. Registration time line</w:t>
      </w:r>
      <w:bookmarkEnd w:id="25"/>
      <w:bookmarkEnd w:id="26"/>
    </w:p>
    <w:p w14:paraId="5FD372A0" w14:textId="77777777" w:rsidR="00500337" w:rsidRDefault="006879B1" w:rsidP="00500337">
      <w:r>
        <w:fldChar w:fldCharType="begin"/>
      </w:r>
      <w:r>
        <w:instrText xml:space="preserve"> REF _Ref14871536 \h </w:instrText>
      </w:r>
      <w:r>
        <w:fldChar w:fldCharType="separate"/>
      </w:r>
      <w:r>
        <w:t xml:space="preserve">Table </w:t>
      </w:r>
      <w:r>
        <w:rPr>
          <w:noProof/>
        </w:rPr>
        <w:t>2</w:t>
      </w:r>
      <w:r>
        <w:fldChar w:fldCharType="end"/>
      </w:r>
      <w:r>
        <w:t xml:space="preserve"> </w:t>
      </w:r>
      <w:r w:rsidR="00500337">
        <w:t>captures the key steps and dates for this application and which are detailed and discussed in this AusPAR.</w:t>
      </w:r>
    </w:p>
    <w:p w14:paraId="4DE1539E" w14:textId="77777777" w:rsidR="00500337" w:rsidRPr="00377BD4" w:rsidRDefault="00FA4A74" w:rsidP="00FA4A74">
      <w:pPr>
        <w:pStyle w:val="TableTitle"/>
      </w:pPr>
      <w:bookmarkStart w:id="27" w:name="_Ref14871536"/>
      <w:r>
        <w:t xml:space="preserve">Table </w:t>
      </w:r>
      <w:r w:rsidR="00C33647">
        <w:rPr>
          <w:noProof/>
        </w:rPr>
        <w:fldChar w:fldCharType="begin"/>
      </w:r>
      <w:r w:rsidR="00C33647">
        <w:rPr>
          <w:noProof/>
        </w:rPr>
        <w:instrText xml:space="preserve"> SEQ Table \* ARABIC </w:instrText>
      </w:r>
      <w:r w:rsidR="00C33647">
        <w:rPr>
          <w:noProof/>
        </w:rPr>
        <w:fldChar w:fldCharType="separate"/>
      </w:r>
      <w:r w:rsidR="00D84518">
        <w:rPr>
          <w:noProof/>
        </w:rPr>
        <w:t>2</w:t>
      </w:r>
      <w:r w:rsidR="00C33647">
        <w:rPr>
          <w:noProof/>
        </w:rPr>
        <w:fldChar w:fldCharType="end"/>
      </w:r>
      <w:bookmarkEnd w:id="27"/>
      <w:r>
        <w:t xml:space="preserve">: </w:t>
      </w:r>
      <w:r w:rsidR="006A58A8" w:rsidRPr="006A58A8">
        <w:t xml:space="preserve">Timeline for Submission </w:t>
      </w:r>
      <w:r w:rsidR="00EF26DF" w:rsidRPr="00EF26DF">
        <w:t>PM-2017-04349-1-5</w:t>
      </w:r>
    </w:p>
    <w:tbl>
      <w:tblPr>
        <w:tblStyle w:val="TableTGAblue"/>
        <w:tblW w:w="0" w:type="auto"/>
        <w:tblLook w:val="04A0" w:firstRow="1" w:lastRow="0" w:firstColumn="1" w:lastColumn="0" w:noHBand="0" w:noVBand="1"/>
      </w:tblPr>
      <w:tblGrid>
        <w:gridCol w:w="4360"/>
        <w:gridCol w:w="4360"/>
      </w:tblGrid>
      <w:tr w:rsidR="00500337" w14:paraId="33B7F406"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5851B907" w14:textId="77777777" w:rsidR="00500337" w:rsidRDefault="00500337" w:rsidP="00500337">
            <w:pPr>
              <w:ind w:left="0" w:right="0"/>
            </w:pPr>
            <w:r>
              <w:t>Description</w:t>
            </w:r>
          </w:p>
        </w:tc>
        <w:tc>
          <w:tcPr>
            <w:tcW w:w="4360" w:type="dxa"/>
          </w:tcPr>
          <w:p w14:paraId="52341935" w14:textId="77777777" w:rsidR="00500337" w:rsidRDefault="00500337" w:rsidP="00500337">
            <w:pPr>
              <w:ind w:left="0" w:right="0"/>
            </w:pPr>
            <w:r>
              <w:t>Date</w:t>
            </w:r>
          </w:p>
        </w:tc>
      </w:tr>
      <w:tr w:rsidR="00500337" w14:paraId="40EAB201" w14:textId="77777777" w:rsidTr="00500337">
        <w:tc>
          <w:tcPr>
            <w:tcW w:w="4360" w:type="dxa"/>
          </w:tcPr>
          <w:p w14:paraId="331967FE" w14:textId="77777777" w:rsidR="00500337" w:rsidRDefault="00500337" w:rsidP="00500337">
            <w:pPr>
              <w:ind w:left="0" w:right="0"/>
            </w:pPr>
            <w:r>
              <w:t>Submission dossier accepted and first round evaluation commenced</w:t>
            </w:r>
          </w:p>
        </w:tc>
        <w:tc>
          <w:tcPr>
            <w:tcW w:w="4360" w:type="dxa"/>
          </w:tcPr>
          <w:p w14:paraId="70B73EA2" w14:textId="77777777" w:rsidR="00500337" w:rsidRDefault="002A3AE2" w:rsidP="00500337">
            <w:pPr>
              <w:ind w:left="0" w:right="0"/>
            </w:pPr>
            <w:r>
              <w:t>2 January 2018</w:t>
            </w:r>
          </w:p>
        </w:tc>
      </w:tr>
      <w:tr w:rsidR="00500337" w14:paraId="6B6FE774" w14:textId="77777777" w:rsidTr="00500337">
        <w:tc>
          <w:tcPr>
            <w:tcW w:w="4360" w:type="dxa"/>
          </w:tcPr>
          <w:p w14:paraId="06BBB299" w14:textId="77777777" w:rsidR="00500337" w:rsidRDefault="00500337" w:rsidP="00500337">
            <w:pPr>
              <w:ind w:left="0" w:right="0"/>
            </w:pPr>
            <w:r>
              <w:t>First round evaluation completed</w:t>
            </w:r>
          </w:p>
        </w:tc>
        <w:tc>
          <w:tcPr>
            <w:tcW w:w="4360" w:type="dxa"/>
          </w:tcPr>
          <w:p w14:paraId="69BF5013" w14:textId="77777777" w:rsidR="00500337" w:rsidRDefault="002A3AE2" w:rsidP="00500337">
            <w:pPr>
              <w:ind w:left="0" w:right="0"/>
            </w:pPr>
            <w:r>
              <w:t>1 June 2018</w:t>
            </w:r>
          </w:p>
        </w:tc>
      </w:tr>
      <w:tr w:rsidR="00500337" w14:paraId="7A2BFCAA" w14:textId="77777777" w:rsidTr="00500337">
        <w:tc>
          <w:tcPr>
            <w:tcW w:w="4360" w:type="dxa"/>
          </w:tcPr>
          <w:p w14:paraId="3F0F4553" w14:textId="77777777" w:rsidR="00500337" w:rsidRDefault="00500337" w:rsidP="00500337">
            <w:pPr>
              <w:ind w:left="0" w:right="0"/>
            </w:pPr>
            <w:r>
              <w:t>Sponsor provides responses on questions raised in first round evaluation</w:t>
            </w:r>
          </w:p>
        </w:tc>
        <w:tc>
          <w:tcPr>
            <w:tcW w:w="4360" w:type="dxa"/>
          </w:tcPr>
          <w:p w14:paraId="47E3687A" w14:textId="77777777" w:rsidR="00500337" w:rsidRDefault="002A3AE2" w:rsidP="00500337">
            <w:pPr>
              <w:ind w:left="0" w:right="0"/>
            </w:pPr>
            <w:r>
              <w:t>1 August 2018</w:t>
            </w:r>
          </w:p>
        </w:tc>
      </w:tr>
      <w:tr w:rsidR="00500337" w14:paraId="2268185B" w14:textId="77777777" w:rsidTr="00500337">
        <w:tc>
          <w:tcPr>
            <w:tcW w:w="4360" w:type="dxa"/>
          </w:tcPr>
          <w:p w14:paraId="0488F8A0" w14:textId="77777777" w:rsidR="00500337" w:rsidRDefault="00500337" w:rsidP="00500337">
            <w:pPr>
              <w:ind w:left="0" w:right="0"/>
            </w:pPr>
            <w:r>
              <w:t>Second round evaluation completed</w:t>
            </w:r>
          </w:p>
        </w:tc>
        <w:tc>
          <w:tcPr>
            <w:tcW w:w="4360" w:type="dxa"/>
          </w:tcPr>
          <w:p w14:paraId="15B6D723" w14:textId="77777777" w:rsidR="00500337" w:rsidRDefault="002A3AE2" w:rsidP="00500337">
            <w:pPr>
              <w:ind w:left="0" w:right="0"/>
            </w:pPr>
            <w:r>
              <w:t>31 August 2018</w:t>
            </w:r>
          </w:p>
        </w:tc>
      </w:tr>
      <w:tr w:rsidR="00500337" w14:paraId="635173C4" w14:textId="77777777" w:rsidTr="00500337">
        <w:tc>
          <w:tcPr>
            <w:tcW w:w="4360" w:type="dxa"/>
          </w:tcPr>
          <w:p w14:paraId="0E7B2F35" w14:textId="77777777" w:rsidR="00500337" w:rsidRPr="002A3AE2" w:rsidRDefault="00500337" w:rsidP="00500337">
            <w:pPr>
              <w:ind w:left="0" w:right="0"/>
            </w:pPr>
            <w:r w:rsidRPr="002A3AE2">
              <w:t>Delegate’s Overall benefit-risk assessment and request for Advisory Committee advice</w:t>
            </w:r>
          </w:p>
        </w:tc>
        <w:tc>
          <w:tcPr>
            <w:tcW w:w="4360" w:type="dxa"/>
          </w:tcPr>
          <w:p w14:paraId="26CEB70F" w14:textId="77777777" w:rsidR="00500337" w:rsidRPr="002A3AE2" w:rsidRDefault="002A3AE2" w:rsidP="00500337">
            <w:pPr>
              <w:ind w:left="0" w:right="0"/>
            </w:pPr>
            <w:r w:rsidRPr="002A3AE2">
              <w:t>31 October 2018</w:t>
            </w:r>
          </w:p>
        </w:tc>
      </w:tr>
      <w:tr w:rsidR="00500337" w14:paraId="1C3CF90C" w14:textId="77777777" w:rsidTr="00500337">
        <w:tc>
          <w:tcPr>
            <w:tcW w:w="4360" w:type="dxa"/>
          </w:tcPr>
          <w:p w14:paraId="46D324AF" w14:textId="77777777" w:rsidR="00500337" w:rsidRDefault="00500337" w:rsidP="00500337">
            <w:pPr>
              <w:ind w:left="0" w:right="0"/>
            </w:pPr>
            <w:r>
              <w:t>Sponsor’s pre-Advisory Committee response</w:t>
            </w:r>
          </w:p>
        </w:tc>
        <w:tc>
          <w:tcPr>
            <w:tcW w:w="4360" w:type="dxa"/>
          </w:tcPr>
          <w:p w14:paraId="2D33186E" w14:textId="77777777" w:rsidR="00500337" w:rsidRDefault="002A3AE2" w:rsidP="00500337">
            <w:pPr>
              <w:ind w:left="0" w:right="0"/>
            </w:pPr>
            <w:r>
              <w:t>19 November 2018</w:t>
            </w:r>
          </w:p>
        </w:tc>
      </w:tr>
      <w:tr w:rsidR="00500337" w14:paraId="008AE071" w14:textId="77777777" w:rsidTr="00500337">
        <w:tc>
          <w:tcPr>
            <w:tcW w:w="4360" w:type="dxa"/>
          </w:tcPr>
          <w:p w14:paraId="6A2B06F7" w14:textId="77777777" w:rsidR="00500337" w:rsidRDefault="00500337" w:rsidP="00500337">
            <w:pPr>
              <w:ind w:left="0" w:right="0"/>
            </w:pPr>
            <w:r>
              <w:t>Advisory Committee meeting</w:t>
            </w:r>
          </w:p>
        </w:tc>
        <w:tc>
          <w:tcPr>
            <w:tcW w:w="4360" w:type="dxa"/>
          </w:tcPr>
          <w:p w14:paraId="0FB7281F" w14:textId="77777777" w:rsidR="00500337" w:rsidRDefault="002A3AE2" w:rsidP="00500337">
            <w:pPr>
              <w:ind w:left="0" w:right="0"/>
            </w:pPr>
            <w:r>
              <w:t>6 December 2018</w:t>
            </w:r>
          </w:p>
        </w:tc>
      </w:tr>
      <w:tr w:rsidR="00500337" w14:paraId="630D1218" w14:textId="77777777" w:rsidTr="00500337">
        <w:tc>
          <w:tcPr>
            <w:tcW w:w="4360" w:type="dxa"/>
          </w:tcPr>
          <w:p w14:paraId="6AD104D9" w14:textId="77777777" w:rsidR="00500337" w:rsidRDefault="00500337" w:rsidP="00500337">
            <w:pPr>
              <w:ind w:left="0" w:right="0"/>
            </w:pPr>
            <w:r>
              <w:lastRenderedPageBreak/>
              <w:t>Registration decision (Outcome)</w:t>
            </w:r>
          </w:p>
        </w:tc>
        <w:tc>
          <w:tcPr>
            <w:tcW w:w="4360" w:type="dxa"/>
          </w:tcPr>
          <w:p w14:paraId="6FB3E2B4" w14:textId="77777777" w:rsidR="00500337" w:rsidRDefault="002A3AE2" w:rsidP="00500337">
            <w:pPr>
              <w:ind w:left="0" w:right="0"/>
            </w:pPr>
            <w:r>
              <w:t>24 January 2019</w:t>
            </w:r>
          </w:p>
        </w:tc>
      </w:tr>
      <w:tr w:rsidR="00500337" w14:paraId="6F558367" w14:textId="77777777" w:rsidTr="00500337">
        <w:tc>
          <w:tcPr>
            <w:tcW w:w="4360" w:type="dxa"/>
          </w:tcPr>
          <w:p w14:paraId="077C028E" w14:textId="77777777" w:rsidR="00500337" w:rsidRDefault="00500337" w:rsidP="00500337">
            <w:pPr>
              <w:ind w:left="0" w:right="0"/>
            </w:pPr>
            <w:r>
              <w:t>Completion of administrative activities and registration on ARTG</w:t>
            </w:r>
          </w:p>
        </w:tc>
        <w:tc>
          <w:tcPr>
            <w:tcW w:w="4360" w:type="dxa"/>
          </w:tcPr>
          <w:p w14:paraId="3B7AC147" w14:textId="77777777" w:rsidR="00500337" w:rsidRDefault="002A3AE2" w:rsidP="00500337">
            <w:pPr>
              <w:ind w:left="0" w:right="0"/>
            </w:pPr>
            <w:r>
              <w:t>29 January 2019</w:t>
            </w:r>
          </w:p>
        </w:tc>
      </w:tr>
      <w:tr w:rsidR="00500337" w14:paraId="70C4B1E7" w14:textId="77777777" w:rsidTr="00500337">
        <w:tc>
          <w:tcPr>
            <w:tcW w:w="4360" w:type="dxa"/>
          </w:tcPr>
          <w:p w14:paraId="3E9EF29D" w14:textId="77777777" w:rsidR="00500337" w:rsidRDefault="00500337" w:rsidP="00500337">
            <w:pPr>
              <w:ind w:left="0" w:right="0"/>
            </w:pPr>
            <w:r>
              <w:t>Number of working days from submission dossier acceptance to registration decision*</w:t>
            </w:r>
          </w:p>
        </w:tc>
        <w:tc>
          <w:tcPr>
            <w:tcW w:w="4360" w:type="dxa"/>
          </w:tcPr>
          <w:p w14:paraId="72CE55F6" w14:textId="77777777" w:rsidR="00500337" w:rsidRDefault="002A3AE2" w:rsidP="00500337">
            <w:pPr>
              <w:ind w:left="0" w:right="0"/>
            </w:pPr>
            <w:r>
              <w:t>224</w:t>
            </w:r>
          </w:p>
        </w:tc>
      </w:tr>
    </w:tbl>
    <w:p w14:paraId="44E9EEB8"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5D77CFCD" w14:textId="77777777" w:rsidR="00500337" w:rsidRDefault="00500337" w:rsidP="00500337">
      <w:r>
        <w:t>Evaluations included under Quality findings and Nonclinical findings incorporate both the first and second round evaluations.</w:t>
      </w:r>
    </w:p>
    <w:p w14:paraId="586BC5D6" w14:textId="77777777" w:rsidR="00B948A2" w:rsidRDefault="00B948A2" w:rsidP="00500337">
      <w:r w:rsidRPr="00B948A2">
        <w:t>TGA guidance at pre-submission meetings is nonbinding and without prejudice.</w:t>
      </w:r>
    </w:p>
    <w:p w14:paraId="39917ED4" w14:textId="77777777" w:rsidR="008E7846" w:rsidRPr="003602A9" w:rsidRDefault="00500337" w:rsidP="008E7846">
      <w:pPr>
        <w:pStyle w:val="Heading2"/>
        <w:ind w:left="-11"/>
      </w:pPr>
      <w:bookmarkStart w:id="28" w:name="_Toc25227372"/>
      <w:r>
        <w:t>I</w:t>
      </w:r>
      <w:r w:rsidR="008E7846">
        <w:t>II. Quality</w:t>
      </w:r>
      <w:bookmarkEnd w:id="2"/>
      <w:r w:rsidR="008E7846">
        <w:t xml:space="preserve"> findings</w:t>
      </w:r>
      <w:bookmarkEnd w:id="23"/>
      <w:bookmarkEnd w:id="24"/>
      <w:bookmarkEnd w:id="28"/>
    </w:p>
    <w:p w14:paraId="1DBB6DEC" w14:textId="77777777" w:rsidR="00940A89" w:rsidRPr="00940A89" w:rsidRDefault="00940A89" w:rsidP="00940A89">
      <w:bookmarkStart w:id="29" w:name="_Toc247691507"/>
      <w:bookmarkStart w:id="30" w:name="_Toc314842488"/>
      <w:r w:rsidRPr="00940A89">
        <w:t>There was no requirement for a quality evaluation in a submission of this type.</w:t>
      </w:r>
    </w:p>
    <w:p w14:paraId="3A74C795" w14:textId="77777777" w:rsidR="008E7846" w:rsidRDefault="008E7846" w:rsidP="008E7846">
      <w:pPr>
        <w:pStyle w:val="Heading2"/>
      </w:pPr>
      <w:bookmarkStart w:id="31" w:name="_Toc196046439"/>
      <w:bookmarkStart w:id="32" w:name="_Toc247691510"/>
      <w:bookmarkStart w:id="33" w:name="_Toc314842494"/>
      <w:bookmarkStart w:id="34" w:name="_Toc25227373"/>
      <w:bookmarkEnd w:id="29"/>
      <w:bookmarkEnd w:id="30"/>
      <w:r>
        <w:t>I</w:t>
      </w:r>
      <w:r w:rsidR="00500337">
        <w:t>V</w:t>
      </w:r>
      <w:r>
        <w:t>. Nonclinical</w:t>
      </w:r>
      <w:bookmarkEnd w:id="31"/>
      <w:r>
        <w:t xml:space="preserve"> findings</w:t>
      </w:r>
      <w:bookmarkEnd w:id="32"/>
      <w:bookmarkEnd w:id="33"/>
      <w:bookmarkEnd w:id="34"/>
    </w:p>
    <w:p w14:paraId="2D197898" w14:textId="77777777" w:rsidR="008E7846" w:rsidRDefault="008E7846" w:rsidP="00940A89">
      <w:pPr>
        <w:pStyle w:val="Heading3"/>
      </w:pPr>
      <w:bookmarkStart w:id="35" w:name="_Toc247691511"/>
      <w:bookmarkStart w:id="36" w:name="_Toc314842495"/>
      <w:bookmarkStart w:id="37" w:name="_Toc25227374"/>
      <w:r>
        <w:t>Introduction</w:t>
      </w:r>
      <w:bookmarkEnd w:id="35"/>
      <w:bookmarkEnd w:id="36"/>
      <w:bookmarkEnd w:id="37"/>
    </w:p>
    <w:p w14:paraId="4534346A" w14:textId="77777777" w:rsidR="00330337" w:rsidRDefault="005A0E6D" w:rsidP="00AF7B2C">
      <w:pPr>
        <w:rPr>
          <w:rFonts w:asciiTheme="minorHAnsi" w:hAnsiTheme="minorHAnsi"/>
          <w:kern w:val="2"/>
        </w:rPr>
      </w:pPr>
      <w:r>
        <w:t>The sponsor</w:t>
      </w:r>
      <w:r w:rsidR="00330337" w:rsidRPr="00AF7264">
        <w:t xml:space="preserve"> has applied to extend the indications for</w:t>
      </w:r>
      <w:r w:rsidR="00330337">
        <w:t xml:space="preserve"> </w:t>
      </w:r>
      <w:proofErr w:type="spellStart"/>
      <w:r w:rsidR="00330337">
        <w:t>mepolizumab</w:t>
      </w:r>
      <w:proofErr w:type="spellEnd"/>
      <w:r w:rsidR="00330337">
        <w:t xml:space="preserve"> (a </w:t>
      </w:r>
      <w:proofErr w:type="spellStart"/>
      <w:r w:rsidR="006879B1">
        <w:t>mAb</w:t>
      </w:r>
      <w:proofErr w:type="spellEnd"/>
      <w:r w:rsidR="00330337">
        <w:t xml:space="preserve"> against human </w:t>
      </w:r>
      <w:r w:rsidR="00330337" w:rsidRPr="006D7EFA">
        <w:rPr>
          <w:color w:val="000000" w:themeColor="text1"/>
        </w:rPr>
        <w:t>IL</w:t>
      </w:r>
      <w:r w:rsidR="00330337" w:rsidRPr="006D7EFA">
        <w:rPr>
          <w:color w:val="000000" w:themeColor="text1"/>
        </w:rPr>
        <w:noBreakHyphen/>
      </w:r>
      <w:r w:rsidR="00330337">
        <w:rPr>
          <w:color w:val="000000" w:themeColor="text1"/>
        </w:rPr>
        <w:t>5) t</w:t>
      </w:r>
      <w:r w:rsidR="00330337" w:rsidRPr="00AF7264">
        <w:rPr>
          <w:kern w:val="2"/>
        </w:rPr>
        <w:t>o</w:t>
      </w:r>
      <w:r w:rsidR="00330337">
        <w:rPr>
          <w:kern w:val="2"/>
        </w:rPr>
        <w:t xml:space="preserve"> include add</w:t>
      </w:r>
      <w:r w:rsidR="00330337">
        <w:rPr>
          <w:kern w:val="2"/>
        </w:rPr>
        <w:noBreakHyphen/>
        <w:t xml:space="preserve">on treatment for relapsing or refractory </w:t>
      </w:r>
      <w:r w:rsidR="00630847">
        <w:rPr>
          <w:kern w:val="2"/>
        </w:rPr>
        <w:t>EGPA</w:t>
      </w:r>
      <w:r w:rsidR="00330337">
        <w:rPr>
          <w:kern w:val="2"/>
        </w:rPr>
        <w:t xml:space="preserve"> in patients aged 6 years and over. The product i</w:t>
      </w:r>
      <w:r w:rsidR="00630847">
        <w:rPr>
          <w:kern w:val="2"/>
        </w:rPr>
        <w:t>s currently indicated as an add</w:t>
      </w:r>
      <w:r w:rsidR="00630847">
        <w:rPr>
          <w:kern w:val="2"/>
        </w:rPr>
        <w:noBreakHyphen/>
      </w:r>
      <w:r w:rsidR="00330337">
        <w:rPr>
          <w:kern w:val="2"/>
        </w:rPr>
        <w:t xml:space="preserve">on treatment </w:t>
      </w:r>
      <w:r w:rsidR="00330337" w:rsidRPr="00E27F20">
        <w:rPr>
          <w:rFonts w:asciiTheme="minorHAnsi" w:hAnsiTheme="minorHAnsi"/>
          <w:kern w:val="2"/>
        </w:rPr>
        <w:t>for severe refractory eosinophilic asthma in patients aged 12 years an</w:t>
      </w:r>
      <w:r w:rsidR="00330337" w:rsidRPr="00AF7264">
        <w:rPr>
          <w:rFonts w:asciiTheme="minorHAnsi" w:hAnsiTheme="minorHAnsi"/>
          <w:kern w:val="2"/>
        </w:rPr>
        <w:t>d over.</w:t>
      </w:r>
    </w:p>
    <w:p w14:paraId="7ECB8E23" w14:textId="73F1112C" w:rsidR="00330337" w:rsidRDefault="00330337" w:rsidP="00AF7B2C">
      <w:r>
        <w:t xml:space="preserve">The product is proposed to be administered at a higher dose for the treatment of EGPA than is currently approved for asthma (on the basis of there being a higher target burden of </w:t>
      </w:r>
      <w:r w:rsidR="002C4984">
        <w:t>eosinophils in EGPA disease</w:t>
      </w:r>
      <w:r>
        <w:t>). Proposed and approved doses are compared in</w:t>
      </w:r>
      <w:r w:rsidR="006879B1">
        <w:t xml:space="preserve"> </w:t>
      </w:r>
      <w:r w:rsidR="006879B1">
        <w:fldChar w:fldCharType="begin"/>
      </w:r>
      <w:r w:rsidR="006879B1">
        <w:instrText xml:space="preserve"> REF _Ref14871556 \h </w:instrText>
      </w:r>
      <w:r w:rsidR="006879B1">
        <w:fldChar w:fldCharType="separate"/>
      </w:r>
      <w:r w:rsidR="006879B1">
        <w:t xml:space="preserve">Table </w:t>
      </w:r>
      <w:r w:rsidR="006879B1">
        <w:rPr>
          <w:noProof/>
        </w:rPr>
        <w:t>3</w:t>
      </w:r>
      <w:r w:rsidR="006879B1">
        <w:fldChar w:fldCharType="end"/>
      </w:r>
      <w:r w:rsidR="00630847">
        <w:t>.</w:t>
      </w:r>
    </w:p>
    <w:p w14:paraId="6218C76E" w14:textId="77777777" w:rsidR="00630847" w:rsidRPr="00977591" w:rsidRDefault="00FA4A74" w:rsidP="00FA4A74">
      <w:pPr>
        <w:pStyle w:val="TableTitle"/>
        <w:rPr>
          <w:rFonts w:asciiTheme="minorHAnsi" w:hAnsiTheme="minorHAnsi"/>
          <w:kern w:val="2"/>
        </w:rPr>
      </w:pPr>
      <w:bookmarkStart w:id="38" w:name="_Ref14871556"/>
      <w:r>
        <w:t xml:space="preserve">Table </w:t>
      </w:r>
      <w:r w:rsidR="00C33647">
        <w:rPr>
          <w:noProof/>
        </w:rPr>
        <w:fldChar w:fldCharType="begin"/>
      </w:r>
      <w:r w:rsidR="00C33647">
        <w:rPr>
          <w:noProof/>
        </w:rPr>
        <w:instrText xml:space="preserve"> SEQ Table \* ARABIC </w:instrText>
      </w:r>
      <w:r w:rsidR="00C33647">
        <w:rPr>
          <w:noProof/>
        </w:rPr>
        <w:fldChar w:fldCharType="separate"/>
      </w:r>
      <w:r w:rsidR="00D84518">
        <w:rPr>
          <w:noProof/>
        </w:rPr>
        <w:t>3</w:t>
      </w:r>
      <w:r w:rsidR="00C33647">
        <w:rPr>
          <w:noProof/>
        </w:rPr>
        <w:fldChar w:fldCharType="end"/>
      </w:r>
      <w:bookmarkEnd w:id="38"/>
      <w:r>
        <w:t>: P</w:t>
      </w:r>
      <w:r w:rsidR="00630847">
        <w:t xml:space="preserve">roposed and approved doses of </w:t>
      </w:r>
      <w:proofErr w:type="spellStart"/>
      <w:r w:rsidR="00630847">
        <w:t>mepolizumab</w:t>
      </w:r>
      <w:proofErr w:type="spellEnd"/>
    </w:p>
    <w:tbl>
      <w:tblPr>
        <w:tblStyle w:val="TableTGAblue"/>
        <w:tblW w:w="4533" w:type="pct"/>
        <w:tblLayout w:type="fixed"/>
        <w:tblLook w:val="04A0" w:firstRow="1" w:lastRow="0" w:firstColumn="1" w:lastColumn="0" w:noHBand="0" w:noVBand="1"/>
      </w:tblPr>
      <w:tblGrid>
        <w:gridCol w:w="1438"/>
        <w:gridCol w:w="1979"/>
        <w:gridCol w:w="2209"/>
        <w:gridCol w:w="2280"/>
      </w:tblGrid>
      <w:tr w:rsidR="00330337" w:rsidRPr="00330337" w14:paraId="295F5114" w14:textId="77777777" w:rsidTr="002C4984">
        <w:trPr>
          <w:cnfStyle w:val="100000000000" w:firstRow="1" w:lastRow="0" w:firstColumn="0" w:lastColumn="0" w:oddVBand="0" w:evenVBand="0" w:oddHBand="0" w:evenHBand="0" w:firstRowFirstColumn="0" w:firstRowLastColumn="0" w:lastRowFirstColumn="0" w:lastRowLastColumn="0"/>
          <w:trHeight w:val="258"/>
        </w:trPr>
        <w:tc>
          <w:tcPr>
            <w:tcW w:w="3416" w:type="dxa"/>
            <w:gridSpan w:val="2"/>
            <w:vMerge w:val="restart"/>
          </w:tcPr>
          <w:p w14:paraId="6BA7A465" w14:textId="77777777" w:rsidR="00330337" w:rsidRPr="00AF7B2C" w:rsidRDefault="00330337" w:rsidP="00330337">
            <w:pPr>
              <w:pStyle w:val="TableHeader"/>
              <w:ind w:left="0" w:right="0"/>
              <w:rPr>
                <w:b/>
                <w:sz w:val="20"/>
                <w:szCs w:val="20"/>
                <w:lang w:eastAsia="zh-CN"/>
              </w:rPr>
            </w:pPr>
            <w:r w:rsidRPr="00AF7B2C">
              <w:rPr>
                <w:b/>
                <w:sz w:val="20"/>
                <w:szCs w:val="20"/>
                <w:lang w:eastAsia="zh-CN"/>
              </w:rPr>
              <w:t>Patients</w:t>
            </w:r>
          </w:p>
        </w:tc>
        <w:tc>
          <w:tcPr>
            <w:tcW w:w="2209" w:type="dxa"/>
          </w:tcPr>
          <w:p w14:paraId="195AA3F1" w14:textId="132CD8DA" w:rsidR="00330337" w:rsidRPr="002C4984" w:rsidRDefault="00330337" w:rsidP="00330337">
            <w:pPr>
              <w:pStyle w:val="TableHeader"/>
              <w:spacing w:before="50" w:after="50"/>
              <w:ind w:left="0" w:right="0"/>
              <w:rPr>
                <w:b/>
                <w:sz w:val="20"/>
                <w:szCs w:val="20"/>
                <w:lang w:eastAsia="zh-CN"/>
              </w:rPr>
            </w:pPr>
            <w:r w:rsidRPr="002C4984">
              <w:rPr>
                <w:b/>
                <w:sz w:val="20"/>
                <w:szCs w:val="20"/>
                <w:lang w:eastAsia="zh-CN"/>
              </w:rPr>
              <w:t xml:space="preserve">EGPA </w:t>
            </w:r>
            <w:r w:rsidR="007C738F" w:rsidRPr="002C4984">
              <w:rPr>
                <w:b/>
                <w:sz w:val="20"/>
                <w:szCs w:val="20"/>
                <w:lang w:eastAsia="zh-CN"/>
              </w:rPr>
              <w:t>(</w:t>
            </w:r>
            <w:r w:rsidRPr="002C4984">
              <w:rPr>
                <w:b/>
                <w:sz w:val="20"/>
                <w:szCs w:val="20"/>
                <w:lang w:eastAsia="zh-CN"/>
              </w:rPr>
              <w:t>proposed</w:t>
            </w:r>
            <w:r w:rsidR="007C738F" w:rsidRPr="002C4984">
              <w:rPr>
                <w:b/>
                <w:sz w:val="20"/>
                <w:szCs w:val="20"/>
                <w:lang w:eastAsia="zh-CN"/>
              </w:rPr>
              <w:t>)</w:t>
            </w:r>
          </w:p>
        </w:tc>
        <w:tc>
          <w:tcPr>
            <w:tcW w:w="2280" w:type="dxa"/>
          </w:tcPr>
          <w:p w14:paraId="455001BC" w14:textId="02D16DEB" w:rsidR="00330337" w:rsidRPr="002C4984" w:rsidRDefault="00330337" w:rsidP="00330337">
            <w:pPr>
              <w:pStyle w:val="TableHeader"/>
              <w:spacing w:before="50" w:after="50"/>
              <w:ind w:left="0" w:right="0"/>
              <w:rPr>
                <w:b/>
                <w:sz w:val="20"/>
                <w:szCs w:val="20"/>
                <w:lang w:eastAsia="zh-CN"/>
              </w:rPr>
            </w:pPr>
            <w:r w:rsidRPr="002C4984">
              <w:rPr>
                <w:b/>
                <w:sz w:val="20"/>
                <w:szCs w:val="20"/>
                <w:lang w:eastAsia="zh-CN"/>
              </w:rPr>
              <w:t xml:space="preserve">Asthma </w:t>
            </w:r>
            <w:r w:rsidR="007C738F" w:rsidRPr="002C4984">
              <w:rPr>
                <w:b/>
                <w:sz w:val="20"/>
                <w:szCs w:val="20"/>
                <w:lang w:eastAsia="zh-CN"/>
              </w:rPr>
              <w:t>(</w:t>
            </w:r>
            <w:r w:rsidRPr="002C4984">
              <w:rPr>
                <w:b/>
                <w:sz w:val="20"/>
                <w:szCs w:val="20"/>
                <w:lang w:eastAsia="zh-CN"/>
              </w:rPr>
              <w:t>approved</w:t>
            </w:r>
            <w:r w:rsidR="007C738F" w:rsidRPr="002C4984">
              <w:rPr>
                <w:b/>
                <w:sz w:val="20"/>
                <w:szCs w:val="20"/>
                <w:lang w:eastAsia="zh-CN"/>
              </w:rPr>
              <w:t>)</w:t>
            </w:r>
          </w:p>
        </w:tc>
      </w:tr>
      <w:tr w:rsidR="00330337" w:rsidRPr="00330337" w14:paraId="697F026A" w14:textId="77777777" w:rsidTr="002C4984">
        <w:trPr>
          <w:trHeight w:val="258"/>
        </w:trPr>
        <w:tc>
          <w:tcPr>
            <w:tcW w:w="3416" w:type="dxa"/>
            <w:gridSpan w:val="2"/>
            <w:vMerge/>
          </w:tcPr>
          <w:p w14:paraId="48B6468E" w14:textId="77777777" w:rsidR="00330337" w:rsidRPr="00AF7B2C" w:rsidRDefault="00330337" w:rsidP="00330337">
            <w:pPr>
              <w:pStyle w:val="TableHeader"/>
              <w:ind w:left="0" w:right="0"/>
              <w:rPr>
                <w:b w:val="0"/>
                <w:sz w:val="20"/>
                <w:szCs w:val="20"/>
                <w:lang w:eastAsia="zh-CN"/>
              </w:rPr>
            </w:pPr>
          </w:p>
        </w:tc>
        <w:tc>
          <w:tcPr>
            <w:tcW w:w="4489" w:type="dxa"/>
            <w:gridSpan w:val="2"/>
          </w:tcPr>
          <w:p w14:paraId="13BD8AB5" w14:textId="4A30A4E4" w:rsidR="00330337" w:rsidRPr="00AF7B2C" w:rsidRDefault="0013292F" w:rsidP="00330337">
            <w:pPr>
              <w:pStyle w:val="TableHeader"/>
              <w:spacing w:before="50" w:after="50"/>
              <w:ind w:left="0" w:right="0"/>
              <w:rPr>
                <w:b w:val="0"/>
                <w:sz w:val="20"/>
                <w:szCs w:val="20"/>
                <w:lang w:eastAsia="zh-CN"/>
              </w:rPr>
            </w:pPr>
            <w:r>
              <w:rPr>
                <w:sz w:val="20"/>
                <w:szCs w:val="20"/>
                <w:lang w:eastAsia="zh-CN"/>
              </w:rPr>
              <w:t>Subcutaneous (</w:t>
            </w:r>
            <w:r w:rsidR="00330337" w:rsidRPr="00AF7B2C">
              <w:rPr>
                <w:sz w:val="20"/>
                <w:szCs w:val="20"/>
                <w:lang w:eastAsia="zh-CN"/>
              </w:rPr>
              <w:t>SC</w:t>
            </w:r>
            <w:r>
              <w:rPr>
                <w:sz w:val="20"/>
                <w:szCs w:val="20"/>
                <w:lang w:eastAsia="zh-CN"/>
              </w:rPr>
              <w:t>)</w:t>
            </w:r>
            <w:r w:rsidR="00330337" w:rsidRPr="00AF7B2C">
              <w:rPr>
                <w:sz w:val="20"/>
                <w:szCs w:val="20"/>
                <w:lang w:eastAsia="zh-CN"/>
              </w:rPr>
              <w:t xml:space="preserve"> injection once every 4</w:t>
            </w:r>
            <w:r w:rsidR="007C738F">
              <w:rPr>
                <w:sz w:val="20"/>
                <w:szCs w:val="20"/>
                <w:lang w:eastAsia="zh-CN"/>
              </w:rPr>
              <w:t> </w:t>
            </w:r>
            <w:r w:rsidR="00330337" w:rsidRPr="00AF7B2C">
              <w:rPr>
                <w:sz w:val="20"/>
                <w:szCs w:val="20"/>
                <w:lang w:eastAsia="zh-CN"/>
              </w:rPr>
              <w:t>weeks</w:t>
            </w:r>
          </w:p>
        </w:tc>
      </w:tr>
      <w:tr w:rsidR="00330337" w:rsidRPr="00330337" w14:paraId="311951CF" w14:textId="77777777" w:rsidTr="002C4984">
        <w:trPr>
          <w:trHeight w:val="258"/>
        </w:trPr>
        <w:tc>
          <w:tcPr>
            <w:tcW w:w="3416" w:type="dxa"/>
            <w:gridSpan w:val="2"/>
          </w:tcPr>
          <w:p w14:paraId="488C9358" w14:textId="77777777" w:rsidR="00330337" w:rsidRPr="00330337" w:rsidRDefault="00330337" w:rsidP="00330337">
            <w:pPr>
              <w:pStyle w:val="Tabletext"/>
              <w:ind w:left="0" w:right="0"/>
              <w:rPr>
                <w:sz w:val="20"/>
                <w:szCs w:val="20"/>
                <w:lang w:eastAsia="zh-CN"/>
              </w:rPr>
            </w:pPr>
            <w:r w:rsidRPr="00330337">
              <w:rPr>
                <w:sz w:val="20"/>
                <w:szCs w:val="20"/>
                <w:lang w:eastAsia="zh-CN"/>
              </w:rPr>
              <w:t>Adults and adolescents (≥</w:t>
            </w:r>
            <w:r w:rsidR="00630847">
              <w:rPr>
                <w:sz w:val="20"/>
                <w:szCs w:val="20"/>
                <w:lang w:eastAsia="zh-CN"/>
              </w:rPr>
              <w:t xml:space="preserve"> </w:t>
            </w:r>
            <w:r w:rsidRPr="00330337">
              <w:rPr>
                <w:sz w:val="20"/>
                <w:szCs w:val="20"/>
                <w:lang w:eastAsia="zh-CN"/>
              </w:rPr>
              <w:t>12 years old)</w:t>
            </w:r>
          </w:p>
        </w:tc>
        <w:tc>
          <w:tcPr>
            <w:tcW w:w="2209" w:type="dxa"/>
          </w:tcPr>
          <w:p w14:paraId="53FD73F4" w14:textId="77777777" w:rsidR="00330337" w:rsidRPr="00330337" w:rsidRDefault="00330337" w:rsidP="00330337">
            <w:pPr>
              <w:pStyle w:val="Tabletext"/>
              <w:ind w:left="0" w:right="0"/>
              <w:rPr>
                <w:sz w:val="20"/>
                <w:szCs w:val="20"/>
                <w:lang w:eastAsia="zh-CN"/>
              </w:rPr>
            </w:pPr>
            <w:r w:rsidRPr="00330337">
              <w:rPr>
                <w:sz w:val="20"/>
                <w:szCs w:val="20"/>
                <w:lang w:eastAsia="zh-CN"/>
              </w:rPr>
              <w:t>300 mg</w:t>
            </w:r>
          </w:p>
        </w:tc>
        <w:tc>
          <w:tcPr>
            <w:tcW w:w="2280" w:type="dxa"/>
          </w:tcPr>
          <w:p w14:paraId="3D564171" w14:textId="77777777" w:rsidR="00330337" w:rsidRPr="00330337" w:rsidRDefault="00330337" w:rsidP="00330337">
            <w:pPr>
              <w:pStyle w:val="Tabletext"/>
              <w:ind w:left="0" w:right="0"/>
              <w:rPr>
                <w:sz w:val="20"/>
                <w:szCs w:val="20"/>
                <w:lang w:eastAsia="zh-CN"/>
              </w:rPr>
            </w:pPr>
            <w:r w:rsidRPr="00330337">
              <w:rPr>
                <w:sz w:val="20"/>
                <w:szCs w:val="20"/>
                <w:lang w:eastAsia="zh-CN"/>
              </w:rPr>
              <w:t>100 mg</w:t>
            </w:r>
          </w:p>
        </w:tc>
      </w:tr>
      <w:tr w:rsidR="00330337" w:rsidRPr="00330337" w14:paraId="529CAE28" w14:textId="77777777" w:rsidTr="002C4984">
        <w:trPr>
          <w:trHeight w:val="258"/>
        </w:trPr>
        <w:tc>
          <w:tcPr>
            <w:tcW w:w="1437" w:type="dxa"/>
            <w:vMerge w:val="restart"/>
          </w:tcPr>
          <w:p w14:paraId="33645029" w14:textId="77777777" w:rsidR="00330337" w:rsidRPr="00330337" w:rsidRDefault="00630847" w:rsidP="00330337">
            <w:pPr>
              <w:pStyle w:val="Tabletext"/>
              <w:ind w:left="0" w:right="0"/>
              <w:rPr>
                <w:sz w:val="20"/>
                <w:szCs w:val="20"/>
                <w:lang w:eastAsia="zh-CN"/>
              </w:rPr>
            </w:pPr>
            <w:r>
              <w:rPr>
                <w:sz w:val="20"/>
                <w:szCs w:val="20"/>
                <w:lang w:eastAsia="zh-CN"/>
              </w:rPr>
              <w:t xml:space="preserve">Children, 6 to </w:t>
            </w:r>
            <w:r w:rsidR="00330337" w:rsidRPr="00330337">
              <w:rPr>
                <w:sz w:val="20"/>
                <w:szCs w:val="20"/>
                <w:lang w:eastAsia="zh-CN"/>
              </w:rPr>
              <w:t>11 years old</w:t>
            </w:r>
          </w:p>
        </w:tc>
        <w:tc>
          <w:tcPr>
            <w:tcW w:w="1979" w:type="dxa"/>
          </w:tcPr>
          <w:p w14:paraId="2A640632" w14:textId="77777777" w:rsidR="00330337" w:rsidRPr="00330337" w:rsidRDefault="00330337" w:rsidP="00330337">
            <w:pPr>
              <w:pStyle w:val="Tabletext"/>
              <w:ind w:left="0" w:right="0"/>
              <w:rPr>
                <w:sz w:val="20"/>
                <w:szCs w:val="20"/>
                <w:lang w:eastAsia="zh-CN"/>
              </w:rPr>
            </w:pPr>
            <w:r w:rsidRPr="00330337">
              <w:rPr>
                <w:sz w:val="20"/>
                <w:szCs w:val="20"/>
                <w:lang w:eastAsia="zh-CN"/>
              </w:rPr>
              <w:t>≥</w:t>
            </w:r>
            <w:r w:rsidR="00630847">
              <w:rPr>
                <w:sz w:val="20"/>
                <w:szCs w:val="20"/>
                <w:lang w:eastAsia="zh-CN"/>
              </w:rPr>
              <w:t xml:space="preserve"> </w:t>
            </w:r>
            <w:r w:rsidRPr="00330337">
              <w:rPr>
                <w:sz w:val="20"/>
                <w:szCs w:val="20"/>
                <w:lang w:eastAsia="zh-CN"/>
              </w:rPr>
              <w:t>40 kg</w:t>
            </w:r>
          </w:p>
        </w:tc>
        <w:tc>
          <w:tcPr>
            <w:tcW w:w="2209" w:type="dxa"/>
          </w:tcPr>
          <w:p w14:paraId="5A4E62B6" w14:textId="77777777" w:rsidR="00330337" w:rsidRPr="00330337" w:rsidRDefault="00330337" w:rsidP="00330337">
            <w:pPr>
              <w:pStyle w:val="Tabletext"/>
              <w:ind w:left="0" w:right="0"/>
              <w:rPr>
                <w:sz w:val="20"/>
                <w:szCs w:val="20"/>
                <w:lang w:eastAsia="zh-CN"/>
              </w:rPr>
            </w:pPr>
            <w:r w:rsidRPr="00330337">
              <w:rPr>
                <w:sz w:val="20"/>
                <w:szCs w:val="20"/>
                <w:lang w:eastAsia="zh-CN"/>
              </w:rPr>
              <w:t>300 mg</w:t>
            </w:r>
          </w:p>
        </w:tc>
        <w:tc>
          <w:tcPr>
            <w:tcW w:w="2280" w:type="dxa"/>
          </w:tcPr>
          <w:p w14:paraId="0C2DC2F3" w14:textId="77777777" w:rsidR="00330337" w:rsidRPr="00330337" w:rsidRDefault="00330337" w:rsidP="00330337">
            <w:pPr>
              <w:pStyle w:val="Tabletext"/>
              <w:ind w:left="0" w:right="0"/>
              <w:rPr>
                <w:sz w:val="20"/>
                <w:szCs w:val="20"/>
                <w:lang w:eastAsia="zh-CN"/>
              </w:rPr>
            </w:pPr>
            <w:r w:rsidRPr="00330337">
              <w:rPr>
                <w:sz w:val="20"/>
                <w:szCs w:val="20"/>
                <w:lang w:eastAsia="zh-CN"/>
              </w:rPr>
              <w:t>–</w:t>
            </w:r>
          </w:p>
        </w:tc>
      </w:tr>
      <w:tr w:rsidR="00330337" w:rsidRPr="00330337" w14:paraId="0D6453B6" w14:textId="77777777" w:rsidTr="002C4984">
        <w:trPr>
          <w:trHeight w:val="258"/>
        </w:trPr>
        <w:tc>
          <w:tcPr>
            <w:tcW w:w="1437" w:type="dxa"/>
            <w:vMerge/>
          </w:tcPr>
          <w:p w14:paraId="5FD2121D" w14:textId="77777777" w:rsidR="00330337" w:rsidRPr="00330337" w:rsidRDefault="00330337" w:rsidP="00330337">
            <w:pPr>
              <w:pStyle w:val="Tabletext"/>
              <w:ind w:left="0" w:right="0"/>
              <w:rPr>
                <w:sz w:val="20"/>
                <w:szCs w:val="20"/>
                <w:lang w:eastAsia="zh-CN"/>
              </w:rPr>
            </w:pPr>
          </w:p>
        </w:tc>
        <w:tc>
          <w:tcPr>
            <w:tcW w:w="1979" w:type="dxa"/>
          </w:tcPr>
          <w:p w14:paraId="190DDDB8" w14:textId="77777777" w:rsidR="00330337" w:rsidRPr="00330337" w:rsidRDefault="00330337" w:rsidP="00330337">
            <w:pPr>
              <w:pStyle w:val="Tabletext"/>
              <w:ind w:left="0" w:right="0"/>
              <w:rPr>
                <w:sz w:val="20"/>
                <w:szCs w:val="20"/>
                <w:lang w:eastAsia="zh-CN"/>
              </w:rPr>
            </w:pPr>
            <w:r w:rsidRPr="00330337">
              <w:rPr>
                <w:sz w:val="20"/>
                <w:szCs w:val="20"/>
                <w:lang w:eastAsia="zh-CN"/>
              </w:rPr>
              <w:t>≥</w:t>
            </w:r>
            <w:r w:rsidR="00630847">
              <w:rPr>
                <w:sz w:val="20"/>
                <w:szCs w:val="20"/>
                <w:lang w:eastAsia="zh-CN"/>
              </w:rPr>
              <w:t xml:space="preserve"> </w:t>
            </w:r>
            <w:r w:rsidRPr="00330337">
              <w:rPr>
                <w:sz w:val="20"/>
                <w:szCs w:val="20"/>
                <w:lang w:eastAsia="zh-CN"/>
              </w:rPr>
              <w:t>25 kg and &lt;</w:t>
            </w:r>
            <w:r w:rsidR="00630847">
              <w:rPr>
                <w:sz w:val="20"/>
                <w:szCs w:val="20"/>
                <w:lang w:eastAsia="zh-CN"/>
              </w:rPr>
              <w:t xml:space="preserve"> </w:t>
            </w:r>
            <w:r w:rsidRPr="00330337">
              <w:rPr>
                <w:sz w:val="20"/>
                <w:szCs w:val="20"/>
                <w:lang w:eastAsia="zh-CN"/>
              </w:rPr>
              <w:t>40 kg</w:t>
            </w:r>
          </w:p>
        </w:tc>
        <w:tc>
          <w:tcPr>
            <w:tcW w:w="2209" w:type="dxa"/>
          </w:tcPr>
          <w:p w14:paraId="43FFA6FF" w14:textId="77777777" w:rsidR="00330337" w:rsidRPr="00330337" w:rsidRDefault="00330337" w:rsidP="00330337">
            <w:pPr>
              <w:pStyle w:val="Tabletext"/>
              <w:ind w:left="0" w:right="0"/>
              <w:rPr>
                <w:sz w:val="20"/>
                <w:szCs w:val="20"/>
                <w:lang w:eastAsia="zh-CN"/>
              </w:rPr>
            </w:pPr>
            <w:r w:rsidRPr="00330337">
              <w:rPr>
                <w:sz w:val="20"/>
                <w:szCs w:val="20"/>
                <w:lang w:eastAsia="zh-CN"/>
              </w:rPr>
              <w:t>200 mg</w:t>
            </w:r>
          </w:p>
        </w:tc>
        <w:tc>
          <w:tcPr>
            <w:tcW w:w="2280" w:type="dxa"/>
          </w:tcPr>
          <w:p w14:paraId="41B66598" w14:textId="77777777" w:rsidR="00330337" w:rsidRPr="00330337" w:rsidRDefault="00330337" w:rsidP="00330337">
            <w:pPr>
              <w:pStyle w:val="Tabletext"/>
              <w:ind w:left="0" w:right="0"/>
              <w:rPr>
                <w:sz w:val="20"/>
                <w:szCs w:val="20"/>
                <w:lang w:eastAsia="zh-CN"/>
              </w:rPr>
            </w:pPr>
            <w:r w:rsidRPr="00330337">
              <w:rPr>
                <w:sz w:val="20"/>
                <w:szCs w:val="20"/>
                <w:lang w:eastAsia="zh-CN"/>
              </w:rPr>
              <w:t>–</w:t>
            </w:r>
          </w:p>
        </w:tc>
      </w:tr>
      <w:tr w:rsidR="00330337" w:rsidRPr="00330337" w14:paraId="3D7AB0D5" w14:textId="77777777" w:rsidTr="002C4984">
        <w:trPr>
          <w:trHeight w:val="258"/>
        </w:trPr>
        <w:tc>
          <w:tcPr>
            <w:tcW w:w="1437" w:type="dxa"/>
            <w:vMerge/>
          </w:tcPr>
          <w:p w14:paraId="5CEC1846" w14:textId="77777777" w:rsidR="00330337" w:rsidRPr="00330337" w:rsidRDefault="00330337" w:rsidP="00330337">
            <w:pPr>
              <w:pStyle w:val="Tabletext"/>
              <w:ind w:left="0" w:right="0"/>
              <w:rPr>
                <w:sz w:val="20"/>
                <w:szCs w:val="20"/>
                <w:lang w:eastAsia="zh-CN"/>
              </w:rPr>
            </w:pPr>
          </w:p>
        </w:tc>
        <w:tc>
          <w:tcPr>
            <w:tcW w:w="1979" w:type="dxa"/>
          </w:tcPr>
          <w:p w14:paraId="686C273E" w14:textId="77777777" w:rsidR="00330337" w:rsidRPr="00330337" w:rsidRDefault="00330337" w:rsidP="00330337">
            <w:pPr>
              <w:pStyle w:val="Tabletext"/>
              <w:ind w:left="0" w:right="0"/>
              <w:rPr>
                <w:sz w:val="20"/>
                <w:szCs w:val="20"/>
                <w:lang w:eastAsia="zh-CN"/>
              </w:rPr>
            </w:pPr>
            <w:r w:rsidRPr="00330337">
              <w:rPr>
                <w:sz w:val="20"/>
                <w:szCs w:val="20"/>
                <w:lang w:eastAsia="zh-CN"/>
              </w:rPr>
              <w:t>&lt;</w:t>
            </w:r>
            <w:r w:rsidR="00630847">
              <w:rPr>
                <w:sz w:val="20"/>
                <w:szCs w:val="20"/>
                <w:lang w:eastAsia="zh-CN"/>
              </w:rPr>
              <w:t xml:space="preserve"> </w:t>
            </w:r>
            <w:r w:rsidRPr="00330337">
              <w:rPr>
                <w:sz w:val="20"/>
                <w:szCs w:val="20"/>
                <w:lang w:eastAsia="zh-CN"/>
              </w:rPr>
              <w:t>25 kg</w:t>
            </w:r>
          </w:p>
        </w:tc>
        <w:tc>
          <w:tcPr>
            <w:tcW w:w="2209" w:type="dxa"/>
          </w:tcPr>
          <w:p w14:paraId="182A725B" w14:textId="77777777" w:rsidR="00330337" w:rsidRPr="00330337" w:rsidRDefault="00330337" w:rsidP="00330337">
            <w:pPr>
              <w:pStyle w:val="Tabletext"/>
              <w:ind w:left="0" w:right="0"/>
              <w:rPr>
                <w:sz w:val="20"/>
                <w:szCs w:val="20"/>
                <w:lang w:eastAsia="zh-CN"/>
              </w:rPr>
            </w:pPr>
            <w:r w:rsidRPr="00330337">
              <w:rPr>
                <w:sz w:val="20"/>
                <w:szCs w:val="20"/>
                <w:lang w:eastAsia="zh-CN"/>
              </w:rPr>
              <w:t>100 mg</w:t>
            </w:r>
          </w:p>
        </w:tc>
        <w:tc>
          <w:tcPr>
            <w:tcW w:w="2280" w:type="dxa"/>
          </w:tcPr>
          <w:p w14:paraId="2F71D810" w14:textId="77777777" w:rsidR="00330337" w:rsidRPr="00330337" w:rsidRDefault="00330337" w:rsidP="00330337">
            <w:pPr>
              <w:pStyle w:val="Tabletext"/>
              <w:ind w:left="0" w:right="0"/>
              <w:rPr>
                <w:sz w:val="20"/>
                <w:szCs w:val="20"/>
                <w:lang w:eastAsia="zh-CN"/>
              </w:rPr>
            </w:pPr>
            <w:r w:rsidRPr="00330337">
              <w:rPr>
                <w:sz w:val="20"/>
                <w:szCs w:val="20"/>
                <w:lang w:eastAsia="zh-CN"/>
              </w:rPr>
              <w:t>–</w:t>
            </w:r>
          </w:p>
        </w:tc>
      </w:tr>
    </w:tbl>
    <w:p w14:paraId="26DEBF1C" w14:textId="77777777" w:rsidR="00330337" w:rsidRDefault="00330337" w:rsidP="00AF7B2C">
      <w:pPr>
        <w:rPr>
          <w:rFonts w:asciiTheme="minorHAnsi" w:hAnsiTheme="minorHAnsi"/>
        </w:rPr>
      </w:pPr>
      <w:r>
        <w:t xml:space="preserve">The nonclinical dossier contained two new </w:t>
      </w:r>
      <w:r w:rsidRPr="00E27F20">
        <w:rPr>
          <w:rFonts w:asciiTheme="minorHAnsi" w:hAnsiTheme="minorHAnsi"/>
          <w:kern w:val="2"/>
        </w:rPr>
        <w:t>primary pharmacology studies</w:t>
      </w:r>
      <w:r>
        <w:rPr>
          <w:rFonts w:asciiTheme="minorHAnsi" w:hAnsiTheme="minorHAnsi"/>
          <w:kern w:val="2"/>
        </w:rPr>
        <w:t xml:space="preserve">, </w:t>
      </w:r>
      <w:r w:rsidRPr="00E27F20">
        <w:rPr>
          <w:rFonts w:asciiTheme="minorHAnsi" w:hAnsiTheme="minorHAnsi"/>
          <w:kern w:val="2"/>
        </w:rPr>
        <w:t>an additional pharmacokinetic validation study</w:t>
      </w:r>
      <w:r>
        <w:rPr>
          <w:rFonts w:asciiTheme="minorHAnsi" w:hAnsiTheme="minorHAnsi"/>
          <w:kern w:val="2"/>
        </w:rPr>
        <w:t xml:space="preserve"> (on stability in human plasma at </w:t>
      </w:r>
      <w:r w:rsidRPr="0047625B">
        <w:rPr>
          <w:rFonts w:asciiTheme="minorHAnsi" w:hAnsiTheme="minorHAnsi"/>
          <w:w w:val="80"/>
          <w:kern w:val="2"/>
        </w:rPr>
        <w:t>–</w:t>
      </w:r>
      <w:r>
        <w:rPr>
          <w:rFonts w:asciiTheme="minorHAnsi" w:hAnsiTheme="minorHAnsi"/>
          <w:kern w:val="2"/>
        </w:rPr>
        <w:t>80°C), a</w:t>
      </w:r>
      <w:r w:rsidRPr="00E27F20">
        <w:rPr>
          <w:rFonts w:asciiTheme="minorHAnsi" w:hAnsiTheme="minorHAnsi"/>
        </w:rPr>
        <w:t xml:space="preserve">n </w:t>
      </w:r>
      <w:r>
        <w:rPr>
          <w:rFonts w:asciiTheme="minorHAnsi" w:hAnsiTheme="minorHAnsi"/>
        </w:rPr>
        <w:t xml:space="preserve">updated assessment on </w:t>
      </w:r>
      <w:proofErr w:type="spellStart"/>
      <w:r>
        <w:rPr>
          <w:rFonts w:asciiTheme="minorHAnsi" w:hAnsiTheme="minorHAnsi"/>
        </w:rPr>
        <w:t>immunoto</w:t>
      </w:r>
      <w:r w:rsidRPr="00E27F20">
        <w:rPr>
          <w:rFonts w:asciiTheme="minorHAnsi" w:hAnsiTheme="minorHAnsi"/>
        </w:rPr>
        <w:t>xic</w:t>
      </w:r>
      <w:proofErr w:type="spellEnd"/>
      <w:r>
        <w:rPr>
          <w:rFonts w:asciiTheme="minorHAnsi" w:hAnsiTheme="minorHAnsi"/>
        </w:rPr>
        <w:t xml:space="preserve"> potential, and some background literature. The new studies are of limited relevance to the proposed extension of indications and do not alter the conclusions of the original nonclinical assessment. Briefly:</w:t>
      </w:r>
    </w:p>
    <w:p w14:paraId="4A5665F2" w14:textId="1EE0CB40" w:rsidR="0013292F" w:rsidRPr="0013292F" w:rsidRDefault="008C5920" w:rsidP="00330337">
      <w:pPr>
        <w:pStyle w:val="ListBullet"/>
      </w:pPr>
      <w:r w:rsidRPr="008C5920">
        <w:rPr>
          <w:color w:val="000000" w:themeColor="text1"/>
        </w:rPr>
        <w:lastRenderedPageBreak/>
        <w:t>Study 2015N262160</w:t>
      </w:r>
      <w:r w:rsidR="007C738F">
        <w:rPr>
          <w:color w:val="000000" w:themeColor="text1"/>
        </w:rPr>
        <w:t>:</w:t>
      </w:r>
    </w:p>
    <w:p w14:paraId="6F91C768" w14:textId="77777777" w:rsidR="00330337" w:rsidRDefault="00330337" w:rsidP="0013292F">
      <w:pPr>
        <w:pStyle w:val="ListBullet2"/>
      </w:pPr>
      <w:r w:rsidRPr="005C6341">
        <w:rPr>
          <w:i/>
        </w:rPr>
        <w:t xml:space="preserve">In </w:t>
      </w:r>
      <w:proofErr w:type="spellStart"/>
      <w:r w:rsidRPr="005C6341">
        <w:rPr>
          <w:i/>
        </w:rPr>
        <w:t>silico</w:t>
      </w:r>
      <w:proofErr w:type="spellEnd"/>
      <w:r w:rsidRPr="00977591">
        <w:t xml:space="preserve"> analyses </w:t>
      </w:r>
      <w:r>
        <w:t>indicated very low</w:t>
      </w:r>
      <w:r w:rsidRPr="00977591">
        <w:t xml:space="preserve"> potential for cross-reactivity of </w:t>
      </w:r>
      <w:proofErr w:type="spellStart"/>
      <w:r w:rsidRPr="00977591">
        <w:t>mepolizumab</w:t>
      </w:r>
      <w:proofErr w:type="spellEnd"/>
      <w:r w:rsidRPr="00977591">
        <w:t xml:space="preserve">, </w:t>
      </w:r>
      <w:r>
        <w:t xml:space="preserve">based on there being very little sequence homology between </w:t>
      </w:r>
      <w:r w:rsidRPr="006D7EFA">
        <w:rPr>
          <w:color w:val="000000" w:themeColor="text1"/>
        </w:rPr>
        <w:t>IL</w:t>
      </w:r>
      <w:r w:rsidRPr="006D7EFA">
        <w:rPr>
          <w:color w:val="000000" w:themeColor="text1"/>
        </w:rPr>
        <w:noBreakHyphen/>
      </w:r>
      <w:r>
        <w:rPr>
          <w:color w:val="000000" w:themeColor="text1"/>
        </w:rPr>
        <w:t xml:space="preserve">5 </w:t>
      </w:r>
      <w:r>
        <w:t>and</w:t>
      </w:r>
      <w:r w:rsidRPr="00977591">
        <w:t xml:space="preserve"> </w:t>
      </w:r>
      <w:r>
        <w:t>85 other human proteins</w:t>
      </w:r>
      <w:r>
        <w:rPr>
          <w:color w:val="000000" w:themeColor="text1"/>
        </w:rPr>
        <w:t xml:space="preserve"> (BLAST), and between the </w:t>
      </w:r>
      <w:proofErr w:type="spellStart"/>
      <w:r>
        <w:rPr>
          <w:color w:val="000000" w:themeColor="text1"/>
        </w:rPr>
        <w:t>mepolizumab</w:t>
      </w:r>
      <w:proofErr w:type="spellEnd"/>
      <w:r>
        <w:rPr>
          <w:color w:val="000000" w:themeColor="text1"/>
        </w:rPr>
        <w:t xml:space="preserve">-binding epitope of </w:t>
      </w:r>
      <w:r w:rsidRPr="001271D2">
        <w:rPr>
          <w:color w:val="000000" w:themeColor="text1"/>
        </w:rPr>
        <w:t>IL</w:t>
      </w:r>
      <w:r w:rsidRPr="001271D2">
        <w:rPr>
          <w:color w:val="000000" w:themeColor="text1"/>
        </w:rPr>
        <w:noBreakHyphen/>
        <w:t>5</w:t>
      </w:r>
      <w:r>
        <w:rPr>
          <w:color w:val="000000" w:themeColor="text1"/>
        </w:rPr>
        <w:t xml:space="preserve"> and analogous structural regions in other members of </w:t>
      </w:r>
      <w:r w:rsidR="008C5920">
        <w:rPr>
          <w:color w:val="000000" w:themeColor="text1"/>
        </w:rPr>
        <w:t>the short-chain cytokine family</w:t>
      </w:r>
      <w:r>
        <w:rPr>
          <w:color w:val="000000" w:themeColor="text1"/>
        </w:rPr>
        <w:t>.</w:t>
      </w:r>
    </w:p>
    <w:p w14:paraId="469BE075" w14:textId="61FAC977" w:rsidR="0013292F" w:rsidRDefault="008C5920" w:rsidP="00330337">
      <w:pPr>
        <w:pStyle w:val="ListBullet"/>
      </w:pPr>
      <w:r w:rsidRPr="008C5920">
        <w:t>Study 2016N274215</w:t>
      </w:r>
      <w:r w:rsidR="007C738F">
        <w:t>:</w:t>
      </w:r>
    </w:p>
    <w:p w14:paraId="64FED61F" w14:textId="77777777" w:rsidR="00330337" w:rsidRDefault="00330337" w:rsidP="0013292F">
      <w:pPr>
        <w:pStyle w:val="ListBullet2"/>
      </w:pPr>
      <w:r w:rsidRPr="008C5920">
        <w:t>Computational</w:t>
      </w:r>
      <w:r w:rsidRPr="00977591">
        <w:t xml:space="preserve"> analysis of </w:t>
      </w:r>
      <w:r>
        <w:t xml:space="preserve">the </w:t>
      </w:r>
      <w:r w:rsidRPr="00977591">
        <w:t>co</w:t>
      </w:r>
      <w:r>
        <w:t>-</w:t>
      </w:r>
      <w:r w:rsidRPr="00977591">
        <w:t xml:space="preserve">crystal structures </w:t>
      </w:r>
      <w:r>
        <w:t xml:space="preserve">of </w:t>
      </w:r>
      <w:proofErr w:type="spellStart"/>
      <w:r>
        <w:t>mepolizumab</w:t>
      </w:r>
      <w:proofErr w:type="spellEnd"/>
      <w:r>
        <w:t xml:space="preserve"> bound to </w:t>
      </w:r>
      <w:r w:rsidRPr="006D7EFA">
        <w:rPr>
          <w:color w:val="000000" w:themeColor="text1"/>
        </w:rPr>
        <w:t>IL</w:t>
      </w:r>
      <w:r w:rsidRPr="006D7EFA">
        <w:rPr>
          <w:color w:val="000000" w:themeColor="text1"/>
        </w:rPr>
        <w:noBreakHyphen/>
        <w:t>5</w:t>
      </w:r>
      <w:r>
        <w:t xml:space="preserve"> and </w:t>
      </w:r>
      <w:r w:rsidRPr="006D7EFA">
        <w:rPr>
          <w:color w:val="000000" w:themeColor="text1"/>
        </w:rPr>
        <w:t>IL</w:t>
      </w:r>
      <w:r w:rsidRPr="006D7EFA">
        <w:rPr>
          <w:color w:val="000000" w:themeColor="text1"/>
        </w:rPr>
        <w:noBreakHyphen/>
        <w:t>5</w:t>
      </w:r>
      <w:r>
        <w:t xml:space="preserve"> bound to the extracellular domain of </w:t>
      </w:r>
      <w:r w:rsidRPr="00E16C6E">
        <w:t>IL</w:t>
      </w:r>
      <w:r w:rsidRPr="00E16C6E">
        <w:noBreakHyphen/>
      </w:r>
      <w:r>
        <w:t xml:space="preserve">5Rα indicated that </w:t>
      </w:r>
      <w:r w:rsidRPr="006D7EFA">
        <w:rPr>
          <w:color w:val="000000" w:themeColor="text1"/>
        </w:rPr>
        <w:t>IL</w:t>
      </w:r>
      <w:r w:rsidRPr="006D7EFA">
        <w:rPr>
          <w:color w:val="000000" w:themeColor="text1"/>
        </w:rPr>
        <w:noBreakHyphen/>
        <w:t>5</w:t>
      </w:r>
      <w:r>
        <w:t xml:space="preserve"> would not be able to bind to the </w:t>
      </w:r>
      <w:r w:rsidRPr="00DD7721">
        <w:rPr>
          <w:color w:val="000000" w:themeColor="text1"/>
        </w:rPr>
        <w:t>IL</w:t>
      </w:r>
      <w:r w:rsidRPr="00DD7721">
        <w:rPr>
          <w:color w:val="000000" w:themeColor="text1"/>
        </w:rPr>
        <w:noBreakHyphen/>
      </w:r>
      <w:r w:rsidRPr="006D7EFA">
        <w:rPr>
          <w:color w:val="000000" w:themeColor="text1"/>
        </w:rPr>
        <w:t>5</w:t>
      </w:r>
      <w:r>
        <w:t xml:space="preserve"> receptor o</w:t>
      </w:r>
      <w:r w:rsidR="008C5920">
        <w:t xml:space="preserve">nce associated with </w:t>
      </w:r>
      <w:proofErr w:type="spellStart"/>
      <w:r w:rsidR="008C5920">
        <w:t>mepolizumab</w:t>
      </w:r>
      <w:proofErr w:type="spellEnd"/>
      <w:r>
        <w:t xml:space="preserve">. The </w:t>
      </w:r>
      <w:proofErr w:type="spellStart"/>
      <w:r>
        <w:t>mepolizumab</w:t>
      </w:r>
      <w:proofErr w:type="spellEnd"/>
      <w:r>
        <w:t xml:space="preserve"> epitope on </w:t>
      </w:r>
      <w:r w:rsidRPr="006D7EFA">
        <w:rPr>
          <w:color w:val="000000" w:themeColor="text1"/>
        </w:rPr>
        <w:t>IL</w:t>
      </w:r>
      <w:r w:rsidRPr="006D7EFA">
        <w:rPr>
          <w:color w:val="000000" w:themeColor="text1"/>
        </w:rPr>
        <w:noBreakHyphen/>
        <w:t>5</w:t>
      </w:r>
      <w:r>
        <w:t xml:space="preserve"> overlaps substantially with the </w:t>
      </w:r>
      <w:r w:rsidRPr="006D7EFA">
        <w:rPr>
          <w:color w:val="000000" w:themeColor="text1"/>
        </w:rPr>
        <w:t>IL</w:t>
      </w:r>
      <w:r w:rsidRPr="006D7EFA">
        <w:rPr>
          <w:color w:val="000000" w:themeColor="text1"/>
        </w:rPr>
        <w:noBreakHyphen/>
        <w:t>5</w:t>
      </w:r>
      <w:r>
        <w:t xml:space="preserve"> binding site of the D2/D3 domains of </w:t>
      </w:r>
      <w:r w:rsidRPr="00E16C6E">
        <w:t>IL</w:t>
      </w:r>
      <w:r w:rsidRPr="00E16C6E">
        <w:noBreakHyphen/>
      </w:r>
      <w:r>
        <w:t xml:space="preserve">5Rα, with this interaction directly inhibiting the binding of the </w:t>
      </w:r>
      <w:r w:rsidRPr="00E16C6E">
        <w:t>IL</w:t>
      </w:r>
      <w:r w:rsidRPr="00E16C6E">
        <w:noBreakHyphen/>
      </w:r>
      <w:r>
        <w:t xml:space="preserve">5Rα with one half of the </w:t>
      </w:r>
      <w:r w:rsidRPr="006D7EFA">
        <w:rPr>
          <w:color w:val="000000" w:themeColor="text1"/>
        </w:rPr>
        <w:t>IL</w:t>
      </w:r>
      <w:r w:rsidRPr="006D7EFA">
        <w:rPr>
          <w:color w:val="000000" w:themeColor="text1"/>
        </w:rPr>
        <w:noBreakHyphen/>
        <w:t>5</w:t>
      </w:r>
      <w:r>
        <w:t xml:space="preserve"> homodimer. Additionally, </w:t>
      </w:r>
      <w:proofErr w:type="spellStart"/>
      <w:r>
        <w:t>mepolizumab</w:t>
      </w:r>
      <w:proofErr w:type="spellEnd"/>
      <w:r>
        <w:t xml:space="preserve"> will sterically hinder </w:t>
      </w:r>
      <w:r w:rsidRPr="006D7EFA">
        <w:rPr>
          <w:color w:val="000000" w:themeColor="text1"/>
        </w:rPr>
        <w:t>IL</w:t>
      </w:r>
      <w:r w:rsidRPr="006D7EFA">
        <w:rPr>
          <w:color w:val="000000" w:themeColor="text1"/>
        </w:rPr>
        <w:noBreakHyphen/>
        <w:t>5</w:t>
      </w:r>
      <w:r>
        <w:t>/</w:t>
      </w:r>
      <w:r w:rsidRPr="00E16C6E">
        <w:t>IL</w:t>
      </w:r>
      <w:r w:rsidRPr="00E16C6E">
        <w:noBreakHyphen/>
      </w:r>
      <w:r>
        <w:t xml:space="preserve">5Rα binding via the second half of the </w:t>
      </w:r>
      <w:r w:rsidRPr="006D7EFA">
        <w:rPr>
          <w:color w:val="000000" w:themeColor="text1"/>
        </w:rPr>
        <w:t>IL</w:t>
      </w:r>
      <w:r w:rsidRPr="006D7EFA">
        <w:rPr>
          <w:color w:val="000000" w:themeColor="text1"/>
        </w:rPr>
        <w:noBreakHyphen/>
        <w:t>5</w:t>
      </w:r>
      <w:r>
        <w:t xml:space="preserve"> homodimer due to a clash between the light chain complementarity-determining region L2 of </w:t>
      </w:r>
      <w:proofErr w:type="spellStart"/>
      <w:r>
        <w:t>mepolizumab</w:t>
      </w:r>
      <w:proofErr w:type="spellEnd"/>
      <w:r>
        <w:t xml:space="preserve"> and the second extracellular domain (D2) of the receptor.</w:t>
      </w:r>
    </w:p>
    <w:p w14:paraId="1F695980" w14:textId="6F5E1664" w:rsidR="0013292F" w:rsidRDefault="008C5920" w:rsidP="00330337">
      <w:pPr>
        <w:pStyle w:val="ListBullet"/>
      </w:pPr>
      <w:r w:rsidRPr="008C5920">
        <w:t>Study 2014N217317</w:t>
      </w:r>
      <w:r w:rsidR="007C738F">
        <w:t>:</w:t>
      </w:r>
    </w:p>
    <w:p w14:paraId="279B4F1B" w14:textId="77777777" w:rsidR="00330337" w:rsidRDefault="00330337" w:rsidP="0013292F">
      <w:pPr>
        <w:pStyle w:val="ListBullet2"/>
      </w:pPr>
      <w:r>
        <w:t xml:space="preserve">The updated review of </w:t>
      </w:r>
      <w:proofErr w:type="spellStart"/>
      <w:r>
        <w:t>immunotoxic</w:t>
      </w:r>
      <w:proofErr w:type="spellEnd"/>
      <w:r>
        <w:t xml:space="preserve"> potential raises no new concerns. Based on the physiological role of eosinophils, the potential for impaired clearance of helminth infection with </w:t>
      </w:r>
      <w:proofErr w:type="spellStart"/>
      <w:r>
        <w:t>mepolizumab</w:t>
      </w:r>
      <w:proofErr w:type="spellEnd"/>
      <w:r>
        <w:t xml:space="preserve"> is seen. Available evidence suggests antagonism of </w:t>
      </w:r>
      <w:r w:rsidRPr="006D7EFA">
        <w:rPr>
          <w:color w:val="000000" w:themeColor="text1"/>
        </w:rPr>
        <w:t>IL</w:t>
      </w:r>
      <w:r w:rsidRPr="006D7EFA">
        <w:rPr>
          <w:color w:val="000000" w:themeColor="text1"/>
        </w:rPr>
        <w:noBreakHyphen/>
        <w:t>5</w:t>
      </w:r>
      <w:r>
        <w:t xml:space="preserve"> signalling or eosinophil depletion is probably unlikely to appreciably compromise tumour surveillance. The absence of carcinogenicity in transgenic mice with another </w:t>
      </w:r>
      <w:r w:rsidRPr="00C661AE">
        <w:t>anti</w:t>
      </w:r>
      <w:r w:rsidRPr="00C661AE">
        <w:noBreakHyphen/>
      </w:r>
      <w:r w:rsidRPr="00313F0A">
        <w:rPr>
          <w:color w:val="000000" w:themeColor="text1"/>
        </w:rPr>
        <w:t>IL</w:t>
      </w:r>
      <w:r w:rsidRPr="00313F0A">
        <w:rPr>
          <w:color w:val="000000" w:themeColor="text1"/>
        </w:rPr>
        <w:noBreakHyphen/>
        <w:t>5</w:t>
      </w:r>
      <w:r>
        <w:t xml:space="preserve"> antibody (</w:t>
      </w:r>
      <w:proofErr w:type="spellStart"/>
      <w:r>
        <w:t>reslizumab</w:t>
      </w:r>
      <w:proofErr w:type="spellEnd"/>
      <w:r>
        <w:t xml:space="preserve">; registered subsequent to </w:t>
      </w:r>
      <w:proofErr w:type="spellStart"/>
      <w:r>
        <w:t>mepolizumab</w:t>
      </w:r>
      <w:proofErr w:type="spellEnd"/>
      <w:r>
        <w:t>) is noted.</w:t>
      </w:r>
    </w:p>
    <w:p w14:paraId="0C367CDA" w14:textId="77777777" w:rsidR="00330337" w:rsidRDefault="00330337" w:rsidP="00330337">
      <w:pPr>
        <w:pStyle w:val="ListBullet"/>
      </w:pPr>
      <w:r>
        <w:t xml:space="preserve">No new toxicity studies were submitted, and no dedicated studies in juvenile animals have been performed with </w:t>
      </w:r>
      <w:proofErr w:type="spellStart"/>
      <w:r>
        <w:t>mepolizumab</w:t>
      </w:r>
      <w:proofErr w:type="spellEnd"/>
      <w:r>
        <w:t>.</w:t>
      </w:r>
    </w:p>
    <w:p w14:paraId="216079F5" w14:textId="77777777" w:rsidR="00330337" w:rsidRDefault="008C5920" w:rsidP="00330337">
      <w:pPr>
        <w:pStyle w:val="ListBullet"/>
      </w:pPr>
      <w:r>
        <w:t xml:space="preserve">The 3 </w:t>
      </w:r>
      <w:r w:rsidR="00330337">
        <w:t>fold higher dose in adult and adolescent patients for the newly proposed indi</w:t>
      </w:r>
      <w:r>
        <w:t xml:space="preserve">cation is associated with a 3.1 and 3.4 </w:t>
      </w:r>
      <w:r w:rsidR="00330337">
        <w:t xml:space="preserve">fold increase in </w:t>
      </w:r>
      <w:r w:rsidR="0013292F">
        <w:t>m</w:t>
      </w:r>
      <w:r w:rsidR="0013292F" w:rsidRPr="00AF7B2C">
        <w:t>aximum plasma concentration</w:t>
      </w:r>
      <w:r w:rsidR="00330337">
        <w:t xml:space="preserve"> </w:t>
      </w:r>
      <w:r w:rsidR="0013292F">
        <w:t>(</w:t>
      </w:r>
      <w:proofErr w:type="spellStart"/>
      <w:r w:rsidR="00330337" w:rsidRPr="005C2172">
        <w:rPr>
          <w:kern w:val="2"/>
          <w:szCs w:val="20"/>
        </w:rPr>
        <w:t>C</w:t>
      </w:r>
      <w:r w:rsidR="00330337" w:rsidRPr="005C2172">
        <w:rPr>
          <w:kern w:val="2"/>
          <w:szCs w:val="20"/>
          <w:vertAlign w:val="subscript"/>
        </w:rPr>
        <w:t>max</w:t>
      </w:r>
      <w:proofErr w:type="spellEnd"/>
      <w:r w:rsidR="0013292F">
        <w:rPr>
          <w:kern w:val="2"/>
          <w:szCs w:val="20"/>
        </w:rPr>
        <w:t>)</w:t>
      </w:r>
      <w:r>
        <w:t xml:space="preserve"> and </w:t>
      </w:r>
      <w:r w:rsidR="0013292F">
        <w:t>a</w:t>
      </w:r>
      <w:r w:rsidR="0013292F" w:rsidRPr="00AF7B2C">
        <w:t>rea under the concentration-time curve</w:t>
      </w:r>
      <w:r w:rsidR="0013292F">
        <w:t xml:space="preserve"> (</w:t>
      </w:r>
      <w:r>
        <w:t>AUC</w:t>
      </w:r>
      <w:r w:rsidR="0013292F">
        <w:t>)</w:t>
      </w:r>
      <w:r>
        <w:t xml:space="preserve"> at steady </w:t>
      </w:r>
      <w:r w:rsidR="00330337">
        <w:t>state.</w:t>
      </w:r>
    </w:p>
    <w:p w14:paraId="0D337FC7" w14:textId="77777777" w:rsidR="0013292F" w:rsidRDefault="00FA4A74" w:rsidP="00FA4A74">
      <w:pPr>
        <w:pStyle w:val="TableTitle"/>
      </w:pPr>
      <w:r>
        <w:t xml:space="preserve">Table </w:t>
      </w:r>
      <w:r w:rsidR="00C33647">
        <w:rPr>
          <w:noProof/>
        </w:rPr>
        <w:fldChar w:fldCharType="begin"/>
      </w:r>
      <w:r w:rsidR="00C33647">
        <w:rPr>
          <w:noProof/>
        </w:rPr>
        <w:instrText xml:space="preserve"> SEQ Table \* ARABIC </w:instrText>
      </w:r>
      <w:r w:rsidR="00C33647">
        <w:rPr>
          <w:noProof/>
        </w:rPr>
        <w:fldChar w:fldCharType="separate"/>
      </w:r>
      <w:r w:rsidR="00D84518">
        <w:rPr>
          <w:noProof/>
        </w:rPr>
        <w:t>4</w:t>
      </w:r>
      <w:r w:rsidR="00C33647">
        <w:rPr>
          <w:noProof/>
        </w:rPr>
        <w:fldChar w:fldCharType="end"/>
      </w:r>
      <w:r>
        <w:t xml:space="preserve">: </w:t>
      </w:r>
      <w:r w:rsidR="0013292F">
        <w:t xml:space="preserve">Pharmacokinetics of </w:t>
      </w:r>
      <w:proofErr w:type="spellStart"/>
      <w:r w:rsidR="0013292F">
        <w:t>mepolizumab</w:t>
      </w:r>
      <w:proofErr w:type="spellEnd"/>
      <w:r w:rsidR="0013292F">
        <w:t xml:space="preserve"> in asthma and EGPA patients</w:t>
      </w:r>
    </w:p>
    <w:tbl>
      <w:tblPr>
        <w:tblStyle w:val="TableTGAblue"/>
        <w:tblW w:w="4950" w:type="pct"/>
        <w:tblLayout w:type="fixed"/>
        <w:tblLook w:val="04A0" w:firstRow="1" w:lastRow="0" w:firstColumn="1" w:lastColumn="0" w:noHBand="0" w:noVBand="1"/>
      </w:tblPr>
      <w:tblGrid>
        <w:gridCol w:w="1543"/>
        <w:gridCol w:w="1397"/>
        <w:gridCol w:w="1037"/>
        <w:gridCol w:w="1670"/>
        <w:gridCol w:w="1493"/>
        <w:gridCol w:w="1493"/>
      </w:tblGrid>
      <w:tr w:rsidR="00330337" w:rsidRPr="00330337" w14:paraId="687FDFB0" w14:textId="77777777" w:rsidTr="00330337">
        <w:trPr>
          <w:cnfStyle w:val="100000000000" w:firstRow="1" w:lastRow="0" w:firstColumn="0" w:lastColumn="0" w:oddVBand="0" w:evenVBand="0" w:oddHBand="0" w:evenHBand="0" w:firstRowFirstColumn="0" w:firstRowLastColumn="0" w:lastRowFirstColumn="0" w:lastRowLastColumn="0"/>
          <w:trHeight w:val="255"/>
        </w:trPr>
        <w:tc>
          <w:tcPr>
            <w:tcW w:w="1701" w:type="dxa"/>
          </w:tcPr>
          <w:p w14:paraId="0BB9AB9F" w14:textId="77777777" w:rsidR="00330337" w:rsidRPr="00330337" w:rsidRDefault="00330337" w:rsidP="00330337">
            <w:pPr>
              <w:pStyle w:val="TableHeader"/>
              <w:ind w:left="0" w:right="0"/>
              <w:rPr>
                <w:b/>
                <w:sz w:val="20"/>
                <w:lang w:eastAsia="zh-CN"/>
              </w:rPr>
            </w:pPr>
            <w:r w:rsidRPr="00330337">
              <w:rPr>
                <w:b/>
                <w:sz w:val="20"/>
                <w:lang w:eastAsia="zh-CN"/>
              </w:rPr>
              <w:t>Study</w:t>
            </w:r>
          </w:p>
        </w:tc>
        <w:tc>
          <w:tcPr>
            <w:tcW w:w="2671" w:type="dxa"/>
            <w:gridSpan w:val="2"/>
          </w:tcPr>
          <w:p w14:paraId="6CF99A52" w14:textId="77777777" w:rsidR="00330337" w:rsidRPr="00330337" w:rsidRDefault="00330337" w:rsidP="00330337">
            <w:pPr>
              <w:pStyle w:val="TableHeader"/>
              <w:ind w:left="0" w:right="0"/>
              <w:rPr>
                <w:b/>
                <w:sz w:val="20"/>
                <w:lang w:eastAsia="zh-CN"/>
              </w:rPr>
            </w:pPr>
            <w:r w:rsidRPr="00330337">
              <w:rPr>
                <w:b/>
                <w:sz w:val="20"/>
                <w:lang w:eastAsia="zh-CN"/>
              </w:rPr>
              <w:t>Patients</w:t>
            </w:r>
          </w:p>
        </w:tc>
        <w:tc>
          <w:tcPr>
            <w:tcW w:w="1843" w:type="dxa"/>
          </w:tcPr>
          <w:p w14:paraId="3EA23865" w14:textId="77777777" w:rsidR="0013292F" w:rsidRDefault="0013292F" w:rsidP="00330337">
            <w:pPr>
              <w:pStyle w:val="TableHeader"/>
              <w:ind w:left="0" w:right="0"/>
              <w:rPr>
                <w:b/>
                <w:sz w:val="20"/>
                <w:lang w:eastAsia="zh-CN"/>
              </w:rPr>
            </w:pPr>
            <w:r>
              <w:rPr>
                <w:b/>
                <w:sz w:val="20"/>
                <w:lang w:eastAsia="zh-CN"/>
              </w:rPr>
              <w:t xml:space="preserve">Dose; once </w:t>
            </w:r>
            <w:r w:rsidR="00C67BDE">
              <w:rPr>
                <w:b/>
                <w:sz w:val="20"/>
                <w:lang w:eastAsia="zh-CN"/>
              </w:rPr>
              <w:t>every 4 weeks</w:t>
            </w:r>
          </w:p>
          <w:p w14:paraId="705A573A" w14:textId="77777777" w:rsidR="00330337" w:rsidRPr="00330337" w:rsidRDefault="002E4BF6" w:rsidP="00330337">
            <w:pPr>
              <w:pStyle w:val="TableHeader"/>
              <w:ind w:left="0" w:right="0"/>
              <w:rPr>
                <w:b/>
                <w:sz w:val="20"/>
                <w:lang w:eastAsia="zh-CN"/>
              </w:rPr>
            </w:pPr>
            <w:r>
              <w:rPr>
                <w:b/>
                <w:sz w:val="20"/>
                <w:lang w:eastAsia="zh-CN"/>
              </w:rPr>
              <w:t>(</w:t>
            </w:r>
            <w:r w:rsidR="00330337" w:rsidRPr="00330337">
              <w:rPr>
                <w:b/>
                <w:sz w:val="20"/>
                <w:lang w:eastAsia="zh-CN"/>
              </w:rPr>
              <w:t>steady state</w:t>
            </w:r>
            <w:r>
              <w:rPr>
                <w:b/>
                <w:sz w:val="20"/>
                <w:lang w:eastAsia="zh-CN"/>
              </w:rPr>
              <w:t>)</w:t>
            </w:r>
          </w:p>
        </w:tc>
        <w:tc>
          <w:tcPr>
            <w:tcW w:w="1644" w:type="dxa"/>
          </w:tcPr>
          <w:p w14:paraId="54D1326C" w14:textId="77777777" w:rsidR="0013292F" w:rsidRDefault="00330337" w:rsidP="00330337">
            <w:pPr>
              <w:pStyle w:val="TableHeader"/>
              <w:ind w:left="0" w:right="0"/>
              <w:rPr>
                <w:b/>
                <w:sz w:val="20"/>
                <w:lang w:eastAsia="zh-CN"/>
              </w:rPr>
            </w:pPr>
            <w:proofErr w:type="spellStart"/>
            <w:r w:rsidRPr="00330337">
              <w:rPr>
                <w:b/>
                <w:sz w:val="20"/>
                <w:szCs w:val="20"/>
                <w:lang w:eastAsia="zh-CN"/>
              </w:rPr>
              <w:t>C</w:t>
            </w:r>
            <w:r w:rsidRPr="00330337">
              <w:rPr>
                <w:b/>
                <w:sz w:val="20"/>
                <w:szCs w:val="20"/>
                <w:vertAlign w:val="subscript"/>
                <w:lang w:eastAsia="zh-CN"/>
              </w:rPr>
              <w:t>max</w:t>
            </w:r>
            <w:proofErr w:type="spellEnd"/>
          </w:p>
          <w:p w14:paraId="788837DE" w14:textId="77777777" w:rsidR="00330337" w:rsidRPr="00330337" w:rsidRDefault="00330337" w:rsidP="00330337">
            <w:pPr>
              <w:pStyle w:val="TableHeader"/>
              <w:ind w:left="0" w:right="0"/>
              <w:rPr>
                <w:b/>
                <w:sz w:val="20"/>
                <w:lang w:eastAsia="zh-CN"/>
              </w:rPr>
            </w:pPr>
            <w:r w:rsidRPr="00330337">
              <w:rPr>
                <w:b/>
                <w:sz w:val="20"/>
                <w:lang w:eastAsia="zh-CN"/>
              </w:rPr>
              <w:t>(mg/mL)</w:t>
            </w:r>
          </w:p>
        </w:tc>
        <w:tc>
          <w:tcPr>
            <w:tcW w:w="1644" w:type="dxa"/>
          </w:tcPr>
          <w:p w14:paraId="1CD4294D" w14:textId="77777777" w:rsidR="0013292F" w:rsidRDefault="00330337" w:rsidP="00330337">
            <w:pPr>
              <w:pStyle w:val="TableHeader"/>
              <w:ind w:left="0" w:right="0"/>
              <w:rPr>
                <w:b/>
                <w:sz w:val="20"/>
                <w:lang w:eastAsia="zh-CN"/>
              </w:rPr>
            </w:pPr>
            <w:r w:rsidRPr="00330337">
              <w:rPr>
                <w:b/>
                <w:sz w:val="20"/>
                <w:lang w:eastAsia="zh-CN"/>
              </w:rPr>
              <w:t>AUC</w:t>
            </w:r>
            <w:r w:rsidRPr="00330337">
              <w:rPr>
                <w:b/>
                <w:sz w:val="20"/>
                <w:vertAlign w:val="subscript"/>
                <w:lang w:eastAsia="zh-CN"/>
              </w:rPr>
              <w:t>0–</w:t>
            </w:r>
            <w:r w:rsidRPr="00330337">
              <w:rPr>
                <w:rFonts w:asciiTheme="minorHAnsi" w:hAnsiTheme="minorHAnsi"/>
                <w:b/>
                <w:sz w:val="20"/>
                <w:vertAlign w:val="subscript"/>
                <w:lang w:eastAsia="zh-CN"/>
              </w:rPr>
              <w:t>∞</w:t>
            </w:r>
          </w:p>
          <w:p w14:paraId="124126F2" w14:textId="77777777" w:rsidR="00330337" w:rsidRPr="00330337" w:rsidRDefault="00330337" w:rsidP="00330337">
            <w:pPr>
              <w:pStyle w:val="TableHeader"/>
              <w:ind w:left="0" w:right="0"/>
              <w:rPr>
                <w:b/>
                <w:sz w:val="20"/>
                <w:lang w:eastAsia="zh-CN"/>
              </w:rPr>
            </w:pPr>
            <w:r w:rsidRPr="00330337">
              <w:rPr>
                <w:b/>
                <w:sz w:val="20"/>
                <w:lang w:eastAsia="zh-CN"/>
              </w:rPr>
              <w:t>(</w:t>
            </w:r>
            <w:proofErr w:type="spellStart"/>
            <w:r w:rsidRPr="00330337">
              <w:rPr>
                <w:b/>
                <w:sz w:val="20"/>
                <w:lang w:eastAsia="zh-CN"/>
              </w:rPr>
              <w:t>mg·h</w:t>
            </w:r>
            <w:proofErr w:type="spellEnd"/>
            <w:r w:rsidRPr="00330337">
              <w:rPr>
                <w:b/>
                <w:sz w:val="20"/>
                <w:lang w:eastAsia="zh-CN"/>
              </w:rPr>
              <w:t>/mL)</w:t>
            </w:r>
          </w:p>
        </w:tc>
      </w:tr>
      <w:tr w:rsidR="00330337" w:rsidRPr="00330337" w14:paraId="7AD3529D" w14:textId="77777777" w:rsidTr="00330337">
        <w:trPr>
          <w:trHeight w:val="312"/>
        </w:trPr>
        <w:tc>
          <w:tcPr>
            <w:tcW w:w="1701" w:type="dxa"/>
          </w:tcPr>
          <w:p w14:paraId="0CB5519C" w14:textId="77777777" w:rsidR="00330337" w:rsidRPr="00330337" w:rsidRDefault="00330337" w:rsidP="00330337">
            <w:pPr>
              <w:pStyle w:val="Tabletext"/>
              <w:spacing w:line="190" w:lineRule="exact"/>
              <w:ind w:left="0" w:right="0"/>
              <w:rPr>
                <w:sz w:val="20"/>
                <w:lang w:eastAsia="zh-CN"/>
              </w:rPr>
            </w:pPr>
            <w:r w:rsidRPr="00330337">
              <w:rPr>
                <w:sz w:val="20"/>
                <w:lang w:eastAsia="zh-CN"/>
              </w:rPr>
              <w:t>MEA115588</w:t>
            </w:r>
          </w:p>
        </w:tc>
        <w:tc>
          <w:tcPr>
            <w:tcW w:w="1537" w:type="dxa"/>
            <w:vMerge w:val="restart"/>
          </w:tcPr>
          <w:p w14:paraId="23088C04" w14:textId="77777777" w:rsidR="00330337" w:rsidRPr="00330337" w:rsidRDefault="00330337" w:rsidP="00330337">
            <w:pPr>
              <w:pStyle w:val="Tabletext"/>
              <w:spacing w:line="190" w:lineRule="exact"/>
              <w:ind w:left="0" w:right="0"/>
              <w:rPr>
                <w:sz w:val="20"/>
                <w:lang w:eastAsia="zh-CN"/>
              </w:rPr>
            </w:pPr>
            <w:r w:rsidRPr="00330337">
              <w:rPr>
                <w:sz w:val="20"/>
                <w:lang w:eastAsia="zh-CN"/>
              </w:rPr>
              <w:t>Adults and adolescents (≥</w:t>
            </w:r>
            <w:r w:rsidR="00C67BDE">
              <w:rPr>
                <w:sz w:val="20"/>
                <w:lang w:eastAsia="zh-CN"/>
              </w:rPr>
              <w:t> </w:t>
            </w:r>
            <w:r w:rsidRPr="00330337">
              <w:rPr>
                <w:sz w:val="20"/>
                <w:lang w:eastAsia="zh-CN"/>
              </w:rPr>
              <w:t>12 years old)</w:t>
            </w:r>
          </w:p>
        </w:tc>
        <w:tc>
          <w:tcPr>
            <w:tcW w:w="1134" w:type="dxa"/>
          </w:tcPr>
          <w:p w14:paraId="19F02DBA" w14:textId="77777777" w:rsidR="00330337" w:rsidRPr="00330337" w:rsidRDefault="00330337" w:rsidP="00330337">
            <w:pPr>
              <w:pStyle w:val="Tabletext"/>
              <w:spacing w:line="190" w:lineRule="exact"/>
              <w:ind w:left="0" w:right="0"/>
              <w:rPr>
                <w:sz w:val="20"/>
                <w:lang w:eastAsia="zh-CN"/>
              </w:rPr>
            </w:pPr>
            <w:r w:rsidRPr="00330337">
              <w:rPr>
                <w:sz w:val="20"/>
                <w:lang w:eastAsia="zh-CN"/>
              </w:rPr>
              <w:t>asthma</w:t>
            </w:r>
          </w:p>
        </w:tc>
        <w:tc>
          <w:tcPr>
            <w:tcW w:w="1843" w:type="dxa"/>
          </w:tcPr>
          <w:p w14:paraId="2E16FBDB" w14:textId="77777777" w:rsidR="00330337" w:rsidRPr="00330337" w:rsidRDefault="00330337" w:rsidP="00330337">
            <w:pPr>
              <w:pStyle w:val="Tabletext"/>
              <w:spacing w:line="190" w:lineRule="exact"/>
              <w:ind w:left="0" w:right="0"/>
              <w:rPr>
                <w:sz w:val="20"/>
                <w:lang w:eastAsia="zh-CN"/>
              </w:rPr>
            </w:pPr>
            <w:r w:rsidRPr="00330337">
              <w:rPr>
                <w:sz w:val="20"/>
                <w:lang w:eastAsia="zh-CN"/>
              </w:rPr>
              <w:t>100 mg SC</w:t>
            </w:r>
          </w:p>
        </w:tc>
        <w:tc>
          <w:tcPr>
            <w:tcW w:w="1644" w:type="dxa"/>
          </w:tcPr>
          <w:p w14:paraId="42C8DEBE" w14:textId="27598D1B" w:rsidR="00330337" w:rsidRPr="00330337" w:rsidRDefault="000D0557" w:rsidP="00330337">
            <w:pPr>
              <w:pStyle w:val="Tabletext"/>
              <w:spacing w:line="190" w:lineRule="exact"/>
              <w:ind w:left="0" w:right="0"/>
              <w:rPr>
                <w:sz w:val="20"/>
                <w:lang w:eastAsia="zh-CN"/>
              </w:rPr>
            </w:pPr>
            <w:r>
              <w:rPr>
                <w:sz w:val="20"/>
                <w:lang w:eastAsia="zh-CN"/>
              </w:rPr>
              <w:t>0.0167</w:t>
            </w:r>
          </w:p>
        </w:tc>
        <w:tc>
          <w:tcPr>
            <w:tcW w:w="1644" w:type="dxa"/>
          </w:tcPr>
          <w:p w14:paraId="2F16053A" w14:textId="77777777" w:rsidR="00330337" w:rsidRPr="00330337" w:rsidRDefault="00330337" w:rsidP="00330337">
            <w:pPr>
              <w:pStyle w:val="Tabletext"/>
              <w:spacing w:line="190" w:lineRule="exact"/>
              <w:ind w:left="0" w:right="0"/>
              <w:rPr>
                <w:sz w:val="20"/>
                <w:lang w:eastAsia="zh-CN"/>
              </w:rPr>
            </w:pPr>
            <w:r w:rsidRPr="00330337">
              <w:rPr>
                <w:sz w:val="20"/>
                <w:lang w:eastAsia="zh-CN"/>
              </w:rPr>
              <w:t>8.2</w:t>
            </w:r>
          </w:p>
        </w:tc>
      </w:tr>
      <w:tr w:rsidR="00330337" w:rsidRPr="00330337" w14:paraId="0F9ECBC3" w14:textId="77777777" w:rsidTr="00330337">
        <w:trPr>
          <w:trHeight w:val="312"/>
        </w:trPr>
        <w:tc>
          <w:tcPr>
            <w:tcW w:w="1701" w:type="dxa"/>
          </w:tcPr>
          <w:p w14:paraId="18155B5B" w14:textId="77777777" w:rsidR="00330337" w:rsidRPr="00330337" w:rsidRDefault="00330337" w:rsidP="00330337">
            <w:pPr>
              <w:pStyle w:val="Tabletext"/>
              <w:spacing w:line="190" w:lineRule="exact"/>
              <w:ind w:left="0" w:right="0"/>
              <w:rPr>
                <w:sz w:val="20"/>
                <w:lang w:eastAsia="zh-CN"/>
              </w:rPr>
            </w:pPr>
            <w:r w:rsidRPr="00330337">
              <w:rPr>
                <w:sz w:val="20"/>
                <w:lang w:eastAsia="zh-CN"/>
              </w:rPr>
              <w:t>MEA115921</w:t>
            </w:r>
          </w:p>
        </w:tc>
        <w:tc>
          <w:tcPr>
            <w:tcW w:w="1537" w:type="dxa"/>
            <w:vMerge/>
          </w:tcPr>
          <w:p w14:paraId="065E7187" w14:textId="77777777" w:rsidR="00330337" w:rsidRPr="00330337" w:rsidRDefault="00330337" w:rsidP="00330337">
            <w:pPr>
              <w:pStyle w:val="Tabletext"/>
              <w:spacing w:line="190" w:lineRule="exact"/>
              <w:ind w:left="0" w:right="0"/>
              <w:rPr>
                <w:sz w:val="20"/>
                <w:lang w:eastAsia="zh-CN"/>
              </w:rPr>
            </w:pPr>
          </w:p>
        </w:tc>
        <w:tc>
          <w:tcPr>
            <w:tcW w:w="1134" w:type="dxa"/>
          </w:tcPr>
          <w:p w14:paraId="7035F5BF" w14:textId="77777777" w:rsidR="00330337" w:rsidRPr="00330337" w:rsidRDefault="00330337" w:rsidP="00330337">
            <w:pPr>
              <w:pStyle w:val="Tabletext"/>
              <w:spacing w:line="190" w:lineRule="exact"/>
              <w:ind w:left="0" w:right="0"/>
              <w:rPr>
                <w:sz w:val="20"/>
                <w:lang w:eastAsia="zh-CN"/>
              </w:rPr>
            </w:pPr>
            <w:r w:rsidRPr="00330337">
              <w:rPr>
                <w:sz w:val="20"/>
                <w:lang w:eastAsia="zh-CN"/>
              </w:rPr>
              <w:t>EGPA</w:t>
            </w:r>
          </w:p>
        </w:tc>
        <w:tc>
          <w:tcPr>
            <w:tcW w:w="1843" w:type="dxa"/>
          </w:tcPr>
          <w:p w14:paraId="612198F2" w14:textId="77777777" w:rsidR="00330337" w:rsidRPr="00330337" w:rsidRDefault="00330337" w:rsidP="00330337">
            <w:pPr>
              <w:pStyle w:val="Tabletext"/>
              <w:spacing w:line="190" w:lineRule="exact"/>
              <w:ind w:left="0" w:right="0"/>
              <w:rPr>
                <w:sz w:val="20"/>
                <w:lang w:eastAsia="zh-CN"/>
              </w:rPr>
            </w:pPr>
            <w:r w:rsidRPr="00330337">
              <w:rPr>
                <w:sz w:val="20"/>
                <w:lang w:eastAsia="zh-CN"/>
              </w:rPr>
              <w:t>300 mg SC</w:t>
            </w:r>
          </w:p>
        </w:tc>
        <w:tc>
          <w:tcPr>
            <w:tcW w:w="1644" w:type="dxa"/>
          </w:tcPr>
          <w:p w14:paraId="60F55FCB" w14:textId="77777777" w:rsidR="00330337" w:rsidRPr="00330337" w:rsidRDefault="00330337" w:rsidP="00330337">
            <w:pPr>
              <w:pStyle w:val="Tabletext"/>
              <w:spacing w:line="190" w:lineRule="exact"/>
              <w:ind w:left="0" w:right="0"/>
              <w:rPr>
                <w:sz w:val="20"/>
                <w:lang w:eastAsia="zh-CN"/>
              </w:rPr>
            </w:pPr>
            <w:r w:rsidRPr="00330337">
              <w:rPr>
                <w:sz w:val="20"/>
                <w:lang w:eastAsia="zh-CN"/>
              </w:rPr>
              <w:t>0.0525</w:t>
            </w:r>
          </w:p>
        </w:tc>
        <w:tc>
          <w:tcPr>
            <w:tcW w:w="1644" w:type="dxa"/>
          </w:tcPr>
          <w:p w14:paraId="4068CD75" w14:textId="77777777" w:rsidR="00330337" w:rsidRPr="00330337" w:rsidRDefault="00330337" w:rsidP="00330337">
            <w:pPr>
              <w:pStyle w:val="Tabletext"/>
              <w:spacing w:line="190" w:lineRule="exact"/>
              <w:ind w:left="0" w:right="0"/>
              <w:rPr>
                <w:sz w:val="20"/>
                <w:lang w:eastAsia="zh-CN"/>
              </w:rPr>
            </w:pPr>
            <w:r w:rsidRPr="00330337">
              <w:rPr>
                <w:sz w:val="20"/>
                <w:lang w:eastAsia="zh-CN"/>
              </w:rPr>
              <w:t>28.1</w:t>
            </w:r>
          </w:p>
        </w:tc>
      </w:tr>
    </w:tbl>
    <w:p w14:paraId="59FBAB8A" w14:textId="77777777" w:rsidR="00330337" w:rsidRPr="0047625B" w:rsidRDefault="0013292F" w:rsidP="00AF7B2C">
      <w:pPr>
        <w:pStyle w:val="ListBullet"/>
      </w:pPr>
      <w:r>
        <w:t xml:space="preserve">Children aged 6 to </w:t>
      </w:r>
      <w:r w:rsidR="00330337">
        <w:t>11 years old weighing ≥</w:t>
      </w:r>
      <w:r>
        <w:t xml:space="preserve"> </w:t>
      </w:r>
      <w:r w:rsidR="00330337">
        <w:t>40 kg are to receive the same dose for the treatment of EGPA as in adult and adolescents (</w:t>
      </w:r>
      <w:r>
        <w:t>that is</w:t>
      </w:r>
      <w:r w:rsidR="00330337">
        <w:t xml:space="preserve">, 300 mg SC); </w:t>
      </w:r>
      <w:r w:rsidR="00C67BDE">
        <w:t xml:space="preserve">exposure in these children is 2 </w:t>
      </w:r>
      <w:r w:rsidR="00330337">
        <w:t>times higher than in adults and</w:t>
      </w:r>
      <w:r w:rsidR="00C67BDE">
        <w:t xml:space="preserve"> adolescents. The lower, weight </w:t>
      </w:r>
      <w:r w:rsidR="00330337">
        <w:t>stratified doses in younger EGP</w:t>
      </w:r>
      <w:r w:rsidR="00330337" w:rsidRPr="0047625B">
        <w:t xml:space="preserve">A patients are designed to yield exposure </w:t>
      </w:r>
      <w:r w:rsidR="00330337">
        <w:t xml:space="preserve">more </w:t>
      </w:r>
      <w:r w:rsidR="00330337" w:rsidRPr="0047625B">
        <w:t>comparable to that of adults and adolescents (Clinical Modelling Report 2014N205517).</w:t>
      </w:r>
    </w:p>
    <w:p w14:paraId="26F0B3B6" w14:textId="77777777" w:rsidR="004334C7" w:rsidRPr="004334C7" w:rsidRDefault="00330337" w:rsidP="00AF7B2C">
      <w:pPr>
        <w:pStyle w:val="ListBullet"/>
      </w:pPr>
      <w:r w:rsidRPr="00AF7B2C">
        <w:t xml:space="preserve">In terms of safety, the increased exposure to </w:t>
      </w:r>
      <w:proofErr w:type="spellStart"/>
      <w:r w:rsidRPr="00AF7B2C">
        <w:t>mepolizumab</w:t>
      </w:r>
      <w:proofErr w:type="spellEnd"/>
      <w:r w:rsidRPr="00AF7B2C">
        <w:t xml:space="preserve"> </w:t>
      </w:r>
      <w:r w:rsidR="00C67BDE" w:rsidRPr="00C67BDE">
        <w:t>compared with</w:t>
      </w:r>
      <w:r w:rsidRPr="00AF7B2C">
        <w:t xml:space="preserve"> that currently a</w:t>
      </w:r>
      <w:r w:rsidR="00C67BDE">
        <w:t xml:space="preserve">pproved, and the novel use in 6 to </w:t>
      </w:r>
      <w:r w:rsidRPr="00AF7B2C">
        <w:t>11 year old children, is adequately supported by existing nonclinical data. In animal studies evaluated for the product’s original registration as a new chemical entity (Submission No. PM</w:t>
      </w:r>
      <w:r w:rsidRPr="00AF7B2C">
        <w:noBreakHyphen/>
        <w:t>2014</w:t>
      </w:r>
      <w:r w:rsidRPr="00AF7B2C">
        <w:noBreakHyphen/>
        <w:t xml:space="preserve">03872-1-5), </w:t>
      </w:r>
      <w:proofErr w:type="spellStart"/>
      <w:r w:rsidRPr="00AF7B2C">
        <w:t>mepolizumab</w:t>
      </w:r>
      <w:proofErr w:type="spellEnd"/>
      <w:r w:rsidRPr="00AF7B2C">
        <w:t xml:space="preserve"> was found to have a very low order of toxicity and not to target developing systems. Of particular note, there were no treatment-related </w:t>
      </w:r>
      <w:r w:rsidRPr="00AF7B2C">
        <w:lastRenderedPageBreak/>
        <w:t xml:space="preserve">findings apart from the expected pharmacological effect of reduced eosinophil counts in monkeys given </w:t>
      </w:r>
      <w:proofErr w:type="spellStart"/>
      <w:r w:rsidRPr="00AF7B2C">
        <w:t>mepolizumab</w:t>
      </w:r>
      <w:proofErr w:type="spellEnd"/>
      <w:r w:rsidRPr="00AF7B2C">
        <w:t xml:space="preserve"> at up to 100 mg/kg </w:t>
      </w:r>
      <w:r w:rsidR="00C67BDE">
        <w:t>intravenous (</w:t>
      </w:r>
      <w:r w:rsidRPr="00AF7B2C">
        <w:t>IV</w:t>
      </w:r>
      <w:r w:rsidR="00C67BDE">
        <w:t>)</w:t>
      </w:r>
      <w:r w:rsidRPr="00AF7B2C">
        <w:t xml:space="preserve"> once monthly for 6 months, a dose yielding high multiples of the systemic exposure in EGPA patients (ranging from 17 to 29 for the various subpopulations</w:t>
      </w:r>
      <w:r w:rsidR="00C67BDE">
        <w:t>).</w:t>
      </w:r>
      <w:r w:rsidRPr="00AF7B2C">
        <w:rPr>
          <w:rStyle w:val="FootnoteReference"/>
        </w:rPr>
        <w:footnoteReference w:id="1"/>
      </w:r>
    </w:p>
    <w:p w14:paraId="7B2B1A24" w14:textId="77777777" w:rsidR="008E7846" w:rsidRDefault="008E7846" w:rsidP="008E7846">
      <w:pPr>
        <w:pStyle w:val="Heading3"/>
      </w:pPr>
      <w:bookmarkStart w:id="39" w:name="_Toc247691515"/>
      <w:bookmarkStart w:id="40" w:name="_Toc314842499"/>
      <w:bookmarkStart w:id="41" w:name="_Toc25227375"/>
      <w:r>
        <w:t>Nonclinical summary and conclusions</w:t>
      </w:r>
      <w:bookmarkEnd w:id="39"/>
      <w:bookmarkEnd w:id="40"/>
      <w:bookmarkEnd w:id="41"/>
    </w:p>
    <w:p w14:paraId="3F96CCCA" w14:textId="77777777" w:rsidR="00330337" w:rsidRDefault="00330337" w:rsidP="00330337">
      <w:pPr>
        <w:pStyle w:val="ListBullet"/>
      </w:pPr>
      <w:bookmarkStart w:id="42" w:name="_Toc196046462"/>
      <w:bookmarkStart w:id="43" w:name="_Toc247691516"/>
      <w:bookmarkStart w:id="44" w:name="_Toc314842500"/>
      <w:bookmarkStart w:id="45" w:name="_Toc163441353"/>
      <w:bookmarkStart w:id="46" w:name="_Toc163441348"/>
      <w:r w:rsidRPr="005B17B5">
        <w:t>No nonclinical studies in an animal model of E</w:t>
      </w:r>
      <w:r>
        <w:t>GP</w:t>
      </w:r>
      <w:r w:rsidRPr="005B17B5">
        <w:t>A</w:t>
      </w:r>
      <w:r>
        <w:t xml:space="preserve">/vasculitis were submitted. </w:t>
      </w:r>
      <w:r w:rsidRPr="005B17B5">
        <w:t>Assessment of efficacy in the proposed new indication relies on clinical data only.</w:t>
      </w:r>
    </w:p>
    <w:p w14:paraId="173B4903" w14:textId="77777777" w:rsidR="00330337" w:rsidRPr="005B17B5" w:rsidRDefault="00330337" w:rsidP="00330337">
      <w:pPr>
        <w:pStyle w:val="ListBullet"/>
      </w:pPr>
      <w:r>
        <w:t>Safety at the higher exposure level associated with the increased dose for the new indication, and in the ex</w:t>
      </w:r>
      <w:r w:rsidR="00C67BDE">
        <w:t xml:space="preserve">tended paediatric population (6 to </w:t>
      </w:r>
      <w:r>
        <w:t>11 year olds), has been adequately demonstrated in nonclinical studies (previously submitted).</w:t>
      </w:r>
    </w:p>
    <w:p w14:paraId="586CB395" w14:textId="77777777" w:rsidR="00330337" w:rsidRDefault="00330337" w:rsidP="00330337">
      <w:pPr>
        <w:pStyle w:val="ListBullet"/>
      </w:pPr>
      <w:r w:rsidRPr="00F23EBC">
        <w:t>There are no nonclinical objections to the proposed extension of indication.</w:t>
      </w:r>
    </w:p>
    <w:p w14:paraId="5D323D82" w14:textId="77777777" w:rsidR="00330337" w:rsidRDefault="00330337" w:rsidP="00330337">
      <w:pPr>
        <w:pStyle w:val="ListBullet"/>
      </w:pPr>
      <w:r>
        <w:t xml:space="preserve">The Product Information </w:t>
      </w:r>
      <w:r w:rsidR="00C67BDE">
        <w:t xml:space="preserve">(PI) </w:t>
      </w:r>
      <w:r>
        <w:t>document should be revised as directed.</w:t>
      </w:r>
    </w:p>
    <w:p w14:paraId="6B6E9105" w14:textId="77777777" w:rsidR="008E7846" w:rsidRPr="00254787" w:rsidRDefault="008E7846" w:rsidP="008E7846">
      <w:pPr>
        <w:pStyle w:val="Heading2"/>
      </w:pPr>
      <w:bookmarkStart w:id="47" w:name="_Toc25227376"/>
      <w:r>
        <w:t xml:space="preserve">V. </w:t>
      </w:r>
      <w:r w:rsidRPr="00254787">
        <w:t>Clinical</w:t>
      </w:r>
      <w:bookmarkEnd w:id="42"/>
      <w:r>
        <w:t xml:space="preserve"> </w:t>
      </w:r>
      <w:r w:rsidR="003A7F6C">
        <w:t>f</w:t>
      </w:r>
      <w:r>
        <w:t>indings</w:t>
      </w:r>
      <w:bookmarkEnd w:id="43"/>
      <w:bookmarkEnd w:id="44"/>
      <w:bookmarkEnd w:id="47"/>
    </w:p>
    <w:p w14:paraId="0BBE6322" w14:textId="77777777" w:rsidR="00C80137" w:rsidRDefault="00C80137" w:rsidP="00D425BB">
      <w:bookmarkStart w:id="48" w:name="_Toc196046463"/>
      <w:r>
        <w:t xml:space="preserve">A summary of the </w:t>
      </w:r>
      <w:r w:rsidRPr="00FD70B8">
        <w:t>clinical findings is presented in this section.</w:t>
      </w:r>
    </w:p>
    <w:p w14:paraId="21EDBBA3" w14:textId="77777777" w:rsidR="008E7846" w:rsidRDefault="008E7846" w:rsidP="008E7846">
      <w:pPr>
        <w:pStyle w:val="Heading3"/>
      </w:pPr>
      <w:bookmarkStart w:id="49" w:name="_Toc247691517"/>
      <w:bookmarkStart w:id="50" w:name="_Toc314842501"/>
      <w:bookmarkStart w:id="51" w:name="_Toc25227377"/>
      <w:r w:rsidRPr="00254787">
        <w:t>Introduction</w:t>
      </w:r>
      <w:bookmarkEnd w:id="48"/>
      <w:bookmarkEnd w:id="49"/>
      <w:bookmarkEnd w:id="50"/>
      <w:bookmarkEnd w:id="51"/>
    </w:p>
    <w:p w14:paraId="38441D1B" w14:textId="77777777" w:rsidR="00AF7B2C" w:rsidRDefault="00AF7B2C" w:rsidP="00605AD4">
      <w:pPr>
        <w:pStyle w:val="Heading4"/>
      </w:pPr>
      <w:bookmarkStart w:id="52" w:name="_Toc196046464"/>
      <w:bookmarkStart w:id="53" w:name="_Toc247691518"/>
      <w:bookmarkStart w:id="54" w:name="_Toc314842502"/>
      <w:r>
        <w:t>Information on the condition being treated</w:t>
      </w:r>
    </w:p>
    <w:p w14:paraId="281D53D3" w14:textId="77777777" w:rsidR="00AF7B2C" w:rsidRDefault="00AF7B2C" w:rsidP="00D63D68">
      <w:pPr>
        <w:pStyle w:val="Heading5"/>
      </w:pPr>
      <w:r>
        <w:t>Overview</w:t>
      </w:r>
    </w:p>
    <w:p w14:paraId="08259647" w14:textId="77777777" w:rsidR="00AF7B2C" w:rsidRDefault="00C67BDE" w:rsidP="00AF7B2C">
      <w:r>
        <w:rPr>
          <w:rFonts w:asciiTheme="minorHAnsi" w:hAnsiTheme="minorHAnsi"/>
        </w:rPr>
        <w:t>EGPA</w:t>
      </w:r>
      <w:r w:rsidR="00AF7B2C" w:rsidRPr="00C53FE6">
        <w:rPr>
          <w:rFonts w:asciiTheme="minorHAnsi" w:hAnsiTheme="minorHAnsi"/>
        </w:rPr>
        <w:t xml:space="preserve">, previously known as </w:t>
      </w:r>
      <w:proofErr w:type="spellStart"/>
      <w:r w:rsidR="00AF7B2C" w:rsidRPr="00C53FE6">
        <w:rPr>
          <w:rFonts w:asciiTheme="minorHAnsi" w:hAnsiTheme="minorHAnsi"/>
        </w:rPr>
        <w:t>Churg</w:t>
      </w:r>
      <w:proofErr w:type="spellEnd"/>
      <w:r w:rsidR="00AF7B2C" w:rsidRPr="00C53FE6">
        <w:rPr>
          <w:rFonts w:asciiTheme="minorHAnsi" w:hAnsiTheme="minorHAnsi"/>
        </w:rPr>
        <w:t>-Strauss syndrome (CSS), was first described in 1951</w:t>
      </w:r>
      <w:r w:rsidR="00AF7B2C">
        <w:rPr>
          <w:rFonts w:asciiTheme="minorHAnsi" w:hAnsiTheme="minorHAnsi"/>
        </w:rPr>
        <w:t>.</w:t>
      </w:r>
      <w:r w:rsidR="00AF7B2C" w:rsidRPr="00C53FE6">
        <w:rPr>
          <w:rFonts w:asciiTheme="minorHAnsi" w:hAnsiTheme="minorHAnsi"/>
        </w:rPr>
        <w:t xml:space="preserve"> </w:t>
      </w:r>
      <w:r w:rsidR="00AF7B2C">
        <w:t>The understanding of EGPA (diagnostic criteria, classification, prognostication and aetiology) continues to evolve.</w:t>
      </w:r>
    </w:p>
    <w:p w14:paraId="2502E65B" w14:textId="77777777" w:rsidR="00AF7B2C" w:rsidRPr="0053439C" w:rsidRDefault="00AF7B2C" w:rsidP="00AF7B2C">
      <w:pPr>
        <w:rPr>
          <w:rFonts w:asciiTheme="minorHAnsi" w:hAnsiTheme="minorHAnsi"/>
        </w:rPr>
      </w:pPr>
      <w:r w:rsidRPr="00C1185E">
        <w:rPr>
          <w:lang w:eastAsia="zh-CN"/>
        </w:rPr>
        <w:t>EGPA is a rare disease</w:t>
      </w:r>
      <w:r>
        <w:rPr>
          <w:lang w:eastAsia="zh-CN"/>
        </w:rPr>
        <w:t xml:space="preserve">: </w:t>
      </w:r>
      <w:r w:rsidRPr="00C1185E">
        <w:rPr>
          <w:lang w:eastAsia="zh-CN"/>
        </w:rPr>
        <w:t xml:space="preserve">prevalence is estimated to range from 10.7 </w:t>
      </w:r>
      <w:r w:rsidR="00D63D68">
        <w:rPr>
          <w:rFonts w:cs="Arial"/>
          <w:lang w:eastAsia="zh-CN"/>
        </w:rPr>
        <w:t xml:space="preserve">to </w:t>
      </w:r>
      <w:r w:rsidR="00D63D68">
        <w:rPr>
          <w:lang w:eastAsia="zh-CN"/>
        </w:rPr>
        <w:t xml:space="preserve">13 cases per </w:t>
      </w:r>
      <w:r w:rsidRPr="00C1185E">
        <w:rPr>
          <w:lang w:eastAsia="zh-CN"/>
        </w:rPr>
        <w:t xml:space="preserve">million inhabitants </w:t>
      </w:r>
      <w:r>
        <w:rPr>
          <w:lang w:eastAsia="zh-CN"/>
        </w:rPr>
        <w:t>a</w:t>
      </w:r>
      <w:r w:rsidRPr="00C1185E">
        <w:rPr>
          <w:lang w:eastAsia="zh-CN"/>
        </w:rPr>
        <w:t xml:space="preserve">nd </w:t>
      </w:r>
      <w:r>
        <w:rPr>
          <w:lang w:eastAsia="zh-CN"/>
        </w:rPr>
        <w:t>the</w:t>
      </w:r>
      <w:r w:rsidRPr="00C1185E">
        <w:rPr>
          <w:lang w:eastAsia="zh-CN"/>
        </w:rPr>
        <w:t xml:space="preserve"> annual incidence to be 0.5 </w:t>
      </w:r>
      <w:r w:rsidR="00D63D68">
        <w:rPr>
          <w:rFonts w:cs="Arial"/>
          <w:lang w:eastAsia="zh-CN"/>
        </w:rPr>
        <w:t xml:space="preserve">to </w:t>
      </w:r>
      <w:r w:rsidR="00D63D68">
        <w:rPr>
          <w:lang w:eastAsia="zh-CN"/>
        </w:rPr>
        <w:t xml:space="preserve">6.8 new cases per </w:t>
      </w:r>
      <w:r w:rsidRPr="00C1185E">
        <w:rPr>
          <w:lang w:eastAsia="zh-CN"/>
        </w:rPr>
        <w:t xml:space="preserve">million inhabitants. </w:t>
      </w:r>
      <w:r w:rsidR="00625C41">
        <w:t xml:space="preserve">An estimated prevalence of 9 to </w:t>
      </w:r>
      <w:r>
        <w:t>18 per million in the Australian population is provided by the sponsor</w:t>
      </w:r>
      <w:r>
        <w:rPr>
          <w:rStyle w:val="FootnoteReference"/>
        </w:rPr>
        <w:footnoteReference w:id="2"/>
      </w:r>
      <w:r>
        <w:t xml:space="preserve">, with this based on a 2008 study </w:t>
      </w:r>
      <w:r w:rsidR="00D63D68">
        <w:t xml:space="preserve">by </w:t>
      </w:r>
      <w:proofErr w:type="spellStart"/>
      <w:r w:rsidR="00D63D68">
        <w:t>Ormerod</w:t>
      </w:r>
      <w:proofErr w:type="spellEnd"/>
      <w:r w:rsidR="00D63D68">
        <w:t xml:space="preserve"> and Cook</w:t>
      </w:r>
      <w:r>
        <w:t>.</w:t>
      </w:r>
      <w:r>
        <w:rPr>
          <w:rStyle w:val="FootnoteReference"/>
        </w:rPr>
        <w:footnoteReference w:id="3"/>
      </w:r>
    </w:p>
    <w:p w14:paraId="7B4BEC40" w14:textId="6EC1194F" w:rsidR="00AF7B2C" w:rsidRDefault="00AF7B2C" w:rsidP="00AF7B2C">
      <w:r>
        <w:rPr>
          <w:rFonts w:asciiTheme="minorHAnsi" w:hAnsiTheme="minorHAnsi"/>
        </w:rPr>
        <w:t xml:space="preserve">EGPA </w:t>
      </w:r>
      <w:r w:rsidRPr="00C53FE6">
        <w:rPr>
          <w:rFonts w:asciiTheme="minorHAnsi" w:hAnsiTheme="minorHAnsi"/>
        </w:rPr>
        <w:t xml:space="preserve">is </w:t>
      </w:r>
      <w:r>
        <w:rPr>
          <w:rFonts w:asciiTheme="minorHAnsi" w:hAnsiTheme="minorHAnsi"/>
        </w:rPr>
        <w:t xml:space="preserve">described as </w:t>
      </w:r>
      <w:r w:rsidRPr="00C53FE6">
        <w:rPr>
          <w:rFonts w:asciiTheme="minorHAnsi" w:hAnsiTheme="minorHAnsi"/>
        </w:rPr>
        <w:t>a</w:t>
      </w:r>
      <w:r>
        <w:rPr>
          <w:rFonts w:asciiTheme="minorHAnsi" w:hAnsiTheme="minorHAnsi"/>
        </w:rPr>
        <w:t>n</w:t>
      </w:r>
      <w:r w:rsidRPr="00C53FE6">
        <w:rPr>
          <w:rFonts w:asciiTheme="minorHAnsi" w:hAnsiTheme="minorHAnsi"/>
        </w:rPr>
        <w:t xml:space="preserve"> idiopathic </w:t>
      </w:r>
      <w:r w:rsidR="00D63D68">
        <w:rPr>
          <w:rFonts w:asciiTheme="minorHAnsi" w:eastAsia="Times New Roman" w:hAnsiTheme="minorHAnsi"/>
          <w:lang w:eastAsia="zh-CN"/>
        </w:rPr>
        <w:t>systemic necrotis</w:t>
      </w:r>
      <w:r w:rsidRPr="00C53FE6">
        <w:rPr>
          <w:rFonts w:asciiTheme="minorHAnsi" w:eastAsia="Times New Roman" w:hAnsiTheme="minorHAnsi"/>
          <w:lang w:eastAsia="zh-CN"/>
        </w:rPr>
        <w:t xml:space="preserve">ing vasculitis that </w:t>
      </w:r>
      <w:r w:rsidR="00724C2A">
        <w:rPr>
          <w:rFonts w:asciiTheme="minorHAnsi" w:hAnsiTheme="minorHAnsi"/>
        </w:rPr>
        <w:t>is associated</w:t>
      </w:r>
      <w:r w:rsidRPr="00C53FE6">
        <w:rPr>
          <w:rFonts w:asciiTheme="minorHAnsi" w:hAnsiTheme="minorHAnsi"/>
        </w:rPr>
        <w:t xml:space="preserve"> with asthma and </w:t>
      </w:r>
      <w:r>
        <w:rPr>
          <w:rFonts w:asciiTheme="minorHAnsi" w:hAnsiTheme="minorHAnsi"/>
        </w:rPr>
        <w:t xml:space="preserve">marked blood </w:t>
      </w:r>
      <w:r w:rsidRPr="00C53FE6">
        <w:rPr>
          <w:rFonts w:asciiTheme="minorHAnsi" w:hAnsiTheme="minorHAnsi"/>
        </w:rPr>
        <w:t>eosinophilia</w:t>
      </w:r>
      <w:r>
        <w:rPr>
          <w:rFonts w:asciiTheme="minorHAnsi" w:hAnsiTheme="minorHAnsi"/>
        </w:rPr>
        <w:t xml:space="preserve"> (</w:t>
      </w:r>
      <w:r>
        <w:t>frequently between 5000 and 9000 eosinophils/</w:t>
      </w:r>
      <w:r w:rsidR="007C738F">
        <w:t>µ</w:t>
      </w:r>
      <w:r>
        <w:t>L at diagnosis)</w:t>
      </w:r>
      <w:r w:rsidRPr="00C53FE6">
        <w:rPr>
          <w:rFonts w:asciiTheme="minorHAnsi" w:hAnsiTheme="minorHAnsi"/>
        </w:rPr>
        <w:t xml:space="preserve">. The vasculitis </w:t>
      </w:r>
      <w:r>
        <w:rPr>
          <w:rFonts w:asciiTheme="minorHAnsi" w:hAnsiTheme="minorHAnsi"/>
        </w:rPr>
        <w:t xml:space="preserve">most commonly involves the lungs but </w:t>
      </w:r>
      <w:r w:rsidRPr="00C53FE6">
        <w:rPr>
          <w:rFonts w:asciiTheme="minorHAnsi" w:hAnsiTheme="minorHAnsi"/>
        </w:rPr>
        <w:t>may involve multiple organ systems</w:t>
      </w:r>
      <w:r>
        <w:rPr>
          <w:rFonts w:asciiTheme="minorHAnsi" w:hAnsiTheme="minorHAnsi"/>
        </w:rPr>
        <w:t>. Organ</w:t>
      </w:r>
      <w:r w:rsidRPr="00C53FE6">
        <w:rPr>
          <w:rFonts w:asciiTheme="minorHAnsi" w:hAnsiTheme="minorHAnsi"/>
        </w:rPr>
        <w:t xml:space="preserve"> damage</w:t>
      </w:r>
      <w:r>
        <w:rPr>
          <w:rFonts w:asciiTheme="minorHAnsi" w:hAnsiTheme="minorHAnsi"/>
        </w:rPr>
        <w:t xml:space="preserve"> is believed to result from both v</w:t>
      </w:r>
      <w:r w:rsidRPr="00C53FE6">
        <w:rPr>
          <w:rFonts w:asciiTheme="minorHAnsi" w:hAnsiTheme="minorHAnsi"/>
        </w:rPr>
        <w:t>essel inflammation and eosinophilic proliferation</w:t>
      </w:r>
      <w:r>
        <w:rPr>
          <w:rFonts w:asciiTheme="minorHAnsi" w:hAnsiTheme="minorHAnsi"/>
        </w:rPr>
        <w:t xml:space="preserve">. The aetiology of the disease and the </w:t>
      </w:r>
      <w:r w:rsidRPr="00C53FE6">
        <w:rPr>
          <w:rFonts w:asciiTheme="minorHAnsi" w:hAnsiTheme="minorHAnsi"/>
        </w:rPr>
        <w:t xml:space="preserve">mechanistic relation between the vasculitis and the eosinophilic proliferation is </w:t>
      </w:r>
      <w:r>
        <w:rPr>
          <w:rFonts w:asciiTheme="minorHAnsi" w:hAnsiTheme="minorHAnsi"/>
        </w:rPr>
        <w:t>not kn</w:t>
      </w:r>
      <w:r w:rsidRPr="00C53FE6">
        <w:rPr>
          <w:rFonts w:asciiTheme="minorHAnsi" w:hAnsiTheme="minorHAnsi"/>
        </w:rPr>
        <w:t>own.</w:t>
      </w:r>
      <w:r>
        <w:rPr>
          <w:rFonts w:asciiTheme="minorHAnsi" w:hAnsiTheme="minorHAnsi"/>
        </w:rPr>
        <w:t xml:space="preserve"> Current theories are that </w:t>
      </w:r>
      <w:r>
        <w:t xml:space="preserve">activation of the </w:t>
      </w:r>
      <w:r w:rsidR="00D63D68">
        <w:t>T</w:t>
      </w:r>
      <w:r w:rsidR="007C738F">
        <w:t> </w:t>
      </w:r>
      <w:r w:rsidR="00D63D68">
        <w:t>helper 2 (</w:t>
      </w:r>
      <w:r>
        <w:t>Th-2</w:t>
      </w:r>
      <w:r w:rsidR="00D63D68">
        <w:t xml:space="preserve">) cellular </w:t>
      </w:r>
      <w:r>
        <w:t>mediated inflammatory response and humoral immunity may both play important roles.</w:t>
      </w:r>
    </w:p>
    <w:p w14:paraId="2AB3401F" w14:textId="77777777" w:rsidR="00AF7B2C" w:rsidRDefault="00AF7B2C" w:rsidP="00AF7B2C">
      <w:r>
        <w:rPr>
          <w:rFonts w:asciiTheme="minorHAnsi" w:eastAsia="Times New Roman" w:hAnsiTheme="minorHAnsi"/>
          <w:lang w:eastAsia="zh-CN"/>
        </w:rPr>
        <w:t>EGPA most commonly o</w:t>
      </w:r>
      <w:r w:rsidR="00D63D68">
        <w:rPr>
          <w:rFonts w:asciiTheme="minorHAnsi" w:eastAsia="Times New Roman" w:hAnsiTheme="minorHAnsi"/>
          <w:lang w:eastAsia="zh-CN"/>
        </w:rPr>
        <w:t xml:space="preserve">ccurs in middle age (35 to </w:t>
      </w:r>
      <w:r>
        <w:rPr>
          <w:rFonts w:asciiTheme="minorHAnsi" w:eastAsia="Times New Roman" w:hAnsiTheme="minorHAnsi"/>
          <w:lang w:eastAsia="zh-CN"/>
        </w:rPr>
        <w:t xml:space="preserve">45 years) but has been reported in all age groups. </w:t>
      </w:r>
      <w:r w:rsidRPr="00E118A3">
        <w:t>The patient’s clinical picture is characterised by severe, persistent asthma and allergic rhinitis.</w:t>
      </w:r>
      <w:r>
        <w:t xml:space="preserve"> Non-specific symptoms of malaise, fatigue, weight loss, fever, and myalgia</w:t>
      </w:r>
      <w:r w:rsidRPr="004942EC">
        <w:t xml:space="preserve"> </w:t>
      </w:r>
      <w:r>
        <w:lastRenderedPageBreak/>
        <w:t>may occur. With the onset of vasculitis, symptoms related to the affected organs occur with: pulmonary symptoms of cough and haemoptysis; rash, most commonly</w:t>
      </w:r>
      <w:r w:rsidRPr="00D91337">
        <w:t xml:space="preserve"> </w:t>
      </w:r>
      <w:r>
        <w:t xml:space="preserve">purpuric; cardiac manifestations including </w:t>
      </w:r>
      <w:r w:rsidRPr="004942EC">
        <w:t>pericarditis, pericardial effusion, myocardial infarction, acute heart failure</w:t>
      </w:r>
      <w:r>
        <w:t xml:space="preserve">; renal injury; gastrointestinal manifestations with pain, diarrhoea, bleeding; </w:t>
      </w:r>
      <w:r w:rsidRPr="004942EC">
        <w:t>peripheral neuropathy</w:t>
      </w:r>
      <w:r>
        <w:t xml:space="preserve">, most commonly </w:t>
      </w:r>
      <w:proofErr w:type="spellStart"/>
      <w:r>
        <w:t>mononeuritis</w:t>
      </w:r>
      <w:proofErr w:type="spellEnd"/>
      <w:r>
        <w:t xml:space="preserve"> multiplex</w:t>
      </w:r>
      <w:r w:rsidRPr="004942EC">
        <w:t xml:space="preserve">. Cardiac involvement carries a poor prognosis and causes 50% of the deaths of these patients. </w:t>
      </w:r>
      <w:r>
        <w:t>Most patients respond to treatment with glucoc</w:t>
      </w:r>
      <w:r w:rsidR="00D63D68">
        <w:t xml:space="preserve">orticoids, with remission in 80 to </w:t>
      </w:r>
      <w:r>
        <w:t>90% expected with initial treatment. Refractory disease in the remaining patients may require treatment with cytotoxic immunosuppressive drugs. A relapsing course may also occur despite ongoing treatment with oral corticosteroids, requiring increased corticosteroid dose or addition of other immunosuppressiv</w:t>
      </w:r>
      <w:r w:rsidR="00D63D68">
        <w:t xml:space="preserve">e agents. With treatment, the 1 </w:t>
      </w:r>
      <w:r>
        <w:t xml:space="preserve">year survival rate </w:t>
      </w:r>
      <w:r w:rsidR="00D63D68">
        <w:t xml:space="preserve">is reported to be 90% and the 5 </w:t>
      </w:r>
      <w:r>
        <w:t>year survival rate 62 to 80%.</w:t>
      </w:r>
    </w:p>
    <w:p w14:paraId="39AFBC41" w14:textId="77777777" w:rsidR="00AF7B2C" w:rsidRDefault="004467B1" w:rsidP="00D63D68">
      <w:pPr>
        <w:pStyle w:val="Heading5"/>
      </w:pPr>
      <w:r>
        <w:t xml:space="preserve">Long </w:t>
      </w:r>
      <w:r w:rsidR="00D63D68">
        <w:t xml:space="preserve">term follow </w:t>
      </w:r>
      <w:r w:rsidR="00AF7B2C">
        <w:t>up study</w:t>
      </w:r>
    </w:p>
    <w:p w14:paraId="25D5DF09" w14:textId="77777777" w:rsidR="00AF7B2C" w:rsidRDefault="00D63D68" w:rsidP="00AF7B2C">
      <w:pPr>
        <w:rPr>
          <w:lang w:eastAsia="zh-CN"/>
        </w:rPr>
      </w:pPr>
      <w:r>
        <w:rPr>
          <w:lang w:eastAsia="zh-CN"/>
        </w:rPr>
        <w:t xml:space="preserve">The largest long term follow up </w:t>
      </w:r>
      <w:r w:rsidR="00AF7B2C">
        <w:rPr>
          <w:lang w:eastAsia="zh-CN"/>
        </w:rPr>
        <w:t>study of patients with EGPA was authored by the F</w:t>
      </w:r>
      <w:r w:rsidR="00AF7B2C" w:rsidRPr="0015577D">
        <w:rPr>
          <w:lang w:eastAsia="zh-CN"/>
        </w:rPr>
        <w:t xml:space="preserve">rench Vasculitis Study Group </w:t>
      </w:r>
      <w:r w:rsidR="00AF7B2C">
        <w:rPr>
          <w:lang w:eastAsia="zh-CN"/>
        </w:rPr>
        <w:t xml:space="preserve">who reported on </w:t>
      </w:r>
      <w:r w:rsidR="00AF7B2C" w:rsidRPr="0015577D">
        <w:rPr>
          <w:lang w:eastAsia="zh-CN"/>
        </w:rPr>
        <w:t>383 patients diagnosed between 1957 and 2009</w:t>
      </w:r>
      <w:r w:rsidR="00AF7B2C">
        <w:rPr>
          <w:lang w:eastAsia="zh-CN"/>
        </w:rPr>
        <w:t xml:space="preserve"> and followed up for a median of 50.5 months</w:t>
      </w:r>
      <w:r w:rsidR="004467B1">
        <w:rPr>
          <w:lang w:eastAsia="zh-CN"/>
        </w:rPr>
        <w:t>.</w:t>
      </w:r>
      <w:r w:rsidR="00AF7B2C" w:rsidRPr="0015577D">
        <w:rPr>
          <w:rStyle w:val="FootnoteReference"/>
          <w:rFonts w:asciiTheme="minorHAnsi" w:eastAsia="Times New Roman" w:hAnsiTheme="minorHAnsi"/>
          <w:lang w:eastAsia="zh-CN"/>
        </w:rPr>
        <w:footnoteReference w:id="4"/>
      </w:r>
    </w:p>
    <w:p w14:paraId="18DA1272" w14:textId="77777777" w:rsidR="00AF7B2C" w:rsidRDefault="00AF7B2C" w:rsidP="00AF7B2C">
      <w:pPr>
        <w:spacing w:after="0"/>
        <w:rPr>
          <w:lang w:eastAsia="zh-CN"/>
        </w:rPr>
      </w:pPr>
      <w:r>
        <w:rPr>
          <w:lang w:eastAsia="zh-CN"/>
        </w:rPr>
        <w:t>In this study, the main clinical characteristics at diagnosis were:</w:t>
      </w:r>
    </w:p>
    <w:p w14:paraId="01025F68" w14:textId="77777777" w:rsidR="00624472" w:rsidRDefault="004467B1" w:rsidP="002C4984">
      <w:pPr>
        <w:pStyle w:val="ListBullet"/>
      </w:pPr>
      <w:r>
        <w:t>M</w:t>
      </w:r>
      <w:r w:rsidR="00AF7B2C" w:rsidRPr="0015577D">
        <w:t>ean</w:t>
      </w:r>
      <w:r>
        <w:t xml:space="preserve"> </w:t>
      </w:r>
      <w:r w:rsidR="00AF7B2C" w:rsidRPr="0015577D">
        <w:t>±</w:t>
      </w:r>
      <w:r>
        <w:t xml:space="preserve"> standard deviation (</w:t>
      </w:r>
      <w:r w:rsidR="00AF7B2C" w:rsidRPr="0015577D">
        <w:t>SD</w:t>
      </w:r>
      <w:r>
        <w:t>)</w:t>
      </w:r>
      <w:r w:rsidR="00AF7B2C" w:rsidRPr="0015577D">
        <w:t xml:space="preserve"> age was 50.3</w:t>
      </w:r>
      <w:r>
        <w:t xml:space="preserve"> </w:t>
      </w:r>
      <w:r w:rsidR="00AF7B2C" w:rsidRPr="0015577D">
        <w:t>±</w:t>
      </w:r>
      <w:r>
        <w:t xml:space="preserve"> </w:t>
      </w:r>
      <w:r w:rsidR="00AF7B2C" w:rsidRPr="0015577D">
        <w:t>15.7 years</w:t>
      </w:r>
      <w:r w:rsidR="00AF7B2C">
        <w:t>;</w:t>
      </w:r>
      <w:r w:rsidR="00AF7B2C" w:rsidRPr="0015577D">
        <w:t xml:space="preserve"> </w:t>
      </w:r>
      <w:r w:rsidR="00AF7B2C">
        <w:t>48% were female</w:t>
      </w:r>
      <w:r>
        <w:t>.</w:t>
      </w:r>
    </w:p>
    <w:p w14:paraId="5312D0E7" w14:textId="77777777" w:rsidR="00AF7B2C" w:rsidRDefault="004467B1" w:rsidP="002C4984">
      <w:pPr>
        <w:pStyle w:val="ListBullet"/>
      </w:pPr>
      <w:r>
        <w:t>M</w:t>
      </w:r>
      <w:r w:rsidR="00AF7B2C" w:rsidRPr="0015577D">
        <w:t xml:space="preserve">ain manifestations </w:t>
      </w:r>
      <w:r w:rsidR="00AF7B2C">
        <w:t xml:space="preserve">of EGPA </w:t>
      </w:r>
      <w:r w:rsidR="00AF7B2C" w:rsidRPr="0015577D">
        <w:t>included asthma (91.1%</w:t>
      </w:r>
      <w:r w:rsidR="00AF7B2C">
        <w:t xml:space="preserve">, </w:t>
      </w:r>
      <w:r w:rsidR="00AF7B2C" w:rsidRPr="0015577D">
        <w:t>duration 9.3</w:t>
      </w:r>
      <w:r>
        <w:t xml:space="preserve"> </w:t>
      </w:r>
      <w:r w:rsidR="00AF7B2C" w:rsidRPr="0015577D">
        <w:t>±</w:t>
      </w:r>
      <w:r>
        <w:t xml:space="preserve"> </w:t>
      </w:r>
      <w:r w:rsidR="00AF7B2C" w:rsidRPr="0015577D">
        <w:t>10.8 years)</w:t>
      </w:r>
      <w:r w:rsidR="00AF7B2C">
        <w:t xml:space="preserve">, </w:t>
      </w:r>
      <w:r w:rsidR="00AF7B2C" w:rsidRPr="0015577D">
        <w:t>peripheral neuropathy (51.4%); ear, nose, and throat signs (48.0%); skin lesions (39.7%); lung infiltrates (38.6%); and cardiomyopathy (16.4%</w:t>
      </w:r>
      <w:r w:rsidR="00AF7B2C">
        <w:t>)</w:t>
      </w:r>
      <w:r>
        <w:t>.</w:t>
      </w:r>
    </w:p>
    <w:p w14:paraId="13E509A2" w14:textId="77777777" w:rsidR="00AF7B2C" w:rsidRDefault="004467B1" w:rsidP="002C4984">
      <w:pPr>
        <w:pStyle w:val="ListBullet"/>
      </w:pPr>
      <w:r>
        <w:t>M</w:t>
      </w:r>
      <w:r w:rsidR="00AF7B2C" w:rsidRPr="0015577D">
        <w:t>ean</w:t>
      </w:r>
      <w:r>
        <w:t xml:space="preserve"> </w:t>
      </w:r>
      <w:r w:rsidR="00AF7B2C" w:rsidRPr="0015577D">
        <w:t>±</w:t>
      </w:r>
      <w:r>
        <w:t xml:space="preserve"> </w:t>
      </w:r>
      <w:r w:rsidR="00AF7B2C" w:rsidRPr="0015577D">
        <w:t xml:space="preserve">SD </w:t>
      </w:r>
      <w:r w:rsidRPr="004467B1">
        <w:t xml:space="preserve">Birmingham Vasculitis Activity Score </w:t>
      </w:r>
      <w:r>
        <w:t>(</w:t>
      </w:r>
      <w:r w:rsidR="00AF7B2C">
        <w:t>BVAS</w:t>
      </w:r>
      <w:r>
        <w:t>)</w:t>
      </w:r>
      <w:r w:rsidR="00AF7B2C">
        <w:t xml:space="preserve"> was 19.1 ± 8.4; mean ± </w:t>
      </w:r>
      <w:r>
        <w:t>SD blood eosinophil count was 7569 ± 6</w:t>
      </w:r>
      <w:r w:rsidR="00AF7B2C">
        <w:t>428/mm</w:t>
      </w:r>
      <w:r w:rsidR="00AF7B2C" w:rsidRPr="009D2FA0">
        <w:rPr>
          <w:vertAlign w:val="superscript"/>
        </w:rPr>
        <w:t>3</w:t>
      </w:r>
      <w:r w:rsidR="00AF7B2C">
        <w:t xml:space="preserve">. </w:t>
      </w:r>
      <w:r w:rsidR="00AF7B2C" w:rsidRPr="0015577D">
        <w:t xml:space="preserve">108 </w:t>
      </w:r>
      <w:r w:rsidR="00AF7B2C">
        <w:t xml:space="preserve">(28%) </w:t>
      </w:r>
      <w:r w:rsidR="00AF7B2C" w:rsidRPr="0015577D">
        <w:t xml:space="preserve">were </w:t>
      </w:r>
      <w:r>
        <w:t>a</w:t>
      </w:r>
      <w:r w:rsidRPr="004467B1">
        <w:t>nti-n</w:t>
      </w:r>
      <w:r>
        <w:t>eutrophil cytoplasmic antibody</w:t>
      </w:r>
      <w:r w:rsidRPr="004467B1">
        <w:t xml:space="preserve"> </w:t>
      </w:r>
      <w:r>
        <w:t>(</w:t>
      </w:r>
      <w:r w:rsidR="00AF7B2C" w:rsidRPr="0015577D">
        <w:t>ANCA</w:t>
      </w:r>
      <w:r>
        <w:t xml:space="preserve">) </w:t>
      </w:r>
      <w:r w:rsidR="00AF7B2C" w:rsidRPr="0015577D">
        <w:t>positive</w:t>
      </w:r>
      <w:r>
        <w:t>.</w:t>
      </w:r>
    </w:p>
    <w:p w14:paraId="54AF5761" w14:textId="77777777" w:rsidR="00AF7B2C" w:rsidRDefault="004467B1" w:rsidP="002C4984">
      <w:pPr>
        <w:pStyle w:val="ListBullet"/>
      </w:pPr>
      <w:r>
        <w:t xml:space="preserve">145 out of </w:t>
      </w:r>
      <w:r w:rsidR="00AF7B2C">
        <w:t>180 patients with biopsy had histologic findings supporting a diagnosis of EGPA</w:t>
      </w:r>
      <w:r>
        <w:t>.</w:t>
      </w:r>
    </w:p>
    <w:p w14:paraId="65B801AC" w14:textId="77777777" w:rsidR="00AF7B2C" w:rsidRPr="000E1400" w:rsidRDefault="00AF7B2C" w:rsidP="00AF7B2C">
      <w:r>
        <w:t xml:space="preserve">Remission induction was by corticosteroids alone for 169 patients (44%) and combination with </w:t>
      </w:r>
      <w:proofErr w:type="spellStart"/>
      <w:r>
        <w:t>immunosuppressants</w:t>
      </w:r>
      <w:proofErr w:type="spellEnd"/>
      <w:r>
        <w:t xml:space="preserve"> for 214 patients (56%).</w:t>
      </w:r>
      <w:r>
        <w:rPr>
          <w:i/>
        </w:rPr>
        <w:t xml:space="preserve"> </w:t>
      </w:r>
      <w:r>
        <w:t>Vasculitis relapse occurred in 97</w:t>
      </w:r>
      <w:r w:rsidR="004467B1">
        <w:t xml:space="preserve"> patients (25.3%). One or more </w:t>
      </w:r>
      <w:proofErr w:type="spellStart"/>
      <w:r w:rsidR="004467B1">
        <w:t>i</w:t>
      </w:r>
      <w:r>
        <w:t>mmunosuppressants</w:t>
      </w:r>
      <w:proofErr w:type="spellEnd"/>
      <w:r>
        <w:t xml:space="preserve"> were required by 271 patients (70.8%) in total, including both remission induction and management of relapse. These included: cyclophosphamide for 217 (56.7%), azathioprine for 98 (25.6%), methotrexate for 26 (6.8%), and rituximab for 3 (0.8%). Among the 280 patients for whom data on prednisone use at their last visit was available, 44 (15.7%) were not taking prednisone (mean ± SD duration of corticosteroid use 65.8 ± 44.5 months).</w:t>
      </w:r>
    </w:p>
    <w:p w14:paraId="5F2510BA" w14:textId="77777777" w:rsidR="00AF7B2C" w:rsidRPr="000E1400" w:rsidRDefault="004467B1" w:rsidP="00AF7B2C">
      <w:r>
        <w:t xml:space="preserve">Kaplan Meier analyses found that the five </w:t>
      </w:r>
      <w:r w:rsidR="00AF7B2C">
        <w:t>year survi</w:t>
      </w:r>
      <w:r>
        <w:t xml:space="preserve">val rate was 88.9% (95% </w:t>
      </w:r>
      <w:r w:rsidR="00B75FFB">
        <w:t>confidence interval (</w:t>
      </w:r>
      <w:r>
        <w:t>CI</w:t>
      </w:r>
      <w:r w:rsidR="00B75FFB">
        <w:t>)</w:t>
      </w:r>
      <w:r>
        <w:t xml:space="preserve"> 84.3 to 92.2) and the 10 year relapse </w:t>
      </w:r>
      <w:r w:rsidR="00AF7B2C">
        <w:t>free survival rat</w:t>
      </w:r>
      <w:r>
        <w:t xml:space="preserve">e was 54.4% (95% CI 45.8 to </w:t>
      </w:r>
      <w:r w:rsidR="00AF7B2C">
        <w:t>61.6).</w:t>
      </w:r>
    </w:p>
    <w:p w14:paraId="2BFFA955" w14:textId="311C1694" w:rsidR="00624472" w:rsidRDefault="00AF7B2C" w:rsidP="00AF7B2C">
      <w:r>
        <w:t>There were 45 deaths (5.6%), with these occurring a mean of 50.4 months (median 21.4</w:t>
      </w:r>
      <w:r w:rsidR="007C738F">
        <w:t> </w:t>
      </w:r>
      <w:r>
        <w:t>months) after diagnosis and attributed to cardiac events (myocardial infarction, cardiac insufficiency, or arrhythmia) in 14 patients,</w:t>
      </w:r>
      <w:r w:rsidRPr="000E1400">
        <w:t xml:space="preserve"> </w:t>
      </w:r>
      <w:r>
        <w:t>infections or cancers in 5 patients each, active vasculitis or respiratory events (severe asthma attacks and/or terminal chronic obstructive pulmonary disease) in 4 patients each, and miscellaneous causes in the remaining 13 patients</w:t>
      </w:r>
      <w:r w:rsidR="00624472">
        <w:t>.</w:t>
      </w:r>
    </w:p>
    <w:p w14:paraId="0A0FDBBA" w14:textId="77777777" w:rsidR="00AF7B2C" w:rsidRPr="000E1400" w:rsidRDefault="004467B1" w:rsidP="00AF7B2C">
      <w:r>
        <w:t xml:space="preserve">During follow </w:t>
      </w:r>
      <w:r w:rsidR="00AF7B2C">
        <w:t xml:space="preserve">up, malignancies were diagnosed in 13 patients. The cancer incidence did not differ significantly from that expected in the general population of France. There were </w:t>
      </w:r>
      <w:r w:rsidR="00AF7B2C">
        <w:lastRenderedPageBreak/>
        <w:t xml:space="preserve">11 solid tumours (1 colon cancer, 2 basal cell skin carcinomas, 1 bladder cancer, 1 breast cancer, and the 5 fatal cancers </w:t>
      </w:r>
      <w:r w:rsidR="002E4BF6">
        <w:t>(</w:t>
      </w:r>
      <w:r w:rsidR="00AF7B2C">
        <w:t>1 colon, 1 ovarian, 1 lung, and 1 gastric, and 1 glioblastoma in a man who also had prostate cancer</w:t>
      </w:r>
      <w:r w:rsidR="002E4BF6">
        <w:t>)</w:t>
      </w:r>
      <w:r w:rsidR="00AF7B2C">
        <w:t xml:space="preserve">) and 3 </w:t>
      </w:r>
      <w:proofErr w:type="spellStart"/>
      <w:r w:rsidR="00AF7B2C">
        <w:t>haematologic</w:t>
      </w:r>
      <w:proofErr w:type="spellEnd"/>
      <w:r w:rsidR="00AF7B2C">
        <w:t xml:space="preserve"> neoplasms (1 B-cell lymphoma, 1 </w:t>
      </w:r>
      <w:proofErr w:type="spellStart"/>
      <w:r w:rsidR="00AF7B2C">
        <w:t>polycythemia</w:t>
      </w:r>
      <w:proofErr w:type="spellEnd"/>
      <w:r w:rsidR="00AF7B2C">
        <w:t xml:space="preserve"> </w:t>
      </w:r>
      <w:proofErr w:type="spellStart"/>
      <w:r w:rsidR="00AF7B2C">
        <w:t>vera</w:t>
      </w:r>
      <w:proofErr w:type="spellEnd"/>
      <w:r w:rsidR="00AF7B2C">
        <w:t xml:space="preserve">, and 1 myelodysplasia). Nine of these patients had received cyclophosphamide; 2 took </w:t>
      </w:r>
      <w:proofErr w:type="spellStart"/>
      <w:r w:rsidR="00AF7B2C">
        <w:t>immunosuppressants</w:t>
      </w:r>
      <w:proofErr w:type="spellEnd"/>
      <w:r w:rsidR="00AF7B2C">
        <w:t xml:space="preserve"> other than cyclophosphamide; and 2 had been treated with corticosteroids only.</w:t>
      </w:r>
    </w:p>
    <w:p w14:paraId="1D6D2ABD" w14:textId="77777777" w:rsidR="00AF7B2C" w:rsidRDefault="00AF7B2C" w:rsidP="00D63D68">
      <w:pPr>
        <w:pStyle w:val="Heading5"/>
      </w:pPr>
      <w:r>
        <w:t>Diagnostic criteria</w:t>
      </w:r>
    </w:p>
    <w:p w14:paraId="000D6909" w14:textId="77777777" w:rsidR="00AF7B2C" w:rsidRDefault="00AF7B2C" w:rsidP="00AF7B2C">
      <w:pPr>
        <w:spacing w:before="0" w:after="0" w:line="240" w:lineRule="auto"/>
      </w:pPr>
      <w:r>
        <w:t xml:space="preserve">There is no pathognomonic test for EGPA. Diagnosis </w:t>
      </w:r>
      <w:r w:rsidRPr="004942EC">
        <w:t xml:space="preserve">is based on the clinical </w:t>
      </w:r>
      <w:r>
        <w:t xml:space="preserve">criteria: blood </w:t>
      </w:r>
      <w:r w:rsidRPr="004942EC">
        <w:t>eosinophilia</w:t>
      </w:r>
      <w:r>
        <w:t xml:space="preserve">; </w:t>
      </w:r>
      <w:r w:rsidRPr="004942EC">
        <w:t>asthma</w:t>
      </w:r>
      <w:r>
        <w:t>; and evidence of systemic involvement. B</w:t>
      </w:r>
      <w:r w:rsidRPr="004942EC">
        <w:t>iopsy of an affected tissue</w:t>
      </w:r>
      <w:r>
        <w:t xml:space="preserve"> is r</w:t>
      </w:r>
      <w:r w:rsidRPr="004942EC">
        <w:t xml:space="preserve">ecommended to confirm vasculitis </w:t>
      </w:r>
      <w:r w:rsidRPr="004942EC">
        <w:rPr>
          <w:rFonts w:eastAsiaTheme="minorHAnsi" w:cs="AdvTT5235d5a9"/>
        </w:rPr>
        <w:t>and/or eosinophilic in</w:t>
      </w:r>
      <w:r w:rsidRPr="004942EC">
        <w:rPr>
          <w:rFonts w:eastAsiaTheme="minorHAnsi" w:cs="AdvTT5235d5a9+fb"/>
        </w:rPr>
        <w:t>fi</w:t>
      </w:r>
      <w:r w:rsidRPr="004942EC">
        <w:rPr>
          <w:rFonts w:eastAsiaTheme="minorHAnsi" w:cs="AdvTT5235d5a9"/>
        </w:rPr>
        <w:t>ltration and/or granulomatous in</w:t>
      </w:r>
      <w:r w:rsidRPr="004942EC">
        <w:rPr>
          <w:rFonts w:eastAsiaTheme="minorHAnsi" w:cs="AdvTT5235d5a9+fb"/>
        </w:rPr>
        <w:t>fl</w:t>
      </w:r>
      <w:r>
        <w:rPr>
          <w:rFonts w:eastAsiaTheme="minorHAnsi" w:cs="AdvTT5235d5a9"/>
        </w:rPr>
        <w:t xml:space="preserve">ammation. </w:t>
      </w:r>
      <w:r w:rsidR="004467B1">
        <w:t>ANCA</w:t>
      </w:r>
      <w:r>
        <w:t xml:space="preserve"> testin</w:t>
      </w:r>
      <w:r w:rsidR="004467B1">
        <w:t xml:space="preserve">g is usually performed, with 30 to </w:t>
      </w:r>
      <w:r>
        <w:t>75% of EGPA patients testing positive.</w:t>
      </w:r>
    </w:p>
    <w:p w14:paraId="1D831F9D" w14:textId="77777777" w:rsidR="00AF7B2C" w:rsidRDefault="006879B1" w:rsidP="00AF7B2C">
      <w:r>
        <w:fldChar w:fldCharType="begin"/>
      </w:r>
      <w:r>
        <w:instrText xml:space="preserve"> REF _Ref14871587 \h </w:instrText>
      </w:r>
      <w:r>
        <w:fldChar w:fldCharType="separate"/>
      </w:r>
      <w:r>
        <w:t xml:space="preserve">Table </w:t>
      </w:r>
      <w:r>
        <w:rPr>
          <w:noProof/>
        </w:rPr>
        <w:t>5</w:t>
      </w:r>
      <w:r>
        <w:fldChar w:fldCharType="end"/>
      </w:r>
      <w:r>
        <w:t xml:space="preserve"> </w:t>
      </w:r>
      <w:r w:rsidR="00AF7B2C">
        <w:t>shows diagnostic criteria developed by different groups over time.</w:t>
      </w:r>
    </w:p>
    <w:p w14:paraId="4A609D5B" w14:textId="77777777" w:rsidR="00AF7B2C" w:rsidRPr="00130106" w:rsidRDefault="00FA4A74" w:rsidP="00FA4A74">
      <w:pPr>
        <w:pStyle w:val="TableTitle"/>
      </w:pPr>
      <w:bookmarkStart w:id="55" w:name="_Ref14871587"/>
      <w:bookmarkStart w:id="56" w:name="_Toc525724213"/>
      <w:r>
        <w:t xml:space="preserve">Table </w:t>
      </w:r>
      <w:r w:rsidR="00C33647">
        <w:rPr>
          <w:noProof/>
        </w:rPr>
        <w:fldChar w:fldCharType="begin"/>
      </w:r>
      <w:r w:rsidR="00C33647">
        <w:rPr>
          <w:noProof/>
        </w:rPr>
        <w:instrText xml:space="preserve"> SEQ Table \* ARABIC </w:instrText>
      </w:r>
      <w:r w:rsidR="00C33647">
        <w:rPr>
          <w:noProof/>
        </w:rPr>
        <w:fldChar w:fldCharType="separate"/>
      </w:r>
      <w:r w:rsidR="00D84518">
        <w:rPr>
          <w:noProof/>
        </w:rPr>
        <w:t>5</w:t>
      </w:r>
      <w:r w:rsidR="00C33647">
        <w:rPr>
          <w:noProof/>
        </w:rPr>
        <w:fldChar w:fldCharType="end"/>
      </w:r>
      <w:bookmarkEnd w:id="55"/>
      <w:r w:rsidR="004467B1">
        <w:t xml:space="preserve">: </w:t>
      </w:r>
      <w:r w:rsidR="00AF7B2C" w:rsidRPr="00130106">
        <w:t xml:space="preserve">Diagnostic </w:t>
      </w:r>
      <w:r w:rsidR="004467B1" w:rsidRPr="00130106">
        <w:t>criteria, classification, and nomenclature</w:t>
      </w:r>
      <w:bookmarkEnd w:id="56"/>
      <w:r w:rsidR="004467B1">
        <w:t xml:space="preserve"> of EGPA during the last 20 years</w:t>
      </w:r>
    </w:p>
    <w:p w14:paraId="778192EF" w14:textId="77777777" w:rsidR="00AF7B2C" w:rsidRDefault="004467B1" w:rsidP="00AF7B2C">
      <w:r>
        <w:rPr>
          <w:noProof/>
          <w:lang w:eastAsia="en-AU"/>
        </w:rPr>
        <w:drawing>
          <wp:inline distT="0" distB="0" distL="0" distR="0" wp14:anchorId="74D14E39" wp14:editId="1CB2DC44">
            <wp:extent cx="5354726" cy="1558935"/>
            <wp:effectExtent l="0" t="0" r="0" b="3175"/>
            <wp:docPr id="3" name="Picture 3" descr="Diagnostic criteria, classification, and nomenclature of EGPA during the last 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59783" cy="1560407"/>
                    </a:xfrm>
                    <a:prstGeom prst="rect">
                      <a:avLst/>
                    </a:prstGeom>
                  </pic:spPr>
                </pic:pic>
              </a:graphicData>
            </a:graphic>
          </wp:inline>
        </w:drawing>
      </w:r>
    </w:p>
    <w:p w14:paraId="40EEC3B9" w14:textId="77777777" w:rsidR="00AF7B2C" w:rsidRPr="00786AEC" w:rsidRDefault="00AF7B2C" w:rsidP="004467B1">
      <w:pPr>
        <w:pStyle w:val="TableDescription"/>
        <w:rPr>
          <w:lang w:eastAsia="ja-JP"/>
        </w:rPr>
      </w:pPr>
      <w:r w:rsidRPr="00786AEC">
        <w:t xml:space="preserve">Source: </w:t>
      </w:r>
      <w:proofErr w:type="spellStart"/>
      <w:r w:rsidR="004467B1">
        <w:t>Gioffredi</w:t>
      </w:r>
      <w:proofErr w:type="spellEnd"/>
      <w:r w:rsidR="004467B1">
        <w:t>, A. et al. (2014)</w:t>
      </w:r>
      <w:r w:rsidRPr="00786AEC">
        <w:t>.</w:t>
      </w:r>
      <w:r w:rsidR="00583879">
        <w:rPr>
          <w:rStyle w:val="FootnoteReference"/>
        </w:rPr>
        <w:footnoteReference w:id="5"/>
      </w:r>
    </w:p>
    <w:p w14:paraId="22D77570" w14:textId="1BDC8A6A" w:rsidR="00AF7B2C" w:rsidRDefault="00AF7B2C" w:rsidP="00AF7B2C">
      <w:r>
        <w:t xml:space="preserve">In 1990, the American College of Rheumatology described classification criteria to distinguish between the different types of </w:t>
      </w:r>
      <w:proofErr w:type="spellStart"/>
      <w:r>
        <w:t>vasculitides</w:t>
      </w:r>
      <w:proofErr w:type="spellEnd"/>
      <w:r>
        <w:t>.</w:t>
      </w:r>
      <w:r>
        <w:rPr>
          <w:rStyle w:val="FootnoteReference"/>
        </w:rPr>
        <w:footnoteReference w:id="6"/>
      </w:r>
      <w:r>
        <w:t xml:space="preserve"> The group identifi</w:t>
      </w:r>
      <w:r w:rsidR="00803C74">
        <w:t>ed six criteria for EGPA (</w:t>
      </w:r>
      <w:proofErr w:type="spellStart"/>
      <w:r w:rsidR="00803C74">
        <w:t>Churg</w:t>
      </w:r>
      <w:proofErr w:type="spellEnd"/>
      <w:r w:rsidR="00803C74">
        <w:noBreakHyphen/>
      </w:r>
      <w:r>
        <w:t xml:space="preserve">Strauss </w:t>
      </w:r>
      <w:r w:rsidR="007C738F">
        <w:t>syndrome</w:t>
      </w:r>
      <w:r>
        <w:t xml:space="preserve">) with the presence of four or more of these criteria required for the vasculitis to be classified as EGPA (see </w:t>
      </w:r>
      <w:r w:rsidR="006879B1">
        <w:rPr>
          <w:highlight w:val="yellow"/>
        </w:rPr>
        <w:fldChar w:fldCharType="begin"/>
      </w:r>
      <w:r w:rsidR="006879B1">
        <w:instrText xml:space="preserve"> REF _Ref14871587 \h </w:instrText>
      </w:r>
      <w:r w:rsidR="006879B1">
        <w:rPr>
          <w:highlight w:val="yellow"/>
        </w:rPr>
      </w:r>
      <w:r w:rsidR="006879B1">
        <w:rPr>
          <w:highlight w:val="yellow"/>
        </w:rPr>
        <w:fldChar w:fldCharType="separate"/>
      </w:r>
      <w:r w:rsidR="006879B1">
        <w:t xml:space="preserve">Table </w:t>
      </w:r>
      <w:r w:rsidR="006879B1">
        <w:rPr>
          <w:noProof/>
        </w:rPr>
        <w:t>5</w:t>
      </w:r>
      <w:r w:rsidR="006879B1">
        <w:rPr>
          <w:highlight w:val="yellow"/>
        </w:rPr>
        <w:fldChar w:fldCharType="end"/>
      </w:r>
      <w:r>
        <w:t xml:space="preserve"> above). </w:t>
      </w:r>
      <w:r w:rsidRPr="00D14FCA">
        <w:rPr>
          <w:rFonts w:asciiTheme="minorHAnsi" w:hAnsiTheme="minorHAnsi"/>
        </w:rPr>
        <w:t xml:space="preserve">In 1994, the first International Chapel Hill Consensus Conference </w:t>
      </w:r>
      <w:r w:rsidR="00F920CA" w:rsidRPr="00D14FCA">
        <w:rPr>
          <w:rFonts w:asciiTheme="minorHAnsi" w:hAnsiTheme="minorHAnsi"/>
        </w:rPr>
        <w:t>(CHCC)</w:t>
      </w:r>
      <w:r w:rsidR="00F920CA">
        <w:rPr>
          <w:rFonts w:asciiTheme="minorHAnsi" w:hAnsiTheme="minorHAnsi"/>
        </w:rPr>
        <w:t xml:space="preserve"> </w:t>
      </w:r>
      <w:r w:rsidRPr="00D14FCA">
        <w:rPr>
          <w:rFonts w:asciiTheme="minorHAnsi" w:hAnsiTheme="minorHAnsi"/>
        </w:rPr>
        <w:t xml:space="preserve">on the Nomenclature of Systemic </w:t>
      </w:r>
      <w:proofErr w:type="spellStart"/>
      <w:r w:rsidRPr="00D14FCA">
        <w:rPr>
          <w:rFonts w:asciiTheme="minorHAnsi" w:hAnsiTheme="minorHAnsi"/>
        </w:rPr>
        <w:t>Vasculitides</w:t>
      </w:r>
      <w:proofErr w:type="spellEnd"/>
      <w:r w:rsidR="00717E67">
        <w:rPr>
          <w:rFonts w:asciiTheme="minorHAnsi" w:hAnsiTheme="minorHAnsi"/>
        </w:rPr>
        <w:t>;</w:t>
      </w:r>
      <w:r>
        <w:rPr>
          <w:rStyle w:val="FootnoteReference"/>
          <w:rFonts w:asciiTheme="minorHAnsi" w:hAnsiTheme="minorHAnsi"/>
        </w:rPr>
        <w:footnoteReference w:id="7"/>
      </w:r>
      <w:r w:rsidRPr="00D14FCA">
        <w:rPr>
          <w:rFonts w:asciiTheme="minorHAnsi" w:hAnsiTheme="minorHAnsi"/>
        </w:rPr>
        <w:t xml:space="preserve"> proposed </w:t>
      </w:r>
      <w:r>
        <w:rPr>
          <w:rFonts w:asciiTheme="minorHAnsi" w:hAnsiTheme="minorHAnsi"/>
        </w:rPr>
        <w:t>the definition of</w:t>
      </w:r>
      <w:r w:rsidRPr="00D14FCA">
        <w:rPr>
          <w:rFonts w:asciiTheme="minorHAnsi" w:hAnsiTheme="minorHAnsi"/>
        </w:rPr>
        <w:t xml:space="preserve"> </w:t>
      </w:r>
      <w:proofErr w:type="spellStart"/>
      <w:r w:rsidRPr="00D14FCA">
        <w:rPr>
          <w:rFonts w:asciiTheme="minorHAnsi" w:hAnsiTheme="minorHAnsi"/>
        </w:rPr>
        <w:t>Churg</w:t>
      </w:r>
      <w:proofErr w:type="spellEnd"/>
      <w:r w:rsidRPr="00D14FCA">
        <w:rPr>
          <w:rFonts w:asciiTheme="minorHAnsi" w:hAnsiTheme="minorHAnsi"/>
        </w:rPr>
        <w:t xml:space="preserve">-Strauss Syndrome </w:t>
      </w:r>
      <w:r w:rsidR="00F920CA">
        <w:rPr>
          <w:rFonts w:asciiTheme="minorHAnsi" w:hAnsiTheme="minorHAnsi"/>
        </w:rPr>
        <w:t xml:space="preserve">shown in </w:t>
      </w:r>
      <w:r w:rsidR="006879B1">
        <w:rPr>
          <w:rFonts w:asciiTheme="minorHAnsi" w:hAnsiTheme="minorHAnsi"/>
          <w:highlight w:val="yellow"/>
        </w:rPr>
        <w:fldChar w:fldCharType="begin"/>
      </w:r>
      <w:r w:rsidR="006879B1">
        <w:rPr>
          <w:rFonts w:asciiTheme="minorHAnsi" w:hAnsiTheme="minorHAnsi"/>
        </w:rPr>
        <w:instrText xml:space="preserve"> REF _Ref14871587 \h </w:instrText>
      </w:r>
      <w:r w:rsidR="006879B1">
        <w:rPr>
          <w:rFonts w:asciiTheme="minorHAnsi" w:hAnsiTheme="minorHAnsi"/>
          <w:highlight w:val="yellow"/>
        </w:rPr>
      </w:r>
      <w:r w:rsidR="006879B1">
        <w:rPr>
          <w:rFonts w:asciiTheme="minorHAnsi" w:hAnsiTheme="minorHAnsi"/>
          <w:highlight w:val="yellow"/>
        </w:rPr>
        <w:fldChar w:fldCharType="separate"/>
      </w:r>
      <w:r w:rsidR="006879B1">
        <w:t>Table</w:t>
      </w:r>
      <w:r w:rsidR="007C738F">
        <w:t> </w:t>
      </w:r>
      <w:r w:rsidR="006879B1">
        <w:rPr>
          <w:noProof/>
        </w:rPr>
        <w:t>5</w:t>
      </w:r>
      <w:r w:rsidR="006879B1">
        <w:rPr>
          <w:rFonts w:asciiTheme="minorHAnsi" w:hAnsiTheme="minorHAnsi"/>
          <w:highlight w:val="yellow"/>
        </w:rPr>
        <w:fldChar w:fldCharType="end"/>
      </w:r>
      <w:r w:rsidR="006879B1">
        <w:rPr>
          <w:rFonts w:asciiTheme="minorHAnsi" w:hAnsiTheme="minorHAnsi"/>
        </w:rPr>
        <w:t xml:space="preserve"> </w:t>
      </w:r>
      <w:r w:rsidR="00F920CA">
        <w:rPr>
          <w:rFonts w:asciiTheme="minorHAnsi" w:hAnsiTheme="minorHAnsi"/>
        </w:rPr>
        <w:t>above</w:t>
      </w:r>
      <w:r>
        <w:rPr>
          <w:rFonts w:asciiTheme="minorHAnsi" w:hAnsiTheme="minorHAnsi"/>
        </w:rPr>
        <w:t xml:space="preserve">. </w:t>
      </w:r>
      <w:r w:rsidRPr="00D14FCA">
        <w:rPr>
          <w:rFonts w:asciiTheme="minorHAnsi" w:eastAsia="Times New Roman" w:hAnsiTheme="minorHAnsi" w:cs="Arial"/>
          <w:lang w:eastAsia="zh-CN"/>
        </w:rPr>
        <w:t>In 2012,</w:t>
      </w:r>
      <w:r w:rsidRPr="00D14FCA">
        <w:rPr>
          <w:rFonts w:asciiTheme="minorHAnsi" w:eastAsia="Times New Roman" w:hAnsiTheme="minorHAnsi" w:cs="Arial"/>
          <w:i/>
          <w:lang w:eastAsia="zh-CN"/>
        </w:rPr>
        <w:t xml:space="preserve"> </w:t>
      </w:r>
      <w:r w:rsidRPr="00D14FCA">
        <w:rPr>
          <w:rFonts w:asciiTheme="minorHAnsi" w:eastAsia="Times New Roman" w:hAnsiTheme="minorHAnsi" w:cs="Arial"/>
          <w:lang w:eastAsia="zh-CN"/>
        </w:rPr>
        <w:t>the</w:t>
      </w:r>
      <w:r w:rsidRPr="00D14FCA">
        <w:rPr>
          <w:rFonts w:asciiTheme="minorHAnsi" w:eastAsia="Times New Roman" w:hAnsiTheme="minorHAnsi" w:cs="Arial"/>
          <w:i/>
          <w:lang w:eastAsia="zh-CN"/>
        </w:rPr>
        <w:t xml:space="preserve"> </w:t>
      </w:r>
      <w:r w:rsidRPr="00D14FCA">
        <w:rPr>
          <w:rFonts w:asciiTheme="minorHAnsi" w:hAnsiTheme="minorHAnsi"/>
        </w:rPr>
        <w:t xml:space="preserve">second International </w:t>
      </w:r>
      <w:r w:rsidR="00F920CA">
        <w:rPr>
          <w:rFonts w:asciiTheme="minorHAnsi" w:hAnsiTheme="minorHAnsi"/>
        </w:rPr>
        <w:t>CHCC</w:t>
      </w:r>
      <w:r>
        <w:rPr>
          <w:rStyle w:val="FootnoteReference"/>
          <w:rFonts w:asciiTheme="minorHAnsi" w:hAnsiTheme="minorHAnsi"/>
        </w:rPr>
        <w:footnoteReference w:id="8"/>
      </w:r>
      <w:r w:rsidRPr="00D14FCA">
        <w:rPr>
          <w:rFonts w:asciiTheme="minorHAnsi" w:hAnsiTheme="minorHAnsi"/>
        </w:rPr>
        <w:t xml:space="preserve"> proposed changes in nomenclature with </w:t>
      </w:r>
      <w:r w:rsidR="00126A5E">
        <w:rPr>
          <w:rFonts w:asciiTheme="minorHAnsi" w:hAnsiTheme="minorHAnsi"/>
        </w:rPr>
        <w:t>‘</w:t>
      </w:r>
      <w:proofErr w:type="spellStart"/>
      <w:r w:rsidRPr="00D14FCA">
        <w:rPr>
          <w:rFonts w:asciiTheme="minorHAnsi" w:hAnsiTheme="minorHAnsi"/>
        </w:rPr>
        <w:t>Churg</w:t>
      </w:r>
      <w:proofErr w:type="spellEnd"/>
      <w:r w:rsidRPr="00D14FCA">
        <w:rPr>
          <w:rFonts w:asciiTheme="minorHAnsi" w:hAnsiTheme="minorHAnsi"/>
        </w:rPr>
        <w:t>-Strauss Syndrome</w:t>
      </w:r>
      <w:r w:rsidR="00126A5E">
        <w:rPr>
          <w:rFonts w:asciiTheme="minorHAnsi" w:hAnsiTheme="minorHAnsi"/>
        </w:rPr>
        <w:t>’</w:t>
      </w:r>
      <w:r w:rsidRPr="00D14FCA">
        <w:rPr>
          <w:rFonts w:asciiTheme="minorHAnsi" w:hAnsiTheme="minorHAnsi"/>
        </w:rPr>
        <w:t xml:space="preserve"> replaced with </w:t>
      </w:r>
      <w:r w:rsidR="00126A5E">
        <w:rPr>
          <w:rFonts w:asciiTheme="minorHAnsi" w:hAnsiTheme="minorHAnsi"/>
        </w:rPr>
        <w:t>‘</w:t>
      </w:r>
      <w:r w:rsidRPr="00D14FCA">
        <w:rPr>
          <w:rFonts w:asciiTheme="minorHAnsi" w:hAnsiTheme="minorHAnsi"/>
        </w:rPr>
        <w:t xml:space="preserve">eosinophilic granulomatosis with </w:t>
      </w:r>
      <w:proofErr w:type="spellStart"/>
      <w:r w:rsidRPr="00D14FCA">
        <w:rPr>
          <w:rFonts w:asciiTheme="minorHAnsi" w:hAnsiTheme="minorHAnsi"/>
        </w:rPr>
        <w:t>polyangiitis</w:t>
      </w:r>
      <w:proofErr w:type="spellEnd"/>
      <w:r w:rsidRPr="00D14FCA">
        <w:rPr>
          <w:rFonts w:asciiTheme="minorHAnsi" w:hAnsiTheme="minorHAnsi"/>
        </w:rPr>
        <w:t xml:space="preserve"> (EGPA)</w:t>
      </w:r>
      <w:r w:rsidR="00126A5E">
        <w:rPr>
          <w:rFonts w:asciiTheme="minorHAnsi" w:hAnsiTheme="minorHAnsi"/>
        </w:rPr>
        <w:t>’</w:t>
      </w:r>
      <w:r>
        <w:rPr>
          <w:rFonts w:asciiTheme="minorHAnsi" w:hAnsiTheme="minorHAnsi"/>
        </w:rPr>
        <w:t>.</w:t>
      </w:r>
    </w:p>
    <w:p w14:paraId="3EC10C60" w14:textId="61B5133B" w:rsidR="00624472" w:rsidRDefault="00AF7B2C" w:rsidP="00AF7B2C">
      <w:pPr>
        <w:rPr>
          <w:rFonts w:asciiTheme="minorHAnsi" w:hAnsiTheme="minorHAnsi"/>
        </w:rPr>
      </w:pPr>
      <w:r w:rsidRPr="00130106">
        <w:rPr>
          <w:rFonts w:asciiTheme="minorHAnsi" w:hAnsiTheme="minorHAnsi"/>
        </w:rPr>
        <w:t>In 2009, the European Respiratory Society and the Foundation for the Development of Internal Medicine in Europe commissioned the EGPA Consensus Task Force to provide recommendations for the definition, diagnosis, investigation and management of EGPA. These recommendations were published in 2015</w:t>
      </w:r>
      <w:bookmarkStart w:id="57" w:name="_Ref14854307"/>
      <w:r w:rsidR="00717E67">
        <w:rPr>
          <w:rFonts w:asciiTheme="minorHAnsi" w:hAnsiTheme="minorHAnsi"/>
        </w:rPr>
        <w:t>;</w:t>
      </w:r>
      <w:r w:rsidRPr="004942EC">
        <w:rPr>
          <w:rStyle w:val="FootnoteReference"/>
          <w:rFonts w:asciiTheme="minorHAnsi" w:hAnsiTheme="minorHAnsi"/>
        </w:rPr>
        <w:footnoteReference w:id="9"/>
      </w:r>
      <w:bookmarkEnd w:id="57"/>
      <w:r w:rsidRPr="00130106">
        <w:rPr>
          <w:rFonts w:asciiTheme="minorHAnsi" w:hAnsiTheme="minorHAnsi"/>
        </w:rPr>
        <w:t xml:space="preserve"> and noted that</w:t>
      </w:r>
      <w:r w:rsidR="00624472">
        <w:rPr>
          <w:rFonts w:asciiTheme="minorHAnsi" w:hAnsiTheme="minorHAnsi"/>
        </w:rPr>
        <w:t>:</w:t>
      </w:r>
    </w:p>
    <w:p w14:paraId="0F048BAE" w14:textId="77777777" w:rsidR="00AF7B2C" w:rsidRPr="00130106" w:rsidRDefault="00F920CA" w:rsidP="002C4984">
      <w:pPr>
        <w:pStyle w:val="ListBullet"/>
      </w:pPr>
      <w:r>
        <w:t>D</w:t>
      </w:r>
      <w:r w:rsidR="00AF7B2C" w:rsidRPr="00130106">
        <w:t>iagnostic criteria were lacking and there was no reliable biological marker to diagnose or to measure EGPA activity</w:t>
      </w:r>
      <w:r>
        <w:t>.</w:t>
      </w:r>
    </w:p>
    <w:p w14:paraId="3C6F4CA8" w14:textId="77777777" w:rsidR="00AF7B2C" w:rsidRPr="00130106" w:rsidRDefault="00F920CA" w:rsidP="002C4984">
      <w:pPr>
        <w:pStyle w:val="ListBullet"/>
      </w:pPr>
      <w:r>
        <w:rPr>
          <w:rFonts w:eastAsiaTheme="minorHAnsi" w:cs="AdvTT5235d5a9"/>
        </w:rPr>
        <w:lastRenderedPageBreak/>
        <w:t>A</w:t>
      </w:r>
      <w:r w:rsidR="00AF7B2C" w:rsidRPr="00130106">
        <w:rPr>
          <w:rFonts w:eastAsiaTheme="minorHAnsi" w:cs="AdvTT5235d5a9"/>
        </w:rPr>
        <w:t>nti-myeloperoxidase (MPO) ANCA-(</w:t>
      </w:r>
      <w:proofErr w:type="spellStart"/>
      <w:r w:rsidR="00AF7B2C" w:rsidRPr="00130106">
        <w:rPr>
          <w:rFonts w:eastAsiaTheme="minorHAnsi" w:cs="AdvTT5235d5a9"/>
        </w:rPr>
        <w:t>pANCA</w:t>
      </w:r>
      <w:proofErr w:type="spellEnd"/>
      <w:r w:rsidR="00AF7B2C" w:rsidRPr="00130106">
        <w:rPr>
          <w:rFonts w:eastAsiaTheme="minorHAnsi" w:cs="AdvTT5235d5a9"/>
        </w:rPr>
        <w:t>) positivity is hig</w:t>
      </w:r>
      <w:r>
        <w:rPr>
          <w:rFonts w:eastAsiaTheme="minorHAnsi" w:cs="AdvTT5235d5a9"/>
        </w:rPr>
        <w:t xml:space="preserve">hly suggestive of EGPA but ANCA </w:t>
      </w:r>
      <w:r w:rsidR="00AF7B2C" w:rsidRPr="00130106">
        <w:rPr>
          <w:rFonts w:eastAsiaTheme="minorHAnsi" w:cs="AdvTT5235d5a9"/>
        </w:rPr>
        <w:t>negativity does not rule it out</w:t>
      </w:r>
      <w:r>
        <w:rPr>
          <w:rFonts w:eastAsiaTheme="minorHAnsi" w:cs="AdvTT5235d5a9"/>
        </w:rPr>
        <w:t>.</w:t>
      </w:r>
    </w:p>
    <w:p w14:paraId="14DC9696" w14:textId="77777777" w:rsidR="00AF7B2C" w:rsidRPr="00130106" w:rsidRDefault="00F920CA" w:rsidP="002C4984">
      <w:pPr>
        <w:pStyle w:val="ListBullet"/>
      </w:pPr>
      <w:r>
        <w:t>I</w:t>
      </w:r>
      <w:r w:rsidR="00AF7B2C" w:rsidRPr="00130106">
        <w:t xml:space="preserve">nvestigations for kidney, heart or </w:t>
      </w:r>
      <w:r>
        <w:t>gastrointestinal tract (</w:t>
      </w:r>
      <w:r w:rsidR="00AF7B2C" w:rsidRPr="00130106">
        <w:t>GIT</w:t>
      </w:r>
      <w:r>
        <w:t>)</w:t>
      </w:r>
      <w:r w:rsidR="00AF7B2C" w:rsidRPr="00130106">
        <w:t xml:space="preserve"> involvement should be performed on diagnosis as these </w:t>
      </w:r>
      <w:r w:rsidR="00126A5E">
        <w:t>‘</w:t>
      </w:r>
      <w:r w:rsidR="00AF7B2C" w:rsidRPr="00F920CA">
        <w:t>are associated with poor prognoses and mandate immunosuppressive therapy</w:t>
      </w:r>
      <w:r w:rsidR="00126A5E">
        <w:t>’</w:t>
      </w:r>
      <w:r>
        <w:t>.</w:t>
      </w:r>
    </w:p>
    <w:p w14:paraId="6D89ABE4" w14:textId="77777777" w:rsidR="00AF7B2C" w:rsidRPr="00130106" w:rsidRDefault="00AF7B2C" w:rsidP="002C4984">
      <w:pPr>
        <w:pStyle w:val="ListBullet"/>
      </w:pPr>
      <w:r w:rsidRPr="00130106">
        <w:t xml:space="preserve">EGPA manifestations may follow different clinical courses, with </w:t>
      </w:r>
      <w:r w:rsidR="00F920CA">
        <w:t>ear, nose and throat (</w:t>
      </w:r>
      <w:r w:rsidRPr="00130106">
        <w:t>ENT</w:t>
      </w:r>
      <w:r w:rsidR="00F920CA">
        <w:t>)</w:t>
      </w:r>
      <w:r w:rsidRPr="00130106">
        <w:t xml:space="preserve"> manifestations and/or asthma flares not necessarily reflecting vasculitis activity and that </w:t>
      </w:r>
      <w:proofErr w:type="spellStart"/>
      <w:r w:rsidRPr="00130106">
        <w:t>immunosuppressants</w:t>
      </w:r>
      <w:proofErr w:type="spellEnd"/>
      <w:r w:rsidRPr="00130106">
        <w:t xml:space="preserve"> other than glucocorticoids may control systemic EGPA features but not ENT manifestations and/or asthma</w:t>
      </w:r>
      <w:r w:rsidR="00B534FA">
        <w:t>.</w:t>
      </w:r>
    </w:p>
    <w:p w14:paraId="55943AE5" w14:textId="77777777" w:rsidR="00AF7B2C" w:rsidRDefault="00B534FA" w:rsidP="002C4984">
      <w:pPr>
        <w:pStyle w:val="ListBullet"/>
        <w:rPr>
          <w:rFonts w:eastAsiaTheme="minorHAnsi" w:cs="AdvTT94c8263f.I"/>
        </w:rPr>
      </w:pPr>
      <w:r>
        <w:t>R</w:t>
      </w:r>
      <w:r w:rsidR="00AF7B2C" w:rsidRPr="00130106">
        <w:t xml:space="preserve">emission or relapse of EGPA was difficult to define. The definition proposed for remission was the absence of </w:t>
      </w:r>
      <w:r w:rsidR="00AF7B2C" w:rsidRPr="00130106">
        <w:rPr>
          <w:rFonts w:eastAsiaTheme="minorHAnsi" w:cs="AdvTT94c8263f.I"/>
        </w:rPr>
        <w:t>clinical systemic manifestation (excluding asthma and/</w:t>
      </w:r>
      <w:r w:rsidRPr="00130106">
        <w:rPr>
          <w:rFonts w:eastAsiaTheme="minorHAnsi" w:cs="AdvTT94c8263f.I"/>
        </w:rPr>
        <w:t xml:space="preserve"> </w:t>
      </w:r>
      <w:r>
        <w:rPr>
          <w:rFonts w:eastAsiaTheme="minorHAnsi" w:cs="AdvTT94c8263f.I"/>
        </w:rPr>
        <w:t>ENT</w:t>
      </w:r>
      <w:r w:rsidR="00AF7B2C" w:rsidRPr="00130106">
        <w:rPr>
          <w:rFonts w:eastAsiaTheme="minorHAnsi" w:cs="AdvTT94c8263f.I"/>
        </w:rPr>
        <w:t xml:space="preserve"> at </w:t>
      </w:r>
      <w:r w:rsidR="00126A5E">
        <w:rPr>
          <w:rFonts w:eastAsiaTheme="minorHAnsi" w:cs="AdvTT94c8263f.I"/>
        </w:rPr>
        <w:t>‘</w:t>
      </w:r>
      <w:r w:rsidR="00AF7B2C" w:rsidRPr="00B534FA">
        <w:rPr>
          <w:rFonts w:eastAsiaTheme="minorHAnsi" w:cs="AdvTT5235d5a9"/>
        </w:rPr>
        <w:t>minimal prednisone and/or immunosuppressant dose(s)</w:t>
      </w:r>
      <w:r w:rsidR="00126A5E">
        <w:rPr>
          <w:rFonts w:eastAsiaTheme="minorHAnsi" w:cs="AdvTT5235d5a9"/>
        </w:rPr>
        <w:t>’</w:t>
      </w:r>
      <w:r w:rsidR="00AF7B2C" w:rsidRPr="00B534FA">
        <w:rPr>
          <w:rFonts w:eastAsiaTheme="minorHAnsi" w:cs="AdvTT5235d5a9"/>
        </w:rPr>
        <w:t>.</w:t>
      </w:r>
      <w:r w:rsidR="00AF7B2C" w:rsidRPr="00130106">
        <w:rPr>
          <w:rFonts w:eastAsiaTheme="minorHAnsi" w:cs="AdvTT5235d5a9"/>
          <w:i/>
        </w:rPr>
        <w:t xml:space="preserve"> </w:t>
      </w:r>
      <w:r w:rsidR="00AF7B2C" w:rsidRPr="00130106">
        <w:rPr>
          <w:rFonts w:eastAsiaTheme="minorHAnsi" w:cs="AdvTT5235d5a9"/>
        </w:rPr>
        <w:t xml:space="preserve">The definition proposed for relapse was </w:t>
      </w:r>
      <w:r w:rsidR="00AF7B2C" w:rsidRPr="00130106">
        <w:rPr>
          <w:rFonts w:eastAsiaTheme="minorHAnsi" w:cs="AdvTT94c8263f.I"/>
        </w:rPr>
        <w:t xml:space="preserve">the new appearance or recurrence or worsening of clinical EGPA manifestation(s) (excluding asthma and/or ENT), requiring the addition, change or dose increase of glucocorticoids and/or other </w:t>
      </w:r>
      <w:proofErr w:type="spellStart"/>
      <w:r w:rsidR="00AF7B2C" w:rsidRPr="00130106">
        <w:rPr>
          <w:rFonts w:eastAsiaTheme="minorHAnsi" w:cs="AdvTT94c8263f.I"/>
        </w:rPr>
        <w:t>immunosuppressants</w:t>
      </w:r>
      <w:proofErr w:type="spellEnd"/>
      <w:r w:rsidR="00AF7B2C" w:rsidRPr="00130106">
        <w:rPr>
          <w:rFonts w:eastAsiaTheme="minorHAnsi" w:cs="AdvTT94c8263f.I"/>
        </w:rPr>
        <w:t>.</w:t>
      </w:r>
    </w:p>
    <w:p w14:paraId="32A440C7" w14:textId="4A370153" w:rsidR="00AF7B2C" w:rsidRDefault="00AF7B2C" w:rsidP="00D63D68">
      <w:pPr>
        <w:pStyle w:val="Heading5"/>
      </w:pPr>
      <w:r>
        <w:t xml:space="preserve">Monitoring disease activity in EGPA: </w:t>
      </w:r>
      <w:r w:rsidRPr="00A25382">
        <w:t xml:space="preserve">Birmingham </w:t>
      </w:r>
      <w:r w:rsidR="004101C8" w:rsidRPr="00A25382">
        <w:t xml:space="preserve">vasculitis activity score </w:t>
      </w:r>
      <w:r w:rsidRPr="00A25382">
        <w:t xml:space="preserve">(version 3) </w:t>
      </w:r>
    </w:p>
    <w:p w14:paraId="6255E71C" w14:textId="0FB6F2EF" w:rsidR="00624472" w:rsidRDefault="00AF7B2C" w:rsidP="00AF7B2C">
      <w:r>
        <w:t>No relationship between eosinophil level and disease activity in EGPA after diagnosis has been established. It is recognised that the blood eosinophil level is reduced by treatment (</w:t>
      </w:r>
      <w:r w:rsidR="00B534FA" w:rsidRPr="00B534FA">
        <w:t xml:space="preserve">oral corticosteroid </w:t>
      </w:r>
      <w:r w:rsidR="00B534FA">
        <w:t>(</w:t>
      </w:r>
      <w:r>
        <w:t>OCS</w:t>
      </w:r>
      <w:r w:rsidR="00B534FA">
        <w:t>)</w:t>
      </w:r>
      <w:r>
        <w:t xml:space="preserve"> ± immunosuppressive treatment) and will not provide an ongoing marker of disease activity. As noted by Grayson et al</w:t>
      </w:r>
      <w:r w:rsidR="007C738F">
        <w:t>.;</w:t>
      </w:r>
      <w:r>
        <w:rPr>
          <w:rStyle w:val="FootnoteReference"/>
        </w:rPr>
        <w:footnoteReference w:id="10"/>
      </w:r>
      <w:r>
        <w:t xml:space="preserve"> </w:t>
      </w:r>
      <w:r w:rsidR="00B534FA">
        <w:t>‘</w:t>
      </w:r>
      <w:r w:rsidR="007C738F">
        <w:t>a</w:t>
      </w:r>
      <w:r w:rsidRPr="00B534FA">
        <w:t xml:space="preserve">bsolute eosinophil count, serum </w:t>
      </w:r>
      <w:r w:rsidR="00B534FA" w:rsidRPr="00B534FA">
        <w:t>immunoglobulin E (</w:t>
      </w:r>
      <w:proofErr w:type="spellStart"/>
      <w:r w:rsidRPr="00B534FA">
        <w:t>IgE</w:t>
      </w:r>
      <w:proofErr w:type="spellEnd"/>
      <w:r w:rsidR="00B534FA" w:rsidRPr="00B534FA">
        <w:t>)</w:t>
      </w:r>
      <w:r w:rsidRPr="00B534FA">
        <w:t xml:space="preserve">, </w:t>
      </w:r>
      <w:r w:rsidR="00B534FA" w:rsidRPr="00B534FA">
        <w:t>erythrocyte sedimentation rate (</w:t>
      </w:r>
      <w:r w:rsidRPr="00B534FA">
        <w:t>ESR</w:t>
      </w:r>
      <w:r w:rsidR="00B534FA" w:rsidRPr="00B534FA">
        <w:t>)</w:t>
      </w:r>
      <w:r w:rsidRPr="00B534FA">
        <w:t xml:space="preserve"> and </w:t>
      </w:r>
      <w:r w:rsidR="00B534FA" w:rsidRPr="00B534FA">
        <w:t>C</w:t>
      </w:r>
      <w:r w:rsidR="007C738F">
        <w:noBreakHyphen/>
      </w:r>
      <w:r w:rsidR="00B534FA" w:rsidRPr="00B534FA">
        <w:t>reactive protein (</w:t>
      </w:r>
      <w:r w:rsidRPr="00B534FA">
        <w:t>CRP</w:t>
      </w:r>
      <w:r w:rsidR="00B534FA" w:rsidRPr="00B534FA">
        <w:t>)</w:t>
      </w:r>
      <w:r w:rsidRPr="00B534FA">
        <w:t xml:space="preserve"> are associated with disease activity in EGPA and can help inform the diagnosis. In contrast, the use of these tests as markers of disease activity over time or as predictors of disease flare has limitations when applied to the assessment of an individual patien</w:t>
      </w:r>
      <w:r w:rsidR="00B534FA">
        <w:t>t’</w:t>
      </w:r>
      <w:r w:rsidR="00624472" w:rsidRPr="00B534FA">
        <w:t>.</w:t>
      </w:r>
    </w:p>
    <w:p w14:paraId="14900EB1" w14:textId="654647BD" w:rsidR="00AF7B2C" w:rsidRDefault="00AF7B2C" w:rsidP="00AF7B2C">
      <w:bookmarkStart w:id="58" w:name="_Ref503453236"/>
      <w:r>
        <w:rPr>
          <w:rFonts w:cs="TimesNewRoman"/>
        </w:rPr>
        <w:t>The</w:t>
      </w:r>
      <w:r w:rsidRPr="00FE52CF">
        <w:rPr>
          <w:rFonts w:cs="TimesNewRoman"/>
        </w:rPr>
        <w:t xml:space="preserve"> use of</w:t>
      </w:r>
      <w:r>
        <w:rPr>
          <w:rFonts w:cs="TimesNewRoman"/>
        </w:rPr>
        <w:t xml:space="preserve"> the </w:t>
      </w:r>
      <w:r w:rsidR="00B534FA">
        <w:rPr>
          <w:rFonts w:cs="TimesNewRoman"/>
        </w:rPr>
        <w:t>BVAS</w:t>
      </w:r>
      <w:r w:rsidRPr="00FE52CF">
        <w:rPr>
          <w:rFonts w:cs="TimesNewRoman"/>
        </w:rPr>
        <w:t xml:space="preserve"> scoring system</w:t>
      </w:r>
      <w:r>
        <w:rPr>
          <w:rFonts w:cs="TimesNewRoman"/>
        </w:rPr>
        <w:t xml:space="preserve"> in</w:t>
      </w:r>
      <w:r w:rsidRPr="00FE52CF">
        <w:rPr>
          <w:rFonts w:cs="TimesNewRoman"/>
        </w:rPr>
        <w:t xml:space="preserve"> </w:t>
      </w:r>
      <w:r w:rsidRPr="00FE52CF">
        <w:t>clinical trials in</w:t>
      </w:r>
      <w:r>
        <w:t>vestigating</w:t>
      </w:r>
      <w:r w:rsidRPr="00FE52CF">
        <w:t xml:space="preserve"> systemic vasculitis</w:t>
      </w:r>
      <w:r w:rsidRPr="00FE52CF">
        <w:rPr>
          <w:rFonts w:cs="TimesNewRoman"/>
        </w:rPr>
        <w:t xml:space="preserve"> is advocated by the </w:t>
      </w:r>
      <w:r w:rsidRPr="00FE52CF">
        <w:t xml:space="preserve">European League Against Rheumatism (EULAR) </w:t>
      </w:r>
      <w:r>
        <w:t>and by the European Vasculitis Society</w:t>
      </w:r>
      <w:r w:rsidRPr="00FE52CF">
        <w:t xml:space="preserve"> to standardise disease assessment</w:t>
      </w:r>
      <w:r w:rsidR="00B534FA">
        <w:t>.</w:t>
      </w:r>
      <w:bookmarkStart w:id="59" w:name="_Ref15891806"/>
      <w:r>
        <w:rPr>
          <w:rStyle w:val="FootnoteReference"/>
          <w:rFonts w:asciiTheme="minorHAnsi" w:eastAsiaTheme="minorHAnsi" w:hAnsiTheme="minorHAnsi" w:cs="AdvPECFB95"/>
        </w:rPr>
        <w:footnoteReference w:id="11"/>
      </w:r>
      <w:bookmarkEnd w:id="59"/>
      <w:r w:rsidR="007C738F" w:rsidRPr="00FE176F">
        <w:rPr>
          <w:vertAlign w:val="superscript"/>
        </w:rPr>
        <w:t>,</w:t>
      </w:r>
      <w:bookmarkStart w:id="60" w:name="_Ref15891834"/>
      <w:r>
        <w:rPr>
          <w:rStyle w:val="FootnoteReference"/>
          <w:rFonts w:asciiTheme="minorHAnsi" w:eastAsiaTheme="minorHAnsi" w:hAnsiTheme="minorHAnsi" w:cs="AdvPECFB95"/>
        </w:rPr>
        <w:footnoteReference w:id="12"/>
      </w:r>
      <w:bookmarkEnd w:id="60"/>
      <w:r>
        <w:t xml:space="preserve"> This scoring system is used in determining the primary end-points in the main study for this submission.</w:t>
      </w:r>
    </w:p>
    <w:bookmarkEnd w:id="58"/>
    <w:p w14:paraId="759056E4" w14:textId="73673964" w:rsidR="00AF7B2C" w:rsidRPr="008318B3" w:rsidRDefault="00AF7B2C" w:rsidP="008318B3">
      <w:pPr>
        <w:autoSpaceDE w:val="0"/>
        <w:autoSpaceDN w:val="0"/>
        <w:adjustRightInd w:val="0"/>
        <w:spacing w:before="0" w:after="0" w:line="240" w:lineRule="auto"/>
        <w:rPr>
          <w:rFonts w:asciiTheme="minorHAnsi" w:eastAsiaTheme="minorHAnsi" w:hAnsiTheme="minorHAnsi" w:cs="AdvPECFB95"/>
        </w:rPr>
      </w:pPr>
      <w:r w:rsidRPr="00FE52CF">
        <w:rPr>
          <w:rFonts w:asciiTheme="minorHAnsi" w:eastAsiaTheme="minorHAnsi" w:hAnsiTheme="minorHAnsi" w:cs="TimesNewRoman"/>
        </w:rPr>
        <w:t xml:space="preserve">The </w:t>
      </w:r>
      <w:r>
        <w:rPr>
          <w:rFonts w:asciiTheme="minorHAnsi" w:eastAsiaTheme="minorHAnsi" w:hAnsiTheme="minorHAnsi" w:cs="TimesNewRoman"/>
        </w:rPr>
        <w:t xml:space="preserve">BVAS </w:t>
      </w:r>
      <w:r w:rsidRPr="00FE52CF">
        <w:rPr>
          <w:rFonts w:asciiTheme="minorHAnsi" w:eastAsiaTheme="minorHAnsi" w:hAnsiTheme="minorHAnsi" w:cs="TimesNewRoman"/>
        </w:rPr>
        <w:t>scoring system was first developed in 1994</w:t>
      </w:r>
      <w:r>
        <w:rPr>
          <w:rFonts w:asciiTheme="minorHAnsi" w:eastAsiaTheme="minorHAnsi" w:hAnsiTheme="minorHAnsi" w:cs="TimesNewRoman"/>
        </w:rPr>
        <w:t>, with V</w:t>
      </w:r>
      <w:r w:rsidRPr="00FE52CF">
        <w:rPr>
          <w:rFonts w:asciiTheme="minorHAnsi" w:eastAsiaTheme="minorHAnsi" w:hAnsiTheme="minorHAnsi" w:cs="TimesNewRoman"/>
        </w:rPr>
        <w:t xml:space="preserve">ersion </w:t>
      </w:r>
      <w:r>
        <w:rPr>
          <w:rFonts w:asciiTheme="minorHAnsi" w:eastAsiaTheme="minorHAnsi" w:hAnsiTheme="minorHAnsi" w:cs="TimesNewRoman"/>
        </w:rPr>
        <w:t xml:space="preserve">3 </w:t>
      </w:r>
      <w:r w:rsidRPr="00FE52CF">
        <w:rPr>
          <w:rFonts w:asciiTheme="minorHAnsi" w:eastAsiaTheme="minorHAnsi" w:hAnsiTheme="minorHAnsi" w:cs="TimesNewRoman"/>
        </w:rPr>
        <w:t>described in 2009.</w:t>
      </w:r>
      <w:bookmarkStart w:id="61" w:name="_Ref15891953"/>
      <w:r w:rsidRPr="00FE52CF">
        <w:rPr>
          <w:rStyle w:val="FootnoteReference"/>
          <w:rFonts w:asciiTheme="minorHAnsi" w:eastAsiaTheme="minorHAnsi" w:hAnsiTheme="minorHAnsi" w:cs="TimesNewRoman"/>
        </w:rPr>
        <w:footnoteReference w:id="13"/>
      </w:r>
      <w:bookmarkEnd w:id="61"/>
      <w:r>
        <w:rPr>
          <w:rFonts w:asciiTheme="minorHAnsi" w:eastAsiaTheme="minorHAnsi" w:hAnsiTheme="minorHAnsi" w:cs="TimesNewRoman"/>
        </w:rPr>
        <w:t xml:space="preserve"> </w:t>
      </w:r>
      <w:r w:rsidRPr="0029775A">
        <w:rPr>
          <w:rFonts w:asciiTheme="minorHAnsi" w:hAnsiTheme="minorHAnsi"/>
        </w:rPr>
        <w:t xml:space="preserve">The </w:t>
      </w:r>
      <w:r>
        <w:rPr>
          <w:rFonts w:asciiTheme="minorHAnsi" w:hAnsiTheme="minorHAnsi"/>
        </w:rPr>
        <w:t xml:space="preserve">BVAS (v.3) </w:t>
      </w:r>
      <w:r w:rsidRPr="0029775A">
        <w:rPr>
          <w:rFonts w:asciiTheme="minorHAnsi" w:hAnsiTheme="minorHAnsi"/>
        </w:rPr>
        <w:t xml:space="preserve">lists 56 </w:t>
      </w:r>
      <w:r w:rsidRPr="0029775A">
        <w:rPr>
          <w:rFonts w:asciiTheme="minorHAnsi" w:eastAsiaTheme="minorHAnsi" w:hAnsiTheme="minorHAnsi" w:cs="AdvPECFB95"/>
        </w:rPr>
        <w:t xml:space="preserve">manifestations of systemic vasculitis, divided into </w:t>
      </w:r>
      <w:r>
        <w:rPr>
          <w:rFonts w:asciiTheme="minorHAnsi" w:eastAsiaTheme="minorHAnsi" w:hAnsiTheme="minorHAnsi" w:cs="AdvPECFB95"/>
        </w:rPr>
        <w:t>9</w:t>
      </w:r>
      <w:r w:rsidR="008318B3">
        <w:rPr>
          <w:rFonts w:asciiTheme="minorHAnsi" w:eastAsiaTheme="minorHAnsi" w:hAnsiTheme="minorHAnsi" w:cs="AdvPECFB95"/>
        </w:rPr>
        <w:t xml:space="preserve"> organ </w:t>
      </w:r>
      <w:r w:rsidRPr="0029775A">
        <w:rPr>
          <w:rFonts w:asciiTheme="minorHAnsi" w:eastAsiaTheme="minorHAnsi" w:hAnsiTheme="minorHAnsi" w:cs="AdvPECFB95"/>
        </w:rPr>
        <w:t xml:space="preserve">based systems </w:t>
      </w:r>
      <w:r w:rsidRPr="0029775A">
        <w:rPr>
          <w:rFonts w:asciiTheme="minorHAnsi" w:eastAsiaTheme="minorHAnsi" w:hAnsiTheme="minorHAnsi" w:cs="TimesNewRoman"/>
        </w:rPr>
        <w:t>(general, cutaneous, mucous membranes/eyes, ENT, chest, cardiovascular, abdominal, renal, nervous system)</w:t>
      </w:r>
      <w:r w:rsidRPr="0029775A">
        <w:rPr>
          <w:rFonts w:asciiTheme="minorHAnsi" w:eastAsiaTheme="minorHAnsi" w:hAnsiTheme="minorHAnsi" w:cs="AdvPECFB95"/>
        </w:rPr>
        <w:t xml:space="preserve">. </w:t>
      </w:r>
      <w:r>
        <w:rPr>
          <w:rFonts w:asciiTheme="minorHAnsi" w:eastAsiaTheme="minorHAnsi" w:hAnsiTheme="minorHAnsi" w:cs="AdvPECFB95"/>
        </w:rPr>
        <w:t xml:space="preserve">An </w:t>
      </w:r>
      <w:r>
        <w:t>item is marked if it has been active in the prior 4</w:t>
      </w:r>
      <w:r w:rsidR="00A608DC">
        <w:t> </w:t>
      </w:r>
      <w:r>
        <w:t xml:space="preserve">weeks </w:t>
      </w:r>
      <w:r w:rsidR="008318B3">
        <w:t>and</w:t>
      </w:r>
      <w:r>
        <w:t xml:space="preserve"> if the physician decides to treat the abnormality wi</w:t>
      </w:r>
      <w:r w:rsidR="008318B3">
        <w:t>th immunosuppressive therapy (that is</w:t>
      </w:r>
      <w:r>
        <w:t xml:space="preserve">, the item represents active disease requiring treatment and is not attributable </w:t>
      </w:r>
      <w:r w:rsidRPr="0029775A">
        <w:rPr>
          <w:rFonts w:asciiTheme="minorHAnsi" w:eastAsiaTheme="minorHAnsi" w:hAnsiTheme="minorHAnsi" w:cs="AdvPECFB95"/>
        </w:rPr>
        <w:t>to the sequelae of previous activity, drug induced, or due to co-morbidities</w:t>
      </w:r>
      <w:r>
        <w:rPr>
          <w:rFonts w:asciiTheme="minorHAnsi" w:eastAsiaTheme="minorHAnsi" w:hAnsiTheme="minorHAnsi" w:cs="AdvPECFB95"/>
        </w:rPr>
        <w:t>)</w:t>
      </w:r>
      <w:r w:rsidRPr="0029775A">
        <w:rPr>
          <w:rFonts w:asciiTheme="minorHAnsi" w:eastAsiaTheme="minorHAnsi" w:hAnsiTheme="minorHAnsi" w:cs="AdvPECFB95"/>
        </w:rPr>
        <w:t xml:space="preserve">. </w:t>
      </w:r>
      <w:r>
        <w:rPr>
          <w:rFonts w:asciiTheme="minorHAnsi" w:eastAsiaTheme="minorHAnsi" w:hAnsiTheme="minorHAnsi" w:cs="AdvPECFB95"/>
        </w:rPr>
        <w:t xml:space="preserve">The presence of each item has a numerical </w:t>
      </w:r>
      <w:r w:rsidRPr="00330AAF">
        <w:rPr>
          <w:rFonts w:asciiTheme="minorHAnsi" w:eastAsiaTheme="minorHAnsi" w:hAnsiTheme="minorHAnsi" w:cs="AdvPECFB95"/>
        </w:rPr>
        <w:t>weight and each organ system has a ceiling score</w:t>
      </w:r>
      <w:r>
        <w:rPr>
          <w:rFonts w:asciiTheme="minorHAnsi" w:eastAsiaTheme="minorHAnsi" w:hAnsiTheme="minorHAnsi" w:cs="AdvPECFB95"/>
        </w:rPr>
        <w:t xml:space="preserve">. </w:t>
      </w:r>
      <w:r w:rsidRPr="00330AAF">
        <w:rPr>
          <w:rFonts w:asciiTheme="minorHAnsi" w:eastAsiaTheme="minorHAnsi" w:hAnsiTheme="minorHAnsi" w:cs="AdvPECFB95"/>
        </w:rPr>
        <w:t xml:space="preserve">The </w:t>
      </w:r>
      <w:r>
        <w:rPr>
          <w:rFonts w:asciiTheme="minorHAnsi" w:eastAsiaTheme="minorHAnsi" w:hAnsiTheme="minorHAnsi" w:cs="AdvPECFB95"/>
        </w:rPr>
        <w:t xml:space="preserve">scores for the 9 organ systems </w:t>
      </w:r>
      <w:r w:rsidRPr="00330AAF">
        <w:rPr>
          <w:rFonts w:asciiTheme="minorHAnsi" w:eastAsiaTheme="minorHAnsi" w:hAnsiTheme="minorHAnsi" w:cs="AdvPECFB95"/>
        </w:rPr>
        <w:t xml:space="preserve">are summed to determine the </w:t>
      </w:r>
      <w:r>
        <w:rPr>
          <w:rFonts w:asciiTheme="minorHAnsi" w:eastAsiaTheme="minorHAnsi" w:hAnsiTheme="minorHAnsi" w:cs="AdvPECFB95"/>
        </w:rPr>
        <w:t xml:space="preserve">overall </w:t>
      </w:r>
      <w:r w:rsidR="008318B3">
        <w:rPr>
          <w:rFonts w:asciiTheme="minorHAnsi" w:eastAsiaTheme="minorHAnsi" w:hAnsiTheme="minorHAnsi" w:cs="AdvPECFB95"/>
        </w:rPr>
        <w:t>score. T</w:t>
      </w:r>
      <w:r w:rsidRPr="00330AAF">
        <w:rPr>
          <w:rFonts w:asciiTheme="minorHAnsi" w:eastAsiaTheme="minorHAnsi" w:hAnsiTheme="minorHAnsi" w:cs="AdvPECFB95"/>
        </w:rPr>
        <w:t xml:space="preserve">he minimum score is 0 </w:t>
      </w:r>
      <w:r>
        <w:rPr>
          <w:rFonts w:asciiTheme="minorHAnsi" w:eastAsiaTheme="minorHAnsi" w:hAnsiTheme="minorHAnsi" w:cs="AdvPECFB95"/>
        </w:rPr>
        <w:t>and indicates no disease activity that warrants treatment. Th</w:t>
      </w:r>
      <w:r w:rsidRPr="00330AAF">
        <w:rPr>
          <w:rFonts w:asciiTheme="minorHAnsi" w:eastAsiaTheme="minorHAnsi" w:hAnsiTheme="minorHAnsi" w:cs="AdvPECFB95"/>
        </w:rPr>
        <w:t xml:space="preserve">e maximum score is 63. </w:t>
      </w:r>
      <w:r>
        <w:rPr>
          <w:rFonts w:asciiTheme="minorHAnsi" w:eastAsiaTheme="minorHAnsi" w:hAnsiTheme="minorHAnsi" w:cs="AdvPECFB95"/>
        </w:rPr>
        <w:t xml:space="preserve">The authors note that </w:t>
      </w:r>
      <w:r w:rsidR="008318B3">
        <w:rPr>
          <w:rFonts w:asciiTheme="minorHAnsi" w:eastAsiaTheme="minorHAnsi" w:hAnsiTheme="minorHAnsi" w:cs="AdvPECFB95"/>
        </w:rPr>
        <w:t>‘</w:t>
      </w:r>
      <w:r w:rsidRPr="008318B3">
        <w:rPr>
          <w:rFonts w:asciiTheme="minorHAnsi" w:eastAsiaTheme="minorHAnsi" w:hAnsiTheme="minorHAnsi" w:cs="AdvPECFB95"/>
        </w:rPr>
        <w:t>In the absence of a valid external comparator, it is difficult to interpret a change in BVAS, but a fall of over 16 units is clinically meaningful</w:t>
      </w:r>
      <w:r w:rsidR="008318B3">
        <w:rPr>
          <w:rFonts w:asciiTheme="minorHAnsi" w:eastAsiaTheme="minorHAnsi" w:hAnsiTheme="minorHAnsi" w:cs="AdvPECFB95"/>
        </w:rPr>
        <w:t>.’</w:t>
      </w:r>
      <w:r>
        <w:rPr>
          <w:rFonts w:asciiTheme="minorHAnsi" w:eastAsiaTheme="minorHAnsi" w:hAnsiTheme="minorHAnsi" w:cs="AdvPECFB95"/>
        </w:rPr>
        <w:t xml:space="preserve"> The authors have provided an </w:t>
      </w:r>
      <w:r w:rsidRPr="00330AAF">
        <w:rPr>
          <w:rFonts w:asciiTheme="minorHAnsi" w:eastAsiaTheme="minorHAnsi" w:hAnsiTheme="minorHAnsi" w:cs="AdvPECFB95"/>
        </w:rPr>
        <w:t>online calculator</w:t>
      </w:r>
      <w:r>
        <w:rPr>
          <w:rFonts w:asciiTheme="minorHAnsi" w:eastAsiaTheme="minorHAnsi" w:hAnsiTheme="minorHAnsi" w:cs="AdvPECFB95"/>
        </w:rPr>
        <w:t xml:space="preserve"> </w:t>
      </w:r>
      <w:r w:rsidRPr="00330AAF">
        <w:rPr>
          <w:rFonts w:asciiTheme="minorHAnsi" w:eastAsiaTheme="minorHAnsi" w:hAnsiTheme="minorHAnsi" w:cs="AdvPECFB95"/>
        </w:rPr>
        <w:t>at</w:t>
      </w:r>
      <w:r w:rsidR="008318B3">
        <w:rPr>
          <w:rFonts w:asciiTheme="minorHAnsi" w:eastAsiaTheme="minorHAnsi" w:hAnsiTheme="minorHAnsi" w:cs="AdvPECFB95"/>
        </w:rPr>
        <w:t xml:space="preserve"> BVAS – Golem (</w:t>
      </w:r>
      <w:r w:rsidR="00A608DC">
        <w:rPr>
          <w:rFonts w:asciiTheme="minorHAnsi" w:eastAsiaTheme="minorHAnsi" w:hAnsiTheme="minorHAnsi" w:cs="AdvPECFB95"/>
        </w:rPr>
        <w:t xml:space="preserve">hosted </w:t>
      </w:r>
      <w:r w:rsidR="008318B3">
        <w:rPr>
          <w:rFonts w:asciiTheme="minorHAnsi" w:eastAsiaTheme="minorHAnsi" w:hAnsiTheme="minorHAnsi" w:cs="AdvPECFB95"/>
        </w:rPr>
        <w:t xml:space="preserve">by </w:t>
      </w:r>
      <w:r w:rsidR="008318B3">
        <w:rPr>
          <w:rFonts w:asciiTheme="minorHAnsi" w:eastAsiaTheme="minorHAnsi" w:hAnsiTheme="minorHAnsi" w:cs="AdvPECFB95"/>
        </w:rPr>
        <w:lastRenderedPageBreak/>
        <w:t>t</w:t>
      </w:r>
      <w:r w:rsidR="008318B3" w:rsidRPr="008318B3">
        <w:rPr>
          <w:rFonts w:asciiTheme="minorHAnsi" w:eastAsiaTheme="minorHAnsi" w:hAnsiTheme="minorHAnsi" w:cs="AdvPECFB95"/>
        </w:rPr>
        <w:t>he Nuffield Department of Orthopaedics, Rheumatology and Musculoskeletal Sciences</w:t>
      </w:r>
      <w:r w:rsidR="008318B3">
        <w:rPr>
          <w:rFonts w:asciiTheme="minorHAnsi" w:eastAsiaTheme="minorHAnsi" w:hAnsiTheme="minorHAnsi" w:cs="AdvPECFB95"/>
        </w:rPr>
        <w:t>, University of Oxford).</w:t>
      </w:r>
    </w:p>
    <w:p w14:paraId="3D626AAE" w14:textId="77777777" w:rsidR="00AF7B2C" w:rsidRDefault="00AF7B2C" w:rsidP="00AF7B2C">
      <w:pPr>
        <w:pStyle w:val="Heading4"/>
      </w:pPr>
      <w:r>
        <w:t>Current treatment options</w:t>
      </w:r>
    </w:p>
    <w:p w14:paraId="03A366D0" w14:textId="77777777" w:rsidR="00AF7B2C" w:rsidRDefault="00AF7B2C" w:rsidP="00AF7B2C">
      <w:r>
        <w:t>Current treatment options are based on the use of glucocorticoids and immunosuppressive therapy. Two major bodies have published guidelines on the management of patients with EGPA, the European Consensus Taskforce and EULAR.</w:t>
      </w:r>
    </w:p>
    <w:p w14:paraId="2EABE59F" w14:textId="77777777" w:rsidR="00AF7B2C" w:rsidRPr="00727624" w:rsidRDefault="00AF7B2C" w:rsidP="00AF7B2C">
      <w:pPr>
        <w:rPr>
          <w:lang w:eastAsia="en-AU"/>
        </w:rPr>
      </w:pPr>
      <w:r>
        <w:rPr>
          <w:rFonts w:asciiTheme="minorHAnsi" w:eastAsiaTheme="minorHAnsi" w:hAnsiTheme="minorHAnsi" w:cs="AdvTT5235d5a9"/>
        </w:rPr>
        <w:t xml:space="preserve">The </w:t>
      </w:r>
      <w:r>
        <w:t>European Consensus Taskforce</w:t>
      </w:r>
      <w:r>
        <w:rPr>
          <w:rFonts w:asciiTheme="minorHAnsi" w:eastAsiaTheme="minorHAnsi" w:hAnsiTheme="minorHAnsi" w:cs="AdvTT5235d5a9"/>
        </w:rPr>
        <w:t xml:space="preserve"> recommendations for the treatment of EGPA were largely finalised in 2013 and published in 2015.</w:t>
      </w:r>
      <w:r w:rsidR="00625C41">
        <w:rPr>
          <w:rFonts w:asciiTheme="minorHAnsi" w:eastAsiaTheme="minorHAnsi" w:hAnsiTheme="minorHAnsi" w:cs="AdvTT5235d5a9"/>
        </w:rPr>
        <w:fldChar w:fldCharType="begin"/>
      </w:r>
      <w:r w:rsidR="00625C41">
        <w:rPr>
          <w:rFonts w:asciiTheme="minorHAnsi" w:eastAsiaTheme="minorHAnsi" w:hAnsiTheme="minorHAnsi" w:cs="AdvTT5235d5a9"/>
        </w:rPr>
        <w:instrText xml:space="preserve"> NOTEREF _Ref14854307 \f \h </w:instrText>
      </w:r>
      <w:r w:rsidR="00625C41">
        <w:rPr>
          <w:rFonts w:asciiTheme="minorHAnsi" w:eastAsiaTheme="minorHAnsi" w:hAnsiTheme="minorHAnsi" w:cs="AdvTT5235d5a9"/>
        </w:rPr>
      </w:r>
      <w:r w:rsidR="00625C41">
        <w:rPr>
          <w:rFonts w:asciiTheme="minorHAnsi" w:eastAsiaTheme="minorHAnsi" w:hAnsiTheme="minorHAnsi" w:cs="AdvTT5235d5a9"/>
        </w:rPr>
        <w:fldChar w:fldCharType="separate"/>
      </w:r>
      <w:r w:rsidR="00625C41" w:rsidRPr="00625C41">
        <w:rPr>
          <w:rStyle w:val="FootnoteReference"/>
        </w:rPr>
        <w:t>9</w:t>
      </w:r>
      <w:r w:rsidR="00625C41">
        <w:rPr>
          <w:rFonts w:asciiTheme="minorHAnsi" w:eastAsiaTheme="minorHAnsi" w:hAnsiTheme="minorHAnsi" w:cs="AdvTT5235d5a9"/>
        </w:rPr>
        <w:fldChar w:fldCharType="end"/>
      </w:r>
      <w:r>
        <w:rPr>
          <w:rFonts w:asciiTheme="minorHAnsi" w:eastAsiaTheme="minorHAnsi" w:hAnsiTheme="minorHAnsi" w:cs="AdvTT5235d5a9"/>
        </w:rPr>
        <w:t xml:space="preserve"> Glucocorticoids were considered the cornerstone of therapy and the only treatment rated as having a high level of evidence. A</w:t>
      </w:r>
      <w:r w:rsidRPr="00727624">
        <w:rPr>
          <w:lang w:eastAsia="en-AU"/>
        </w:rPr>
        <w:t xml:space="preserve">pproximately 85% of EGPA patients </w:t>
      </w:r>
      <w:r>
        <w:rPr>
          <w:lang w:eastAsia="en-AU"/>
        </w:rPr>
        <w:t>were</w:t>
      </w:r>
      <w:r w:rsidRPr="00727624">
        <w:rPr>
          <w:lang w:eastAsia="en-AU"/>
        </w:rPr>
        <w:t xml:space="preserve"> reported to require long-term prednisone (mean dose 12.9 ± 12.5 mg/day) to control asthma, rhinitis and/or </w:t>
      </w:r>
      <w:proofErr w:type="spellStart"/>
      <w:r w:rsidRPr="00727624">
        <w:rPr>
          <w:lang w:eastAsia="en-AU"/>
        </w:rPr>
        <w:t>arthralgias</w:t>
      </w:r>
      <w:proofErr w:type="spellEnd"/>
      <w:r w:rsidRPr="00727624">
        <w:rPr>
          <w:lang w:eastAsia="en-AU"/>
        </w:rPr>
        <w:t xml:space="preserve">, </w:t>
      </w:r>
      <w:r w:rsidR="008318B3">
        <w:rPr>
          <w:lang w:eastAsia="en-AU"/>
        </w:rPr>
        <w:t>‘</w:t>
      </w:r>
      <w:r w:rsidRPr="008318B3">
        <w:rPr>
          <w:lang w:eastAsia="en-AU"/>
        </w:rPr>
        <w:t>thereby highlighting the need for glucocorticoid sparing therapies</w:t>
      </w:r>
      <w:r w:rsidR="008318B3">
        <w:rPr>
          <w:lang w:eastAsia="en-AU"/>
        </w:rPr>
        <w:t>’</w:t>
      </w:r>
      <w:r w:rsidRPr="008318B3">
        <w:rPr>
          <w:lang w:eastAsia="en-AU"/>
        </w:rPr>
        <w:t>.</w:t>
      </w:r>
    </w:p>
    <w:p w14:paraId="1394D71C" w14:textId="21D2A26F" w:rsidR="00AF7B2C" w:rsidRDefault="00AF7B2C" w:rsidP="00AF7B2C">
      <w:r>
        <w:rPr>
          <w:rFonts w:asciiTheme="minorHAnsi" w:hAnsiTheme="minorHAnsi"/>
        </w:rPr>
        <w:t xml:space="preserve">The EULAR recommendations for the management of small and medium vessel vasculitis, including EGPA, were initially developed in 2009. A more recent update regarding ANCA-associated </w:t>
      </w:r>
      <w:proofErr w:type="spellStart"/>
      <w:r>
        <w:rPr>
          <w:rFonts w:asciiTheme="minorHAnsi" w:hAnsiTheme="minorHAnsi"/>
        </w:rPr>
        <w:t>vasculitides</w:t>
      </w:r>
      <w:proofErr w:type="spellEnd"/>
      <w:r>
        <w:rPr>
          <w:rFonts w:asciiTheme="minorHAnsi" w:hAnsiTheme="minorHAnsi"/>
        </w:rPr>
        <w:t xml:space="preserve"> that was developed in conjunction with the </w:t>
      </w:r>
      <w:r w:rsidR="008318B3">
        <w:t>European Renal Association</w:t>
      </w:r>
      <w:r w:rsidR="008318B3">
        <w:noBreakHyphen/>
      </w:r>
      <w:r>
        <w:t xml:space="preserve">European Dialysis and Transplant Association (ERA-EDTA), </w:t>
      </w:r>
      <w:r>
        <w:rPr>
          <w:rFonts w:asciiTheme="minorHAnsi" w:hAnsiTheme="minorHAnsi"/>
        </w:rPr>
        <w:t>was published in 2016</w:t>
      </w:r>
      <w:r w:rsidRPr="00717E67">
        <w:rPr>
          <w:rFonts w:asciiTheme="minorHAnsi" w:hAnsiTheme="minorHAnsi"/>
        </w:rPr>
        <w:t>.</w:t>
      </w:r>
      <w:r w:rsidRPr="00717E67">
        <w:rPr>
          <w:rStyle w:val="FootnoteReference"/>
          <w:rFonts w:asciiTheme="minorHAnsi" w:hAnsiTheme="minorHAnsi"/>
        </w:rPr>
        <w:t xml:space="preserve"> </w:t>
      </w:r>
      <w:bookmarkStart w:id="62" w:name="_Ref14854321"/>
      <w:r w:rsidRPr="00717E67">
        <w:rPr>
          <w:rStyle w:val="FootnoteReference"/>
          <w:rFonts w:asciiTheme="minorHAnsi" w:hAnsiTheme="minorHAnsi"/>
        </w:rPr>
        <w:footnoteReference w:id="14"/>
      </w:r>
      <w:bookmarkEnd w:id="62"/>
    </w:p>
    <w:p w14:paraId="500D188D" w14:textId="77777777" w:rsidR="00AF7B2C" w:rsidRDefault="00AF7B2C" w:rsidP="00AF7B2C">
      <w:r>
        <w:t>The recommendation in the two guidelines appear to be broadly similar apart from a stronger recommendation for the use of other immunosuppressive drugs and use of rituximab in the later guideline (see</w:t>
      </w:r>
      <w:r w:rsidR="0067675C">
        <w:t xml:space="preserve"> </w:t>
      </w:r>
      <w:r w:rsidR="0067675C">
        <w:fldChar w:fldCharType="begin"/>
      </w:r>
      <w:r w:rsidR="0067675C">
        <w:instrText xml:space="preserve"> REF _Ref14866036 \h </w:instrText>
      </w:r>
      <w:r w:rsidR="0067675C">
        <w:fldChar w:fldCharType="separate"/>
      </w:r>
      <w:r w:rsidR="0067675C">
        <w:t xml:space="preserve">Table </w:t>
      </w:r>
      <w:r w:rsidR="0067675C">
        <w:rPr>
          <w:noProof/>
        </w:rPr>
        <w:t>6</w:t>
      </w:r>
      <w:r w:rsidR="0067675C">
        <w:fldChar w:fldCharType="end"/>
      </w:r>
      <w:r>
        <w:t>).</w:t>
      </w:r>
    </w:p>
    <w:p w14:paraId="2173A8B9" w14:textId="5ED6054E" w:rsidR="00AF7B2C" w:rsidRPr="008318B3" w:rsidRDefault="00FA4A74" w:rsidP="004101C8">
      <w:pPr>
        <w:pStyle w:val="TableTitle"/>
      </w:pPr>
      <w:bookmarkStart w:id="63" w:name="_Ref14866036"/>
      <w:bookmarkStart w:id="64" w:name="_Toc522224025"/>
      <w:r>
        <w:t xml:space="preserve">Table </w:t>
      </w:r>
      <w:r w:rsidR="00C33647">
        <w:rPr>
          <w:noProof/>
        </w:rPr>
        <w:fldChar w:fldCharType="begin"/>
      </w:r>
      <w:r w:rsidR="00C33647">
        <w:rPr>
          <w:noProof/>
        </w:rPr>
        <w:instrText xml:space="preserve"> SEQ Table \* ARABIC </w:instrText>
      </w:r>
      <w:r w:rsidR="00C33647">
        <w:rPr>
          <w:noProof/>
        </w:rPr>
        <w:fldChar w:fldCharType="separate"/>
      </w:r>
      <w:r w:rsidR="00D84518">
        <w:rPr>
          <w:noProof/>
        </w:rPr>
        <w:t>6</w:t>
      </w:r>
      <w:r w:rsidR="00C33647">
        <w:rPr>
          <w:noProof/>
        </w:rPr>
        <w:fldChar w:fldCharType="end"/>
      </w:r>
      <w:bookmarkEnd w:id="63"/>
      <w:r>
        <w:t xml:space="preserve">: </w:t>
      </w:r>
      <w:r w:rsidR="00AF7B2C" w:rsidRPr="008318B3">
        <w:t xml:space="preserve">Management </w:t>
      </w:r>
      <w:r w:rsidR="00A608DC">
        <w:t>g</w:t>
      </w:r>
      <w:r w:rsidR="00A608DC" w:rsidRPr="008318B3">
        <w:t xml:space="preserve">uidelines </w:t>
      </w:r>
      <w:r w:rsidR="00AF7B2C" w:rsidRPr="008318B3">
        <w:t>for EGPA</w:t>
      </w:r>
      <w:bookmarkEnd w:id="64"/>
    </w:p>
    <w:tbl>
      <w:tblPr>
        <w:tblStyle w:val="TableTGAblue"/>
        <w:tblW w:w="0" w:type="auto"/>
        <w:tblLook w:val="04A0" w:firstRow="1" w:lastRow="0" w:firstColumn="1" w:lastColumn="0" w:noHBand="0" w:noVBand="1"/>
      </w:tblPr>
      <w:tblGrid>
        <w:gridCol w:w="2288"/>
        <w:gridCol w:w="3142"/>
        <w:gridCol w:w="3290"/>
      </w:tblGrid>
      <w:tr w:rsidR="00AF7B2C" w:rsidRPr="004101C8" w14:paraId="5423B5C9" w14:textId="77777777" w:rsidTr="00A30BE2">
        <w:trPr>
          <w:cnfStyle w:val="100000000000" w:firstRow="1" w:lastRow="0" w:firstColumn="0" w:lastColumn="0" w:oddVBand="0" w:evenVBand="0" w:oddHBand="0" w:evenHBand="0" w:firstRowFirstColumn="0" w:firstRowLastColumn="0" w:lastRowFirstColumn="0" w:lastRowLastColumn="0"/>
        </w:trPr>
        <w:tc>
          <w:tcPr>
            <w:tcW w:w="2288" w:type="dxa"/>
          </w:tcPr>
          <w:p w14:paraId="6D1C9054" w14:textId="77777777" w:rsidR="00AF7B2C" w:rsidRPr="004101C8" w:rsidRDefault="00AF7B2C" w:rsidP="004101C8">
            <w:pPr>
              <w:rPr>
                <w:sz w:val="20"/>
                <w:szCs w:val="20"/>
              </w:rPr>
            </w:pPr>
          </w:p>
        </w:tc>
        <w:tc>
          <w:tcPr>
            <w:tcW w:w="3398" w:type="dxa"/>
          </w:tcPr>
          <w:p w14:paraId="7BD9DF86" w14:textId="77777777" w:rsidR="00AF7B2C" w:rsidRPr="004101C8" w:rsidRDefault="00AF7B2C" w:rsidP="004101C8">
            <w:pPr>
              <w:rPr>
                <w:sz w:val="20"/>
                <w:szCs w:val="20"/>
              </w:rPr>
            </w:pPr>
            <w:r w:rsidRPr="004101C8">
              <w:rPr>
                <w:sz w:val="20"/>
                <w:szCs w:val="20"/>
              </w:rPr>
              <w:t>European Consensus Taskforce</w:t>
            </w:r>
          </w:p>
        </w:tc>
        <w:tc>
          <w:tcPr>
            <w:tcW w:w="3600" w:type="dxa"/>
          </w:tcPr>
          <w:p w14:paraId="7060FF01" w14:textId="77777777" w:rsidR="00AF7B2C" w:rsidRPr="004101C8" w:rsidRDefault="00AF7B2C" w:rsidP="004101C8">
            <w:pPr>
              <w:rPr>
                <w:sz w:val="20"/>
                <w:szCs w:val="20"/>
              </w:rPr>
            </w:pPr>
            <w:r w:rsidRPr="004101C8">
              <w:rPr>
                <w:sz w:val="20"/>
                <w:szCs w:val="20"/>
              </w:rPr>
              <w:t>EULAR</w:t>
            </w:r>
          </w:p>
        </w:tc>
      </w:tr>
      <w:tr w:rsidR="00AF7B2C" w:rsidRPr="004101C8" w14:paraId="15CAB819" w14:textId="77777777" w:rsidTr="00A30BE2">
        <w:trPr>
          <w:trHeight w:val="318"/>
        </w:trPr>
        <w:tc>
          <w:tcPr>
            <w:tcW w:w="2288" w:type="dxa"/>
          </w:tcPr>
          <w:p w14:paraId="7901B390" w14:textId="0427DDAF" w:rsidR="00AF7B2C" w:rsidRPr="004101C8" w:rsidRDefault="00AF7B2C" w:rsidP="004101C8">
            <w:pPr>
              <w:rPr>
                <w:rFonts w:eastAsiaTheme="minorHAnsi"/>
                <w:sz w:val="20"/>
                <w:szCs w:val="20"/>
              </w:rPr>
            </w:pPr>
            <w:r w:rsidRPr="004101C8">
              <w:rPr>
                <w:rFonts w:eastAsiaTheme="minorHAnsi"/>
                <w:i/>
                <w:sz w:val="20"/>
                <w:szCs w:val="20"/>
              </w:rPr>
              <w:t>Remission induction</w:t>
            </w:r>
            <w:r w:rsidR="00001050" w:rsidRPr="004101C8">
              <w:rPr>
                <w:rFonts w:eastAsiaTheme="minorHAnsi"/>
                <w:sz w:val="20"/>
                <w:szCs w:val="20"/>
              </w:rPr>
              <w:t>:</w:t>
            </w:r>
            <w:r w:rsidRPr="004101C8">
              <w:rPr>
                <w:rFonts w:eastAsiaTheme="minorHAnsi"/>
                <w:sz w:val="20"/>
                <w:szCs w:val="20"/>
              </w:rPr>
              <w:t xml:space="preserve"> life- and/or organ-threatening disease</w:t>
            </w:r>
          </w:p>
          <w:p w14:paraId="51528975" w14:textId="77777777" w:rsidR="00AF7B2C" w:rsidRPr="004101C8" w:rsidRDefault="00A30BE2" w:rsidP="004101C8">
            <w:pPr>
              <w:rPr>
                <w:rFonts w:eastAsiaTheme="minorHAnsi"/>
                <w:sz w:val="20"/>
                <w:szCs w:val="20"/>
              </w:rPr>
            </w:pPr>
            <w:r w:rsidRPr="004101C8">
              <w:rPr>
                <w:rFonts w:eastAsiaTheme="minorHAnsi"/>
                <w:sz w:val="20"/>
                <w:szCs w:val="20"/>
              </w:rPr>
              <w:t>(that is</w:t>
            </w:r>
            <w:r w:rsidR="00AF7B2C" w:rsidRPr="004101C8">
              <w:rPr>
                <w:rFonts w:eastAsiaTheme="minorHAnsi"/>
                <w:sz w:val="20"/>
                <w:szCs w:val="20"/>
              </w:rPr>
              <w:t>, heart, GI, central nervous system, severe peripheral neuropathy, severe ocular disease, alveolar haemorrhage and/or glomerulonephritis)</w:t>
            </w:r>
          </w:p>
        </w:tc>
        <w:tc>
          <w:tcPr>
            <w:tcW w:w="3398" w:type="dxa"/>
          </w:tcPr>
          <w:p w14:paraId="667027F1" w14:textId="77777777" w:rsidR="00AF7B2C" w:rsidRPr="004101C8" w:rsidRDefault="007B19BE" w:rsidP="004101C8">
            <w:pPr>
              <w:rPr>
                <w:rFonts w:eastAsiaTheme="minorHAnsi"/>
                <w:sz w:val="20"/>
                <w:szCs w:val="20"/>
              </w:rPr>
            </w:pPr>
            <w:r w:rsidRPr="004101C8">
              <w:rPr>
                <w:rFonts w:eastAsiaTheme="minorHAnsi"/>
                <w:sz w:val="20"/>
                <w:szCs w:val="20"/>
              </w:rPr>
              <w:t xml:space="preserve">Pulse methylprednisolone (7.5 to </w:t>
            </w:r>
            <w:r w:rsidR="00AF7B2C" w:rsidRPr="004101C8">
              <w:rPr>
                <w:rFonts w:eastAsiaTheme="minorHAnsi"/>
                <w:sz w:val="20"/>
                <w:szCs w:val="20"/>
              </w:rPr>
              <w:t>15 mg/kg/day) together with another immunosuppressant (</w:t>
            </w:r>
            <w:r w:rsidRPr="004101C8">
              <w:rPr>
                <w:rFonts w:eastAsiaTheme="minorHAnsi"/>
                <w:sz w:val="20"/>
                <w:szCs w:val="20"/>
              </w:rPr>
              <w:t>for example</w:t>
            </w:r>
            <w:r w:rsidR="00AF7B2C" w:rsidRPr="004101C8">
              <w:rPr>
                <w:rFonts w:eastAsiaTheme="minorHAnsi"/>
                <w:sz w:val="20"/>
                <w:szCs w:val="20"/>
              </w:rPr>
              <w:t>, cyclophosphamide)</w:t>
            </w:r>
            <w:r w:rsidR="008318B3" w:rsidRPr="004101C8">
              <w:rPr>
                <w:rFonts w:eastAsiaTheme="minorHAnsi"/>
                <w:sz w:val="20"/>
                <w:szCs w:val="20"/>
              </w:rPr>
              <w:t>.</w:t>
            </w:r>
          </w:p>
        </w:tc>
        <w:tc>
          <w:tcPr>
            <w:tcW w:w="3600" w:type="dxa"/>
          </w:tcPr>
          <w:p w14:paraId="77B92B9A" w14:textId="77777777" w:rsidR="00AF7B2C" w:rsidRPr="004101C8" w:rsidRDefault="00AF7B2C" w:rsidP="004101C8">
            <w:pPr>
              <w:rPr>
                <w:rFonts w:eastAsia="Times New Roman"/>
                <w:sz w:val="20"/>
                <w:szCs w:val="20"/>
                <w:lang w:eastAsia="zh-CN"/>
              </w:rPr>
            </w:pPr>
            <w:r w:rsidRPr="004101C8">
              <w:rPr>
                <w:rFonts w:eastAsia="Times New Roman"/>
                <w:sz w:val="20"/>
                <w:szCs w:val="20"/>
                <w:lang w:eastAsia="zh-CN"/>
              </w:rPr>
              <w:t xml:space="preserve">Combination therapy with high dose prednisolone and either oral cyclophosphamide </w:t>
            </w:r>
            <w:r w:rsidR="00BC10B1" w:rsidRPr="004101C8">
              <w:rPr>
                <w:rFonts w:eastAsia="Times New Roman"/>
                <w:sz w:val="20"/>
                <w:szCs w:val="20"/>
                <w:lang w:eastAsia="zh-CN"/>
              </w:rPr>
              <w:t>or</w:t>
            </w:r>
            <w:r w:rsidRPr="004101C8">
              <w:rPr>
                <w:rFonts w:eastAsia="Times New Roman"/>
                <w:sz w:val="20"/>
                <w:szCs w:val="20"/>
                <w:lang w:eastAsia="zh-CN"/>
              </w:rPr>
              <w:t xml:space="preserve"> rituximab, although</w:t>
            </w:r>
            <w:r w:rsidRPr="004101C8">
              <w:rPr>
                <w:sz w:val="20"/>
                <w:szCs w:val="20"/>
              </w:rPr>
              <w:t xml:space="preserve"> </w:t>
            </w:r>
            <w:r w:rsidR="007B19BE" w:rsidRPr="004101C8">
              <w:rPr>
                <w:sz w:val="20"/>
                <w:szCs w:val="20"/>
              </w:rPr>
              <w:t>‘</w:t>
            </w:r>
            <w:r w:rsidRPr="004101C8">
              <w:rPr>
                <w:sz w:val="20"/>
                <w:szCs w:val="20"/>
              </w:rPr>
              <w:t xml:space="preserve">The grade of evidence for the use of rituximab in patients with EGPA is lower than for </w:t>
            </w:r>
            <w:r w:rsidR="007B19BE" w:rsidRPr="004101C8">
              <w:rPr>
                <w:sz w:val="20"/>
                <w:szCs w:val="20"/>
              </w:rPr>
              <w:t xml:space="preserve">Granulomatosis with </w:t>
            </w:r>
            <w:proofErr w:type="spellStart"/>
            <w:r w:rsidR="007B19BE" w:rsidRPr="004101C8">
              <w:rPr>
                <w:sz w:val="20"/>
                <w:szCs w:val="20"/>
              </w:rPr>
              <w:t>Polyangiitis</w:t>
            </w:r>
            <w:proofErr w:type="spellEnd"/>
            <w:r w:rsidR="007B19BE" w:rsidRPr="004101C8">
              <w:rPr>
                <w:sz w:val="20"/>
                <w:szCs w:val="20"/>
              </w:rPr>
              <w:t xml:space="preserve"> (</w:t>
            </w:r>
            <w:r w:rsidRPr="004101C8">
              <w:rPr>
                <w:sz w:val="20"/>
                <w:szCs w:val="20"/>
              </w:rPr>
              <w:t>GPA</w:t>
            </w:r>
            <w:r w:rsidR="007B19BE" w:rsidRPr="004101C8">
              <w:rPr>
                <w:sz w:val="20"/>
                <w:szCs w:val="20"/>
              </w:rPr>
              <w:t>)</w:t>
            </w:r>
            <w:r w:rsidRPr="004101C8">
              <w:rPr>
                <w:sz w:val="20"/>
                <w:szCs w:val="20"/>
              </w:rPr>
              <w:t>/</w:t>
            </w:r>
            <w:r w:rsidR="007B19BE" w:rsidRPr="004101C8">
              <w:rPr>
                <w:sz w:val="20"/>
                <w:szCs w:val="20"/>
              </w:rPr>
              <w:t xml:space="preserve">Microscopic </w:t>
            </w:r>
            <w:proofErr w:type="spellStart"/>
            <w:r w:rsidR="007B19BE" w:rsidRPr="004101C8">
              <w:rPr>
                <w:sz w:val="20"/>
                <w:szCs w:val="20"/>
              </w:rPr>
              <w:t>Polyangiitis</w:t>
            </w:r>
            <w:proofErr w:type="spellEnd"/>
            <w:r w:rsidR="007B19BE" w:rsidRPr="004101C8">
              <w:rPr>
                <w:sz w:val="20"/>
                <w:szCs w:val="20"/>
              </w:rPr>
              <w:t xml:space="preserve"> (</w:t>
            </w:r>
            <w:r w:rsidRPr="004101C8">
              <w:rPr>
                <w:sz w:val="20"/>
                <w:szCs w:val="20"/>
              </w:rPr>
              <w:t>MPA</w:t>
            </w:r>
            <w:r w:rsidR="007B19BE" w:rsidRPr="004101C8">
              <w:rPr>
                <w:sz w:val="20"/>
                <w:szCs w:val="20"/>
              </w:rPr>
              <w:t>)’</w:t>
            </w:r>
            <w:r w:rsidRPr="004101C8">
              <w:rPr>
                <w:rFonts w:eastAsia="Times New Roman"/>
                <w:sz w:val="20"/>
                <w:szCs w:val="20"/>
                <w:lang w:eastAsia="zh-CN"/>
              </w:rPr>
              <w:t xml:space="preserve">. Disease that is refractory to remission-induction should be managed by </w:t>
            </w:r>
            <w:r w:rsidRPr="004101C8">
              <w:rPr>
                <w:sz w:val="20"/>
                <w:szCs w:val="20"/>
              </w:rPr>
              <w:t>switching from cyclophosphamide to rituximab or from rituximab to cyclophosphamide</w:t>
            </w:r>
          </w:p>
        </w:tc>
      </w:tr>
      <w:tr w:rsidR="00AF7B2C" w:rsidRPr="004101C8" w14:paraId="3968B15A" w14:textId="77777777" w:rsidTr="00A30BE2">
        <w:tc>
          <w:tcPr>
            <w:tcW w:w="2288" w:type="dxa"/>
          </w:tcPr>
          <w:p w14:paraId="1D054205" w14:textId="4208E0C1" w:rsidR="00AF7B2C" w:rsidRPr="004101C8" w:rsidRDefault="00AF7B2C" w:rsidP="004101C8">
            <w:pPr>
              <w:rPr>
                <w:rFonts w:eastAsiaTheme="minorHAnsi"/>
                <w:sz w:val="20"/>
                <w:szCs w:val="20"/>
              </w:rPr>
            </w:pPr>
            <w:r w:rsidRPr="004101C8">
              <w:rPr>
                <w:rFonts w:eastAsiaTheme="minorHAnsi"/>
                <w:i/>
                <w:sz w:val="20"/>
                <w:szCs w:val="20"/>
              </w:rPr>
              <w:t>Remission induction</w:t>
            </w:r>
            <w:r w:rsidR="00001050" w:rsidRPr="004101C8">
              <w:rPr>
                <w:rFonts w:eastAsiaTheme="minorHAnsi"/>
                <w:sz w:val="20"/>
                <w:szCs w:val="20"/>
              </w:rPr>
              <w:t>:</w:t>
            </w:r>
            <w:r w:rsidRPr="004101C8">
              <w:rPr>
                <w:rStyle w:val="Emphasis"/>
                <w:rFonts w:cs="Calibri"/>
                <w:sz w:val="20"/>
                <w:szCs w:val="20"/>
              </w:rPr>
              <w:t xml:space="preserve"> </w:t>
            </w:r>
            <w:r w:rsidRPr="004101C8">
              <w:rPr>
                <w:rStyle w:val="Emphasis"/>
                <w:rFonts w:cs="Calibri"/>
                <w:i w:val="0"/>
                <w:sz w:val="20"/>
                <w:szCs w:val="20"/>
              </w:rPr>
              <w:t>without life- and/or organ-threatening disease</w:t>
            </w:r>
          </w:p>
        </w:tc>
        <w:tc>
          <w:tcPr>
            <w:tcW w:w="3398" w:type="dxa"/>
          </w:tcPr>
          <w:p w14:paraId="6DC2705D" w14:textId="77777777" w:rsidR="00AF7B2C" w:rsidRPr="004101C8" w:rsidRDefault="00AF7B2C" w:rsidP="004101C8">
            <w:pPr>
              <w:rPr>
                <w:sz w:val="20"/>
                <w:szCs w:val="20"/>
              </w:rPr>
            </w:pPr>
            <w:r w:rsidRPr="004101C8">
              <w:rPr>
                <w:rFonts w:eastAsiaTheme="minorHAnsi"/>
                <w:sz w:val="20"/>
                <w:szCs w:val="20"/>
              </w:rPr>
              <w:t>Glucocorticoids alone</w:t>
            </w:r>
            <w:r w:rsidRPr="004101C8">
              <w:rPr>
                <w:rStyle w:val="Emphasis"/>
                <w:rFonts w:cs="Calibri"/>
                <w:i w:val="0"/>
                <w:sz w:val="20"/>
                <w:szCs w:val="20"/>
              </w:rPr>
              <w:t>; additional immunosuppression can be considered for selected patients for whom the prednisone dose cannot be tapered to &lt;</w:t>
            </w:r>
            <w:r w:rsidR="007B19BE" w:rsidRPr="004101C8">
              <w:rPr>
                <w:rStyle w:val="Emphasis"/>
                <w:rFonts w:cs="Calibri"/>
                <w:i w:val="0"/>
                <w:sz w:val="20"/>
                <w:szCs w:val="20"/>
              </w:rPr>
              <w:t xml:space="preserve"> 7.5mg/day after </w:t>
            </w:r>
            <w:r w:rsidR="007B19BE" w:rsidRPr="004101C8">
              <w:rPr>
                <w:rStyle w:val="Emphasis"/>
                <w:rFonts w:cs="Calibri"/>
                <w:i w:val="0"/>
                <w:sz w:val="20"/>
                <w:szCs w:val="20"/>
              </w:rPr>
              <w:lastRenderedPageBreak/>
              <w:t xml:space="preserve">3 to </w:t>
            </w:r>
            <w:r w:rsidRPr="004101C8">
              <w:rPr>
                <w:rStyle w:val="Emphasis"/>
                <w:rFonts w:cs="Calibri"/>
                <w:i w:val="0"/>
                <w:sz w:val="20"/>
                <w:szCs w:val="20"/>
              </w:rPr>
              <w:t>4 months of therapy or for patients with recurrent disease</w:t>
            </w:r>
          </w:p>
        </w:tc>
        <w:tc>
          <w:tcPr>
            <w:tcW w:w="3600" w:type="dxa"/>
          </w:tcPr>
          <w:p w14:paraId="575D829D" w14:textId="77777777" w:rsidR="00AF7B2C" w:rsidRPr="004101C8" w:rsidRDefault="00AF7B2C" w:rsidP="004101C8">
            <w:pPr>
              <w:rPr>
                <w:sz w:val="20"/>
                <w:szCs w:val="20"/>
              </w:rPr>
            </w:pPr>
            <w:r w:rsidRPr="004101C8">
              <w:rPr>
                <w:sz w:val="20"/>
                <w:szCs w:val="20"/>
              </w:rPr>
              <w:lastRenderedPageBreak/>
              <w:t xml:space="preserve">Combination therapy with glucocorticoids and either methotrexate or </w:t>
            </w:r>
            <w:proofErr w:type="spellStart"/>
            <w:r w:rsidRPr="004101C8">
              <w:rPr>
                <w:sz w:val="20"/>
                <w:szCs w:val="20"/>
              </w:rPr>
              <w:t>mycophenolate</w:t>
            </w:r>
            <w:proofErr w:type="spellEnd"/>
            <w:r w:rsidRPr="004101C8">
              <w:rPr>
                <w:sz w:val="20"/>
                <w:szCs w:val="20"/>
              </w:rPr>
              <w:t xml:space="preserve"> </w:t>
            </w:r>
            <w:proofErr w:type="spellStart"/>
            <w:r w:rsidRPr="004101C8">
              <w:rPr>
                <w:sz w:val="20"/>
                <w:szCs w:val="20"/>
              </w:rPr>
              <w:t>mofetil</w:t>
            </w:r>
            <w:proofErr w:type="spellEnd"/>
          </w:p>
        </w:tc>
      </w:tr>
      <w:tr w:rsidR="00AF7B2C" w:rsidRPr="004101C8" w14:paraId="258750A9" w14:textId="77777777" w:rsidTr="00A30BE2">
        <w:tc>
          <w:tcPr>
            <w:tcW w:w="2288" w:type="dxa"/>
          </w:tcPr>
          <w:p w14:paraId="0068AE41" w14:textId="77777777" w:rsidR="00AF7B2C" w:rsidRPr="004101C8" w:rsidRDefault="00AF7B2C" w:rsidP="004101C8">
            <w:pPr>
              <w:rPr>
                <w:i/>
                <w:sz w:val="20"/>
                <w:szCs w:val="20"/>
              </w:rPr>
            </w:pPr>
            <w:r w:rsidRPr="004101C8">
              <w:rPr>
                <w:i/>
                <w:sz w:val="20"/>
                <w:szCs w:val="20"/>
              </w:rPr>
              <w:lastRenderedPageBreak/>
              <w:t>Remission maintenance</w:t>
            </w:r>
          </w:p>
        </w:tc>
        <w:tc>
          <w:tcPr>
            <w:tcW w:w="3398" w:type="dxa"/>
          </w:tcPr>
          <w:p w14:paraId="4AF19DF3" w14:textId="77777777" w:rsidR="00AF7B2C" w:rsidRPr="004101C8" w:rsidRDefault="00AF7B2C" w:rsidP="004101C8">
            <w:pPr>
              <w:rPr>
                <w:sz w:val="20"/>
                <w:szCs w:val="20"/>
              </w:rPr>
            </w:pPr>
            <w:r w:rsidRPr="004101C8">
              <w:rPr>
                <w:sz w:val="20"/>
                <w:szCs w:val="20"/>
              </w:rPr>
              <w:t xml:space="preserve">Glucocorticoids alone or </w:t>
            </w:r>
            <w:r w:rsidRPr="004101C8">
              <w:rPr>
                <w:rFonts w:eastAsiaTheme="minorHAnsi"/>
                <w:sz w:val="20"/>
                <w:szCs w:val="20"/>
              </w:rPr>
              <w:t>with methotrexate or azathioprine to reduce the risk of relapse. Cyclophosphamide avoided due to toxicit</w:t>
            </w:r>
            <w:r w:rsidR="00E94B81" w:rsidRPr="004101C8">
              <w:rPr>
                <w:rFonts w:eastAsiaTheme="minorHAnsi"/>
                <w:sz w:val="20"/>
                <w:szCs w:val="20"/>
              </w:rPr>
              <w:t>y associated with long-term use.</w:t>
            </w:r>
          </w:p>
        </w:tc>
        <w:tc>
          <w:tcPr>
            <w:tcW w:w="3600" w:type="dxa"/>
          </w:tcPr>
          <w:p w14:paraId="32453ECF" w14:textId="77777777" w:rsidR="00AF7B2C" w:rsidRPr="004101C8" w:rsidRDefault="00AF7B2C" w:rsidP="004101C8">
            <w:pPr>
              <w:rPr>
                <w:sz w:val="20"/>
                <w:szCs w:val="20"/>
                <w:lang w:eastAsia="zh-CN"/>
              </w:rPr>
            </w:pPr>
            <w:r w:rsidRPr="004101C8">
              <w:rPr>
                <w:sz w:val="20"/>
                <w:szCs w:val="20"/>
                <w:lang w:eastAsia="zh-CN"/>
              </w:rPr>
              <w:t xml:space="preserve">Combination of low dose glucocorticoid therapy and, either azathioprine, </w:t>
            </w:r>
            <w:proofErr w:type="spellStart"/>
            <w:r w:rsidRPr="004101C8">
              <w:rPr>
                <w:sz w:val="20"/>
                <w:szCs w:val="20"/>
                <w:lang w:eastAsia="zh-CN"/>
              </w:rPr>
              <w:t>leflunomide</w:t>
            </w:r>
            <w:proofErr w:type="spellEnd"/>
            <w:r w:rsidRPr="004101C8">
              <w:rPr>
                <w:sz w:val="20"/>
                <w:szCs w:val="20"/>
                <w:lang w:eastAsia="zh-CN"/>
              </w:rPr>
              <w:t xml:space="preserve"> or methotrexate. This should be continued for at least 24 months after sustained remission. The preferred immunosuppressive in EGPA is azathioprine.</w:t>
            </w:r>
          </w:p>
        </w:tc>
      </w:tr>
      <w:tr w:rsidR="00AF7B2C" w:rsidRPr="004101C8" w14:paraId="48DFFD7F" w14:textId="77777777" w:rsidTr="00A30BE2">
        <w:tc>
          <w:tcPr>
            <w:tcW w:w="2288" w:type="dxa"/>
          </w:tcPr>
          <w:p w14:paraId="532E257B" w14:textId="77777777" w:rsidR="00AF7B2C" w:rsidRPr="004101C8" w:rsidRDefault="00AF7B2C" w:rsidP="004101C8">
            <w:pPr>
              <w:rPr>
                <w:i/>
                <w:sz w:val="20"/>
                <w:szCs w:val="20"/>
              </w:rPr>
            </w:pPr>
            <w:r w:rsidRPr="004101C8">
              <w:rPr>
                <w:i/>
                <w:sz w:val="20"/>
                <w:szCs w:val="20"/>
              </w:rPr>
              <w:t>Treatment of relapse</w:t>
            </w:r>
          </w:p>
        </w:tc>
        <w:tc>
          <w:tcPr>
            <w:tcW w:w="3398" w:type="dxa"/>
          </w:tcPr>
          <w:p w14:paraId="2C60C177" w14:textId="77777777" w:rsidR="00AF7B2C" w:rsidRPr="004101C8" w:rsidRDefault="00AF7B2C" w:rsidP="004101C8">
            <w:pPr>
              <w:rPr>
                <w:rFonts w:eastAsiaTheme="minorHAnsi"/>
                <w:sz w:val="20"/>
                <w:szCs w:val="20"/>
              </w:rPr>
            </w:pPr>
            <w:r w:rsidRPr="004101C8">
              <w:rPr>
                <w:rFonts w:eastAsiaTheme="minorHAnsi"/>
                <w:sz w:val="20"/>
                <w:szCs w:val="20"/>
              </w:rPr>
              <w:t>Increased glucocorticoid dose ± other immunosuppressive drugs</w:t>
            </w:r>
            <w:r w:rsidR="00E94B81" w:rsidRPr="004101C8">
              <w:rPr>
                <w:rFonts w:eastAsiaTheme="minorHAnsi"/>
                <w:sz w:val="20"/>
                <w:szCs w:val="20"/>
              </w:rPr>
              <w:t>.</w:t>
            </w:r>
          </w:p>
        </w:tc>
        <w:tc>
          <w:tcPr>
            <w:tcW w:w="3600" w:type="dxa"/>
          </w:tcPr>
          <w:p w14:paraId="16EACDA5" w14:textId="77777777" w:rsidR="00AF7B2C" w:rsidRPr="004101C8" w:rsidRDefault="00AF7B2C" w:rsidP="004101C8">
            <w:pPr>
              <w:rPr>
                <w:rFonts w:eastAsia="Times New Roman"/>
                <w:sz w:val="20"/>
                <w:szCs w:val="20"/>
                <w:lang w:eastAsia="zh-CN"/>
              </w:rPr>
            </w:pPr>
            <w:r w:rsidRPr="004101C8">
              <w:rPr>
                <w:rFonts w:eastAsia="Times New Roman"/>
                <w:sz w:val="20"/>
                <w:szCs w:val="20"/>
                <w:lang w:eastAsia="zh-CN"/>
              </w:rPr>
              <w:t xml:space="preserve">Major relapse should be treated as remission induction. Rituximab may be preferred due to </w:t>
            </w:r>
            <w:r w:rsidRPr="004101C8">
              <w:rPr>
                <w:sz w:val="20"/>
                <w:szCs w:val="20"/>
              </w:rPr>
              <w:t>toxicity related to the cumulative dose of cyclophosphamide</w:t>
            </w:r>
          </w:p>
        </w:tc>
      </w:tr>
      <w:tr w:rsidR="00AF7B2C" w:rsidRPr="004101C8" w14:paraId="393796B4" w14:textId="77777777" w:rsidTr="00A30BE2">
        <w:tc>
          <w:tcPr>
            <w:tcW w:w="2288" w:type="dxa"/>
          </w:tcPr>
          <w:p w14:paraId="540CC0B6" w14:textId="77777777" w:rsidR="00AF7B2C" w:rsidRPr="004101C8" w:rsidRDefault="00AF7B2C" w:rsidP="004101C8">
            <w:pPr>
              <w:rPr>
                <w:i/>
                <w:sz w:val="20"/>
                <w:szCs w:val="20"/>
              </w:rPr>
            </w:pPr>
            <w:r w:rsidRPr="004101C8">
              <w:rPr>
                <w:i/>
                <w:sz w:val="20"/>
                <w:szCs w:val="20"/>
              </w:rPr>
              <w:t>Glucocorticoid tapering</w:t>
            </w:r>
          </w:p>
        </w:tc>
        <w:tc>
          <w:tcPr>
            <w:tcW w:w="3398" w:type="dxa"/>
          </w:tcPr>
          <w:p w14:paraId="0849DC37" w14:textId="77777777" w:rsidR="00AF7B2C" w:rsidRPr="004101C8" w:rsidRDefault="00E94B81" w:rsidP="004101C8">
            <w:pPr>
              <w:rPr>
                <w:sz w:val="20"/>
                <w:szCs w:val="20"/>
              </w:rPr>
            </w:pPr>
            <w:r w:rsidRPr="004101C8">
              <w:rPr>
                <w:rFonts w:eastAsiaTheme="minorHAnsi"/>
                <w:sz w:val="20"/>
                <w:szCs w:val="20"/>
              </w:rPr>
              <w:t xml:space="preserve">Induction by prednisone at 1 mg/kg/day for 2 to </w:t>
            </w:r>
            <w:r w:rsidR="00AF7B2C" w:rsidRPr="004101C8">
              <w:rPr>
                <w:rFonts w:eastAsiaTheme="minorHAnsi"/>
                <w:sz w:val="20"/>
                <w:szCs w:val="20"/>
              </w:rPr>
              <w:t>3 weeks, followed by gradual tapering over 6 months to the minimal effective dose. Optimally, this maintenance dose should be &lt;</w:t>
            </w:r>
            <w:r w:rsidRPr="004101C8">
              <w:rPr>
                <w:rFonts w:eastAsiaTheme="minorHAnsi"/>
                <w:sz w:val="20"/>
                <w:szCs w:val="20"/>
              </w:rPr>
              <w:t> </w:t>
            </w:r>
            <w:r w:rsidR="00AF7B2C" w:rsidRPr="004101C8">
              <w:rPr>
                <w:rFonts w:eastAsiaTheme="minorHAnsi"/>
                <w:sz w:val="20"/>
                <w:szCs w:val="20"/>
              </w:rPr>
              <w:t>7.5 mg/day to limit glucocorticoid-i</w:t>
            </w:r>
            <w:r w:rsidRPr="004101C8">
              <w:rPr>
                <w:rFonts w:eastAsiaTheme="minorHAnsi"/>
                <w:sz w:val="20"/>
                <w:szCs w:val="20"/>
              </w:rPr>
              <w:t>nduced side effects.</w:t>
            </w:r>
          </w:p>
        </w:tc>
        <w:tc>
          <w:tcPr>
            <w:tcW w:w="3600" w:type="dxa"/>
          </w:tcPr>
          <w:p w14:paraId="1491D225" w14:textId="77777777" w:rsidR="00AF7B2C" w:rsidRPr="004101C8" w:rsidRDefault="00AF7B2C" w:rsidP="004101C8">
            <w:pPr>
              <w:rPr>
                <w:rFonts w:eastAsia="Times New Roman"/>
                <w:sz w:val="20"/>
                <w:szCs w:val="20"/>
                <w:lang w:eastAsia="zh-CN"/>
              </w:rPr>
            </w:pPr>
            <w:r w:rsidRPr="004101C8">
              <w:rPr>
                <w:rFonts w:eastAsia="Times New Roman"/>
                <w:sz w:val="20"/>
                <w:szCs w:val="20"/>
                <w:lang w:eastAsia="zh-CN"/>
              </w:rPr>
              <w:t>The initial high dose of prednisolone 1 mg/kg/day should be gradually weaned, with a target maintenance dose of 7.</w:t>
            </w:r>
            <w:r w:rsidR="00E94B81" w:rsidRPr="004101C8">
              <w:rPr>
                <w:rFonts w:eastAsia="Times New Roman"/>
                <w:sz w:val="20"/>
                <w:szCs w:val="20"/>
                <w:lang w:eastAsia="zh-CN"/>
              </w:rPr>
              <w:t>5 to 10 mg daily after 3 months.</w:t>
            </w:r>
          </w:p>
        </w:tc>
      </w:tr>
      <w:tr w:rsidR="00AF7B2C" w:rsidRPr="004101C8" w14:paraId="3E7F739E" w14:textId="77777777" w:rsidTr="00A30BE2">
        <w:tc>
          <w:tcPr>
            <w:tcW w:w="2288" w:type="dxa"/>
          </w:tcPr>
          <w:p w14:paraId="249D5940" w14:textId="77777777" w:rsidR="00AF7B2C" w:rsidRPr="004101C8" w:rsidRDefault="00AF7B2C" w:rsidP="004101C8">
            <w:pPr>
              <w:rPr>
                <w:i/>
                <w:sz w:val="20"/>
                <w:szCs w:val="20"/>
              </w:rPr>
            </w:pPr>
            <w:r w:rsidRPr="004101C8">
              <w:rPr>
                <w:i/>
                <w:sz w:val="20"/>
                <w:szCs w:val="20"/>
              </w:rPr>
              <w:t>Other treatment options</w:t>
            </w:r>
          </w:p>
        </w:tc>
        <w:tc>
          <w:tcPr>
            <w:tcW w:w="3398" w:type="dxa"/>
          </w:tcPr>
          <w:p w14:paraId="4375A845" w14:textId="77777777" w:rsidR="00AF7B2C" w:rsidRPr="004101C8" w:rsidRDefault="00AF7B2C" w:rsidP="004101C8">
            <w:pPr>
              <w:rPr>
                <w:sz w:val="20"/>
                <w:szCs w:val="20"/>
              </w:rPr>
            </w:pPr>
            <w:r w:rsidRPr="004101C8">
              <w:rPr>
                <w:rStyle w:val="Emphasis"/>
                <w:rFonts w:cs="Calibri"/>
                <w:i w:val="0"/>
                <w:sz w:val="20"/>
                <w:szCs w:val="20"/>
              </w:rPr>
              <w:t xml:space="preserve">Plasma exchanges can </w:t>
            </w:r>
            <w:r w:rsidR="00E94B81" w:rsidRPr="004101C8">
              <w:rPr>
                <w:rStyle w:val="Emphasis"/>
                <w:rFonts w:cs="Calibri"/>
                <w:i w:val="0"/>
                <w:sz w:val="20"/>
                <w:szCs w:val="20"/>
              </w:rPr>
              <w:t xml:space="preserve">be considered for selected ANCA </w:t>
            </w:r>
            <w:r w:rsidRPr="004101C8">
              <w:rPr>
                <w:rStyle w:val="Emphasis"/>
                <w:rFonts w:cs="Calibri"/>
                <w:i w:val="0"/>
                <w:sz w:val="20"/>
                <w:szCs w:val="20"/>
              </w:rPr>
              <w:t xml:space="preserve">positive patients with rapidly progressive </w:t>
            </w:r>
            <w:r w:rsidR="00E94B81" w:rsidRPr="004101C8">
              <w:rPr>
                <w:rStyle w:val="Emphasis"/>
                <w:rFonts w:cs="Calibri"/>
                <w:i w:val="0"/>
                <w:sz w:val="20"/>
                <w:szCs w:val="20"/>
              </w:rPr>
              <w:t xml:space="preserve">glomerulonephritis or pulmonary </w:t>
            </w:r>
            <w:r w:rsidRPr="004101C8">
              <w:rPr>
                <w:rStyle w:val="Emphasis"/>
                <w:rFonts w:cs="Calibri"/>
                <w:i w:val="0"/>
                <w:sz w:val="20"/>
                <w:szCs w:val="20"/>
              </w:rPr>
              <w:t>renal syndrome</w:t>
            </w:r>
            <w:r w:rsidR="00E94B81" w:rsidRPr="004101C8">
              <w:rPr>
                <w:rStyle w:val="Emphasis"/>
                <w:rFonts w:cs="Calibri"/>
                <w:i w:val="0"/>
                <w:sz w:val="20"/>
                <w:szCs w:val="20"/>
              </w:rPr>
              <w:t>.</w:t>
            </w:r>
          </w:p>
          <w:p w14:paraId="13C52581" w14:textId="77777777" w:rsidR="00AF7B2C" w:rsidRPr="004101C8" w:rsidRDefault="00AF7B2C" w:rsidP="004101C8">
            <w:pPr>
              <w:rPr>
                <w:rStyle w:val="Emphasis"/>
                <w:rFonts w:cs="Calibri"/>
                <w:i w:val="0"/>
                <w:iCs w:val="0"/>
                <w:sz w:val="20"/>
                <w:szCs w:val="20"/>
              </w:rPr>
            </w:pPr>
            <w:r w:rsidRPr="004101C8">
              <w:rPr>
                <w:rStyle w:val="Emphasis"/>
                <w:rFonts w:cs="Calibri"/>
                <w:i w:val="0"/>
                <w:sz w:val="20"/>
                <w:szCs w:val="20"/>
              </w:rPr>
              <w:t xml:space="preserve">Rituximab can </w:t>
            </w:r>
            <w:r w:rsidR="00E94B81" w:rsidRPr="004101C8">
              <w:rPr>
                <w:rStyle w:val="Emphasis"/>
                <w:rFonts w:cs="Calibri"/>
                <w:i w:val="0"/>
                <w:sz w:val="20"/>
                <w:szCs w:val="20"/>
              </w:rPr>
              <w:t xml:space="preserve">be considered for selected ANCA </w:t>
            </w:r>
            <w:r w:rsidRPr="004101C8">
              <w:rPr>
                <w:rStyle w:val="Emphasis"/>
                <w:rFonts w:cs="Calibri"/>
                <w:i w:val="0"/>
                <w:sz w:val="20"/>
                <w:szCs w:val="20"/>
              </w:rPr>
              <w:t>positive patients with renal involvement or refractory disease.</w:t>
            </w:r>
          </w:p>
          <w:p w14:paraId="0D3C6F74" w14:textId="77777777" w:rsidR="00AF7B2C" w:rsidRPr="004101C8" w:rsidRDefault="00AF7B2C" w:rsidP="004101C8">
            <w:pPr>
              <w:rPr>
                <w:sz w:val="20"/>
                <w:szCs w:val="20"/>
              </w:rPr>
            </w:pPr>
            <w:r w:rsidRPr="004101C8">
              <w:rPr>
                <w:sz w:val="20"/>
                <w:szCs w:val="20"/>
              </w:rPr>
              <w:t>Second line treatment options include IV immunoglobulin, interferon-α</w:t>
            </w:r>
          </w:p>
        </w:tc>
        <w:tc>
          <w:tcPr>
            <w:tcW w:w="3600" w:type="dxa"/>
          </w:tcPr>
          <w:p w14:paraId="628C6159" w14:textId="77777777" w:rsidR="00AF7B2C" w:rsidRPr="004101C8" w:rsidRDefault="00AF7B2C" w:rsidP="004101C8">
            <w:pPr>
              <w:rPr>
                <w:sz w:val="20"/>
                <w:szCs w:val="20"/>
                <w:lang w:eastAsia="zh-CN"/>
              </w:rPr>
            </w:pPr>
            <w:r w:rsidRPr="004101C8">
              <w:rPr>
                <w:sz w:val="20"/>
                <w:szCs w:val="20"/>
                <w:lang w:eastAsia="zh-CN"/>
              </w:rPr>
              <w:t>Plasma exchange should be considered for</w:t>
            </w:r>
            <w:r w:rsidRPr="004101C8">
              <w:rPr>
                <w:sz w:val="20"/>
                <w:szCs w:val="20"/>
              </w:rPr>
              <w:t xml:space="preserve"> patients with </w:t>
            </w:r>
            <w:r w:rsidR="00E94B81" w:rsidRPr="004101C8">
              <w:rPr>
                <w:sz w:val="20"/>
                <w:szCs w:val="20"/>
              </w:rPr>
              <w:t>ANCA-associated vasculitis (AAV)</w:t>
            </w:r>
            <w:r w:rsidRPr="004101C8">
              <w:rPr>
                <w:sz w:val="20"/>
                <w:szCs w:val="20"/>
              </w:rPr>
              <w:t xml:space="preserve"> and a serum </w:t>
            </w:r>
            <w:proofErr w:type="spellStart"/>
            <w:r w:rsidRPr="004101C8">
              <w:rPr>
                <w:sz w:val="20"/>
                <w:szCs w:val="20"/>
              </w:rPr>
              <w:t>creatine</w:t>
            </w:r>
            <w:proofErr w:type="spellEnd"/>
            <w:r w:rsidRPr="004101C8">
              <w:rPr>
                <w:sz w:val="20"/>
                <w:szCs w:val="20"/>
              </w:rPr>
              <w:t xml:space="preserve"> level of &gt;</w:t>
            </w:r>
            <w:r w:rsidR="00E94B81" w:rsidRPr="004101C8">
              <w:rPr>
                <w:sz w:val="20"/>
                <w:szCs w:val="20"/>
              </w:rPr>
              <w:t> 500 µ</w:t>
            </w:r>
            <w:proofErr w:type="spellStart"/>
            <w:r w:rsidR="00E94B81" w:rsidRPr="004101C8">
              <w:rPr>
                <w:sz w:val="20"/>
                <w:szCs w:val="20"/>
              </w:rPr>
              <w:t>mol</w:t>
            </w:r>
            <w:proofErr w:type="spellEnd"/>
            <w:r w:rsidR="00E94B81" w:rsidRPr="004101C8">
              <w:rPr>
                <w:sz w:val="20"/>
                <w:szCs w:val="20"/>
              </w:rPr>
              <w:t xml:space="preserve">/L (5.7 </w:t>
            </w:r>
            <w:r w:rsidRPr="004101C8">
              <w:rPr>
                <w:sz w:val="20"/>
                <w:szCs w:val="20"/>
              </w:rPr>
              <w:t>mg/</w:t>
            </w:r>
            <w:proofErr w:type="spellStart"/>
            <w:r w:rsidRPr="004101C8">
              <w:rPr>
                <w:sz w:val="20"/>
                <w:szCs w:val="20"/>
              </w:rPr>
              <w:t>dL</w:t>
            </w:r>
            <w:proofErr w:type="spellEnd"/>
            <w:r w:rsidRPr="004101C8">
              <w:rPr>
                <w:sz w:val="20"/>
                <w:szCs w:val="20"/>
              </w:rPr>
              <w:t>) due to rapidly progressive glomerulonephritis in the setting of new or relapsing disease or for patients with severe diffuse alveolar haemorrhage</w:t>
            </w:r>
            <w:r w:rsidR="00A30BE2" w:rsidRPr="004101C8">
              <w:rPr>
                <w:sz w:val="20"/>
                <w:szCs w:val="20"/>
                <w:lang w:eastAsia="zh-CN"/>
              </w:rPr>
              <w:t>.</w:t>
            </w:r>
          </w:p>
        </w:tc>
      </w:tr>
    </w:tbl>
    <w:p w14:paraId="3A833789" w14:textId="77777777" w:rsidR="00A30BE2" w:rsidRDefault="00A30BE2" w:rsidP="00A30BE2">
      <w:pPr>
        <w:pStyle w:val="TableDescription"/>
        <w:rPr>
          <w:lang w:eastAsia="zh-CN"/>
        </w:rPr>
      </w:pPr>
      <w:r>
        <w:rPr>
          <w:lang w:eastAsia="zh-CN"/>
        </w:rPr>
        <w:t>Sources: Groh et. al. (2015)</w:t>
      </w:r>
      <w:r>
        <w:rPr>
          <w:lang w:eastAsia="zh-CN"/>
        </w:rPr>
        <w:fldChar w:fldCharType="begin"/>
      </w:r>
      <w:r>
        <w:rPr>
          <w:lang w:eastAsia="zh-CN"/>
        </w:rPr>
        <w:instrText xml:space="preserve"> NOTEREF _Ref14854307 \f \h  \* MERGEFORMAT </w:instrText>
      </w:r>
      <w:r>
        <w:rPr>
          <w:lang w:eastAsia="zh-CN"/>
        </w:rPr>
      </w:r>
      <w:r>
        <w:rPr>
          <w:lang w:eastAsia="zh-CN"/>
        </w:rPr>
        <w:fldChar w:fldCharType="separate"/>
      </w:r>
      <w:r w:rsidRPr="00A30BE2">
        <w:rPr>
          <w:rStyle w:val="FootnoteReference"/>
        </w:rPr>
        <w:t>8</w:t>
      </w:r>
      <w:r>
        <w:rPr>
          <w:lang w:eastAsia="zh-CN"/>
        </w:rPr>
        <w:fldChar w:fldCharType="end"/>
      </w:r>
      <w:r>
        <w:rPr>
          <w:lang w:eastAsia="zh-CN"/>
        </w:rPr>
        <w:t xml:space="preserve"> and Yates et. al. (2016).</w:t>
      </w:r>
      <w:r>
        <w:rPr>
          <w:lang w:eastAsia="zh-CN"/>
        </w:rPr>
        <w:fldChar w:fldCharType="begin"/>
      </w:r>
      <w:r>
        <w:rPr>
          <w:lang w:eastAsia="zh-CN"/>
        </w:rPr>
        <w:instrText xml:space="preserve"> NOTEREF _Ref14854321 \f \h  \* MERGEFORMAT </w:instrText>
      </w:r>
      <w:r>
        <w:rPr>
          <w:lang w:eastAsia="zh-CN"/>
        </w:rPr>
      </w:r>
      <w:r>
        <w:rPr>
          <w:lang w:eastAsia="zh-CN"/>
        </w:rPr>
        <w:fldChar w:fldCharType="separate"/>
      </w:r>
      <w:r w:rsidRPr="00A30BE2">
        <w:rPr>
          <w:rStyle w:val="FootnoteReference"/>
        </w:rPr>
        <w:t>13</w:t>
      </w:r>
      <w:r>
        <w:rPr>
          <w:lang w:eastAsia="zh-CN"/>
        </w:rPr>
        <w:fldChar w:fldCharType="end"/>
      </w:r>
    </w:p>
    <w:p w14:paraId="56F65304" w14:textId="77777777" w:rsidR="00AF7B2C" w:rsidRPr="0020109F" w:rsidRDefault="00AF7B2C" w:rsidP="004101C8">
      <w:pPr>
        <w:pageBreakBefore/>
        <w:rPr>
          <w:lang w:eastAsia="zh-CN"/>
        </w:rPr>
      </w:pPr>
      <w:r>
        <w:rPr>
          <w:lang w:eastAsia="zh-CN"/>
        </w:rPr>
        <w:lastRenderedPageBreak/>
        <w:t>The earlier more general EULAR guidelines</w:t>
      </w:r>
      <w:r>
        <w:rPr>
          <w:rStyle w:val="FootnoteReference"/>
          <w:lang w:eastAsia="zh-CN"/>
        </w:rPr>
        <w:footnoteReference w:id="15"/>
      </w:r>
      <w:r>
        <w:rPr>
          <w:lang w:eastAsia="zh-CN"/>
        </w:rPr>
        <w:t xml:space="preserve"> also recommended that:</w:t>
      </w:r>
    </w:p>
    <w:p w14:paraId="42DBAEE6" w14:textId="0FAC17CD" w:rsidR="00AF7B2C" w:rsidRPr="006767CE" w:rsidRDefault="002C4984" w:rsidP="00681B98">
      <w:pPr>
        <w:pStyle w:val="ListParagraph"/>
        <w:numPr>
          <w:ilvl w:val="0"/>
          <w:numId w:val="9"/>
        </w:numPr>
        <w:rPr>
          <w:rFonts w:asciiTheme="minorHAnsi" w:eastAsia="Times New Roman" w:hAnsiTheme="minorHAnsi" w:cs="Arial"/>
          <w:lang w:eastAsia="zh-CN"/>
        </w:rPr>
      </w:pPr>
      <w:r>
        <w:rPr>
          <w:rFonts w:asciiTheme="minorHAnsi" w:eastAsia="Times New Roman" w:hAnsiTheme="minorHAnsi" w:cs="Arial"/>
          <w:lang w:eastAsia="zh-CN"/>
        </w:rPr>
        <w:t>A</w:t>
      </w:r>
      <w:r w:rsidR="00A608DC" w:rsidRPr="006767CE">
        <w:rPr>
          <w:rFonts w:asciiTheme="minorHAnsi" w:eastAsia="Times New Roman" w:hAnsiTheme="minorHAnsi" w:cs="Arial"/>
          <w:lang w:eastAsia="zh-CN"/>
        </w:rPr>
        <w:t xml:space="preserve">lternative </w:t>
      </w:r>
      <w:r w:rsidR="00AF7B2C" w:rsidRPr="006767CE">
        <w:rPr>
          <w:rFonts w:asciiTheme="minorHAnsi" w:eastAsia="Times New Roman" w:hAnsiTheme="minorHAnsi" w:cs="Arial"/>
          <w:lang w:eastAsia="zh-CN"/>
        </w:rPr>
        <w:t xml:space="preserve">immunomodulatory therapy choices should be considered for patients who do not achieve remission or relapse on maximal doses of standard therapy. These patients should be referred to an expert centre for further management and enrolment in clinical trials. The alternative therapy choices proposed include </w:t>
      </w:r>
      <w:r w:rsidR="00AF7B2C" w:rsidRPr="006767CE">
        <w:rPr>
          <w:rFonts w:asciiTheme="minorHAnsi" w:hAnsiTheme="minorHAnsi"/>
        </w:rPr>
        <w:t xml:space="preserve">intravenous immunoglobulin, </w:t>
      </w:r>
      <w:r w:rsidR="00AF7B2C" w:rsidRPr="006767CE">
        <w:rPr>
          <w:rFonts w:asciiTheme="minorHAnsi" w:eastAsia="Times New Roman" w:hAnsiTheme="minorHAnsi" w:cs="Arial"/>
          <w:lang w:eastAsia="zh-CN"/>
        </w:rPr>
        <w:t xml:space="preserve">conventional </w:t>
      </w:r>
      <w:proofErr w:type="spellStart"/>
      <w:r w:rsidR="00AF7B2C" w:rsidRPr="006767CE">
        <w:rPr>
          <w:rFonts w:asciiTheme="minorHAnsi" w:eastAsia="Times New Roman" w:hAnsiTheme="minorHAnsi" w:cs="Arial"/>
          <w:lang w:eastAsia="zh-CN"/>
        </w:rPr>
        <w:t>immunosuppressants</w:t>
      </w:r>
      <w:proofErr w:type="spellEnd"/>
      <w:r w:rsidR="00AF7B2C" w:rsidRPr="006767CE">
        <w:rPr>
          <w:rFonts w:asciiTheme="minorHAnsi" w:eastAsia="Times New Roman" w:hAnsiTheme="minorHAnsi" w:cs="Arial"/>
          <w:lang w:eastAsia="zh-CN"/>
        </w:rPr>
        <w:t xml:space="preserve"> such as </w:t>
      </w:r>
      <w:proofErr w:type="spellStart"/>
      <w:r w:rsidR="00AF7B2C" w:rsidRPr="006767CE">
        <w:rPr>
          <w:rFonts w:asciiTheme="minorHAnsi" w:eastAsia="Times New Roman" w:hAnsiTheme="minorHAnsi" w:cs="Arial"/>
          <w:lang w:eastAsia="zh-CN"/>
        </w:rPr>
        <w:t>mycophenolate</w:t>
      </w:r>
      <w:proofErr w:type="spellEnd"/>
      <w:r w:rsidR="00AF7B2C" w:rsidRPr="006767CE">
        <w:rPr>
          <w:rFonts w:asciiTheme="minorHAnsi" w:eastAsia="Times New Roman" w:hAnsiTheme="minorHAnsi" w:cs="Arial"/>
          <w:lang w:eastAsia="zh-CN"/>
        </w:rPr>
        <w:t xml:space="preserve"> </w:t>
      </w:r>
      <w:proofErr w:type="spellStart"/>
      <w:r w:rsidR="00AF7B2C" w:rsidRPr="006767CE">
        <w:rPr>
          <w:rFonts w:asciiTheme="minorHAnsi" w:eastAsia="Times New Roman" w:hAnsiTheme="minorHAnsi" w:cs="Arial"/>
          <w:lang w:eastAsia="zh-CN"/>
        </w:rPr>
        <w:t>mofetil</w:t>
      </w:r>
      <w:proofErr w:type="spellEnd"/>
      <w:r w:rsidR="00AF7B2C" w:rsidRPr="006767CE">
        <w:rPr>
          <w:rFonts w:asciiTheme="minorHAnsi" w:eastAsia="Times New Roman" w:hAnsiTheme="minorHAnsi" w:cs="Arial"/>
          <w:lang w:eastAsia="zh-CN"/>
        </w:rPr>
        <w:t xml:space="preserve"> and 15-deoxyspergualin, and biologic agents such as anti-</w:t>
      </w:r>
      <w:proofErr w:type="spellStart"/>
      <w:r w:rsidR="00AF7B2C" w:rsidRPr="006767CE">
        <w:rPr>
          <w:rFonts w:asciiTheme="minorHAnsi" w:eastAsia="Times New Roman" w:hAnsiTheme="minorHAnsi" w:cs="Arial"/>
          <w:lang w:eastAsia="zh-CN"/>
        </w:rPr>
        <w:t>thymocyte</w:t>
      </w:r>
      <w:proofErr w:type="spellEnd"/>
      <w:r w:rsidR="00AF7B2C" w:rsidRPr="006767CE">
        <w:rPr>
          <w:rFonts w:asciiTheme="minorHAnsi" w:eastAsia="Times New Roman" w:hAnsiTheme="minorHAnsi" w:cs="Arial"/>
          <w:lang w:eastAsia="zh-CN"/>
        </w:rPr>
        <w:t xml:space="preserve"> glo</w:t>
      </w:r>
      <w:r w:rsidR="00FA4A74">
        <w:rPr>
          <w:rFonts w:asciiTheme="minorHAnsi" w:eastAsia="Times New Roman" w:hAnsiTheme="minorHAnsi" w:cs="Arial"/>
          <w:lang w:eastAsia="zh-CN"/>
        </w:rPr>
        <w:t>bulin, infliximab and rituximab.</w:t>
      </w:r>
    </w:p>
    <w:p w14:paraId="00D17D5C" w14:textId="18B9AF09" w:rsidR="00AF7B2C" w:rsidRPr="00D14FCA" w:rsidRDefault="00AF7B2C" w:rsidP="00FA4A74">
      <w:pPr>
        <w:pStyle w:val="Heading5"/>
        <w:rPr>
          <w:lang w:eastAsia="ja-JP"/>
        </w:rPr>
      </w:pPr>
      <w:r w:rsidRPr="00D14FCA">
        <w:rPr>
          <w:lang w:eastAsia="ja-JP"/>
        </w:rPr>
        <w:t xml:space="preserve">Biological </w:t>
      </w:r>
      <w:r w:rsidR="00A608DC">
        <w:rPr>
          <w:lang w:eastAsia="ja-JP"/>
        </w:rPr>
        <w:t>a</w:t>
      </w:r>
      <w:r w:rsidR="00A608DC" w:rsidRPr="00D14FCA">
        <w:rPr>
          <w:lang w:eastAsia="ja-JP"/>
        </w:rPr>
        <w:t>gents</w:t>
      </w:r>
      <w:r w:rsidR="00A608DC">
        <w:rPr>
          <w:lang w:eastAsia="ja-JP"/>
        </w:rPr>
        <w:t xml:space="preserve"> </w:t>
      </w:r>
      <w:r>
        <w:rPr>
          <w:lang w:eastAsia="ja-JP"/>
        </w:rPr>
        <w:t>and EGPA</w:t>
      </w:r>
    </w:p>
    <w:p w14:paraId="7FC2D0B0" w14:textId="77777777" w:rsidR="00AF7B2C" w:rsidRDefault="00AF7B2C" w:rsidP="00AF7B2C">
      <w:pPr>
        <w:rPr>
          <w:rFonts w:asciiTheme="minorHAnsi" w:hAnsiTheme="minorHAnsi"/>
          <w:lang w:eastAsia="ja-JP"/>
        </w:rPr>
      </w:pPr>
      <w:r w:rsidRPr="00B837D6">
        <w:rPr>
          <w:rFonts w:asciiTheme="minorHAnsi" w:hAnsiTheme="minorHAnsi"/>
          <w:lang w:eastAsia="ja-JP"/>
        </w:rPr>
        <w:t xml:space="preserve">Treatment of </w:t>
      </w:r>
      <w:proofErr w:type="spellStart"/>
      <w:r w:rsidRPr="00B837D6">
        <w:rPr>
          <w:rFonts w:asciiTheme="minorHAnsi" w:hAnsiTheme="minorHAnsi"/>
          <w:lang w:eastAsia="ja-JP"/>
        </w:rPr>
        <w:t>vasculitides</w:t>
      </w:r>
      <w:proofErr w:type="spellEnd"/>
      <w:r w:rsidRPr="00B837D6">
        <w:rPr>
          <w:rFonts w:asciiTheme="minorHAnsi" w:hAnsiTheme="minorHAnsi"/>
          <w:lang w:eastAsia="ja-JP"/>
        </w:rPr>
        <w:t xml:space="preserve"> with biological agents is being investigated, either in clinical trials or through off-label use in refractory cases. The B-cell depleting agent, rituximab, has been approved by the </w:t>
      </w:r>
      <w:r w:rsidR="000669F8">
        <w:rPr>
          <w:rFonts w:asciiTheme="minorHAnsi" w:hAnsiTheme="minorHAnsi"/>
          <w:lang w:eastAsia="ja-JP"/>
        </w:rPr>
        <w:t>Food and Drug Administration (</w:t>
      </w:r>
      <w:r w:rsidRPr="00B837D6">
        <w:rPr>
          <w:rFonts w:asciiTheme="minorHAnsi" w:hAnsiTheme="minorHAnsi"/>
          <w:lang w:eastAsia="ja-JP"/>
        </w:rPr>
        <w:t>FDA</w:t>
      </w:r>
      <w:r w:rsidR="000669F8">
        <w:rPr>
          <w:rFonts w:asciiTheme="minorHAnsi" w:hAnsiTheme="minorHAnsi"/>
          <w:lang w:eastAsia="ja-JP"/>
        </w:rPr>
        <w:t>)</w:t>
      </w:r>
      <w:r w:rsidRPr="00B837D6">
        <w:rPr>
          <w:rFonts w:asciiTheme="minorHAnsi" w:hAnsiTheme="minorHAnsi"/>
          <w:lang w:eastAsia="ja-JP"/>
        </w:rPr>
        <w:t xml:space="preserve">, </w:t>
      </w:r>
      <w:r w:rsidR="000669F8">
        <w:rPr>
          <w:rFonts w:asciiTheme="minorHAnsi" w:hAnsiTheme="minorHAnsi"/>
          <w:lang w:eastAsia="ja-JP"/>
        </w:rPr>
        <w:t>European Medicines Agency (</w:t>
      </w:r>
      <w:r w:rsidRPr="00B837D6">
        <w:rPr>
          <w:rFonts w:asciiTheme="minorHAnsi" w:hAnsiTheme="minorHAnsi"/>
          <w:lang w:eastAsia="ja-JP"/>
        </w:rPr>
        <w:t>EMA</w:t>
      </w:r>
      <w:r w:rsidR="000669F8">
        <w:rPr>
          <w:rFonts w:asciiTheme="minorHAnsi" w:hAnsiTheme="minorHAnsi"/>
          <w:lang w:eastAsia="ja-JP"/>
        </w:rPr>
        <w:t>)</w:t>
      </w:r>
      <w:r w:rsidRPr="00B837D6">
        <w:rPr>
          <w:rFonts w:asciiTheme="minorHAnsi" w:hAnsiTheme="minorHAnsi"/>
          <w:lang w:eastAsia="ja-JP"/>
        </w:rPr>
        <w:t xml:space="preserve"> and TGA for the treatment of </w:t>
      </w:r>
      <w:r w:rsidRPr="00B837D6">
        <w:rPr>
          <w:rFonts w:asciiTheme="minorHAnsi" w:eastAsia="Times New Roman" w:hAnsiTheme="minorHAnsi"/>
          <w:lang w:eastAsia="zh-CN"/>
        </w:rPr>
        <w:t>GPA</w:t>
      </w:r>
      <w:r w:rsidR="00B837D6">
        <w:rPr>
          <w:rFonts w:asciiTheme="minorHAnsi" w:eastAsia="Times New Roman" w:hAnsiTheme="minorHAnsi"/>
          <w:lang w:eastAsia="zh-CN"/>
        </w:rPr>
        <w:t xml:space="preserve"> </w:t>
      </w:r>
      <w:r w:rsidRPr="00B837D6">
        <w:rPr>
          <w:rFonts w:asciiTheme="minorHAnsi" w:eastAsia="Times New Roman" w:hAnsiTheme="minorHAnsi"/>
          <w:lang w:eastAsia="zh-CN"/>
        </w:rPr>
        <w:t xml:space="preserve">and </w:t>
      </w:r>
      <w:r w:rsidR="00B837D6">
        <w:rPr>
          <w:rFonts w:asciiTheme="minorHAnsi" w:eastAsia="Times New Roman" w:hAnsiTheme="minorHAnsi"/>
          <w:lang w:eastAsia="zh-CN"/>
        </w:rPr>
        <w:t xml:space="preserve">MPA </w:t>
      </w:r>
      <w:r w:rsidRPr="00B837D6">
        <w:rPr>
          <w:rFonts w:asciiTheme="minorHAnsi" w:hAnsiTheme="minorHAnsi"/>
          <w:lang w:eastAsia="ja-JP"/>
        </w:rPr>
        <w:t>in combination with glucocorticoids (EGPA was an exclusion criteria in the pivotal studies).</w:t>
      </w:r>
      <w:r w:rsidRPr="00B837D6">
        <w:rPr>
          <w:rFonts w:asciiTheme="minorHAnsi" w:eastAsia="Times New Roman" w:hAnsiTheme="minorHAnsi"/>
          <w:vertAlign w:val="superscript"/>
          <w:lang w:eastAsia="zh-CN"/>
        </w:rPr>
        <w:t>.</w:t>
      </w:r>
      <w:r w:rsidRPr="00B837D6">
        <w:rPr>
          <w:rStyle w:val="FootnoteReference"/>
          <w:rFonts w:asciiTheme="minorHAnsi" w:eastAsia="Times New Roman" w:hAnsiTheme="minorHAnsi"/>
          <w:lang w:eastAsia="zh-CN"/>
        </w:rPr>
        <w:footnoteReference w:id="16"/>
      </w:r>
      <w:r w:rsidRPr="00B837D6">
        <w:rPr>
          <w:rFonts w:asciiTheme="minorHAnsi" w:eastAsia="Times New Roman" w:hAnsiTheme="minorHAnsi"/>
          <w:vertAlign w:val="superscript"/>
          <w:lang w:eastAsia="zh-CN"/>
        </w:rPr>
        <w:t xml:space="preserve">, </w:t>
      </w:r>
      <w:r w:rsidRPr="00B837D6">
        <w:rPr>
          <w:rStyle w:val="FootnoteReference"/>
          <w:rFonts w:asciiTheme="minorHAnsi" w:eastAsia="Times New Roman" w:hAnsiTheme="minorHAnsi"/>
          <w:lang w:eastAsia="zh-CN"/>
        </w:rPr>
        <w:footnoteReference w:id="17"/>
      </w:r>
      <w:r w:rsidRPr="00B837D6">
        <w:rPr>
          <w:rFonts w:asciiTheme="minorHAnsi" w:eastAsia="Times New Roman" w:hAnsiTheme="minorHAnsi"/>
          <w:vertAlign w:val="superscript"/>
          <w:lang w:eastAsia="zh-CN"/>
        </w:rPr>
        <w:t xml:space="preserve">, </w:t>
      </w:r>
      <w:r w:rsidRPr="00B837D6">
        <w:rPr>
          <w:rStyle w:val="FootnoteReference"/>
          <w:rFonts w:asciiTheme="minorHAnsi" w:eastAsia="Times New Roman" w:hAnsiTheme="minorHAnsi"/>
          <w:lang w:eastAsia="zh-CN"/>
        </w:rPr>
        <w:footnoteReference w:id="18"/>
      </w:r>
      <w:r w:rsidRPr="00B837D6">
        <w:rPr>
          <w:rFonts w:asciiTheme="minorHAnsi" w:eastAsia="Times New Roman" w:hAnsiTheme="minorHAnsi"/>
          <w:vertAlign w:val="superscript"/>
          <w:lang w:eastAsia="zh-CN"/>
        </w:rPr>
        <w:t xml:space="preserve"> </w:t>
      </w:r>
      <w:proofErr w:type="spellStart"/>
      <w:r w:rsidRPr="00B837D6">
        <w:rPr>
          <w:rFonts w:asciiTheme="minorHAnsi" w:hAnsiTheme="minorHAnsi"/>
          <w:lang w:eastAsia="ja-JP"/>
        </w:rPr>
        <w:t>Mepolizumab</w:t>
      </w:r>
      <w:proofErr w:type="spellEnd"/>
      <w:r w:rsidRPr="00B837D6">
        <w:rPr>
          <w:rFonts w:asciiTheme="minorHAnsi" w:hAnsiTheme="minorHAnsi"/>
          <w:lang w:eastAsia="ja-JP"/>
        </w:rPr>
        <w:t xml:space="preserve"> is the only biological agent currently approved by a regulatory body (FDA) for use in EGPA.</w:t>
      </w:r>
    </w:p>
    <w:p w14:paraId="6FCCFED3" w14:textId="77777777" w:rsidR="00AF7B2C" w:rsidRDefault="00AF7B2C" w:rsidP="00AF7B2C">
      <w:r>
        <w:t xml:space="preserve">As IL-5 is </w:t>
      </w:r>
      <w:r w:rsidRPr="00E01A6E">
        <w:t>a major survival factor for eosinophils</w:t>
      </w:r>
      <w:r>
        <w:t xml:space="preserve">, it is considered a suitable target for therapy in </w:t>
      </w:r>
      <w:proofErr w:type="spellStart"/>
      <w:r>
        <w:t>hypereosin</w:t>
      </w:r>
      <w:r w:rsidR="00F3740D">
        <w:t>ophilic</w:t>
      </w:r>
      <w:proofErr w:type="spellEnd"/>
      <w:r w:rsidR="00F3740D">
        <w:t xml:space="preserve"> diseases such as EGPA. </w:t>
      </w:r>
      <w:r>
        <w:t xml:space="preserve">Beneficial effects of </w:t>
      </w:r>
      <w:proofErr w:type="spellStart"/>
      <w:r>
        <w:t>mepolizumab</w:t>
      </w:r>
      <w:proofErr w:type="spellEnd"/>
      <w:r>
        <w:t xml:space="preserve"> in refractory EGPA have been reported in a small number of publications describing single case reports or small case series and a pilot study of 7 patients.</w:t>
      </w:r>
      <w:r>
        <w:rPr>
          <w:rStyle w:val="FootnoteReference"/>
        </w:rPr>
        <w:footnoteReference w:id="19"/>
      </w:r>
      <w:r w:rsidRPr="0052150C">
        <w:rPr>
          <w:vertAlign w:val="superscript"/>
        </w:rPr>
        <w:t>,</w:t>
      </w:r>
      <w:r>
        <w:t xml:space="preserve"> </w:t>
      </w:r>
      <w:r>
        <w:rPr>
          <w:rStyle w:val="FootnoteReference"/>
        </w:rPr>
        <w:footnoteReference w:id="20"/>
      </w:r>
      <w:r>
        <w:t xml:space="preserve"> The dose of </w:t>
      </w:r>
      <w:proofErr w:type="spellStart"/>
      <w:r>
        <w:t>mepolizumab</w:t>
      </w:r>
      <w:proofErr w:type="spellEnd"/>
      <w:r>
        <w:t xml:space="preserve"> reported in thes</w:t>
      </w:r>
      <w:r w:rsidR="00287ABC">
        <w:t>e studies was 750 mg/month IV. N</w:t>
      </w:r>
      <w:r>
        <w:t>o rationale for this dose was provided in the articles. The December 2017 FDA approval for use in EGPA</w:t>
      </w:r>
      <w:r w:rsidR="006879B1">
        <w:t xml:space="preserve"> was based on the results of a P</w:t>
      </w:r>
      <w:r>
        <w:t>hase III study that compare</w:t>
      </w:r>
      <w:r w:rsidR="006879B1">
        <w:t xml:space="preserve">d </w:t>
      </w:r>
      <w:proofErr w:type="spellStart"/>
      <w:r w:rsidR="006879B1">
        <w:t>mepolizumab</w:t>
      </w:r>
      <w:proofErr w:type="spellEnd"/>
      <w:r w:rsidR="006879B1">
        <w:t xml:space="preserve"> 300mg SC monthly plus standard care to placebo plus</w:t>
      </w:r>
      <w:r>
        <w:t xml:space="preserve"> standard care. This study (Study MEA115921) is the main efficacy and safety study for this submission. Two other </w:t>
      </w:r>
      <w:proofErr w:type="spellStart"/>
      <w:r w:rsidR="006879B1">
        <w:t>mAb</w:t>
      </w:r>
      <w:proofErr w:type="spellEnd"/>
      <w:r>
        <w:t xml:space="preserve"> to IL-5, </w:t>
      </w:r>
      <w:proofErr w:type="spellStart"/>
      <w:r>
        <w:t>benralizumab</w:t>
      </w:r>
      <w:proofErr w:type="spellEnd"/>
      <w:r>
        <w:t xml:space="preserve"> and </w:t>
      </w:r>
      <w:proofErr w:type="spellStart"/>
      <w:r>
        <w:t>reslizumab</w:t>
      </w:r>
      <w:proofErr w:type="spellEnd"/>
      <w:r>
        <w:t xml:space="preserve"> are also being investigated in the treatment of EGPA. Both of these agents have been approved by the FDA for use in asthma.</w:t>
      </w:r>
    </w:p>
    <w:p w14:paraId="2658D905" w14:textId="77777777" w:rsidR="00AF7B2C" w:rsidRDefault="00AF7B2C" w:rsidP="00AF7B2C">
      <w:r>
        <w:t>Several low-quality studies (retrospective case series predominately) suggest that rituximab may be beneficial in EGPA. Acco</w:t>
      </w:r>
      <w:r w:rsidR="006879B1">
        <w:t>rding to clinicaltrials.gov, a P</w:t>
      </w:r>
      <w:r>
        <w:t>hase III study comparing rituximab to cyclophosphamide in EGPA is currently recruiting.</w:t>
      </w:r>
      <w:r>
        <w:rPr>
          <w:rStyle w:val="FootnoteReference"/>
        </w:rPr>
        <w:footnoteReference w:id="21"/>
      </w:r>
    </w:p>
    <w:p w14:paraId="398A4BBD" w14:textId="77777777" w:rsidR="00AF7B2C" w:rsidRPr="00AF7B2C" w:rsidRDefault="00AF7B2C" w:rsidP="00A8334D">
      <w:pPr>
        <w:spacing w:after="0" w:line="240" w:lineRule="auto"/>
      </w:pPr>
      <w:r>
        <w:rPr>
          <w:rFonts w:asciiTheme="minorHAnsi" w:eastAsia="Times New Roman" w:hAnsiTheme="minorHAnsi" w:cs="Arial"/>
          <w:lang w:eastAsia="en-AU"/>
        </w:rPr>
        <w:t xml:space="preserve">It </w:t>
      </w:r>
      <w:r w:rsidRPr="009D3211">
        <w:rPr>
          <w:rFonts w:asciiTheme="minorHAnsi" w:eastAsia="Times New Roman" w:hAnsiTheme="minorHAnsi" w:cs="Arial"/>
          <w:lang w:eastAsia="en-AU"/>
        </w:rPr>
        <w:t xml:space="preserve">has been reported </w:t>
      </w:r>
      <w:r>
        <w:rPr>
          <w:rFonts w:asciiTheme="minorHAnsi" w:eastAsia="Times New Roman" w:hAnsiTheme="minorHAnsi" w:cs="Arial"/>
          <w:lang w:eastAsia="en-AU"/>
        </w:rPr>
        <w:t xml:space="preserve">that </w:t>
      </w:r>
      <w:proofErr w:type="spellStart"/>
      <w:r>
        <w:rPr>
          <w:rFonts w:asciiTheme="minorHAnsi" w:eastAsia="Times New Roman" w:hAnsiTheme="minorHAnsi" w:cs="Arial"/>
          <w:lang w:eastAsia="en-AU"/>
        </w:rPr>
        <w:t>o</w:t>
      </w:r>
      <w:r w:rsidRPr="009D3211">
        <w:rPr>
          <w:rFonts w:asciiTheme="minorHAnsi" w:hAnsiTheme="minorHAnsi"/>
        </w:rPr>
        <w:t>malizumab</w:t>
      </w:r>
      <w:proofErr w:type="spellEnd"/>
      <w:r w:rsidR="006879B1">
        <w:rPr>
          <w:rFonts w:asciiTheme="minorHAnsi" w:hAnsiTheme="minorHAnsi"/>
        </w:rPr>
        <w:t xml:space="preserve"> (</w:t>
      </w:r>
      <w:proofErr w:type="spellStart"/>
      <w:r w:rsidR="006879B1">
        <w:rPr>
          <w:rFonts w:asciiTheme="minorHAnsi" w:hAnsiTheme="minorHAnsi"/>
        </w:rPr>
        <w:t>IgE</w:t>
      </w:r>
      <w:proofErr w:type="spellEnd"/>
      <w:r w:rsidR="006879B1">
        <w:rPr>
          <w:rFonts w:asciiTheme="minorHAnsi" w:hAnsiTheme="minorHAnsi"/>
        </w:rPr>
        <w:t xml:space="preserve"> </w:t>
      </w:r>
      <w:proofErr w:type="spellStart"/>
      <w:r w:rsidR="006879B1">
        <w:rPr>
          <w:rFonts w:asciiTheme="minorHAnsi" w:hAnsiTheme="minorHAnsi"/>
        </w:rPr>
        <w:t>mA</w:t>
      </w:r>
      <w:r>
        <w:rPr>
          <w:rFonts w:asciiTheme="minorHAnsi" w:hAnsiTheme="minorHAnsi"/>
        </w:rPr>
        <w:t>b</w:t>
      </w:r>
      <w:proofErr w:type="spellEnd"/>
      <w:r>
        <w:rPr>
          <w:rFonts w:asciiTheme="minorHAnsi" w:hAnsiTheme="minorHAnsi"/>
        </w:rPr>
        <w:t>)</w:t>
      </w:r>
      <w:r w:rsidRPr="009D3211">
        <w:rPr>
          <w:rFonts w:asciiTheme="minorHAnsi" w:eastAsia="Times New Roman" w:hAnsiTheme="minorHAnsi" w:cs="Arial"/>
          <w:lang w:eastAsia="en-AU"/>
        </w:rPr>
        <w:t xml:space="preserve">, in conjunction with corticosteroids, </w:t>
      </w:r>
      <w:r>
        <w:rPr>
          <w:rFonts w:asciiTheme="minorHAnsi" w:eastAsia="Times New Roman" w:hAnsiTheme="minorHAnsi" w:cs="Arial"/>
          <w:lang w:eastAsia="en-AU"/>
        </w:rPr>
        <w:t xml:space="preserve">may </w:t>
      </w:r>
      <w:r w:rsidRPr="009D3211">
        <w:rPr>
          <w:rFonts w:asciiTheme="minorHAnsi" w:eastAsia="Times New Roman" w:hAnsiTheme="minorHAnsi" w:cs="Arial"/>
          <w:lang w:eastAsia="en-AU"/>
        </w:rPr>
        <w:t>control the symptoms of asthma in patients with EGPA.</w:t>
      </w:r>
      <w:r w:rsidRPr="009D3211">
        <w:rPr>
          <w:rStyle w:val="FootnoteReference"/>
          <w:rFonts w:asciiTheme="minorHAnsi" w:eastAsia="Times New Roman" w:hAnsiTheme="minorHAnsi" w:cs="Arial"/>
          <w:lang w:eastAsia="en-AU"/>
        </w:rPr>
        <w:footnoteReference w:id="22"/>
      </w:r>
    </w:p>
    <w:p w14:paraId="098870F9" w14:textId="77777777" w:rsidR="00605AD4" w:rsidRDefault="00605AD4" w:rsidP="00605AD4">
      <w:pPr>
        <w:pStyle w:val="Heading4"/>
      </w:pPr>
      <w:r w:rsidRPr="00605AD4">
        <w:t xml:space="preserve">Clinical </w:t>
      </w:r>
      <w:r w:rsidR="00EF59DC">
        <w:t>r</w:t>
      </w:r>
      <w:r w:rsidRPr="00605AD4">
        <w:t>ationale</w:t>
      </w:r>
    </w:p>
    <w:p w14:paraId="5262B5BB" w14:textId="77777777" w:rsidR="00AF7B2C" w:rsidRDefault="00AF7B2C" w:rsidP="00AF7B2C">
      <w:r>
        <w:t>The sponsor’s Clinical Overview provides:</w:t>
      </w:r>
    </w:p>
    <w:p w14:paraId="2FE2A665" w14:textId="6011F359" w:rsidR="006844DE" w:rsidRPr="006844DE" w:rsidRDefault="00AF7B2C" w:rsidP="006844DE">
      <w:pPr>
        <w:pStyle w:val="ListBullet"/>
        <w:rPr>
          <w:rFonts w:eastAsia="TimesNewRoman" w:cs="TimesNewRoman"/>
        </w:rPr>
      </w:pPr>
      <w:r w:rsidRPr="00D717D7">
        <w:t>A description of EGPA</w:t>
      </w:r>
      <w:r w:rsidR="00717E67">
        <w:t>:</w:t>
      </w:r>
    </w:p>
    <w:p w14:paraId="251633E7" w14:textId="77777777" w:rsidR="00AF7B2C" w:rsidRPr="00D717D7" w:rsidRDefault="006844DE" w:rsidP="006844DE">
      <w:pPr>
        <w:pStyle w:val="ListBullet2"/>
        <w:rPr>
          <w:rFonts w:eastAsia="TimesNewRoman" w:cs="TimesNewRoman"/>
        </w:rPr>
      </w:pPr>
      <w:r>
        <w:t>I</w:t>
      </w:r>
      <w:r w:rsidR="00AF7B2C" w:rsidRPr="00D717D7">
        <w:t xml:space="preserve">ncluding the range of estimated annual incidence rates of 0.5 to 3.7 per million. It notes that EGPA is even more rare in the paediatric population, with only </w:t>
      </w:r>
      <w:r>
        <w:t>‘</w:t>
      </w:r>
      <w:r w:rsidR="00AF7B2C" w:rsidRPr="006844DE">
        <w:rPr>
          <w:rFonts w:eastAsia="TimesNewRoman" w:cs="TimesNewRoman"/>
        </w:rPr>
        <w:t>87 cases identified in the literature between 1951 and 2016</w:t>
      </w:r>
      <w:r>
        <w:rPr>
          <w:rFonts w:eastAsia="TimesNewRoman" w:cs="TimesNewRoman"/>
        </w:rPr>
        <w:t>’</w:t>
      </w:r>
      <w:r w:rsidR="00AF7B2C" w:rsidRPr="00D717D7">
        <w:rPr>
          <w:rFonts w:eastAsia="TimesNewRoman" w:cs="TimesNewRoman"/>
        </w:rPr>
        <w:t>.</w:t>
      </w:r>
    </w:p>
    <w:p w14:paraId="5FD1FC22" w14:textId="3D36622B" w:rsidR="006844DE" w:rsidRDefault="00AF7B2C" w:rsidP="006844DE">
      <w:pPr>
        <w:pStyle w:val="ListBullet"/>
      </w:pPr>
      <w:r w:rsidRPr="00D717D7">
        <w:lastRenderedPageBreak/>
        <w:t>A description of current therapies and unmet need</w:t>
      </w:r>
      <w:r w:rsidR="00717E67">
        <w:t>:</w:t>
      </w:r>
    </w:p>
    <w:p w14:paraId="15C28EAD" w14:textId="77777777" w:rsidR="00AF7B2C" w:rsidRPr="00D717D7" w:rsidRDefault="00AF7B2C" w:rsidP="006844DE">
      <w:pPr>
        <w:pStyle w:val="ListBullet2"/>
      </w:pPr>
      <w:r w:rsidRPr="00D717D7">
        <w:t xml:space="preserve">This states that </w:t>
      </w:r>
      <w:r w:rsidR="00126A5E">
        <w:t>‘</w:t>
      </w:r>
      <w:r w:rsidRPr="00D717D7">
        <w:t>the management of this disease is based on reduction of active inflammation, suppression of the immune res</w:t>
      </w:r>
      <w:r w:rsidR="000669F8">
        <w:t xml:space="preserve">ponse, and treatment of disease </w:t>
      </w:r>
      <w:r w:rsidRPr="00D717D7">
        <w:t>specific and/or treatment related complications</w:t>
      </w:r>
      <w:r w:rsidR="00126A5E">
        <w:t>’</w:t>
      </w:r>
      <w:r w:rsidRPr="00D717D7">
        <w:t>, with corticosteroid therapy as the cornerstone. Issues related to current treatment options were described, incl</w:t>
      </w:r>
      <w:r w:rsidR="000669F8">
        <w:t xml:space="preserve">uding: the side effects of long </w:t>
      </w:r>
      <w:r w:rsidRPr="00D717D7">
        <w:t xml:space="preserve">term corticosteroid use; the need for more potent immunosuppressive treatments in some patients and the side effects related to these; permanent organ damage that may result from poorly controlled relapsed or refractory disease. The unmet need in the treatment of EGPA is described as the need to </w:t>
      </w:r>
      <w:r w:rsidR="00126A5E">
        <w:t>‘</w:t>
      </w:r>
      <w:r w:rsidRPr="00D717D7">
        <w:t>induce and maintain remission and preventing relapse while reducing the burden of corticosteroid usage and other immunosuppressive therapies</w:t>
      </w:r>
      <w:r w:rsidR="00126A5E">
        <w:t>’</w:t>
      </w:r>
      <w:r w:rsidRPr="00D717D7">
        <w:t>.</w:t>
      </w:r>
    </w:p>
    <w:p w14:paraId="63E85305" w14:textId="77777777" w:rsidR="00AF7B2C" w:rsidRPr="00D717D7" w:rsidRDefault="00AF7B2C" w:rsidP="006844DE">
      <w:pPr>
        <w:pStyle w:val="ListBullet"/>
      </w:pPr>
      <w:r w:rsidRPr="00D717D7">
        <w:t xml:space="preserve">A rationale for the use of </w:t>
      </w:r>
      <w:proofErr w:type="spellStart"/>
      <w:r w:rsidRPr="00D717D7">
        <w:t>mepolizumab</w:t>
      </w:r>
      <w:proofErr w:type="spellEnd"/>
      <w:r w:rsidRPr="00D717D7">
        <w:t xml:space="preserve"> in EGPA based on IL-5 as a key cytokine regulating the life cycle of the eosinophil and eosinophilia being central to the pathogenesis of EGPA. </w:t>
      </w:r>
      <w:r w:rsidR="000669F8">
        <w:t>‘</w:t>
      </w:r>
      <w:r w:rsidRPr="000669F8">
        <w:t xml:space="preserve">Neutralization of IL-5 with </w:t>
      </w:r>
      <w:proofErr w:type="spellStart"/>
      <w:r w:rsidRPr="000669F8">
        <w:t>mepolizumab</w:t>
      </w:r>
      <w:proofErr w:type="spellEnd"/>
      <w:r w:rsidRPr="000669F8">
        <w:t xml:space="preserve"> therefore offers a potential therapeutic option for EGPA</w:t>
      </w:r>
      <w:r w:rsidR="000669F8">
        <w:t>’</w:t>
      </w:r>
      <w:r w:rsidRPr="00D717D7">
        <w:t>.</w:t>
      </w:r>
    </w:p>
    <w:p w14:paraId="62C5CE4A" w14:textId="1D5B2DB1" w:rsidR="00500337" w:rsidRPr="00500337" w:rsidRDefault="00AF7B2C" w:rsidP="006844DE">
      <w:pPr>
        <w:pStyle w:val="ListBullet"/>
      </w:pPr>
      <w:r w:rsidRPr="00D717D7">
        <w:t>A description of the Clinical Development Programme</w:t>
      </w:r>
      <w:r w:rsidR="000669F8">
        <w:t xml:space="preserve"> with this consisting ‘</w:t>
      </w:r>
      <w:r w:rsidRPr="00D717D7">
        <w:t>primarily of a single Phase III study in adults (</w:t>
      </w:r>
      <w:r w:rsidR="00A608DC">
        <w:t xml:space="preserve">Study </w:t>
      </w:r>
      <w:r w:rsidRPr="00D717D7">
        <w:t>MEA115921)</w:t>
      </w:r>
      <w:r w:rsidR="000669F8">
        <w:t>’ and that ‘</w:t>
      </w:r>
      <w:r w:rsidRPr="00D717D7">
        <w:t>Due to the low incidence and prevalence of EGPA in the paediatric population, a clinical trial was not considered feasible to support the paediatric indication; instead a full extrapolation of the EGPA adult efficacy and safety data (</w:t>
      </w:r>
      <w:r w:rsidR="007B19BE">
        <w:t>that is</w:t>
      </w:r>
      <w:r w:rsidRPr="00D717D7">
        <w:t>, without clinical data in paediatrics with EGPA) to the paediatric population 6 to 17 years old was u</w:t>
      </w:r>
      <w:r w:rsidR="000669F8">
        <w:t>ndertaken.’</w:t>
      </w:r>
    </w:p>
    <w:p w14:paraId="5987E72A" w14:textId="77777777" w:rsidR="00605AD4" w:rsidRDefault="00605AD4" w:rsidP="00605AD4">
      <w:pPr>
        <w:pStyle w:val="Heading4"/>
      </w:pPr>
      <w:r w:rsidRPr="00605AD4">
        <w:t>Guidance</w:t>
      </w:r>
    </w:p>
    <w:p w14:paraId="4DBC20E1" w14:textId="77777777" w:rsidR="00AF7B2C" w:rsidRDefault="00AF7B2C" w:rsidP="00AF7B2C">
      <w:pPr>
        <w:pStyle w:val="Heading5"/>
      </w:pPr>
      <w:r>
        <w:t>General</w:t>
      </w:r>
    </w:p>
    <w:p w14:paraId="454643C9" w14:textId="77777777" w:rsidR="00AF7B2C" w:rsidRPr="0025461C" w:rsidRDefault="00AF7B2C" w:rsidP="0025461C">
      <w:pPr>
        <w:rPr>
          <w:lang w:eastAsia="en-AU"/>
        </w:rPr>
      </w:pPr>
      <w:r w:rsidRPr="0025461C">
        <w:rPr>
          <w:lang w:eastAsia="en-AU"/>
        </w:rPr>
        <w:t>The following EMA recommendations adopted by the TGA were referred to in this evaluation:</w:t>
      </w:r>
    </w:p>
    <w:p w14:paraId="33A34D03" w14:textId="77777777" w:rsidR="00AF7B2C" w:rsidRPr="0025461C" w:rsidRDefault="00AF7B2C" w:rsidP="0025461C">
      <w:pPr>
        <w:pStyle w:val="ListBullet"/>
      </w:pPr>
      <w:r w:rsidRPr="0025461C">
        <w:rPr>
          <w:lang w:eastAsia="en-AU"/>
        </w:rPr>
        <w:t>Guideline on the role of pharmacokinetics in the development of medicinal products in the paediatric population</w:t>
      </w:r>
      <w:r w:rsidR="0025461C">
        <w:rPr>
          <w:lang w:eastAsia="en-AU"/>
        </w:rPr>
        <w:t>.</w:t>
      </w:r>
      <w:bookmarkStart w:id="65" w:name="_Ref14945671"/>
      <w:r w:rsidRPr="0025461C">
        <w:rPr>
          <w:rStyle w:val="FootnoteReference"/>
        </w:rPr>
        <w:footnoteReference w:id="23"/>
      </w:r>
      <w:bookmarkEnd w:id="65"/>
    </w:p>
    <w:p w14:paraId="1ACE4183" w14:textId="77777777" w:rsidR="00AF7B2C" w:rsidRPr="0025461C" w:rsidRDefault="00AF7B2C" w:rsidP="0025461C">
      <w:pPr>
        <w:pStyle w:val="ListBullet"/>
      </w:pPr>
      <w:r w:rsidRPr="0025461C">
        <w:rPr>
          <w:lang w:eastAsia="en-AU"/>
        </w:rPr>
        <w:t>Note for guidance on clinical investigation of medicinal products in the paediatric population</w:t>
      </w:r>
      <w:r w:rsidRPr="0025461C">
        <w:t>.</w:t>
      </w:r>
      <w:r w:rsidRPr="0025461C">
        <w:rPr>
          <w:rStyle w:val="FootnoteReference"/>
        </w:rPr>
        <w:footnoteReference w:id="24"/>
      </w:r>
    </w:p>
    <w:p w14:paraId="75B3F4C3" w14:textId="77777777" w:rsidR="00AF7B2C" w:rsidRPr="0025461C" w:rsidRDefault="00AF7B2C" w:rsidP="0025461C">
      <w:pPr>
        <w:pStyle w:val="ListBullet"/>
        <w:rPr>
          <w:rFonts w:cs="Arial"/>
          <w:lang w:eastAsia="en-AU"/>
        </w:rPr>
      </w:pPr>
      <w:r w:rsidRPr="0025461C">
        <w:rPr>
          <w:rFonts w:cs="Arial"/>
          <w:lang w:eastAsia="en-AU"/>
        </w:rPr>
        <w:t>Points to consider on application with 1. Meta-analyses; 2. One pivotal study</w:t>
      </w:r>
      <w:r w:rsidR="0025461C">
        <w:t>.</w:t>
      </w:r>
      <w:r w:rsidR="0025461C">
        <w:rPr>
          <w:rStyle w:val="FootnoteReference"/>
        </w:rPr>
        <w:footnoteReference w:id="25"/>
      </w:r>
    </w:p>
    <w:p w14:paraId="13C1C332" w14:textId="77777777" w:rsidR="00AF7B2C" w:rsidRPr="0025461C" w:rsidRDefault="00AF7B2C" w:rsidP="0025461C">
      <w:pPr>
        <w:pStyle w:val="ListBullet"/>
      </w:pPr>
      <w:r w:rsidRPr="0025461C">
        <w:rPr>
          <w:rFonts w:cs="Arial"/>
          <w:lang w:eastAsia="en-AU"/>
        </w:rPr>
        <w:t>Concept paper on extrapolation of efficacy and safety in medicine development</w:t>
      </w:r>
      <w:r w:rsidR="0025461C">
        <w:rPr>
          <w:rFonts w:cs="Arial"/>
          <w:lang w:eastAsia="en-AU"/>
        </w:rPr>
        <w:t>.</w:t>
      </w:r>
      <w:r w:rsidR="0025461C">
        <w:rPr>
          <w:rStyle w:val="FootnoteReference"/>
          <w:rFonts w:cs="Arial"/>
          <w:lang w:eastAsia="en-AU"/>
        </w:rPr>
        <w:footnoteReference w:id="26"/>
      </w:r>
    </w:p>
    <w:p w14:paraId="0B6A0D70" w14:textId="77777777" w:rsidR="00AF7B2C" w:rsidRDefault="00AF7B2C" w:rsidP="0025461C">
      <w:r w:rsidRPr="00E538A8">
        <w:t xml:space="preserve">In addition, the </w:t>
      </w:r>
      <w:r>
        <w:t xml:space="preserve">following have been used in the development of </w:t>
      </w:r>
      <w:r w:rsidR="00A24C48">
        <w:t>the clinical evaluation report</w:t>
      </w:r>
      <w:r>
        <w:t>:</w:t>
      </w:r>
    </w:p>
    <w:p w14:paraId="7E9244F8" w14:textId="77777777" w:rsidR="00AF7B2C" w:rsidRPr="00583879" w:rsidRDefault="00AF7B2C" w:rsidP="0025461C">
      <w:pPr>
        <w:pStyle w:val="ListBullet"/>
      </w:pPr>
      <w:r w:rsidRPr="00583879">
        <w:t>EMA Reflection paper on extrapolation of efficacy and safety in paediatric medicine development.</w:t>
      </w:r>
      <w:r w:rsidR="00583879">
        <w:rPr>
          <w:rStyle w:val="FootnoteReference"/>
        </w:rPr>
        <w:footnoteReference w:id="27"/>
      </w:r>
    </w:p>
    <w:p w14:paraId="4C6CE2A4" w14:textId="77777777" w:rsidR="00500337" w:rsidRPr="00583879" w:rsidRDefault="00AF7B2C" w:rsidP="00500337">
      <w:pPr>
        <w:pStyle w:val="ListBullet"/>
        <w:rPr>
          <w:rFonts w:asciiTheme="minorHAnsi" w:eastAsiaTheme="minorHAnsi" w:hAnsiTheme="minorHAnsi" w:cs="AdvPECF938"/>
        </w:rPr>
      </w:pPr>
      <w:r w:rsidRPr="00583879">
        <w:rPr>
          <w:rFonts w:asciiTheme="minorHAnsi" w:hAnsiTheme="minorHAnsi"/>
        </w:rPr>
        <w:lastRenderedPageBreak/>
        <w:t xml:space="preserve">EULAR Recommendations </w:t>
      </w:r>
      <w:r w:rsidRPr="00583879">
        <w:rPr>
          <w:rFonts w:asciiTheme="minorHAnsi" w:eastAsiaTheme="minorHAnsi" w:hAnsiTheme="minorHAnsi" w:cs="AdvPECF938"/>
        </w:rPr>
        <w:t>for conducting clinical studies and/or clinical trials in systemic vasculitis</w:t>
      </w:r>
      <w:r w:rsidR="00A24C48" w:rsidRPr="00583879">
        <w:rPr>
          <w:rFonts w:asciiTheme="minorHAnsi" w:eastAsiaTheme="minorHAnsi" w:hAnsiTheme="minorHAnsi" w:cs="AdvPECF938"/>
        </w:rPr>
        <w:t>.</w:t>
      </w:r>
      <w:r w:rsidRPr="00583879">
        <w:rPr>
          <w:rStyle w:val="FootnoteReference"/>
          <w:rFonts w:asciiTheme="minorHAnsi" w:eastAsiaTheme="minorHAnsi" w:hAnsiTheme="minorHAnsi" w:cs="AdvPECF938"/>
        </w:rPr>
        <w:footnoteReference w:id="28"/>
      </w:r>
    </w:p>
    <w:p w14:paraId="083F93DC" w14:textId="77777777" w:rsidR="00605AD4" w:rsidRDefault="00605AD4" w:rsidP="00605AD4">
      <w:pPr>
        <w:pStyle w:val="Heading4"/>
      </w:pPr>
      <w:r w:rsidRPr="00605AD4">
        <w:t>Contents of the clinical dossier</w:t>
      </w:r>
    </w:p>
    <w:p w14:paraId="0A181014" w14:textId="072EF1E2" w:rsidR="00D837EF" w:rsidRPr="007B0443" w:rsidRDefault="00D837EF" w:rsidP="00F528C9">
      <w:pPr>
        <w:pStyle w:val="ListBullet"/>
      </w:pPr>
      <w:r w:rsidRPr="007B0443">
        <w:t xml:space="preserve">Clinical study reports for </w:t>
      </w:r>
      <w:r w:rsidR="00A608DC">
        <w:t>the following s</w:t>
      </w:r>
      <w:r w:rsidRPr="007B0443">
        <w:t>tudies</w:t>
      </w:r>
      <w:r w:rsidR="00A608DC">
        <w:t>:</w:t>
      </w:r>
    </w:p>
    <w:p w14:paraId="582D88BC" w14:textId="662D3DE5" w:rsidR="00D837EF" w:rsidRPr="007B0443" w:rsidRDefault="00A608DC" w:rsidP="00F528C9">
      <w:pPr>
        <w:pStyle w:val="ListBullet2"/>
      </w:pPr>
      <w:r>
        <w:rPr>
          <w:rFonts w:eastAsia="ArialNarrow" w:cs="ArialNarrow"/>
        </w:rPr>
        <w:t xml:space="preserve">Study </w:t>
      </w:r>
      <w:r w:rsidR="00583879">
        <w:rPr>
          <w:rFonts w:eastAsia="ArialNarrow" w:cs="ArialNarrow"/>
        </w:rPr>
        <w:t xml:space="preserve">MEA115921: </w:t>
      </w:r>
      <w:r w:rsidR="00D837EF" w:rsidRPr="007B0443">
        <w:rPr>
          <w:rFonts w:eastAsia="ArialNarrow" w:cs="ArialNarrow"/>
        </w:rPr>
        <w:t xml:space="preserve">an efficacy and safety study for the proposed indication of EGPA. </w:t>
      </w:r>
      <w:r w:rsidR="00D837EF" w:rsidRPr="007B0443">
        <w:t>A separate post-hoc exploratory analysis of clinical efficacy for t</w:t>
      </w:r>
      <w:r w:rsidR="000626F6">
        <w:t>his study was also provided.</w:t>
      </w:r>
    </w:p>
    <w:p w14:paraId="65E37A59" w14:textId="1F906D69" w:rsidR="00D837EF" w:rsidRPr="007B0443" w:rsidRDefault="00A608DC" w:rsidP="00F528C9">
      <w:pPr>
        <w:pStyle w:val="ListBullet2"/>
      </w:pPr>
      <w:r>
        <w:rPr>
          <w:rFonts w:eastAsia="ArialNarrow" w:cs="ArialNarrow"/>
        </w:rPr>
        <w:t xml:space="preserve">Study </w:t>
      </w:r>
      <w:r w:rsidR="00583879">
        <w:rPr>
          <w:rFonts w:eastAsia="ArialNarrow" w:cs="ArialNarrow"/>
        </w:rPr>
        <w:t xml:space="preserve">200363 Part A: </w:t>
      </w:r>
      <w:r w:rsidR="0007214B">
        <w:rPr>
          <w:rFonts w:eastAsia="ArialNarrow" w:cs="ArialNarrow"/>
        </w:rPr>
        <w:t>pharmacokinetic (</w:t>
      </w:r>
      <w:r w:rsidR="00583879">
        <w:rPr>
          <w:rFonts w:eastAsia="ArialNarrow" w:cs="ArialNarrow"/>
        </w:rPr>
        <w:t>PK</w:t>
      </w:r>
      <w:r w:rsidR="0007214B">
        <w:rPr>
          <w:rFonts w:eastAsia="ArialNarrow" w:cs="ArialNarrow"/>
        </w:rPr>
        <w:t>)</w:t>
      </w:r>
      <w:r w:rsidR="00583879">
        <w:rPr>
          <w:rFonts w:eastAsia="ArialNarrow" w:cs="ArialNarrow"/>
        </w:rPr>
        <w:t>/</w:t>
      </w:r>
      <w:proofErr w:type="spellStart"/>
      <w:r w:rsidR="0007214B">
        <w:rPr>
          <w:rFonts w:eastAsia="ArialNarrow" w:cs="ArialNarrow"/>
        </w:rPr>
        <w:t>pharmacodynamic</w:t>
      </w:r>
      <w:proofErr w:type="spellEnd"/>
      <w:r w:rsidR="0007214B">
        <w:rPr>
          <w:rFonts w:eastAsia="ArialNarrow" w:cs="ArialNarrow"/>
        </w:rPr>
        <w:t xml:space="preserve"> (</w:t>
      </w:r>
      <w:r w:rsidR="00583879">
        <w:rPr>
          <w:rFonts w:eastAsia="ArialNarrow" w:cs="ArialNarrow"/>
        </w:rPr>
        <w:t>PD</w:t>
      </w:r>
      <w:r w:rsidR="0007214B">
        <w:rPr>
          <w:rFonts w:eastAsia="ArialNarrow" w:cs="ArialNarrow"/>
        </w:rPr>
        <w:t>)</w:t>
      </w:r>
      <w:r w:rsidR="00583879">
        <w:rPr>
          <w:rFonts w:eastAsia="ArialNarrow" w:cs="ArialNarrow"/>
        </w:rPr>
        <w:t xml:space="preserve"> study in children aged 6 to </w:t>
      </w:r>
      <w:r w:rsidR="00D837EF" w:rsidRPr="007B0443">
        <w:rPr>
          <w:rFonts w:eastAsia="ArialNarrow" w:cs="ArialNarrow"/>
        </w:rPr>
        <w:t>11 years with severe asthma</w:t>
      </w:r>
      <w:r w:rsidR="000626F6">
        <w:rPr>
          <w:rFonts w:eastAsia="ArialNarrow" w:cs="ArialNarrow"/>
        </w:rPr>
        <w:t>.</w:t>
      </w:r>
    </w:p>
    <w:p w14:paraId="62D9914E" w14:textId="45C6BB32" w:rsidR="00D837EF" w:rsidRPr="007B0443" w:rsidRDefault="00A608DC" w:rsidP="00F528C9">
      <w:pPr>
        <w:pStyle w:val="ListBullet2"/>
      </w:pPr>
      <w:r>
        <w:rPr>
          <w:rFonts w:eastAsia="ArialNarrow" w:cs="ArialNarrow"/>
        </w:rPr>
        <w:t xml:space="preserve">Study </w:t>
      </w:r>
      <w:r w:rsidR="00583879">
        <w:rPr>
          <w:rFonts w:eastAsia="ArialNarrow" w:cs="ArialNarrow"/>
        </w:rPr>
        <w:t xml:space="preserve">200862: </w:t>
      </w:r>
      <w:r w:rsidR="00D837EF" w:rsidRPr="007B0443">
        <w:rPr>
          <w:rFonts w:eastAsia="ArialNarrow" w:cs="ArialNarrow"/>
        </w:rPr>
        <w:t>a completed safety and efficacy study in patients with severe asthma aged 12 years or older.</w:t>
      </w:r>
      <w:r w:rsidR="00D837EF">
        <w:rPr>
          <w:rFonts w:eastAsia="ArialNarrow" w:cs="ArialNarrow"/>
        </w:rPr>
        <w:t xml:space="preserve"> This included 9 adolescent patients</w:t>
      </w:r>
      <w:r w:rsidR="00583879">
        <w:rPr>
          <w:rFonts w:eastAsia="ArialNarrow" w:cs="ArialNarrow"/>
        </w:rPr>
        <w:t>.</w:t>
      </w:r>
    </w:p>
    <w:p w14:paraId="4FA84988" w14:textId="74084C9F" w:rsidR="00D837EF" w:rsidRPr="007B0443" w:rsidRDefault="00A608DC" w:rsidP="00F528C9">
      <w:pPr>
        <w:pStyle w:val="ListBullet2"/>
      </w:pPr>
      <w:r>
        <w:rPr>
          <w:rFonts w:eastAsia="ArialNarrow" w:cs="ArialNarrow"/>
        </w:rPr>
        <w:t xml:space="preserve">Study </w:t>
      </w:r>
      <w:r w:rsidR="00583879">
        <w:rPr>
          <w:rFonts w:eastAsia="ArialNarrow" w:cs="ArialNarrow"/>
        </w:rPr>
        <w:t xml:space="preserve">MPP111782: </w:t>
      </w:r>
      <w:r w:rsidR="00D837EF" w:rsidRPr="007B0443">
        <w:rPr>
          <w:rFonts w:eastAsia="ArialNarrow" w:cs="ArialNarrow"/>
        </w:rPr>
        <w:t xml:space="preserve">a completed safety and efficacy study in </w:t>
      </w:r>
      <w:r w:rsidR="00D837EF">
        <w:rPr>
          <w:rFonts w:eastAsia="ArialNarrow" w:cs="ArialNarrow"/>
        </w:rPr>
        <w:t xml:space="preserve">adult </w:t>
      </w:r>
      <w:r w:rsidR="00D837EF" w:rsidRPr="007B0443">
        <w:rPr>
          <w:rFonts w:eastAsia="ArialNarrow" w:cs="ArialNarrow"/>
        </w:rPr>
        <w:t>patients with severe nasal polyposis</w:t>
      </w:r>
      <w:r w:rsidR="00583879">
        <w:rPr>
          <w:rFonts w:eastAsia="ArialNarrow" w:cs="ArialNarrow"/>
        </w:rPr>
        <w:t>.</w:t>
      </w:r>
    </w:p>
    <w:p w14:paraId="0619CB57" w14:textId="79FD772C" w:rsidR="00D837EF" w:rsidRPr="007B0443" w:rsidRDefault="00A608DC" w:rsidP="00F528C9">
      <w:pPr>
        <w:pStyle w:val="ListBullet2"/>
      </w:pPr>
      <w:r>
        <w:rPr>
          <w:rFonts w:eastAsia="ArialNarrow" w:cs="ArialNarrow"/>
        </w:rPr>
        <w:t xml:space="preserve">Study </w:t>
      </w:r>
      <w:r w:rsidR="00583879">
        <w:rPr>
          <w:rFonts w:eastAsia="ArialNarrow" w:cs="ArialNarrow"/>
        </w:rPr>
        <w:t xml:space="preserve">MEA116841/201607: </w:t>
      </w:r>
      <w:r w:rsidR="00D837EF" w:rsidRPr="007B0443">
        <w:rPr>
          <w:rFonts w:eastAsia="ArialNarrow" w:cs="ArialNarrow"/>
        </w:rPr>
        <w:t>a study of long-term access/compassionate use in patients with EGPA</w:t>
      </w:r>
      <w:r w:rsidR="000626F6">
        <w:rPr>
          <w:rFonts w:eastAsia="ArialNarrow" w:cs="ArialNarrow"/>
        </w:rPr>
        <w:t>.</w:t>
      </w:r>
    </w:p>
    <w:p w14:paraId="269A6F6C" w14:textId="5A200F88" w:rsidR="00D837EF" w:rsidRPr="007B0443" w:rsidRDefault="00A608DC" w:rsidP="00F528C9">
      <w:pPr>
        <w:pStyle w:val="ListBullet2"/>
      </w:pPr>
      <w:r>
        <w:rPr>
          <w:rFonts w:eastAsia="ArialNarrow" w:cs="ArialNarrow"/>
        </w:rPr>
        <w:t xml:space="preserve">Study </w:t>
      </w:r>
      <w:r w:rsidR="00D837EF" w:rsidRPr="007B0443">
        <w:rPr>
          <w:rFonts w:eastAsia="ArialNarrow" w:cs="ArialNarrow"/>
        </w:rPr>
        <w:t>MHE104317</w:t>
      </w:r>
      <w:r w:rsidR="00583879">
        <w:t xml:space="preserve">: </w:t>
      </w:r>
      <w:r w:rsidR="00D837EF" w:rsidRPr="007B0443">
        <w:rPr>
          <w:rFonts w:eastAsia="ArialNarrow" w:cs="ArialNarrow"/>
        </w:rPr>
        <w:t xml:space="preserve">a study of long-term access/compassionate use in patients with </w:t>
      </w:r>
      <w:proofErr w:type="spellStart"/>
      <w:r w:rsidR="00583879">
        <w:rPr>
          <w:rFonts w:eastAsia="ArialNarrow" w:cs="ArialNarrow"/>
        </w:rPr>
        <w:t>h</w:t>
      </w:r>
      <w:r w:rsidR="00583879" w:rsidRPr="00583879">
        <w:rPr>
          <w:rFonts w:eastAsia="ArialNarrow" w:cs="ArialNarrow"/>
        </w:rPr>
        <w:t>ypereosinophilic</w:t>
      </w:r>
      <w:proofErr w:type="spellEnd"/>
      <w:r w:rsidR="00583879" w:rsidRPr="00583879">
        <w:rPr>
          <w:rFonts w:eastAsia="ArialNarrow" w:cs="ArialNarrow"/>
        </w:rPr>
        <w:t xml:space="preserve"> syndrome </w:t>
      </w:r>
      <w:r w:rsidR="00583879">
        <w:rPr>
          <w:rFonts w:eastAsia="ArialNarrow" w:cs="ArialNarrow"/>
        </w:rPr>
        <w:t>(</w:t>
      </w:r>
      <w:r w:rsidR="00D837EF" w:rsidRPr="007B0443">
        <w:rPr>
          <w:rFonts w:eastAsia="ArialNarrow" w:cs="ArialNarrow"/>
        </w:rPr>
        <w:t>HES</w:t>
      </w:r>
      <w:r w:rsidR="00583879">
        <w:rPr>
          <w:rFonts w:eastAsia="ArialNarrow" w:cs="ArialNarrow"/>
        </w:rPr>
        <w:t>).</w:t>
      </w:r>
    </w:p>
    <w:p w14:paraId="0DB13929" w14:textId="77777777" w:rsidR="00D837EF" w:rsidRPr="007B0443" w:rsidRDefault="00D837EF" w:rsidP="00F528C9">
      <w:pPr>
        <w:pStyle w:val="ListBullet"/>
      </w:pPr>
      <w:r w:rsidRPr="007B0443">
        <w:t xml:space="preserve">120 day safety update for </w:t>
      </w:r>
      <w:proofErr w:type="spellStart"/>
      <w:r w:rsidRPr="007B0443">
        <w:t>mepolizumab</w:t>
      </w:r>
      <w:proofErr w:type="spellEnd"/>
      <w:r w:rsidRPr="007B0443">
        <w:t xml:space="preserve"> for EGPA as submitted in support of the FDA application (covers the period </w:t>
      </w:r>
      <w:r w:rsidR="0007214B">
        <w:t xml:space="preserve">6 September </w:t>
      </w:r>
      <w:r w:rsidRPr="007B0443">
        <w:t xml:space="preserve">2016 to </w:t>
      </w:r>
      <w:r w:rsidR="0007214B">
        <w:t xml:space="preserve">19 </w:t>
      </w:r>
      <w:r w:rsidRPr="007B0443">
        <w:t>June</w:t>
      </w:r>
      <w:r w:rsidR="0007214B">
        <w:t xml:space="preserve"> </w:t>
      </w:r>
      <w:r w:rsidRPr="007B0443">
        <w:t>2017)</w:t>
      </w:r>
      <w:r w:rsidR="0007214B">
        <w:t>.</w:t>
      </w:r>
    </w:p>
    <w:p w14:paraId="62EA92D7" w14:textId="02D93A81" w:rsidR="00D837EF" w:rsidRPr="00CC01AB" w:rsidRDefault="00D837EF" w:rsidP="00F528C9">
      <w:pPr>
        <w:pStyle w:val="ListBullet"/>
      </w:pPr>
      <w:r w:rsidRPr="00CC01AB">
        <w:t xml:space="preserve">Population PK </w:t>
      </w:r>
      <w:r>
        <w:t>and PK</w:t>
      </w:r>
      <w:r w:rsidR="0007214B">
        <w:t>/</w:t>
      </w:r>
      <w:r>
        <w:t xml:space="preserve">PD </w:t>
      </w:r>
      <w:r w:rsidRPr="00CC01AB">
        <w:t>analys</w:t>
      </w:r>
      <w:r>
        <w:t>e</w:t>
      </w:r>
      <w:r w:rsidR="0007214B">
        <w:t xml:space="preserve">s for EGPA; </w:t>
      </w:r>
      <w:r w:rsidRPr="00CC01AB">
        <w:t>th</w:t>
      </w:r>
      <w:r>
        <w:t>e</w:t>
      </w:r>
      <w:r w:rsidRPr="00CC01AB">
        <w:t>s</w:t>
      </w:r>
      <w:r>
        <w:t>e were</w:t>
      </w:r>
      <w:r w:rsidRPr="00CC01AB">
        <w:t xml:space="preserve"> </w:t>
      </w:r>
      <w:r w:rsidRPr="00CC01AB">
        <w:rPr>
          <w:rFonts w:eastAsiaTheme="minorHAnsi" w:cs="TimesNewRoman"/>
        </w:rPr>
        <w:t xml:space="preserve">included in the </w:t>
      </w:r>
      <w:r w:rsidR="00A608DC">
        <w:rPr>
          <w:rFonts w:eastAsia="ArialNarrow" w:cs="ArialNarrow"/>
        </w:rPr>
        <w:t>Study </w:t>
      </w:r>
      <w:r w:rsidRPr="00CC01AB">
        <w:rPr>
          <w:rFonts w:eastAsiaTheme="minorHAnsi" w:cs="TimesNewRoman"/>
        </w:rPr>
        <w:t>MEA1159</w:t>
      </w:r>
      <w:r w:rsidR="002B3D99">
        <w:rPr>
          <w:rFonts w:eastAsiaTheme="minorHAnsi" w:cs="TimesNewRoman"/>
        </w:rPr>
        <w:t>21 clinical study r</w:t>
      </w:r>
      <w:r w:rsidRPr="00CC01AB">
        <w:rPr>
          <w:rFonts w:eastAsiaTheme="minorHAnsi" w:cs="TimesNewRoman"/>
        </w:rPr>
        <w:t>eport</w:t>
      </w:r>
      <w:r w:rsidR="0007214B">
        <w:rPr>
          <w:rFonts w:eastAsiaTheme="minorHAnsi" w:cs="TimesNewRoman"/>
        </w:rPr>
        <w:t>.</w:t>
      </w:r>
    </w:p>
    <w:p w14:paraId="5C101DBE" w14:textId="77777777" w:rsidR="00D837EF" w:rsidRPr="007B0443" w:rsidRDefault="00D837EF" w:rsidP="00F528C9">
      <w:pPr>
        <w:pStyle w:val="ListBullet"/>
      </w:pPr>
      <w:bookmarkStart w:id="66" w:name="_Hlk505590296"/>
      <w:r w:rsidRPr="007B0443">
        <w:t>Clinical pharmacology modelling reports</w:t>
      </w:r>
      <w:r>
        <w:t xml:space="preserve"> related to the paediatric extrapolation model</w:t>
      </w:r>
      <w:r w:rsidRPr="007B0443">
        <w:t>:</w:t>
      </w:r>
    </w:p>
    <w:p w14:paraId="7151E17B" w14:textId="77777777" w:rsidR="00D837EF" w:rsidRPr="007B0443" w:rsidRDefault="00D837EF" w:rsidP="00F528C9">
      <w:pPr>
        <w:pStyle w:val="ListBullet2"/>
        <w:rPr>
          <w:rFonts w:eastAsia="Arial,Bold" w:cs="Arial,Bold"/>
          <w:bCs/>
        </w:rPr>
      </w:pPr>
      <w:r w:rsidRPr="007B0443">
        <w:t>Report 2</w:t>
      </w:r>
      <w:r w:rsidR="0007214B">
        <w:t xml:space="preserve">014N205517_01, </w:t>
      </w:r>
      <w:proofErr w:type="spellStart"/>
      <w:r w:rsidR="0007214B">
        <w:t>m</w:t>
      </w:r>
      <w:r w:rsidRPr="007B0443">
        <w:t>epolizumab</w:t>
      </w:r>
      <w:proofErr w:type="spellEnd"/>
      <w:r w:rsidRPr="007B0443">
        <w:t xml:space="preserve"> EGPA </w:t>
      </w:r>
      <w:r w:rsidR="0007214B" w:rsidRPr="007B0443">
        <w:t>paediatric and adolescent dose extrapolation</w:t>
      </w:r>
      <w:r w:rsidR="0007214B">
        <w:t>.</w:t>
      </w:r>
    </w:p>
    <w:p w14:paraId="6D441541" w14:textId="77777777" w:rsidR="00D837EF" w:rsidRPr="007B0443" w:rsidRDefault="00D837EF" w:rsidP="00F528C9">
      <w:pPr>
        <w:pStyle w:val="ListBullet2"/>
        <w:rPr>
          <w:rFonts w:eastAsia="Arial,Bold" w:cs="Arial,Bold"/>
          <w:bCs/>
        </w:rPr>
      </w:pPr>
      <w:r w:rsidRPr="007B0443">
        <w:t xml:space="preserve">Report 2017N313864_00, </w:t>
      </w:r>
      <w:proofErr w:type="spellStart"/>
      <w:r w:rsidR="0007214B">
        <w:rPr>
          <w:rFonts w:eastAsia="Arial,Bold" w:cs="Arial,Bold"/>
          <w:bCs/>
        </w:rPr>
        <w:t>m</w:t>
      </w:r>
      <w:r w:rsidRPr="007B0443">
        <w:rPr>
          <w:rFonts w:eastAsia="Arial,Bold" w:cs="Arial,Bold"/>
          <w:bCs/>
        </w:rPr>
        <w:t>epolizumab</w:t>
      </w:r>
      <w:proofErr w:type="spellEnd"/>
      <w:r w:rsidRPr="007B0443">
        <w:rPr>
          <w:rFonts w:eastAsia="Arial,Bold" w:cs="Arial,Bold"/>
          <w:bCs/>
        </w:rPr>
        <w:t xml:space="preserve"> paediatric full extrapolation report in the EGPA indication</w:t>
      </w:r>
      <w:r w:rsidR="0007214B">
        <w:rPr>
          <w:rFonts w:eastAsia="Arial,Bold" w:cs="Arial,Bold"/>
          <w:bCs/>
        </w:rPr>
        <w:t>.</w:t>
      </w:r>
    </w:p>
    <w:p w14:paraId="67F05C44" w14:textId="77777777" w:rsidR="00D837EF" w:rsidRPr="00FC028D" w:rsidRDefault="00D837EF" w:rsidP="00F528C9">
      <w:pPr>
        <w:pStyle w:val="ListBullet2"/>
        <w:rPr>
          <w:rFonts w:eastAsia="Arial,Bold" w:cs="Arial,Bold"/>
          <w:bCs/>
        </w:rPr>
      </w:pPr>
      <w:r w:rsidRPr="007B0443">
        <w:rPr>
          <w:rFonts w:eastAsia="Arial,Bold" w:cs="Arial,Bold"/>
          <w:bCs/>
        </w:rPr>
        <w:t xml:space="preserve">Report </w:t>
      </w:r>
      <w:r w:rsidRPr="007B0443">
        <w:t xml:space="preserve">2015N230602_00, </w:t>
      </w:r>
      <w:proofErr w:type="spellStart"/>
      <w:r w:rsidR="0007214B" w:rsidRPr="007B0443">
        <w:t>mepolizumab</w:t>
      </w:r>
      <w:proofErr w:type="spellEnd"/>
      <w:r w:rsidR="0007214B" w:rsidRPr="007B0443">
        <w:t xml:space="preserve"> paediatric severe eosinophilic asthma efficacy extrapolation analysis</w:t>
      </w:r>
      <w:r w:rsidR="0007214B">
        <w:t>.</w:t>
      </w:r>
    </w:p>
    <w:p w14:paraId="0B108E13" w14:textId="77777777" w:rsidR="00D837EF" w:rsidRPr="007B0443" w:rsidRDefault="00D837EF" w:rsidP="00F528C9">
      <w:pPr>
        <w:pStyle w:val="ListBullet2"/>
        <w:rPr>
          <w:rFonts w:eastAsia="Arial,Bold" w:cs="Arial,Bold"/>
          <w:bCs/>
        </w:rPr>
      </w:pPr>
      <w:r w:rsidRPr="007B0443">
        <w:rPr>
          <w:rFonts w:eastAsia="Arial,Bold" w:cs="Arial,Bold"/>
          <w:bCs/>
        </w:rPr>
        <w:t xml:space="preserve">Report 2017N335435_00, </w:t>
      </w:r>
      <w:r w:rsidR="0007214B" w:rsidRPr="007B0443">
        <w:rPr>
          <w:rFonts w:cs="TimesNewRoman"/>
        </w:rPr>
        <w:t xml:space="preserve">Bayesian extrapolation analyses of </w:t>
      </w:r>
      <w:proofErr w:type="spellStart"/>
      <w:r w:rsidR="0007214B" w:rsidRPr="007B0443">
        <w:rPr>
          <w:rFonts w:cs="TimesNewRoman"/>
        </w:rPr>
        <w:t>mepolizumab</w:t>
      </w:r>
      <w:proofErr w:type="spellEnd"/>
      <w:r w:rsidR="0007214B" w:rsidRPr="007B0443">
        <w:rPr>
          <w:rFonts w:cs="TimesNewRoman"/>
        </w:rPr>
        <w:t xml:space="preserve"> efficacy in adolescents from severe eosinophilic asthma </w:t>
      </w:r>
      <w:r w:rsidRPr="007B0443">
        <w:rPr>
          <w:rFonts w:cs="TimesNewRoman"/>
        </w:rPr>
        <w:t>Studies MEA115588 and 200862</w:t>
      </w:r>
      <w:r w:rsidR="0007214B">
        <w:rPr>
          <w:rFonts w:cs="TimesNewRoman"/>
        </w:rPr>
        <w:t>.</w:t>
      </w:r>
    </w:p>
    <w:p w14:paraId="15271B90" w14:textId="77777777" w:rsidR="00D837EF" w:rsidRPr="00FC028D" w:rsidRDefault="0007214B" w:rsidP="00F528C9">
      <w:pPr>
        <w:pStyle w:val="ListBullet2"/>
        <w:rPr>
          <w:rFonts w:eastAsia="Arial,Bold" w:cs="Arial,Bold"/>
          <w:bCs/>
        </w:rPr>
      </w:pPr>
      <w:r>
        <w:rPr>
          <w:rFonts w:eastAsia="Arial,Bold" w:cs="Arial,Bold"/>
          <w:bCs/>
        </w:rPr>
        <w:t>Report 2015N255079_00, s</w:t>
      </w:r>
      <w:r w:rsidR="00D837EF" w:rsidRPr="007B0443">
        <w:rPr>
          <w:rFonts w:eastAsia="Arial,Bold" w:cs="Arial,Bold"/>
          <w:bCs/>
        </w:rPr>
        <w:t>upplementary outputs from a population PK and PK</w:t>
      </w:r>
      <w:r>
        <w:rPr>
          <w:rFonts w:eastAsia="Arial,Bold" w:cs="Arial,Bold"/>
          <w:bCs/>
        </w:rPr>
        <w:t>/</w:t>
      </w:r>
      <w:r w:rsidR="00D837EF" w:rsidRPr="007B0443">
        <w:rPr>
          <w:rFonts w:eastAsia="Arial,Bold" w:cs="Arial,Bold"/>
          <w:bCs/>
        </w:rPr>
        <w:t xml:space="preserve">PD meta-analysis of combined intravenous and subcutaneous </w:t>
      </w:r>
      <w:proofErr w:type="spellStart"/>
      <w:r w:rsidR="00D837EF" w:rsidRPr="007B0443">
        <w:rPr>
          <w:rFonts w:eastAsia="Arial,Bold" w:cs="Arial,Bold"/>
          <w:bCs/>
        </w:rPr>
        <w:t>mepolizumab</w:t>
      </w:r>
      <w:proofErr w:type="spellEnd"/>
      <w:r w:rsidR="00D837EF" w:rsidRPr="007B0443">
        <w:rPr>
          <w:rFonts w:eastAsia="Arial,Bold" w:cs="Arial,Bold"/>
          <w:bCs/>
        </w:rPr>
        <w:t xml:space="preserve"> data. </w:t>
      </w:r>
      <w:r w:rsidR="00D837EF">
        <w:rPr>
          <w:rFonts w:eastAsia="Arial,Bold" w:cs="Arial,Bold"/>
          <w:bCs/>
        </w:rPr>
        <w:t>This includes analyses according to the paediatric population using the PK and PK</w:t>
      </w:r>
      <w:r>
        <w:rPr>
          <w:rFonts w:eastAsia="Arial,Bold" w:cs="Arial,Bold"/>
          <w:bCs/>
        </w:rPr>
        <w:t>/</w:t>
      </w:r>
      <w:r w:rsidR="00D837EF">
        <w:rPr>
          <w:rFonts w:eastAsia="Arial,Bold" w:cs="Arial,Bold"/>
          <w:bCs/>
        </w:rPr>
        <w:t>PD model described in Report 2015N238436_00.</w:t>
      </w:r>
    </w:p>
    <w:bookmarkEnd w:id="66"/>
    <w:p w14:paraId="185920AE" w14:textId="77777777" w:rsidR="00D837EF" w:rsidRPr="007B0443" w:rsidRDefault="00D837EF" w:rsidP="00F528C9">
      <w:pPr>
        <w:pStyle w:val="ListBullet"/>
        <w:rPr>
          <w:rFonts w:eastAsia="Arial,Bold" w:cs="Arial,Bold"/>
          <w:bCs/>
        </w:rPr>
      </w:pPr>
      <w:r w:rsidRPr="007B0443">
        <w:rPr>
          <w:rFonts w:eastAsia="Arial,Bold" w:cs="Arial,Bold"/>
          <w:bCs/>
        </w:rPr>
        <w:t xml:space="preserve">Other </w:t>
      </w:r>
      <w:r>
        <w:t>c</w:t>
      </w:r>
      <w:r w:rsidRPr="007B0443">
        <w:t>linical pharmacology modelling reports</w:t>
      </w:r>
      <w:r>
        <w:t xml:space="preserve"> </w:t>
      </w:r>
      <w:r w:rsidRPr="007B0443">
        <w:rPr>
          <w:rFonts w:eastAsia="Arial,Bold" w:cs="Arial,Bold"/>
          <w:bCs/>
        </w:rPr>
        <w:t xml:space="preserve">included </w:t>
      </w:r>
      <w:r>
        <w:rPr>
          <w:rFonts w:eastAsia="Arial,Bold" w:cs="Arial,Bold"/>
          <w:bCs/>
        </w:rPr>
        <w:t xml:space="preserve">in the dossier </w:t>
      </w:r>
      <w:r w:rsidRPr="007B0443">
        <w:rPr>
          <w:rFonts w:eastAsia="Arial,Bold" w:cs="Arial,Bold"/>
          <w:bCs/>
        </w:rPr>
        <w:t>were:</w:t>
      </w:r>
    </w:p>
    <w:p w14:paraId="2E4783FC" w14:textId="3D6601AF" w:rsidR="00D837EF" w:rsidRPr="007B0443" w:rsidRDefault="00D837EF" w:rsidP="00F528C9">
      <w:pPr>
        <w:pStyle w:val="ListBullet2"/>
        <w:rPr>
          <w:rFonts w:eastAsia="Arial,Bold" w:cs="Arial,Bold"/>
          <w:bCs/>
        </w:rPr>
      </w:pPr>
      <w:bookmarkStart w:id="67" w:name="_Hlk505590279"/>
      <w:r>
        <w:rPr>
          <w:rFonts w:eastAsia="Arial,Bold" w:cs="Arial,Bold"/>
          <w:bCs/>
        </w:rPr>
        <w:t>R</w:t>
      </w:r>
      <w:r w:rsidRPr="007B0443">
        <w:rPr>
          <w:rFonts w:eastAsia="Arial,Bold" w:cs="Arial,Bold"/>
          <w:bCs/>
        </w:rPr>
        <w:t xml:space="preserve">eport 2017N313351_00, </w:t>
      </w:r>
      <w:r w:rsidR="0007214B" w:rsidRPr="00F528C9">
        <w:t xml:space="preserve">summary document analysis plan for integrated analyses of </w:t>
      </w:r>
      <w:proofErr w:type="spellStart"/>
      <w:r w:rsidR="0007214B" w:rsidRPr="00F528C9">
        <w:t>mepolizumab</w:t>
      </w:r>
      <w:proofErr w:type="spellEnd"/>
      <w:r w:rsidRPr="00F528C9">
        <w:t xml:space="preserve"> (SB240563</w:t>
      </w:r>
      <w:r w:rsidR="0007214B" w:rsidRPr="00F528C9">
        <w:t xml:space="preserve">) in </w:t>
      </w:r>
      <w:r w:rsidR="00A608DC">
        <w:t>p</w:t>
      </w:r>
      <w:r w:rsidR="0007214B" w:rsidRPr="00F528C9">
        <w:t>aediatric</w:t>
      </w:r>
      <w:r w:rsidR="0007214B">
        <w:t xml:space="preserve"> </w:t>
      </w:r>
      <w:r w:rsidR="00A608DC">
        <w:t>s</w:t>
      </w:r>
      <w:r w:rsidR="0007214B">
        <w:t xml:space="preserve">ubjects (6 to </w:t>
      </w:r>
      <w:r w:rsidRPr="007B0443">
        <w:t xml:space="preserve">17 years of age) with </w:t>
      </w:r>
      <w:r w:rsidR="0007214B" w:rsidRPr="007B0443">
        <w:t>severe eosinophilic asthma</w:t>
      </w:r>
      <w:r w:rsidR="0007214B">
        <w:t>.</w:t>
      </w:r>
    </w:p>
    <w:p w14:paraId="089F2D0C" w14:textId="2C7D512A" w:rsidR="00D837EF" w:rsidRPr="007B0443" w:rsidRDefault="00D837EF" w:rsidP="00F528C9">
      <w:pPr>
        <w:pStyle w:val="ListBullet2"/>
        <w:rPr>
          <w:rFonts w:eastAsia="Arial,Bold" w:cs="Arial,Bold"/>
          <w:bCs/>
        </w:rPr>
      </w:pPr>
      <w:r w:rsidRPr="007B0443">
        <w:rPr>
          <w:rFonts w:eastAsia="Arial,Bold" w:cs="Arial,Bold"/>
          <w:bCs/>
        </w:rPr>
        <w:lastRenderedPageBreak/>
        <w:t xml:space="preserve">Report </w:t>
      </w:r>
      <w:r w:rsidR="0007214B">
        <w:rPr>
          <w:rFonts w:cs="Cambria"/>
          <w:color w:val="231F20"/>
        </w:rPr>
        <w:t xml:space="preserve">2015N229246_01, </w:t>
      </w:r>
      <w:proofErr w:type="spellStart"/>
      <w:r w:rsidR="0007214B">
        <w:rPr>
          <w:rFonts w:cs="Cambria"/>
          <w:color w:val="231F20"/>
        </w:rPr>
        <w:t>m</w:t>
      </w:r>
      <w:r w:rsidRPr="007B0443">
        <w:rPr>
          <w:rFonts w:cs="Cambria"/>
          <w:color w:val="231F20"/>
        </w:rPr>
        <w:t>epolizumab</w:t>
      </w:r>
      <w:proofErr w:type="spellEnd"/>
      <w:r w:rsidRPr="007B0443">
        <w:rPr>
          <w:rFonts w:cs="Cambria"/>
          <w:color w:val="231F20"/>
        </w:rPr>
        <w:t xml:space="preserve"> exacerba</w:t>
      </w:r>
      <w:r w:rsidR="0007214B">
        <w:rPr>
          <w:rFonts w:cs="Cambria"/>
          <w:color w:val="231F20"/>
        </w:rPr>
        <w:t>tion count and time to</w:t>
      </w:r>
      <w:r w:rsidR="000D0557">
        <w:rPr>
          <w:rFonts w:cs="Cambria"/>
          <w:color w:val="231F20"/>
        </w:rPr>
        <w:t xml:space="preserve"> event</w:t>
      </w:r>
      <w:r w:rsidR="0007214B">
        <w:rPr>
          <w:rFonts w:cs="Cambria"/>
          <w:color w:val="231F20"/>
        </w:rPr>
        <w:t xml:space="preserve"> exposure </w:t>
      </w:r>
      <w:r w:rsidRPr="007B0443">
        <w:rPr>
          <w:rFonts w:cs="Cambria"/>
          <w:color w:val="231F20"/>
        </w:rPr>
        <w:t>response</w:t>
      </w:r>
      <w:r w:rsidR="0007214B">
        <w:rPr>
          <w:rFonts w:cs="Cambria"/>
          <w:color w:val="231F20"/>
        </w:rPr>
        <w:t xml:space="preserve"> analysis (using data from the </w:t>
      </w:r>
      <w:r w:rsidR="00A608DC">
        <w:rPr>
          <w:rFonts w:cs="Cambria"/>
          <w:color w:val="231F20"/>
        </w:rPr>
        <w:t>s</w:t>
      </w:r>
      <w:r w:rsidRPr="007B0443">
        <w:rPr>
          <w:rFonts w:cs="Cambria"/>
          <w:color w:val="231F20"/>
        </w:rPr>
        <w:t>tudies in asthma</w:t>
      </w:r>
      <w:r w:rsidR="00A608DC">
        <w:rPr>
          <w:rFonts w:cs="Cambria"/>
          <w:color w:val="231F20"/>
        </w:rPr>
        <w:t xml:space="preserve"> (</w:t>
      </w:r>
      <w:r w:rsidR="00A608DC">
        <w:rPr>
          <w:rFonts w:eastAsia="ArialNarrow" w:cs="ArialNarrow"/>
        </w:rPr>
        <w:t>Studies</w:t>
      </w:r>
      <w:r w:rsidRPr="007B0443">
        <w:rPr>
          <w:rFonts w:cs="Cambria"/>
          <w:color w:val="231F20"/>
        </w:rPr>
        <w:t xml:space="preserve"> MEA112997 and MEA115588)</w:t>
      </w:r>
      <w:r w:rsidR="00A608DC">
        <w:rPr>
          <w:rFonts w:cs="Cambria"/>
          <w:color w:val="231F20"/>
        </w:rPr>
        <w:t>)</w:t>
      </w:r>
      <w:r w:rsidR="0007214B">
        <w:rPr>
          <w:rFonts w:cs="Cambria"/>
          <w:color w:val="231F20"/>
        </w:rPr>
        <w:t>.</w:t>
      </w:r>
    </w:p>
    <w:p w14:paraId="5D8FD84F" w14:textId="77777777" w:rsidR="00D837EF" w:rsidRPr="007B0443" w:rsidRDefault="00D837EF" w:rsidP="00F528C9">
      <w:pPr>
        <w:pStyle w:val="ListBullet2"/>
        <w:rPr>
          <w:rFonts w:eastAsia="Arial,Bold" w:cs="Arial,Bold"/>
          <w:bCs/>
        </w:rPr>
      </w:pPr>
      <w:r w:rsidRPr="007B0443">
        <w:rPr>
          <w:rFonts w:eastAsia="Arial,Bold" w:cs="Arial,Bold"/>
          <w:bCs/>
        </w:rPr>
        <w:t xml:space="preserve">Report </w:t>
      </w:r>
      <w:r w:rsidRPr="007B0443">
        <w:rPr>
          <w:rFonts w:cs="Cambria,Regular"/>
        </w:rPr>
        <w:t xml:space="preserve">2015N238375_00, </w:t>
      </w:r>
      <w:r w:rsidR="00966718" w:rsidRPr="007B0443">
        <w:rPr>
          <w:rFonts w:cs="Cambria,Regular"/>
        </w:rPr>
        <w:t xml:space="preserve">the effect of </w:t>
      </w:r>
      <w:proofErr w:type="spellStart"/>
      <w:r w:rsidR="00966718" w:rsidRPr="007B0443">
        <w:rPr>
          <w:rFonts w:cs="Cambria,Regular"/>
        </w:rPr>
        <w:t>mepolizumab</w:t>
      </w:r>
      <w:proofErr w:type="spellEnd"/>
      <w:r w:rsidR="00966718" w:rsidRPr="007B0443">
        <w:rPr>
          <w:rFonts w:cs="Cambria,Regular"/>
        </w:rPr>
        <w:t xml:space="preserve"> on blood eosinophil count - a dose response meta-analysis</w:t>
      </w:r>
      <w:r w:rsidRPr="007B0443">
        <w:rPr>
          <w:rFonts w:cs="Cambria,Regular"/>
        </w:rPr>
        <w:t xml:space="preserve">. This analysis uses data from studies of </w:t>
      </w:r>
      <w:proofErr w:type="spellStart"/>
      <w:r w:rsidRPr="007B0443">
        <w:rPr>
          <w:rFonts w:cs="Cambria,Regular"/>
        </w:rPr>
        <w:t>mepolizumab</w:t>
      </w:r>
      <w:proofErr w:type="spellEnd"/>
      <w:r w:rsidRPr="007B0443">
        <w:rPr>
          <w:rFonts w:cs="Cambria,Regular"/>
        </w:rPr>
        <w:t xml:space="preserve"> in asthma, HES, eosinophilic oesophagitis (but not EGPA) and healthy volunteers</w:t>
      </w:r>
      <w:r w:rsidR="0007214B">
        <w:rPr>
          <w:rFonts w:cs="Cambria,Regular"/>
        </w:rPr>
        <w:t>.</w:t>
      </w:r>
    </w:p>
    <w:p w14:paraId="726A3C51" w14:textId="389D99D7" w:rsidR="00500337" w:rsidRPr="00966718" w:rsidRDefault="0007214B" w:rsidP="00F528C9">
      <w:pPr>
        <w:pStyle w:val="ListBullet2"/>
        <w:rPr>
          <w:rFonts w:eastAsia="Arial,Bold" w:cs="Arial,Bold"/>
          <w:bCs/>
        </w:rPr>
      </w:pPr>
      <w:r>
        <w:rPr>
          <w:rFonts w:eastAsia="Arial,Bold" w:cs="Arial,Bold"/>
          <w:bCs/>
        </w:rPr>
        <w:t>Report 2015N238436_00, a</w:t>
      </w:r>
      <w:r w:rsidR="00D837EF" w:rsidRPr="007B0443">
        <w:rPr>
          <w:rFonts w:eastAsia="Arial,Bold" w:cs="Arial,Bold"/>
          <w:bCs/>
        </w:rPr>
        <w:t xml:space="preserve"> population PK and PK</w:t>
      </w:r>
      <w:r>
        <w:rPr>
          <w:rFonts w:eastAsia="Arial,Bold" w:cs="Arial,Bold"/>
          <w:bCs/>
        </w:rPr>
        <w:t>/</w:t>
      </w:r>
      <w:r w:rsidR="00D837EF" w:rsidRPr="007B0443">
        <w:rPr>
          <w:rFonts w:eastAsia="Arial,Bold" w:cs="Arial,Bold"/>
          <w:bCs/>
        </w:rPr>
        <w:t xml:space="preserve">PD meta-analysis of combined intravenous and subcutaneous </w:t>
      </w:r>
      <w:proofErr w:type="spellStart"/>
      <w:r w:rsidR="00D837EF" w:rsidRPr="007B0443">
        <w:rPr>
          <w:rFonts w:eastAsia="Arial,Bold" w:cs="Arial,Bold"/>
          <w:bCs/>
        </w:rPr>
        <w:t>mepolizumab</w:t>
      </w:r>
      <w:proofErr w:type="spellEnd"/>
      <w:r w:rsidR="00D837EF" w:rsidRPr="007B0443">
        <w:rPr>
          <w:rFonts w:eastAsia="Arial,Bold" w:cs="Arial,Bold"/>
          <w:bCs/>
        </w:rPr>
        <w:t xml:space="preserve"> data. Data from </w:t>
      </w:r>
      <w:r w:rsidR="00A608DC">
        <w:rPr>
          <w:rFonts w:eastAsia="ArialNarrow" w:cs="ArialNarrow"/>
        </w:rPr>
        <w:t xml:space="preserve">Study </w:t>
      </w:r>
      <w:r w:rsidR="00D837EF" w:rsidRPr="007B0443">
        <w:rPr>
          <w:rFonts w:eastAsia="ArialNarrow" w:cs="ArialNarrow"/>
        </w:rPr>
        <w:t>MEA115921 (patients with EGPA) were not included</w:t>
      </w:r>
      <w:r w:rsidR="00D837EF">
        <w:rPr>
          <w:rFonts w:eastAsia="ArialNarrow" w:cs="ArialNarrow"/>
        </w:rPr>
        <w:t>; paediatric population not discussed. This describes the most recent PK and PK</w:t>
      </w:r>
      <w:r w:rsidR="00966718">
        <w:rPr>
          <w:rFonts w:eastAsia="ArialNarrow" w:cs="ArialNarrow"/>
        </w:rPr>
        <w:t>/</w:t>
      </w:r>
      <w:r w:rsidR="00D837EF">
        <w:rPr>
          <w:rFonts w:eastAsia="ArialNarrow" w:cs="ArialNarrow"/>
        </w:rPr>
        <w:t>PD models that were applied to the data from Studies MEA115921</w:t>
      </w:r>
      <w:r w:rsidR="00A608DC">
        <w:rPr>
          <w:rFonts w:eastAsia="ArialNarrow" w:cs="ArialNarrow"/>
        </w:rPr>
        <w:t xml:space="preserve"> and</w:t>
      </w:r>
      <w:r w:rsidR="00D837EF">
        <w:rPr>
          <w:rFonts w:eastAsia="ArialNarrow" w:cs="ArialNarrow"/>
        </w:rPr>
        <w:t xml:space="preserve"> 200363</w:t>
      </w:r>
      <w:r>
        <w:rPr>
          <w:rFonts w:eastAsia="ArialNarrow" w:cs="ArialNarrow"/>
        </w:rPr>
        <w:t>.</w:t>
      </w:r>
      <w:bookmarkEnd w:id="67"/>
    </w:p>
    <w:p w14:paraId="7098E5A9" w14:textId="77777777" w:rsidR="00605AD4" w:rsidRDefault="00605AD4" w:rsidP="00605AD4">
      <w:pPr>
        <w:pStyle w:val="Heading4"/>
      </w:pPr>
      <w:r w:rsidRPr="00605AD4">
        <w:t>Paediatric data</w:t>
      </w:r>
    </w:p>
    <w:p w14:paraId="34AF7683" w14:textId="77777777" w:rsidR="00500337" w:rsidRPr="00500337" w:rsidRDefault="00D837EF" w:rsidP="00500337">
      <w:pPr>
        <w:rPr>
          <w:lang w:eastAsia="ja-JP"/>
        </w:rPr>
      </w:pPr>
      <w:r>
        <w:rPr>
          <w:lang w:eastAsia="ja-JP"/>
        </w:rPr>
        <w:t xml:space="preserve">The sponsor has provided a paediatric extrapolation model using data from adult studies and from the small number of paediatric and adolescent patients who have received </w:t>
      </w:r>
      <w:proofErr w:type="spellStart"/>
      <w:r>
        <w:rPr>
          <w:lang w:eastAsia="ja-JP"/>
        </w:rPr>
        <w:t>mepolizumab</w:t>
      </w:r>
      <w:proofErr w:type="spellEnd"/>
      <w:r>
        <w:rPr>
          <w:lang w:eastAsia="ja-JP"/>
        </w:rPr>
        <w:t xml:space="preserve"> for conditions other than EGPA. As noted by the sponsor, this paediatric extrapolation model has not been previously reported and was developed in consultation with the EMA. This is described further in </w:t>
      </w:r>
      <w:r w:rsidR="001547A0" w:rsidRPr="001547A0">
        <w:t>the Section</w:t>
      </w:r>
      <w:r w:rsidR="001547A0">
        <w:rPr>
          <w:color w:val="0070B5" w:themeColor="accent1" w:themeTint="BF"/>
          <w:lang w:eastAsia="ja-JP"/>
        </w:rPr>
        <w:t xml:space="preserve"> ‘</w:t>
      </w:r>
      <w:r w:rsidR="001547A0" w:rsidRPr="00C51FBF">
        <w:t xml:space="preserve">Use of </w:t>
      </w:r>
      <w:proofErr w:type="spellStart"/>
      <w:r w:rsidR="001547A0" w:rsidRPr="00C51FBF">
        <w:t>mepolizumab</w:t>
      </w:r>
      <w:proofErr w:type="spellEnd"/>
      <w:r w:rsidR="001547A0" w:rsidRPr="00C51FBF">
        <w:t xml:space="preserve"> in children with EGPA</w:t>
      </w:r>
      <w:r w:rsidR="001547A0">
        <w:t>’.</w:t>
      </w:r>
    </w:p>
    <w:p w14:paraId="4A624BA4" w14:textId="77777777" w:rsidR="00605AD4" w:rsidRDefault="00605AD4" w:rsidP="00605AD4">
      <w:pPr>
        <w:pStyle w:val="Heading4"/>
      </w:pPr>
      <w:r w:rsidRPr="00605AD4">
        <w:t>Good clinical practice</w:t>
      </w:r>
    </w:p>
    <w:p w14:paraId="37FCBA6E" w14:textId="77777777" w:rsidR="00624472" w:rsidRDefault="00D837EF" w:rsidP="00D837EF">
      <w:r w:rsidRPr="00EA1C16">
        <w:rPr>
          <w:lang w:eastAsia="ja-JP"/>
        </w:rPr>
        <w:t xml:space="preserve">The sponsor’s Clinical Overview states that </w:t>
      </w:r>
      <w:r w:rsidR="00126A5E">
        <w:rPr>
          <w:lang w:eastAsia="ja-JP"/>
        </w:rPr>
        <w:t>‘</w:t>
      </w:r>
      <w:r w:rsidRPr="00EA1C16">
        <w:t>Studies MEA115921 and MEA116841 were undertaken in accordance with standard operating procedures of the GlaxoSmithKline Group of Companies, which comply with the principles of Good Clinical Practice</w:t>
      </w:r>
      <w:r w:rsidR="00126A5E">
        <w:t>’</w:t>
      </w:r>
      <w:r w:rsidR="00624472">
        <w:t>.</w:t>
      </w:r>
    </w:p>
    <w:p w14:paraId="7588DE5B" w14:textId="77777777" w:rsidR="00500337" w:rsidRPr="00500337" w:rsidRDefault="00D837EF" w:rsidP="00D837EF">
      <w:r>
        <w:t xml:space="preserve">The </w:t>
      </w:r>
      <w:r w:rsidR="00FA06C6">
        <w:t>Compassionate Use Program</w:t>
      </w:r>
      <w:r>
        <w:t xml:space="preserve"> (CUP) was set up in Italy and Spain and led by the treating physician. According to the Clinical Overview, the treating physician was deemed the ‘</w:t>
      </w:r>
      <w:r w:rsidRPr="00977290">
        <w:t>sponsor</w:t>
      </w:r>
      <w:r w:rsidR="00772F3A">
        <w:t>’</w:t>
      </w:r>
      <w:r>
        <w:t xml:space="preserve"> and was responsible for the conduct of the study.</w:t>
      </w:r>
    </w:p>
    <w:p w14:paraId="1EC74571" w14:textId="77777777" w:rsidR="008E7846" w:rsidRDefault="008E7846" w:rsidP="00605AD4">
      <w:pPr>
        <w:pStyle w:val="Heading3"/>
      </w:pPr>
      <w:bookmarkStart w:id="68" w:name="_Toc25227378"/>
      <w:r w:rsidRPr="00254787">
        <w:t>Pharmacokinetics</w:t>
      </w:r>
      <w:bookmarkEnd w:id="45"/>
      <w:bookmarkEnd w:id="52"/>
      <w:bookmarkEnd w:id="53"/>
      <w:bookmarkEnd w:id="54"/>
      <w:bookmarkEnd w:id="68"/>
    </w:p>
    <w:p w14:paraId="5DBFC79B" w14:textId="77777777" w:rsidR="00605AD4" w:rsidRDefault="00605AD4" w:rsidP="00605AD4">
      <w:pPr>
        <w:pStyle w:val="Heading4"/>
      </w:pPr>
      <w:r>
        <w:t>Studies</w:t>
      </w:r>
      <w:r w:rsidR="00500337">
        <w:t xml:space="preserve"> providing pharmacokinetic data</w:t>
      </w:r>
    </w:p>
    <w:p w14:paraId="2159710F" w14:textId="171858A7" w:rsidR="00500337" w:rsidRPr="00500337" w:rsidRDefault="00A8334D" w:rsidP="00500337">
      <w:pPr>
        <w:rPr>
          <w:lang w:eastAsia="ja-JP"/>
        </w:rPr>
      </w:pPr>
      <w:r>
        <w:rPr>
          <w:lang w:eastAsia="ja-JP"/>
        </w:rPr>
        <w:t>The only study providing pharmacokinetic information in adults with EGPA is the main efficac</w:t>
      </w:r>
      <w:r w:rsidR="00C4608D">
        <w:rPr>
          <w:lang w:eastAsia="ja-JP"/>
        </w:rPr>
        <w:t xml:space="preserve">y and safety study, </w:t>
      </w:r>
      <w:r w:rsidR="00A608DC">
        <w:rPr>
          <w:rFonts w:eastAsia="ArialNarrow" w:cs="ArialNarrow"/>
        </w:rPr>
        <w:t xml:space="preserve">Study </w:t>
      </w:r>
      <w:r w:rsidR="00C4608D">
        <w:rPr>
          <w:lang w:eastAsia="ja-JP"/>
        </w:rPr>
        <w:t>MEA 115921.</w:t>
      </w:r>
    </w:p>
    <w:p w14:paraId="7F530790" w14:textId="77777777" w:rsidR="00605AD4" w:rsidRDefault="00605AD4" w:rsidP="00605AD4">
      <w:pPr>
        <w:pStyle w:val="Heading4"/>
      </w:pPr>
      <w:r>
        <w:t>Evaluator’s conclusions on pharmacokinetics</w:t>
      </w:r>
    </w:p>
    <w:p w14:paraId="2F562B94" w14:textId="77777777" w:rsidR="00624472" w:rsidRDefault="00A8334D" w:rsidP="00A8334D">
      <w:pPr>
        <w:rPr>
          <w:rFonts w:eastAsiaTheme="minorHAnsi"/>
        </w:rPr>
      </w:pPr>
      <w:r>
        <w:rPr>
          <w:lang w:eastAsia="ja-JP"/>
        </w:rPr>
        <w:t xml:space="preserve">The sponsor has presented PK data from sparse sampling in Study MEA115921 and sought to demonstrate that </w:t>
      </w:r>
      <w:proofErr w:type="spellStart"/>
      <w:r>
        <w:rPr>
          <w:lang w:eastAsia="ja-JP"/>
        </w:rPr>
        <w:t>mepolizumab</w:t>
      </w:r>
      <w:proofErr w:type="spellEnd"/>
      <w:r>
        <w:rPr>
          <w:lang w:eastAsia="ja-JP"/>
        </w:rPr>
        <w:t xml:space="preserve"> PK in patients with EGPA is similar to that seen in patients with other eosinophilic conditions. A PK model derived from PK data from patients with a variety of eosinophilic conditions was applied to </w:t>
      </w:r>
      <w:r w:rsidR="002B3D99">
        <w:rPr>
          <w:lang w:eastAsia="ja-JP"/>
        </w:rPr>
        <w:t>the dataset from Study </w:t>
      </w:r>
      <w:r>
        <w:rPr>
          <w:lang w:eastAsia="ja-JP"/>
        </w:rPr>
        <w:t xml:space="preserve">MEA115921 and goodness of fit tests applied. This PK model was developed using a </w:t>
      </w:r>
      <w:r>
        <w:rPr>
          <w:rFonts w:eastAsiaTheme="minorHAnsi"/>
        </w:rPr>
        <w:t>dataset with wide inter</w:t>
      </w:r>
      <w:r w:rsidR="00C4608D">
        <w:rPr>
          <w:rFonts w:eastAsiaTheme="minorHAnsi"/>
        </w:rPr>
        <w:t>-</w:t>
      </w:r>
      <w:r>
        <w:rPr>
          <w:rFonts w:eastAsiaTheme="minorHAnsi"/>
        </w:rPr>
        <w:t>individual variability and must, of necessity, have wide tolerances. The ability to predict sparse values of another wide ranging dataset is suggestive of similar PK but is not conclusive</w:t>
      </w:r>
      <w:r w:rsidR="00624472">
        <w:rPr>
          <w:rFonts w:eastAsiaTheme="minorHAnsi"/>
        </w:rPr>
        <w:t>.</w:t>
      </w:r>
    </w:p>
    <w:p w14:paraId="17D2A7CE" w14:textId="77777777" w:rsidR="00A8334D" w:rsidRPr="00C94D3D" w:rsidRDefault="00A8334D" w:rsidP="00A8334D">
      <w:r w:rsidRPr="00C94D3D">
        <w:t>The sponsor has proposed that the following statement be added to the PI:</w:t>
      </w:r>
    </w:p>
    <w:p w14:paraId="077C57EA" w14:textId="77777777" w:rsidR="00624472" w:rsidRPr="00C4608D" w:rsidRDefault="00C4608D" w:rsidP="00A8334D">
      <w:pPr>
        <w:ind w:left="720"/>
        <w:rPr>
          <w:lang w:eastAsia="ja-JP"/>
        </w:rPr>
      </w:pPr>
      <w:r>
        <w:t>‘</w:t>
      </w:r>
      <w:proofErr w:type="spellStart"/>
      <w:r w:rsidR="00A8334D" w:rsidRPr="00C4608D">
        <w:t>Mepolizumab</w:t>
      </w:r>
      <w:proofErr w:type="spellEnd"/>
      <w:r w:rsidR="00A8334D" w:rsidRPr="00C4608D">
        <w:t xml:space="preserve"> pharmacokinetics were consistent in subjects with asthma EGPA (sic). The exposure at 300 mg in subjects with EGPA was approximately three times that observed at 100 mg in subjects with severe asthma</w:t>
      </w:r>
      <w:r>
        <w:t>’</w:t>
      </w:r>
      <w:r w:rsidR="00624472" w:rsidRPr="00C4608D">
        <w:rPr>
          <w:lang w:eastAsia="ja-JP"/>
        </w:rPr>
        <w:t>.</w:t>
      </w:r>
    </w:p>
    <w:p w14:paraId="484569D3" w14:textId="77777777" w:rsidR="00A8334D" w:rsidRDefault="00A8334D" w:rsidP="00A8334D">
      <w:r>
        <w:lastRenderedPageBreak/>
        <w:t>The evaluator has two concerns with these statements:</w:t>
      </w:r>
    </w:p>
    <w:p w14:paraId="29F997E0" w14:textId="77777777" w:rsidR="00A8334D" w:rsidRDefault="00A8334D" w:rsidP="00A51C94">
      <w:pPr>
        <w:pStyle w:val="ListParagraph"/>
        <w:numPr>
          <w:ilvl w:val="0"/>
          <w:numId w:val="11"/>
        </w:numPr>
      </w:pPr>
      <w:r>
        <w:t>The evaluator is not convinced that this wording is appropriate as it implies a higher level of evidence than has been presented as there is no acknowledgement that this determination was based on a population PK analysis and sparse sampling</w:t>
      </w:r>
      <w:r w:rsidR="00C4608D">
        <w:t>.</w:t>
      </w:r>
    </w:p>
    <w:p w14:paraId="67442625" w14:textId="77777777" w:rsidR="00A8334D" w:rsidRDefault="00A8334D" w:rsidP="00A51C94">
      <w:pPr>
        <w:pStyle w:val="ListParagraph"/>
        <w:numPr>
          <w:ilvl w:val="0"/>
          <w:numId w:val="11"/>
        </w:numPr>
      </w:pPr>
      <w:r>
        <w:t xml:space="preserve">The statement regarding comparative exposure is not supported by any analysis </w:t>
      </w:r>
      <w:r w:rsidRPr="00CB2EDE">
        <w:t>compar</w:t>
      </w:r>
      <w:r>
        <w:t>ing</w:t>
      </w:r>
      <w:r w:rsidRPr="00CB2EDE">
        <w:t xml:space="preserve"> exposure in subjects with EGPA to exposure in subjects with asthma</w:t>
      </w:r>
      <w:r>
        <w:t xml:space="preserve"> that the evaluator could locate in the dossier.</w:t>
      </w:r>
    </w:p>
    <w:p w14:paraId="3C783501" w14:textId="77777777" w:rsidR="00624472" w:rsidRDefault="00A8334D" w:rsidP="00A8334D">
      <w:r>
        <w:t>The evaluator recommends that the sponsor’s proposed wording be replaced with</w:t>
      </w:r>
      <w:r w:rsidR="00624472">
        <w:t>:</w:t>
      </w:r>
    </w:p>
    <w:p w14:paraId="6A963FDA" w14:textId="77777777" w:rsidR="00624472" w:rsidRPr="00C4608D" w:rsidRDefault="00C4608D" w:rsidP="00A8334D">
      <w:pPr>
        <w:ind w:left="720"/>
        <w:rPr>
          <w:rFonts w:eastAsiaTheme="minorHAnsi"/>
        </w:rPr>
      </w:pPr>
      <w:r>
        <w:t>‘</w:t>
      </w:r>
      <w:r w:rsidR="00A8334D" w:rsidRPr="00C4608D">
        <w:t xml:space="preserve">A Population PK analysis using sparse PK sampling suggests that </w:t>
      </w:r>
      <w:proofErr w:type="spellStart"/>
      <w:r w:rsidR="00A8334D" w:rsidRPr="00C4608D">
        <w:t>m</w:t>
      </w:r>
      <w:r w:rsidR="00A8334D" w:rsidRPr="00C4608D">
        <w:rPr>
          <w:rFonts w:eastAsiaTheme="minorHAnsi"/>
        </w:rPr>
        <w:t>epolizumab</w:t>
      </w:r>
      <w:proofErr w:type="spellEnd"/>
      <w:r w:rsidR="00A8334D" w:rsidRPr="00C4608D">
        <w:rPr>
          <w:rFonts w:eastAsiaTheme="minorHAnsi"/>
        </w:rPr>
        <w:t xml:space="preserve"> pharmacokinetics in subjects with EGPA were consistent with the PK in subjects with other eosinophilic conditions, including asthma</w:t>
      </w:r>
      <w:r>
        <w:rPr>
          <w:rFonts w:eastAsiaTheme="minorHAnsi"/>
        </w:rPr>
        <w:t>’</w:t>
      </w:r>
      <w:r w:rsidR="00624472" w:rsidRPr="00C4608D">
        <w:rPr>
          <w:rFonts w:eastAsiaTheme="minorHAnsi"/>
        </w:rPr>
        <w:t>.</w:t>
      </w:r>
    </w:p>
    <w:p w14:paraId="211C7BE4" w14:textId="53F98CCD" w:rsidR="00A8334D" w:rsidRPr="00CB2EDE" w:rsidRDefault="00A8334D" w:rsidP="00A8334D">
      <w:r w:rsidRPr="00CB2EDE">
        <w:t>The sponsor is asked to comment of the evaluator’s proposed statement and to provide the analysis</w:t>
      </w:r>
      <w:r w:rsidR="00A608DC">
        <w:t xml:space="preserve"> </w:t>
      </w:r>
      <w:r w:rsidRPr="00CB2EDE">
        <w:t>(</w:t>
      </w:r>
      <w:r w:rsidR="00A608DC">
        <w:t>or analys</w:t>
      </w:r>
      <w:r w:rsidRPr="00CB2EDE">
        <w:t xml:space="preserve">es) that </w:t>
      </w:r>
      <w:r>
        <w:t>demonstrate</w:t>
      </w:r>
      <w:r w:rsidR="00501610">
        <w:t>s that ‘</w:t>
      </w:r>
      <w:r w:rsidRPr="00501610">
        <w:t>the exposure at 300 mg in subjects with EGPA was approximately three times that observed at 100 mg in subjects with severe asthma</w:t>
      </w:r>
      <w:r w:rsidR="00501610">
        <w:t>’</w:t>
      </w:r>
      <w:r w:rsidRPr="00501610">
        <w:t>.</w:t>
      </w:r>
    </w:p>
    <w:p w14:paraId="5CC9B0AB" w14:textId="77777777" w:rsidR="008E7846" w:rsidRDefault="008E7846" w:rsidP="008E7846">
      <w:pPr>
        <w:pStyle w:val="Heading3"/>
      </w:pPr>
      <w:bookmarkStart w:id="69" w:name="_Toc196046481"/>
      <w:bookmarkStart w:id="70" w:name="_Toc247691520"/>
      <w:bookmarkStart w:id="71" w:name="_Toc314842503"/>
      <w:bookmarkStart w:id="72" w:name="_Toc25227379"/>
      <w:r w:rsidRPr="00254787">
        <w:t>Pharmacodynamics</w:t>
      </w:r>
      <w:bookmarkEnd w:id="46"/>
      <w:bookmarkEnd w:id="69"/>
      <w:bookmarkEnd w:id="70"/>
      <w:bookmarkEnd w:id="71"/>
      <w:bookmarkEnd w:id="72"/>
    </w:p>
    <w:p w14:paraId="408B7DF7" w14:textId="77777777" w:rsidR="00605AD4" w:rsidRDefault="00605AD4" w:rsidP="00605AD4">
      <w:pPr>
        <w:pStyle w:val="Heading4"/>
      </w:pPr>
      <w:r>
        <w:t xml:space="preserve">Studies providing </w:t>
      </w:r>
      <w:proofErr w:type="spellStart"/>
      <w:r>
        <w:t>pharmacodynamic</w:t>
      </w:r>
      <w:proofErr w:type="spellEnd"/>
      <w:r>
        <w:t xml:space="preserve"> data</w:t>
      </w:r>
    </w:p>
    <w:p w14:paraId="426C5182" w14:textId="279B89BD" w:rsidR="00FA4FA6" w:rsidRPr="00FA4FA6" w:rsidRDefault="00A8334D" w:rsidP="00FA4FA6">
      <w:r>
        <w:rPr>
          <w:lang w:eastAsia="ja-JP"/>
        </w:rPr>
        <w:t xml:space="preserve">The only study providing </w:t>
      </w:r>
      <w:proofErr w:type="spellStart"/>
      <w:r>
        <w:rPr>
          <w:lang w:eastAsia="ja-JP"/>
        </w:rPr>
        <w:t>pharmacodynamic</w:t>
      </w:r>
      <w:proofErr w:type="spellEnd"/>
      <w:r>
        <w:rPr>
          <w:lang w:eastAsia="ja-JP"/>
        </w:rPr>
        <w:t xml:space="preserve"> information in adults with EGPA is the main efficac</w:t>
      </w:r>
      <w:r w:rsidR="00FA4FA6">
        <w:rPr>
          <w:lang w:eastAsia="ja-JP"/>
        </w:rPr>
        <w:t xml:space="preserve">y and safety study, </w:t>
      </w:r>
      <w:r w:rsidR="00A608DC">
        <w:rPr>
          <w:rFonts w:eastAsia="ArialNarrow" w:cs="ArialNarrow"/>
        </w:rPr>
        <w:t xml:space="preserve">Study </w:t>
      </w:r>
      <w:r w:rsidR="00FA4FA6">
        <w:rPr>
          <w:lang w:eastAsia="ja-JP"/>
        </w:rPr>
        <w:t>MEA</w:t>
      </w:r>
      <w:r w:rsidR="00FA4FA6" w:rsidRPr="00FA4FA6">
        <w:t>115921.</w:t>
      </w:r>
    </w:p>
    <w:p w14:paraId="507FCDD4" w14:textId="77777777" w:rsidR="00605AD4" w:rsidRDefault="00605AD4" w:rsidP="00FA4FA6">
      <w:pPr>
        <w:pStyle w:val="Heading4"/>
      </w:pPr>
      <w:r>
        <w:t>Evaluator’s conclusions on pharmacodynamics</w:t>
      </w:r>
    </w:p>
    <w:p w14:paraId="5208238B" w14:textId="77777777" w:rsidR="00A8334D" w:rsidRDefault="00A8334D" w:rsidP="00A8334D">
      <w:pPr>
        <w:pStyle w:val="Heading5"/>
      </w:pPr>
      <w:r>
        <w:t xml:space="preserve">Changes in blood eosinophil level and total serum IL-5 with </w:t>
      </w:r>
      <w:proofErr w:type="spellStart"/>
      <w:r>
        <w:t>mepolizumab</w:t>
      </w:r>
      <w:proofErr w:type="spellEnd"/>
    </w:p>
    <w:p w14:paraId="1D486A0F" w14:textId="11509C09" w:rsidR="00A8334D" w:rsidRDefault="00A8334D" w:rsidP="00FA4FA6">
      <w:pPr>
        <w:rPr>
          <w:lang w:eastAsia="en-AU"/>
        </w:rPr>
      </w:pPr>
      <w:r>
        <w:rPr>
          <w:lang w:eastAsia="en-AU"/>
        </w:rPr>
        <w:t xml:space="preserve">Although eosinophil counts of </w:t>
      </w:r>
      <w:r>
        <w:t xml:space="preserve">5 to 9 </w:t>
      </w:r>
      <w:proofErr w:type="spellStart"/>
      <w:r w:rsidR="0010624A">
        <w:t>giga</w:t>
      </w:r>
      <w:proofErr w:type="spellEnd"/>
      <w:r w:rsidR="0010624A">
        <w:t xml:space="preserve"> (10</w:t>
      </w:r>
      <w:r w:rsidR="0010624A" w:rsidRPr="002C4984">
        <w:rPr>
          <w:vertAlign w:val="superscript"/>
        </w:rPr>
        <w:t>9</w:t>
      </w:r>
      <w:r w:rsidR="0010624A">
        <w:t>)/L (</w:t>
      </w:r>
      <w:r>
        <w:t>G</w:t>
      </w:r>
      <w:r w:rsidR="000D0557">
        <w:t>I</w:t>
      </w:r>
      <w:r>
        <w:t>/L</w:t>
      </w:r>
      <w:r w:rsidR="0010624A">
        <w:t>)</w:t>
      </w:r>
      <w:r>
        <w:rPr>
          <w:lang w:eastAsia="en-AU"/>
        </w:rPr>
        <w:t xml:space="preserve"> described in patients with EGPA at diagnosis, mean baseline eosinophil count of 0.17</w:t>
      </w:r>
      <w:r w:rsidR="00FA4FA6">
        <w:rPr>
          <w:lang w:eastAsia="en-AU"/>
        </w:rPr>
        <w:t xml:space="preserve"> </w:t>
      </w:r>
      <w:r>
        <w:rPr>
          <w:lang w:eastAsia="en-AU"/>
        </w:rPr>
        <w:t>G</w:t>
      </w:r>
      <w:r w:rsidR="000D0557">
        <w:rPr>
          <w:lang w:eastAsia="en-AU"/>
        </w:rPr>
        <w:t>I</w:t>
      </w:r>
      <w:r>
        <w:rPr>
          <w:lang w:eastAsia="en-AU"/>
        </w:rPr>
        <w:t>/L were reported in Study</w:t>
      </w:r>
      <w:r w:rsidR="00A608DC">
        <w:rPr>
          <w:lang w:eastAsia="en-AU"/>
        </w:rPr>
        <w:t> </w:t>
      </w:r>
      <w:r>
        <w:rPr>
          <w:lang w:eastAsia="en-AU"/>
        </w:rPr>
        <w:t>MEA115921. This</w:t>
      </w:r>
      <w:r w:rsidR="00FA4FA6">
        <w:rPr>
          <w:lang w:eastAsia="en-AU"/>
        </w:rPr>
        <w:t xml:space="preserve"> may reflect prior treatments; </w:t>
      </w:r>
      <w:r>
        <w:rPr>
          <w:lang w:eastAsia="en-AU"/>
        </w:rPr>
        <w:t xml:space="preserve">patients in Study MEA115921 were required to be on a dose of prednisolone equivalent of </w:t>
      </w:r>
      <w:r w:rsidR="000D0557">
        <w:rPr>
          <w:lang w:eastAsia="en-AU"/>
        </w:rPr>
        <w:t xml:space="preserve">greater than or equal to </w:t>
      </w:r>
      <w:r>
        <w:rPr>
          <w:lang w:eastAsia="en-AU"/>
        </w:rPr>
        <w:t>7.5</w:t>
      </w:r>
      <w:r w:rsidR="00FA4FA6">
        <w:rPr>
          <w:lang w:eastAsia="en-AU"/>
        </w:rPr>
        <w:t xml:space="preserve"> </w:t>
      </w:r>
      <w:r>
        <w:rPr>
          <w:lang w:eastAsia="en-AU"/>
        </w:rPr>
        <w:t xml:space="preserve">mg/day at study entry and may have been receiving other </w:t>
      </w:r>
      <w:proofErr w:type="spellStart"/>
      <w:r>
        <w:rPr>
          <w:lang w:eastAsia="en-AU"/>
        </w:rPr>
        <w:t>immunosuppressives</w:t>
      </w:r>
      <w:proofErr w:type="spellEnd"/>
      <w:r>
        <w:rPr>
          <w:lang w:eastAsia="en-AU"/>
        </w:rPr>
        <w:t>.</w:t>
      </w:r>
    </w:p>
    <w:p w14:paraId="7E197DC3" w14:textId="77777777" w:rsidR="00624472" w:rsidRDefault="00A8334D" w:rsidP="00FA4FA6">
      <w:pPr>
        <w:rPr>
          <w:rFonts w:asciiTheme="minorHAnsi" w:hAnsiTheme="minorHAnsi"/>
        </w:rPr>
      </w:pPr>
      <w:r w:rsidRPr="00840116">
        <w:rPr>
          <w:rFonts w:asciiTheme="minorHAnsi" w:hAnsiTheme="minorHAnsi"/>
        </w:rPr>
        <w:t xml:space="preserve">The </w:t>
      </w:r>
      <w:r>
        <w:rPr>
          <w:rFonts w:asciiTheme="minorHAnsi" w:hAnsiTheme="minorHAnsi"/>
        </w:rPr>
        <w:t xml:space="preserve">geometric </w:t>
      </w:r>
      <w:r w:rsidRPr="00840116">
        <w:rPr>
          <w:rFonts w:asciiTheme="minorHAnsi" w:hAnsiTheme="minorHAnsi"/>
        </w:rPr>
        <w:t>mean reduction in blood eosinophil levels in the</w:t>
      </w:r>
      <w:r>
        <w:rPr>
          <w:rFonts w:asciiTheme="minorHAnsi" w:hAnsiTheme="minorHAnsi"/>
        </w:rPr>
        <w:t xml:space="preserve"> EGPA </w:t>
      </w:r>
      <w:r w:rsidRPr="00840116">
        <w:rPr>
          <w:rFonts w:asciiTheme="minorHAnsi" w:hAnsiTheme="minorHAnsi"/>
        </w:rPr>
        <w:t xml:space="preserve">patients receiving </w:t>
      </w:r>
      <w:proofErr w:type="spellStart"/>
      <w:r w:rsidRPr="00840116">
        <w:rPr>
          <w:rFonts w:asciiTheme="minorHAnsi" w:hAnsiTheme="minorHAnsi"/>
        </w:rPr>
        <w:t>mepolizumab</w:t>
      </w:r>
      <w:proofErr w:type="spellEnd"/>
      <w:r w:rsidRPr="00840116">
        <w:rPr>
          <w:rFonts w:asciiTheme="minorHAnsi" w:hAnsiTheme="minorHAnsi"/>
        </w:rPr>
        <w:t xml:space="preserve"> </w:t>
      </w:r>
      <w:r>
        <w:rPr>
          <w:rFonts w:asciiTheme="minorHAnsi" w:hAnsiTheme="minorHAnsi"/>
        </w:rPr>
        <w:t>(</w:t>
      </w:r>
      <w:r w:rsidRPr="00AD60DD">
        <w:rPr>
          <w:rFonts w:asciiTheme="minorHAnsi" w:hAnsiTheme="minorHAnsi"/>
        </w:rPr>
        <w:t xml:space="preserve">to </w:t>
      </w:r>
      <w:r w:rsidRPr="00AD60DD">
        <w:rPr>
          <w:rFonts w:asciiTheme="minorHAnsi" w:eastAsia="TimesNewRoman" w:hAnsiTheme="minorHAnsi" w:cs="TimesNewRoman"/>
        </w:rPr>
        <w:t>0.035 GI/L</w:t>
      </w:r>
      <w:r>
        <w:rPr>
          <w:rFonts w:asciiTheme="minorHAnsi" w:eastAsia="TimesNewRoman" w:hAnsiTheme="minorHAnsi" w:cs="TimesNewRoman"/>
        </w:rPr>
        <w:t>)</w:t>
      </w:r>
      <w:r w:rsidRPr="00840116">
        <w:rPr>
          <w:rFonts w:asciiTheme="minorHAnsi" w:hAnsiTheme="minorHAnsi"/>
        </w:rPr>
        <w:t xml:space="preserve"> </w:t>
      </w:r>
      <w:r>
        <w:rPr>
          <w:rFonts w:asciiTheme="minorHAnsi" w:hAnsiTheme="minorHAnsi"/>
        </w:rPr>
        <w:t>has</w:t>
      </w:r>
      <w:r w:rsidRPr="00840116">
        <w:rPr>
          <w:rFonts w:asciiTheme="minorHAnsi" w:hAnsiTheme="minorHAnsi"/>
        </w:rPr>
        <w:t xml:space="preserve"> result</w:t>
      </w:r>
      <w:r>
        <w:rPr>
          <w:rFonts w:asciiTheme="minorHAnsi" w:hAnsiTheme="minorHAnsi"/>
        </w:rPr>
        <w:t>ed</w:t>
      </w:r>
      <w:r w:rsidRPr="00840116">
        <w:rPr>
          <w:rFonts w:asciiTheme="minorHAnsi" w:hAnsiTheme="minorHAnsi"/>
        </w:rPr>
        <w:t xml:space="preserve"> in blood eosinophil levels that are below</w:t>
      </w:r>
      <w:r>
        <w:rPr>
          <w:rFonts w:asciiTheme="minorHAnsi" w:hAnsiTheme="minorHAnsi"/>
        </w:rPr>
        <w:t xml:space="preserve"> </w:t>
      </w:r>
      <w:r w:rsidRPr="00840116">
        <w:rPr>
          <w:rFonts w:asciiTheme="minorHAnsi" w:hAnsiTheme="minorHAnsi"/>
        </w:rPr>
        <w:t>the normal range</w:t>
      </w:r>
      <w:r>
        <w:rPr>
          <w:rFonts w:asciiTheme="minorHAnsi" w:hAnsiTheme="minorHAnsi"/>
        </w:rPr>
        <w:t xml:space="preserve"> (</w:t>
      </w:r>
      <w:r w:rsidRPr="00840116">
        <w:rPr>
          <w:rFonts w:asciiTheme="minorHAnsi" w:hAnsiTheme="minorHAnsi"/>
        </w:rPr>
        <w:t>as</w:t>
      </w:r>
      <w:r w:rsidR="00585180">
        <w:rPr>
          <w:rFonts w:asciiTheme="minorHAnsi" w:hAnsiTheme="minorHAnsi"/>
        </w:rPr>
        <w:t>suming a normal of 0.04 to 0.4 x</w:t>
      </w:r>
      <w:r w:rsidR="00FA4FA6">
        <w:rPr>
          <w:rFonts w:asciiTheme="minorHAnsi" w:hAnsiTheme="minorHAnsi"/>
        </w:rPr>
        <w:t xml:space="preserve"> </w:t>
      </w:r>
      <w:r w:rsidRPr="00840116">
        <w:rPr>
          <w:rFonts w:asciiTheme="minorHAnsi" w:hAnsiTheme="minorHAnsi"/>
        </w:rPr>
        <w:t>10</w:t>
      </w:r>
      <w:r w:rsidRPr="00840116">
        <w:rPr>
          <w:rFonts w:asciiTheme="minorHAnsi" w:hAnsiTheme="minorHAnsi"/>
          <w:vertAlign w:val="superscript"/>
        </w:rPr>
        <w:t>9</w:t>
      </w:r>
      <w:r w:rsidRPr="00840116">
        <w:rPr>
          <w:rFonts w:asciiTheme="minorHAnsi" w:hAnsiTheme="minorHAnsi"/>
        </w:rPr>
        <w:t>/L</w:t>
      </w:r>
      <w:r>
        <w:rPr>
          <w:rFonts w:asciiTheme="minorHAnsi" w:hAnsiTheme="minorHAnsi"/>
        </w:rPr>
        <w:t xml:space="preserve">). </w:t>
      </w:r>
      <w:r w:rsidRPr="00334865">
        <w:rPr>
          <w:rFonts w:asciiTheme="minorHAnsi" w:hAnsiTheme="minorHAnsi"/>
        </w:rPr>
        <w:t xml:space="preserve">The </w:t>
      </w:r>
      <w:r>
        <w:rPr>
          <w:rFonts w:asciiTheme="minorHAnsi" w:hAnsiTheme="minorHAnsi"/>
        </w:rPr>
        <w:t xml:space="preserve">mean </w:t>
      </w:r>
      <w:r w:rsidRPr="00334865">
        <w:rPr>
          <w:rFonts w:asciiTheme="minorHAnsi" w:hAnsiTheme="minorHAnsi"/>
        </w:rPr>
        <w:t>reduction in blood eosinophil level of 83% is consistent</w:t>
      </w:r>
      <w:r w:rsidR="00FA4FA6">
        <w:rPr>
          <w:rFonts w:asciiTheme="minorHAnsi" w:hAnsiTheme="minorHAnsi"/>
        </w:rPr>
        <w:t xml:space="preserve"> with that reported previously; </w:t>
      </w:r>
      <w:r w:rsidRPr="00334865">
        <w:rPr>
          <w:rFonts w:asciiTheme="minorHAnsi" w:hAnsiTheme="minorHAnsi"/>
        </w:rPr>
        <w:t xml:space="preserve">a 100 mg SC dose of </w:t>
      </w:r>
      <w:proofErr w:type="spellStart"/>
      <w:r w:rsidRPr="00334865">
        <w:rPr>
          <w:rFonts w:asciiTheme="minorHAnsi" w:hAnsiTheme="minorHAnsi"/>
        </w:rPr>
        <w:t>mepolizumab</w:t>
      </w:r>
      <w:proofErr w:type="spellEnd"/>
      <w:r w:rsidRPr="00334865">
        <w:rPr>
          <w:rFonts w:asciiTheme="minorHAnsi" w:hAnsiTheme="minorHAnsi"/>
        </w:rPr>
        <w:t xml:space="preserve"> </w:t>
      </w:r>
      <w:r>
        <w:rPr>
          <w:rFonts w:asciiTheme="minorHAnsi" w:hAnsiTheme="minorHAnsi"/>
        </w:rPr>
        <w:t xml:space="preserve">in patients with asthma </w:t>
      </w:r>
      <w:r w:rsidRPr="00334865">
        <w:rPr>
          <w:rFonts w:asciiTheme="minorHAnsi" w:hAnsiTheme="minorHAnsi"/>
        </w:rPr>
        <w:t>decreased blood eosinophils levels by approximately 80% by Week 4</w:t>
      </w:r>
      <w:r w:rsidR="00624472">
        <w:rPr>
          <w:rFonts w:asciiTheme="minorHAnsi" w:hAnsiTheme="minorHAnsi"/>
        </w:rPr>
        <w:t>.</w:t>
      </w:r>
    </w:p>
    <w:p w14:paraId="32FAAA83" w14:textId="77777777" w:rsidR="00A8334D" w:rsidRPr="00720E23" w:rsidRDefault="00A8334D" w:rsidP="00FA4FA6">
      <w:r>
        <w:t>The</w:t>
      </w:r>
      <w:r w:rsidRPr="00720E23">
        <w:t xml:space="preserve"> long-lasting effect of </w:t>
      </w:r>
      <w:proofErr w:type="spellStart"/>
      <w:r w:rsidRPr="00720E23">
        <w:t>mepolizumab</w:t>
      </w:r>
      <w:proofErr w:type="spellEnd"/>
      <w:r>
        <w:t xml:space="preserve">, with reduced eosinophil count reported 3 months after cessation of </w:t>
      </w:r>
      <w:proofErr w:type="spellStart"/>
      <w:r>
        <w:t>mepolizumab</w:t>
      </w:r>
      <w:proofErr w:type="spellEnd"/>
      <w:r>
        <w:t>,</w:t>
      </w:r>
      <w:r w:rsidRPr="00720E23">
        <w:t xml:space="preserve"> has also been reported previously. The </w:t>
      </w:r>
      <w:r w:rsidR="00FA4FA6">
        <w:t>clinical evaluation report</w:t>
      </w:r>
      <w:r w:rsidRPr="00720E23">
        <w:t xml:space="preserve"> extract for the </w:t>
      </w:r>
      <w:r w:rsidR="00FA4FA6">
        <w:t>new biological entity</w:t>
      </w:r>
      <w:r w:rsidRPr="00720E23">
        <w:t xml:space="preserve"> submission notes that, following all 3 SC doses of </w:t>
      </w:r>
      <w:proofErr w:type="spellStart"/>
      <w:r w:rsidRPr="00720E23">
        <w:t>mepolizumab</w:t>
      </w:r>
      <w:proofErr w:type="spellEnd"/>
      <w:r w:rsidRPr="00720E23">
        <w:t xml:space="preserve"> given monthly</w:t>
      </w:r>
      <w:r>
        <w:t xml:space="preserve"> in patients with asthma</w:t>
      </w:r>
      <w:r w:rsidRPr="00720E23">
        <w:t>, eosinophil levels had still not completely returned to pre-dose (baseline) levels 12 weeks after the third dose.</w:t>
      </w:r>
    </w:p>
    <w:p w14:paraId="556C230E" w14:textId="64B92AA1" w:rsidR="00A8334D" w:rsidRDefault="00A8334D" w:rsidP="00FA4FA6">
      <w:r w:rsidRPr="00334865">
        <w:t>Of note is that</w:t>
      </w:r>
      <w:r>
        <w:t xml:space="preserve"> c</w:t>
      </w:r>
      <w:r w:rsidRPr="00334865">
        <w:t>hanges in blood eosinophil level do not appear to be dose dependent, (above the dose of 12.5mg SC), with a similar decrease reported with doses of 75</w:t>
      </w:r>
      <w:r w:rsidR="00FA4FA6">
        <w:t xml:space="preserve"> </w:t>
      </w:r>
      <w:r w:rsidRPr="00334865">
        <w:t>mg IV, 100</w:t>
      </w:r>
      <w:r w:rsidR="00A608DC">
        <w:t> </w:t>
      </w:r>
      <w:r w:rsidRPr="00334865">
        <w:t>mg</w:t>
      </w:r>
      <w:r w:rsidR="00A608DC">
        <w:t> </w:t>
      </w:r>
      <w:r w:rsidRPr="00334865">
        <w:t>SC, 125</w:t>
      </w:r>
      <w:r w:rsidR="00FA4FA6">
        <w:t xml:space="preserve"> </w:t>
      </w:r>
      <w:r w:rsidRPr="00334865">
        <w:t>mg SC and 250</w:t>
      </w:r>
      <w:r w:rsidR="00FA4FA6">
        <w:t xml:space="preserve"> </w:t>
      </w:r>
      <w:r w:rsidR="000626F6">
        <w:t>mg SC,</w:t>
      </w:r>
      <w:r w:rsidR="00F72401">
        <w:t xml:space="preserve"> see </w:t>
      </w:r>
      <w:r w:rsidR="00F72401">
        <w:fldChar w:fldCharType="begin"/>
      </w:r>
      <w:r w:rsidR="00F72401">
        <w:instrText xml:space="preserve"> REF _Ref14946210 \h </w:instrText>
      </w:r>
      <w:r w:rsidR="00F72401">
        <w:fldChar w:fldCharType="separate"/>
      </w:r>
      <w:r w:rsidR="00F72401">
        <w:t xml:space="preserve">Figure </w:t>
      </w:r>
      <w:r w:rsidR="00F72401">
        <w:rPr>
          <w:noProof/>
        </w:rPr>
        <w:t>1</w:t>
      </w:r>
      <w:r w:rsidR="00F72401">
        <w:fldChar w:fldCharType="end"/>
      </w:r>
      <w:r w:rsidRPr="00334865">
        <w:t xml:space="preserve"> below from the </w:t>
      </w:r>
      <w:r w:rsidR="00F72401">
        <w:t>clinical evaluation report</w:t>
      </w:r>
      <w:r w:rsidRPr="00334865">
        <w:t xml:space="preserve"> extract from the AusPAR for the </w:t>
      </w:r>
      <w:r w:rsidR="00F72401">
        <w:t>new biological entity</w:t>
      </w:r>
      <w:r w:rsidRPr="00334865">
        <w:t xml:space="preserve"> submission</w:t>
      </w:r>
      <w:r w:rsidR="00F72401">
        <w:t xml:space="preserve"> for </w:t>
      </w:r>
      <w:proofErr w:type="spellStart"/>
      <w:r w:rsidR="00F72401">
        <w:lastRenderedPageBreak/>
        <w:t>mepolizumab</w:t>
      </w:r>
      <w:proofErr w:type="spellEnd"/>
      <w:r w:rsidR="00F72401">
        <w:t>.</w:t>
      </w:r>
      <w:r w:rsidRPr="00334865">
        <w:rPr>
          <w:vertAlign w:val="superscript"/>
        </w:rPr>
        <w:footnoteReference w:id="29"/>
      </w:r>
      <w:r w:rsidRPr="00334865">
        <w:t xml:space="preserve"> </w:t>
      </w:r>
      <w:r>
        <w:t xml:space="preserve">An absence of dose dependency was also seen in Study MEE103219, that investigated three different doses of </w:t>
      </w:r>
      <w:proofErr w:type="spellStart"/>
      <w:r>
        <w:t>mepolizumab</w:t>
      </w:r>
      <w:proofErr w:type="spellEnd"/>
      <w:r>
        <w:t xml:space="preserve"> in children with eosinophilic oesophagitis </w:t>
      </w:r>
      <w:r>
        <w:rPr>
          <w:lang w:eastAsia="ja-JP"/>
        </w:rPr>
        <w:t>(see</w:t>
      </w:r>
      <w:r w:rsidR="00F72401">
        <w:rPr>
          <w:lang w:eastAsia="ja-JP"/>
        </w:rPr>
        <w:t xml:space="preserve"> </w:t>
      </w:r>
      <w:r w:rsidR="00F72401">
        <w:rPr>
          <w:lang w:eastAsia="ja-JP"/>
        </w:rPr>
        <w:fldChar w:fldCharType="begin"/>
      </w:r>
      <w:r w:rsidR="00F72401">
        <w:rPr>
          <w:lang w:eastAsia="ja-JP"/>
        </w:rPr>
        <w:instrText xml:space="preserve"> REF _Ref14946647 \h </w:instrText>
      </w:r>
      <w:r w:rsidR="00F72401">
        <w:rPr>
          <w:lang w:eastAsia="ja-JP"/>
        </w:rPr>
      </w:r>
      <w:r w:rsidR="00F72401">
        <w:rPr>
          <w:lang w:eastAsia="ja-JP"/>
        </w:rPr>
        <w:fldChar w:fldCharType="separate"/>
      </w:r>
      <w:r w:rsidR="00F72401">
        <w:t xml:space="preserve">Figure </w:t>
      </w:r>
      <w:r w:rsidR="00F72401">
        <w:rPr>
          <w:noProof/>
        </w:rPr>
        <w:t>2</w:t>
      </w:r>
      <w:r w:rsidR="00F72401">
        <w:rPr>
          <w:lang w:eastAsia="ja-JP"/>
        </w:rPr>
        <w:fldChar w:fldCharType="end"/>
      </w:r>
      <w:r w:rsidR="00F72401">
        <w:rPr>
          <w:lang w:eastAsia="ja-JP"/>
        </w:rPr>
        <w:t>).</w:t>
      </w:r>
    </w:p>
    <w:p w14:paraId="3089A428" w14:textId="77777777" w:rsidR="00A8334D" w:rsidRPr="008F0289" w:rsidRDefault="00FA4FA6" w:rsidP="00FA4FA6">
      <w:pPr>
        <w:pStyle w:val="FigureTitle"/>
        <w:rPr>
          <w:lang w:eastAsia="en-AU"/>
        </w:rPr>
      </w:pPr>
      <w:bookmarkStart w:id="73" w:name="_Ref14946210"/>
      <w:bookmarkStart w:id="74" w:name="_Ref506802804"/>
      <w:bookmarkStart w:id="75" w:name="_Toc525724216"/>
      <w:r>
        <w:t xml:space="preserve">Figure </w:t>
      </w:r>
      <w:r w:rsidR="00C33647">
        <w:rPr>
          <w:noProof/>
        </w:rPr>
        <w:fldChar w:fldCharType="begin"/>
      </w:r>
      <w:r w:rsidR="00C33647">
        <w:rPr>
          <w:noProof/>
        </w:rPr>
        <w:instrText xml:space="preserve"> SEQ Figure \* ARABIC </w:instrText>
      </w:r>
      <w:r w:rsidR="00C33647">
        <w:rPr>
          <w:noProof/>
        </w:rPr>
        <w:fldChar w:fldCharType="separate"/>
      </w:r>
      <w:r w:rsidR="003627CD">
        <w:rPr>
          <w:noProof/>
        </w:rPr>
        <w:t>1</w:t>
      </w:r>
      <w:r w:rsidR="00C33647">
        <w:rPr>
          <w:noProof/>
        </w:rPr>
        <w:fldChar w:fldCharType="end"/>
      </w:r>
      <w:bookmarkEnd w:id="73"/>
      <w:r>
        <w:t xml:space="preserve">: Study MEA114092 mean absolute blood eosinophil </w:t>
      </w:r>
      <w:bookmarkEnd w:id="74"/>
      <w:bookmarkEnd w:id="75"/>
      <w:r>
        <w:t>data</w:t>
      </w:r>
    </w:p>
    <w:p w14:paraId="2B6B64BB" w14:textId="77777777" w:rsidR="00A8334D" w:rsidRDefault="00F72401" w:rsidP="00A8334D">
      <w:pPr>
        <w:pStyle w:val="Comment1"/>
        <w:spacing w:before="0" w:after="0"/>
      </w:pPr>
      <w:r>
        <w:rPr>
          <w:noProof/>
        </w:rPr>
        <w:drawing>
          <wp:inline distT="0" distB="0" distL="0" distR="0" wp14:anchorId="14B8E46A" wp14:editId="141F6378">
            <wp:extent cx="3505710" cy="2349500"/>
            <wp:effectExtent l="0" t="0" r="0" b="0"/>
            <wp:docPr id="9" name="Picture 9" descr="Study MEA114092 mean absolute blood eosinophi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05710" cy="2349500"/>
                    </a:xfrm>
                    <a:prstGeom prst="rect">
                      <a:avLst/>
                    </a:prstGeom>
                  </pic:spPr>
                </pic:pic>
              </a:graphicData>
            </a:graphic>
          </wp:inline>
        </w:drawing>
      </w:r>
    </w:p>
    <w:p w14:paraId="52041760" w14:textId="77777777" w:rsidR="00F72401" w:rsidRPr="00F72401" w:rsidRDefault="00F72401" w:rsidP="00F72401">
      <w:pPr>
        <w:pStyle w:val="TableDescription"/>
        <w:rPr>
          <w:lang w:eastAsia="en-AU"/>
        </w:rPr>
      </w:pPr>
      <w:r w:rsidRPr="00B83D98">
        <w:rPr>
          <w:lang w:eastAsia="en-AU"/>
        </w:rPr>
        <w:t xml:space="preserve">Source: </w:t>
      </w:r>
      <w:r>
        <w:rPr>
          <w:lang w:eastAsia="en-AU"/>
        </w:rPr>
        <w:t>clinical evaluation report</w:t>
      </w:r>
      <w:r w:rsidRPr="00B83D98">
        <w:rPr>
          <w:lang w:eastAsia="en-AU"/>
        </w:rPr>
        <w:t xml:space="preserve"> extract </w:t>
      </w:r>
      <w:r>
        <w:rPr>
          <w:lang w:eastAsia="en-AU"/>
        </w:rPr>
        <w:t xml:space="preserve">from the AusPAR </w:t>
      </w:r>
      <w:r w:rsidRPr="00B83D98">
        <w:rPr>
          <w:lang w:eastAsia="en-AU"/>
        </w:rPr>
        <w:t xml:space="preserve">for the </w:t>
      </w:r>
      <w:r>
        <w:rPr>
          <w:lang w:eastAsia="en-AU"/>
        </w:rPr>
        <w:t>new biological entity</w:t>
      </w:r>
      <w:r w:rsidRPr="00B83D98">
        <w:rPr>
          <w:lang w:eastAsia="en-AU"/>
        </w:rPr>
        <w:t xml:space="preserve"> submission</w:t>
      </w:r>
      <w:r>
        <w:rPr>
          <w:lang w:eastAsia="en-AU"/>
        </w:rPr>
        <w:t xml:space="preserve"> for mepolizumab.</w:t>
      </w:r>
      <w:r w:rsidRPr="00F72401">
        <w:rPr>
          <w:rStyle w:val="FootnoteReference"/>
        </w:rPr>
        <w:fldChar w:fldCharType="begin"/>
      </w:r>
      <w:r w:rsidRPr="00F72401">
        <w:rPr>
          <w:rStyle w:val="FootnoteReference"/>
        </w:rPr>
        <w:instrText xml:space="preserve"> NOTEREF _Ref14945671 \h </w:instrText>
      </w:r>
      <w:r>
        <w:rPr>
          <w:rStyle w:val="FootnoteReference"/>
        </w:rPr>
        <w:instrText xml:space="preserve"> \* MERGEFORMAT </w:instrText>
      </w:r>
      <w:r w:rsidRPr="00F72401">
        <w:rPr>
          <w:rStyle w:val="FootnoteReference"/>
        </w:rPr>
      </w:r>
      <w:r w:rsidRPr="00F72401">
        <w:rPr>
          <w:rStyle w:val="FootnoteReference"/>
        </w:rPr>
        <w:fldChar w:fldCharType="separate"/>
      </w:r>
      <w:r w:rsidRPr="00F72401">
        <w:rPr>
          <w:rStyle w:val="FootnoteReference"/>
        </w:rPr>
        <w:t>23</w:t>
      </w:r>
      <w:r w:rsidRPr="00F72401">
        <w:rPr>
          <w:rStyle w:val="FootnoteReference"/>
        </w:rPr>
        <w:fldChar w:fldCharType="end"/>
      </w:r>
    </w:p>
    <w:p w14:paraId="0201959F" w14:textId="77777777" w:rsidR="00F72401" w:rsidRDefault="00F72401" w:rsidP="00F72401">
      <w:pPr>
        <w:pStyle w:val="FigureTitle"/>
        <w:rPr>
          <w:lang w:eastAsia="en-AU"/>
        </w:rPr>
      </w:pPr>
      <w:bookmarkStart w:id="76" w:name="_Ref14946647"/>
      <w:r>
        <w:t xml:space="preserve">Figure </w:t>
      </w:r>
      <w:r w:rsidR="00C33647">
        <w:rPr>
          <w:noProof/>
        </w:rPr>
        <w:fldChar w:fldCharType="begin"/>
      </w:r>
      <w:r w:rsidR="00C33647">
        <w:rPr>
          <w:noProof/>
        </w:rPr>
        <w:instrText xml:space="preserve"> SEQ Figure \* ARABIC </w:instrText>
      </w:r>
      <w:r w:rsidR="00C33647">
        <w:rPr>
          <w:noProof/>
        </w:rPr>
        <w:fldChar w:fldCharType="separate"/>
      </w:r>
      <w:r w:rsidR="003627CD">
        <w:rPr>
          <w:noProof/>
        </w:rPr>
        <w:t>2</w:t>
      </w:r>
      <w:r w:rsidR="00C33647">
        <w:rPr>
          <w:noProof/>
        </w:rPr>
        <w:fldChar w:fldCharType="end"/>
      </w:r>
      <w:bookmarkEnd w:id="76"/>
      <w:r>
        <w:t>: Study MEE103219: changes in blood eosinophil level</w:t>
      </w:r>
    </w:p>
    <w:p w14:paraId="11D59CC7" w14:textId="77777777" w:rsidR="00F72401" w:rsidRDefault="00F72401" w:rsidP="00A8334D">
      <w:pPr>
        <w:spacing w:before="0" w:after="0" w:line="240" w:lineRule="auto"/>
        <w:rPr>
          <w:rFonts w:asciiTheme="minorHAnsi" w:hAnsiTheme="minorHAnsi"/>
          <w:lang w:eastAsia="en-AU"/>
        </w:rPr>
      </w:pPr>
      <w:r>
        <w:rPr>
          <w:noProof/>
          <w:lang w:eastAsia="en-AU"/>
        </w:rPr>
        <w:drawing>
          <wp:inline distT="0" distB="0" distL="0" distR="0" wp14:anchorId="1337A579" wp14:editId="58D3D33F">
            <wp:extent cx="5413248" cy="2043848"/>
            <wp:effectExtent l="0" t="0" r="0" b="0"/>
            <wp:docPr id="10" name="Picture 10" descr="Study MEE103219: changes in blood eosinophil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18102" cy="2045681"/>
                    </a:xfrm>
                    <a:prstGeom prst="rect">
                      <a:avLst/>
                    </a:prstGeom>
                  </pic:spPr>
                </pic:pic>
              </a:graphicData>
            </a:graphic>
          </wp:inline>
        </w:drawing>
      </w:r>
    </w:p>
    <w:p w14:paraId="4AEC319F" w14:textId="77777777" w:rsidR="00624472" w:rsidRDefault="00A8334D" w:rsidP="00A8334D">
      <w:pPr>
        <w:spacing w:before="0" w:after="0" w:line="240" w:lineRule="auto"/>
        <w:rPr>
          <w:rFonts w:asciiTheme="minorHAnsi" w:eastAsia="Times New Roman" w:hAnsiTheme="minorHAnsi"/>
          <w:lang w:eastAsia="en-AU"/>
        </w:rPr>
      </w:pPr>
      <w:r w:rsidRPr="00462FF9">
        <w:rPr>
          <w:rFonts w:asciiTheme="minorHAnsi" w:hAnsiTheme="minorHAnsi"/>
          <w:lang w:eastAsia="en-AU"/>
        </w:rPr>
        <w:t xml:space="preserve">The absence of a dose -response or exposure-response relationship between </w:t>
      </w:r>
      <w:proofErr w:type="spellStart"/>
      <w:r w:rsidRPr="00462FF9">
        <w:rPr>
          <w:rFonts w:asciiTheme="minorHAnsi" w:hAnsiTheme="minorHAnsi"/>
          <w:lang w:eastAsia="en-AU"/>
        </w:rPr>
        <w:t>mepolizumab</w:t>
      </w:r>
      <w:proofErr w:type="spellEnd"/>
      <w:r w:rsidRPr="00462FF9">
        <w:rPr>
          <w:rFonts w:asciiTheme="minorHAnsi" w:hAnsiTheme="minorHAnsi"/>
          <w:lang w:eastAsia="en-AU"/>
        </w:rPr>
        <w:t xml:space="preserve"> and PD variables </w:t>
      </w:r>
      <w:r>
        <w:rPr>
          <w:rFonts w:asciiTheme="minorHAnsi" w:hAnsiTheme="minorHAnsi"/>
          <w:lang w:eastAsia="en-AU"/>
        </w:rPr>
        <w:t>was</w:t>
      </w:r>
      <w:r w:rsidRPr="00462FF9">
        <w:rPr>
          <w:rFonts w:asciiTheme="minorHAnsi" w:hAnsiTheme="minorHAnsi"/>
          <w:lang w:eastAsia="en-AU"/>
        </w:rPr>
        <w:t xml:space="preserve"> described in the FDA’s Clinical Pharmacology Review for the asthma submission in 2014.</w:t>
      </w:r>
      <w:r>
        <w:rPr>
          <w:rStyle w:val="FootnoteReference"/>
          <w:rFonts w:asciiTheme="minorHAnsi" w:hAnsiTheme="minorHAnsi"/>
          <w:lang w:eastAsia="en-AU"/>
        </w:rPr>
        <w:footnoteReference w:id="30"/>
      </w:r>
      <w:r w:rsidRPr="00462FF9">
        <w:rPr>
          <w:rFonts w:asciiTheme="minorHAnsi" w:hAnsiTheme="minorHAnsi"/>
          <w:lang w:eastAsia="en-AU"/>
        </w:rPr>
        <w:t xml:space="preserve"> This review reports that there was also a flat dose- and/or exposure response-relationship for the clinical PD measures of </w:t>
      </w:r>
      <w:r w:rsidR="00BC10B1">
        <w:t>f</w:t>
      </w:r>
      <w:r w:rsidR="00BC10B1" w:rsidRPr="00AF7B2C">
        <w:t>orced expiratory volume in one second</w:t>
      </w:r>
      <w:r w:rsidR="00BC10B1" w:rsidRPr="00462FF9">
        <w:rPr>
          <w:rFonts w:asciiTheme="minorHAnsi" w:eastAsia="Times New Roman" w:hAnsiTheme="minorHAnsi"/>
          <w:lang w:eastAsia="en-AU"/>
        </w:rPr>
        <w:t xml:space="preserve"> </w:t>
      </w:r>
      <w:r w:rsidR="00BC10B1">
        <w:rPr>
          <w:rFonts w:asciiTheme="minorHAnsi" w:eastAsia="Times New Roman" w:hAnsiTheme="minorHAnsi"/>
          <w:lang w:eastAsia="en-AU"/>
        </w:rPr>
        <w:t>(</w:t>
      </w:r>
      <w:r w:rsidRPr="00462FF9">
        <w:rPr>
          <w:rFonts w:asciiTheme="minorHAnsi" w:eastAsia="Times New Roman" w:hAnsiTheme="minorHAnsi"/>
          <w:lang w:eastAsia="en-AU"/>
        </w:rPr>
        <w:t>FEV</w:t>
      </w:r>
      <w:r w:rsidRPr="00BC10B1">
        <w:rPr>
          <w:rFonts w:asciiTheme="minorHAnsi" w:eastAsia="Times New Roman" w:hAnsiTheme="minorHAnsi"/>
          <w:vertAlign w:val="subscript"/>
          <w:lang w:eastAsia="en-AU"/>
        </w:rPr>
        <w:t>1</w:t>
      </w:r>
      <w:r w:rsidR="00BC10B1">
        <w:rPr>
          <w:rFonts w:asciiTheme="minorHAnsi" w:eastAsia="Times New Roman" w:hAnsiTheme="minorHAnsi"/>
          <w:lang w:eastAsia="en-AU"/>
        </w:rPr>
        <w:t>)</w:t>
      </w:r>
      <w:r w:rsidRPr="00462FF9">
        <w:rPr>
          <w:rFonts w:asciiTheme="minorHAnsi" w:eastAsia="Times New Roman" w:hAnsiTheme="minorHAnsi"/>
          <w:lang w:eastAsia="en-AU"/>
        </w:rPr>
        <w:t xml:space="preserve"> response, asthma exacerbation rate, time to first exacerbation and frequency of exacerbation</w:t>
      </w:r>
      <w:r w:rsidR="00624472">
        <w:rPr>
          <w:rFonts w:asciiTheme="minorHAnsi" w:eastAsia="Times New Roman" w:hAnsiTheme="minorHAnsi"/>
          <w:lang w:eastAsia="en-AU"/>
        </w:rPr>
        <w:t>.</w:t>
      </w:r>
    </w:p>
    <w:p w14:paraId="62387B80" w14:textId="77777777" w:rsidR="00A8334D" w:rsidRDefault="00A8334D" w:rsidP="00A8334D">
      <w:r>
        <w:rPr>
          <w:rFonts w:asciiTheme="minorHAnsi" w:hAnsiTheme="minorHAnsi"/>
        </w:rPr>
        <w:t xml:space="preserve">The pattern of change in the total IL-level has been reported previously. </w:t>
      </w:r>
      <w:r>
        <w:t xml:space="preserve">The increase in total serum IL-5 level seen with </w:t>
      </w:r>
      <w:proofErr w:type="spellStart"/>
      <w:r>
        <w:t>mepolizumab</w:t>
      </w:r>
      <w:proofErr w:type="spellEnd"/>
      <w:r>
        <w:t xml:space="preserve"> treatment has been attributed to the formation of a long-lived neutralised mepolizumab-IL-5 complex rather than active IL-5.</w:t>
      </w:r>
      <w:r>
        <w:rPr>
          <w:rStyle w:val="FootnoteReference"/>
          <w:lang w:eastAsia="ja-JP"/>
        </w:rPr>
        <w:footnoteReference w:id="31"/>
      </w:r>
    </w:p>
    <w:p w14:paraId="2BE6B611" w14:textId="77777777" w:rsidR="00A8334D" w:rsidRDefault="00A8334D" w:rsidP="00A8334D">
      <w:pPr>
        <w:pStyle w:val="Heading5"/>
      </w:pPr>
      <w:r>
        <w:t>Baseline eosinophil count and efficacy</w:t>
      </w:r>
    </w:p>
    <w:p w14:paraId="4CE3787A" w14:textId="5C54E739" w:rsidR="00624472" w:rsidRDefault="00A8334D" w:rsidP="00A8334D">
      <w:r>
        <w:rPr>
          <w:rFonts w:asciiTheme="minorHAnsi" w:hAnsiTheme="minorHAnsi"/>
          <w:lang w:eastAsia="en-AU"/>
        </w:rPr>
        <w:t>Mean b</w:t>
      </w:r>
      <w:r w:rsidRPr="00022B56">
        <w:rPr>
          <w:rFonts w:asciiTheme="minorHAnsi" w:hAnsiTheme="minorHAnsi"/>
          <w:lang w:eastAsia="en-AU"/>
        </w:rPr>
        <w:t xml:space="preserve">aseline blood eosinophil levels </w:t>
      </w:r>
      <w:r>
        <w:rPr>
          <w:rFonts w:asciiTheme="minorHAnsi" w:hAnsiTheme="minorHAnsi"/>
          <w:lang w:eastAsia="en-AU"/>
        </w:rPr>
        <w:t xml:space="preserve">appear to be similar </w:t>
      </w:r>
      <w:r w:rsidRPr="00022B56">
        <w:rPr>
          <w:rFonts w:asciiTheme="minorHAnsi" w:hAnsiTheme="minorHAnsi"/>
          <w:lang w:eastAsia="en-AU"/>
        </w:rPr>
        <w:t>across disease conditions</w:t>
      </w:r>
      <w:r>
        <w:rPr>
          <w:rFonts w:asciiTheme="minorHAnsi" w:hAnsiTheme="minorHAnsi"/>
          <w:lang w:eastAsia="en-AU"/>
        </w:rPr>
        <w:t xml:space="preserve"> in the sponsor’s clinical studies</w:t>
      </w:r>
      <w:r w:rsidRPr="00022B56">
        <w:rPr>
          <w:rFonts w:asciiTheme="minorHAnsi" w:hAnsiTheme="minorHAnsi"/>
          <w:lang w:eastAsia="en-AU"/>
        </w:rPr>
        <w:t>.</w:t>
      </w:r>
      <w:r w:rsidR="00BB389D" w:rsidRPr="00BB389D">
        <w:t xml:space="preserve"> </w:t>
      </w:r>
      <w:r w:rsidR="00BB389D" w:rsidRPr="00BB389D">
        <w:rPr>
          <w:rFonts w:asciiTheme="minorHAnsi" w:hAnsiTheme="minorHAnsi"/>
          <w:lang w:eastAsia="en-AU"/>
        </w:rPr>
        <w:t xml:space="preserve">Report 2015N238375_00: The Effect of </w:t>
      </w:r>
      <w:proofErr w:type="spellStart"/>
      <w:r w:rsidR="00BB389D" w:rsidRPr="00BB389D">
        <w:rPr>
          <w:rFonts w:asciiTheme="minorHAnsi" w:hAnsiTheme="minorHAnsi"/>
          <w:lang w:eastAsia="en-AU"/>
        </w:rPr>
        <w:t>Mepolizumab</w:t>
      </w:r>
      <w:proofErr w:type="spellEnd"/>
      <w:r w:rsidR="00BB389D" w:rsidRPr="00BB389D">
        <w:rPr>
          <w:rFonts w:asciiTheme="minorHAnsi" w:hAnsiTheme="minorHAnsi"/>
          <w:lang w:eastAsia="en-AU"/>
        </w:rPr>
        <w:t xml:space="preserve"> on Blood </w:t>
      </w:r>
      <w:r w:rsidR="00BB389D" w:rsidRPr="00BB389D">
        <w:rPr>
          <w:rFonts w:asciiTheme="minorHAnsi" w:hAnsiTheme="minorHAnsi"/>
          <w:lang w:eastAsia="en-AU"/>
        </w:rPr>
        <w:lastRenderedPageBreak/>
        <w:t>Eosinophil Count - A Dose Response Meta-analysis</w:t>
      </w:r>
      <w:r w:rsidRPr="00BB389D">
        <w:t xml:space="preserve"> </w:t>
      </w:r>
      <w:r>
        <w:rPr>
          <w:rFonts w:asciiTheme="minorHAnsi" w:hAnsiTheme="minorHAnsi"/>
          <w:lang w:eastAsia="en-AU"/>
        </w:rPr>
        <w:t>states</w:t>
      </w:r>
      <w:r w:rsidRPr="00022B56">
        <w:rPr>
          <w:rFonts w:asciiTheme="minorHAnsi" w:hAnsiTheme="minorHAnsi"/>
          <w:lang w:eastAsia="en-AU"/>
        </w:rPr>
        <w:t xml:space="preserve"> that </w:t>
      </w:r>
      <w:r w:rsidRPr="00022B56">
        <w:rPr>
          <w:rFonts w:asciiTheme="minorHAnsi" w:eastAsiaTheme="minorHAnsi" w:hAnsiTheme="minorHAnsi" w:cs="Calibri,Regular"/>
        </w:rPr>
        <w:t>similar baseline blood eosinophil l</w:t>
      </w:r>
      <w:r w:rsidR="000626F6">
        <w:rPr>
          <w:rFonts w:asciiTheme="minorHAnsi" w:eastAsiaTheme="minorHAnsi" w:hAnsiTheme="minorHAnsi" w:cs="Calibri,Regular"/>
        </w:rPr>
        <w:t>evels were recorded in the HES S</w:t>
      </w:r>
      <w:r w:rsidRPr="00022B56">
        <w:rPr>
          <w:rFonts w:asciiTheme="minorHAnsi" w:eastAsiaTheme="minorHAnsi" w:hAnsiTheme="minorHAnsi" w:cs="Calibri,Regular"/>
        </w:rPr>
        <w:t xml:space="preserve">tudy MHE100185 and across the asthma studies. </w:t>
      </w:r>
      <w:r>
        <w:rPr>
          <w:rFonts w:asciiTheme="minorHAnsi" w:eastAsiaTheme="minorHAnsi" w:hAnsiTheme="minorHAnsi" w:cs="Calibri,Regular"/>
        </w:rPr>
        <w:t>The geometric mean baseline eosinophil count in patien</w:t>
      </w:r>
      <w:r w:rsidR="00233A22">
        <w:rPr>
          <w:rFonts w:asciiTheme="minorHAnsi" w:eastAsiaTheme="minorHAnsi" w:hAnsiTheme="minorHAnsi" w:cs="Calibri,Regular"/>
        </w:rPr>
        <w:t xml:space="preserve">ts receiving </w:t>
      </w:r>
      <w:proofErr w:type="spellStart"/>
      <w:r w:rsidR="00233A22">
        <w:rPr>
          <w:rFonts w:asciiTheme="minorHAnsi" w:eastAsiaTheme="minorHAnsi" w:hAnsiTheme="minorHAnsi" w:cs="Calibri,Regular"/>
        </w:rPr>
        <w:t>mepolizumab</w:t>
      </w:r>
      <w:proofErr w:type="spellEnd"/>
      <w:r w:rsidR="00233A22">
        <w:rPr>
          <w:rFonts w:asciiTheme="minorHAnsi" w:eastAsiaTheme="minorHAnsi" w:hAnsiTheme="minorHAnsi" w:cs="Calibri,Regular"/>
        </w:rPr>
        <w:t xml:space="preserve"> in the P</w:t>
      </w:r>
      <w:r>
        <w:rPr>
          <w:rFonts w:asciiTheme="minorHAnsi" w:eastAsiaTheme="minorHAnsi" w:hAnsiTheme="minorHAnsi" w:cs="Calibri,Regular"/>
        </w:rPr>
        <w:t>hase III asthma study (</w:t>
      </w:r>
      <w:r>
        <w:rPr>
          <w:rFonts w:asciiTheme="minorHAnsi" w:hAnsiTheme="minorHAnsi"/>
          <w:lang w:eastAsia="en-AU"/>
        </w:rPr>
        <w:t>Study MEA115588) was 0.2</w:t>
      </w:r>
      <w:r w:rsidR="00BE0559">
        <w:rPr>
          <w:rFonts w:asciiTheme="minorHAnsi" w:hAnsiTheme="minorHAnsi"/>
          <w:lang w:eastAsia="en-AU"/>
        </w:rPr>
        <w:t>9</w:t>
      </w:r>
      <w:r w:rsidR="00233A22">
        <w:rPr>
          <w:rFonts w:asciiTheme="minorHAnsi" w:hAnsiTheme="minorHAnsi"/>
          <w:lang w:eastAsia="en-AU"/>
        </w:rPr>
        <w:t xml:space="preserve"> </w:t>
      </w:r>
      <w:r>
        <w:rPr>
          <w:rFonts w:asciiTheme="minorHAnsi" w:hAnsiTheme="minorHAnsi"/>
          <w:lang w:eastAsia="en-AU"/>
        </w:rPr>
        <w:t>G</w:t>
      </w:r>
      <w:r w:rsidR="00BE0559">
        <w:rPr>
          <w:rFonts w:asciiTheme="minorHAnsi" w:hAnsiTheme="minorHAnsi"/>
          <w:lang w:eastAsia="en-AU"/>
        </w:rPr>
        <w:t>I</w:t>
      </w:r>
      <w:r>
        <w:rPr>
          <w:rFonts w:asciiTheme="minorHAnsi" w:hAnsiTheme="minorHAnsi"/>
          <w:lang w:eastAsia="en-AU"/>
        </w:rPr>
        <w:t>/L</w:t>
      </w:r>
      <w:r>
        <w:t xml:space="preserve">. The geometric mean </w:t>
      </w:r>
      <w:r w:rsidRPr="00022B56">
        <w:rPr>
          <w:rFonts w:asciiTheme="minorHAnsi" w:eastAsiaTheme="minorHAnsi" w:hAnsiTheme="minorHAnsi" w:cs="Calibri,Regular"/>
        </w:rPr>
        <w:t>baseline blood eosinophil levels</w:t>
      </w:r>
      <w:r>
        <w:rPr>
          <w:rFonts w:asciiTheme="minorHAnsi" w:eastAsiaTheme="minorHAnsi" w:hAnsiTheme="minorHAnsi" w:cs="Calibri,Regular"/>
        </w:rPr>
        <w:t xml:space="preserve"> in patient</w:t>
      </w:r>
      <w:r w:rsidR="00233A22">
        <w:rPr>
          <w:rFonts w:asciiTheme="minorHAnsi" w:eastAsiaTheme="minorHAnsi" w:hAnsiTheme="minorHAnsi" w:cs="Calibri,Regular"/>
        </w:rPr>
        <w:t xml:space="preserve">s receiving </w:t>
      </w:r>
      <w:proofErr w:type="spellStart"/>
      <w:r w:rsidR="00233A22">
        <w:rPr>
          <w:rFonts w:asciiTheme="minorHAnsi" w:eastAsiaTheme="minorHAnsi" w:hAnsiTheme="minorHAnsi" w:cs="Calibri,Regular"/>
        </w:rPr>
        <w:t>mepolizumab</w:t>
      </w:r>
      <w:proofErr w:type="spellEnd"/>
      <w:r w:rsidR="00233A22">
        <w:rPr>
          <w:rFonts w:asciiTheme="minorHAnsi" w:eastAsiaTheme="minorHAnsi" w:hAnsiTheme="minorHAnsi" w:cs="Calibri,Regular"/>
        </w:rPr>
        <w:t xml:space="preserve"> in the P</w:t>
      </w:r>
      <w:r>
        <w:rPr>
          <w:rFonts w:asciiTheme="minorHAnsi" w:eastAsiaTheme="minorHAnsi" w:hAnsiTheme="minorHAnsi" w:cs="Calibri,Regular"/>
        </w:rPr>
        <w:t>hase III EGPA study was 0.17</w:t>
      </w:r>
      <w:r w:rsidR="00BE0559">
        <w:rPr>
          <w:rFonts w:asciiTheme="minorHAnsi" w:eastAsiaTheme="minorHAnsi" w:hAnsiTheme="minorHAnsi" w:cs="Calibri,Regular"/>
        </w:rPr>
        <w:t>7</w:t>
      </w:r>
      <w:r>
        <w:rPr>
          <w:rFonts w:asciiTheme="minorHAnsi" w:eastAsiaTheme="minorHAnsi" w:hAnsiTheme="minorHAnsi" w:cs="Calibri,Regular"/>
        </w:rPr>
        <w:t xml:space="preserve"> G</w:t>
      </w:r>
      <w:r w:rsidR="00BE0559">
        <w:rPr>
          <w:rFonts w:asciiTheme="minorHAnsi" w:eastAsiaTheme="minorHAnsi" w:hAnsiTheme="minorHAnsi" w:cs="Calibri,Regular"/>
        </w:rPr>
        <w:t>I</w:t>
      </w:r>
      <w:r>
        <w:rPr>
          <w:rFonts w:asciiTheme="minorHAnsi" w:eastAsiaTheme="minorHAnsi" w:hAnsiTheme="minorHAnsi" w:cs="Calibri,Regular"/>
        </w:rPr>
        <w:t>/L</w:t>
      </w:r>
      <w:r>
        <w:t>. This seems counter-intuitive given that diagnostic criteria for HES and EGPA require blood eosinophil &gt;</w:t>
      </w:r>
      <w:r w:rsidR="00233A22">
        <w:t> </w:t>
      </w:r>
      <w:r>
        <w:t>1000 or 1500 cells/</w:t>
      </w:r>
      <w:r w:rsidRPr="00AD7A16">
        <w:t>µL</w:t>
      </w:r>
      <w:r>
        <w:t xml:space="preserve"> but reflect different study inclusion criteria and oral corticosteroid use. </w:t>
      </w:r>
      <w:r>
        <w:rPr>
          <w:rFonts w:asciiTheme="minorHAnsi" w:eastAsiaTheme="minorHAnsi" w:hAnsiTheme="minorHAnsi" w:cs="Calibri,Regular"/>
        </w:rPr>
        <w:t xml:space="preserve">In general, the inclusion criteria for the asthma studies specified a baseline eosinophil level of </w:t>
      </w:r>
      <w:r w:rsidRPr="00AD7A16">
        <w:t>≥</w:t>
      </w:r>
      <w:r w:rsidR="00233A22">
        <w:t> </w:t>
      </w:r>
      <w:r w:rsidRPr="00AD7A16">
        <w:t>150</w:t>
      </w:r>
      <w:r w:rsidR="00233A22">
        <w:t xml:space="preserve"> to </w:t>
      </w:r>
      <w:r>
        <w:t>200 cells</w:t>
      </w:r>
      <w:r w:rsidRPr="00AD7A16">
        <w:t xml:space="preserve">/µL </w:t>
      </w:r>
      <w:r>
        <w:t xml:space="preserve">(or </w:t>
      </w:r>
      <w:r w:rsidRPr="00AD7A16">
        <w:t>≥</w:t>
      </w:r>
      <w:r>
        <w:t xml:space="preserve"> </w:t>
      </w:r>
      <w:r w:rsidRPr="00AD7A16">
        <w:t>300/µL in the previous 12 months</w:t>
      </w:r>
      <w:r>
        <w:t>) whereas the inclusion criteria for the EGPA study specified an historical elevation in eosinophil count (&gt;</w:t>
      </w:r>
      <w:r w:rsidR="00233A22">
        <w:t xml:space="preserve"> </w:t>
      </w:r>
      <w:r>
        <w:t>1000 cells</w:t>
      </w:r>
      <w:r w:rsidRPr="00AD7A16">
        <w:t>/µL</w:t>
      </w:r>
      <w:r>
        <w:t xml:space="preserve">) but no specific level </w:t>
      </w:r>
      <w:r w:rsidR="00126A5E">
        <w:t>at Baseline</w:t>
      </w:r>
      <w:r>
        <w:t>. All patients in the EGPA study were receiving a daily dose of ≥ 7.5</w:t>
      </w:r>
      <w:r w:rsidR="000C068C">
        <w:t xml:space="preserve"> </w:t>
      </w:r>
      <w:r>
        <w:t xml:space="preserve">mg prednisolone equivalent </w:t>
      </w:r>
      <w:r w:rsidR="00126A5E">
        <w:t>at Baseline</w:t>
      </w:r>
      <w:r>
        <w:t>; patients in the asthma studies were receiving inhaled corticosteroids ± OCS</w:t>
      </w:r>
      <w:r w:rsidR="00624472">
        <w:t>.</w:t>
      </w:r>
    </w:p>
    <w:p w14:paraId="4D91B30A" w14:textId="77777777" w:rsidR="00A8334D" w:rsidRPr="004956EA" w:rsidRDefault="00A8334D" w:rsidP="00A8334D">
      <w:r>
        <w:rPr>
          <w:rFonts w:asciiTheme="minorHAnsi" w:hAnsiTheme="minorHAnsi"/>
          <w:lang w:eastAsia="en-AU"/>
        </w:rPr>
        <w:t xml:space="preserve">Baseline eosinophil count may be predictive of </w:t>
      </w:r>
      <w:proofErr w:type="spellStart"/>
      <w:r>
        <w:rPr>
          <w:rFonts w:asciiTheme="minorHAnsi" w:hAnsiTheme="minorHAnsi"/>
          <w:lang w:eastAsia="en-AU"/>
        </w:rPr>
        <w:t>mepolizumab</w:t>
      </w:r>
      <w:proofErr w:type="spellEnd"/>
      <w:r>
        <w:rPr>
          <w:rFonts w:asciiTheme="minorHAnsi" w:hAnsiTheme="minorHAnsi"/>
          <w:lang w:eastAsia="en-AU"/>
        </w:rPr>
        <w:t xml:space="preserve"> efficacy. According to the </w:t>
      </w:r>
      <w:r w:rsidR="00233A22">
        <w:rPr>
          <w:rFonts w:asciiTheme="minorHAnsi" w:hAnsiTheme="minorHAnsi"/>
          <w:lang w:eastAsia="en-AU"/>
        </w:rPr>
        <w:t>clinical evaluation report</w:t>
      </w:r>
      <w:r>
        <w:rPr>
          <w:rFonts w:asciiTheme="minorHAnsi" w:hAnsiTheme="minorHAnsi"/>
          <w:lang w:eastAsia="en-AU"/>
        </w:rPr>
        <w:t xml:space="preserve"> extract for the </w:t>
      </w:r>
      <w:r w:rsidR="00233A22">
        <w:rPr>
          <w:rFonts w:asciiTheme="minorHAnsi" w:hAnsiTheme="minorHAnsi"/>
          <w:lang w:eastAsia="en-AU"/>
        </w:rPr>
        <w:t>new biological entity</w:t>
      </w:r>
      <w:r>
        <w:rPr>
          <w:rFonts w:asciiTheme="minorHAnsi" w:hAnsiTheme="minorHAnsi"/>
          <w:lang w:eastAsia="en-AU"/>
        </w:rPr>
        <w:t xml:space="preserve"> submission, the </w:t>
      </w:r>
      <w:r w:rsidR="00233A22">
        <w:rPr>
          <w:rFonts w:asciiTheme="minorHAnsi" w:hAnsiTheme="minorHAnsi"/>
          <w:lang w:eastAsia="en-AU"/>
        </w:rPr>
        <w:t>case study report for a P</w:t>
      </w:r>
      <w:r>
        <w:rPr>
          <w:rFonts w:asciiTheme="minorHAnsi" w:hAnsiTheme="minorHAnsi"/>
          <w:lang w:eastAsia="en-AU"/>
        </w:rPr>
        <w:t xml:space="preserve">hase III severe asthma study (Study MEA115588) states that </w:t>
      </w:r>
      <w:r w:rsidRPr="009525DB">
        <w:t xml:space="preserve">patients </w:t>
      </w:r>
      <w:r>
        <w:t>with baseline blood eosinophil count &lt;</w:t>
      </w:r>
      <w:r w:rsidR="00233A22">
        <w:t xml:space="preserve"> </w:t>
      </w:r>
      <w:r w:rsidRPr="009525DB">
        <w:t xml:space="preserve">150 cells/µL </w:t>
      </w:r>
      <w:r w:rsidR="00126A5E">
        <w:t>at Baseline</w:t>
      </w:r>
      <w:r w:rsidRPr="009525DB">
        <w:t xml:space="preserve"> </w:t>
      </w:r>
      <w:r w:rsidRPr="00233A22">
        <w:t xml:space="preserve">‘had a reduced positive response to </w:t>
      </w:r>
      <w:proofErr w:type="spellStart"/>
      <w:r w:rsidRPr="00233A22">
        <w:t>mepolizumab</w:t>
      </w:r>
      <w:proofErr w:type="spellEnd"/>
      <w:r w:rsidRPr="00233A22">
        <w:t xml:space="preserve"> in terms of exacerbation frequency’</w:t>
      </w:r>
      <w:r>
        <w:t>, although this was not considered convincing by the evaluator of that su</w:t>
      </w:r>
      <w:r w:rsidR="00233A22">
        <w:t xml:space="preserve">bmission. The pre-specified sub </w:t>
      </w:r>
      <w:r>
        <w:t>group analysis in the main EGPA study also suggests that patients with baseline eosinophil count &lt;</w:t>
      </w:r>
      <w:r w:rsidR="00233A22">
        <w:t xml:space="preserve"> </w:t>
      </w:r>
      <w:r w:rsidRPr="009525DB">
        <w:t xml:space="preserve">150 cells/µL </w:t>
      </w:r>
      <w:r>
        <w:t xml:space="preserve">experienced less benefit with </w:t>
      </w:r>
      <w:proofErr w:type="spellStart"/>
      <w:r w:rsidRPr="004956EA">
        <w:t>mepolizumab</w:t>
      </w:r>
      <w:proofErr w:type="spellEnd"/>
      <w:r w:rsidRPr="004956EA">
        <w:t xml:space="preserve">. Differing efficacy according to baseline eosinophil count appears </w:t>
      </w:r>
      <w:r w:rsidR="00233A22" w:rsidRPr="004956EA">
        <w:t xml:space="preserve">to be a class effect for IL-5 </w:t>
      </w:r>
      <w:proofErr w:type="spellStart"/>
      <w:r w:rsidR="00233A22" w:rsidRPr="004956EA">
        <w:t>mA</w:t>
      </w:r>
      <w:r w:rsidRPr="004956EA">
        <w:t>bs</w:t>
      </w:r>
      <w:proofErr w:type="spellEnd"/>
      <w:r w:rsidRPr="004956EA">
        <w:t>:</w:t>
      </w:r>
    </w:p>
    <w:p w14:paraId="698E74DA" w14:textId="77777777" w:rsidR="00A8334D" w:rsidRPr="004956EA" w:rsidRDefault="00A8334D" w:rsidP="00BB389D">
      <w:pPr>
        <w:pStyle w:val="ListBullet"/>
      </w:pPr>
      <w:proofErr w:type="spellStart"/>
      <w:r w:rsidRPr="004956EA">
        <w:t>Reslizumab</w:t>
      </w:r>
      <w:proofErr w:type="spellEnd"/>
      <w:r w:rsidRPr="004956EA">
        <w:t>: The TGA approved indication specifies a blood eosinophil cut</w:t>
      </w:r>
      <w:r w:rsidR="004956EA">
        <w:t xml:space="preserve"> off level.</w:t>
      </w:r>
    </w:p>
    <w:p w14:paraId="1925B074" w14:textId="481FEBAD" w:rsidR="00A8334D" w:rsidRPr="004956EA" w:rsidRDefault="00A8334D" w:rsidP="00BB389D">
      <w:pPr>
        <w:pStyle w:val="ListBullet2"/>
        <w:rPr>
          <w:lang w:eastAsia="en-AU"/>
        </w:rPr>
      </w:pPr>
      <w:proofErr w:type="spellStart"/>
      <w:r w:rsidRPr="004956EA">
        <w:rPr>
          <w:rFonts w:eastAsiaTheme="minorHAnsi" w:cs="Calibri,Regular"/>
        </w:rPr>
        <w:t>Reslizumab</w:t>
      </w:r>
      <w:proofErr w:type="spellEnd"/>
      <w:r w:rsidRPr="004956EA">
        <w:rPr>
          <w:rFonts w:eastAsiaTheme="minorHAnsi" w:cs="Calibri,Regular"/>
        </w:rPr>
        <w:t xml:space="preserve"> (</w:t>
      </w:r>
      <w:proofErr w:type="spellStart"/>
      <w:r w:rsidR="00F528C9" w:rsidRPr="004956EA">
        <w:rPr>
          <w:rFonts w:eastAsiaTheme="minorHAnsi" w:cs="Calibri,Regular"/>
        </w:rPr>
        <w:t>Cinqaero</w:t>
      </w:r>
      <w:proofErr w:type="spellEnd"/>
      <w:r w:rsidRPr="004956EA">
        <w:rPr>
          <w:rFonts w:eastAsiaTheme="minorHAnsi" w:cs="Calibri,Regular"/>
        </w:rPr>
        <w:t xml:space="preserve">): </w:t>
      </w:r>
      <w:proofErr w:type="spellStart"/>
      <w:r w:rsidR="00F528C9" w:rsidRPr="004956EA">
        <w:rPr>
          <w:lang w:eastAsia="en-AU"/>
        </w:rPr>
        <w:t>Cinqaero</w:t>
      </w:r>
      <w:proofErr w:type="spellEnd"/>
      <w:r w:rsidRPr="004956EA">
        <w:rPr>
          <w:lang w:eastAsia="en-AU"/>
        </w:rPr>
        <w:t xml:space="preserve"> is indicated as add-on therapy in adult patients with severe eosinophilic asthma (blood eosinophil count greater than or equal to 400 cells/</w:t>
      </w:r>
      <w:r w:rsidR="000C068C">
        <w:rPr>
          <w:lang w:eastAsia="en-AU"/>
        </w:rPr>
        <w:t>µ</w:t>
      </w:r>
      <w:r w:rsidRPr="004956EA">
        <w:rPr>
          <w:lang w:eastAsia="en-AU"/>
        </w:rPr>
        <w:t xml:space="preserve">L) (see </w:t>
      </w:r>
      <w:r w:rsidR="000C068C" w:rsidRPr="004956EA">
        <w:rPr>
          <w:lang w:eastAsia="en-AU"/>
        </w:rPr>
        <w:t>Clinical Trials</w:t>
      </w:r>
      <w:r w:rsidRPr="004956EA">
        <w:rPr>
          <w:lang w:eastAsia="en-AU"/>
        </w:rPr>
        <w:t>)</w:t>
      </w:r>
      <w:r w:rsidRPr="004956EA">
        <w:rPr>
          <w:rStyle w:val="FootnoteReference"/>
          <w:rFonts w:asciiTheme="minorHAnsi" w:eastAsia="Times New Roman" w:hAnsiTheme="minorHAnsi" w:cs="Arial"/>
          <w:i/>
          <w:lang w:eastAsia="en-AU"/>
        </w:rPr>
        <w:footnoteReference w:id="32"/>
      </w:r>
      <w:r w:rsidRPr="004956EA">
        <w:rPr>
          <w:lang w:eastAsia="en-AU"/>
        </w:rPr>
        <w:t>.</w:t>
      </w:r>
    </w:p>
    <w:p w14:paraId="55EF2323" w14:textId="0FCBBE43" w:rsidR="00A8334D" w:rsidRPr="004956EA" w:rsidRDefault="00A8334D" w:rsidP="00BB389D">
      <w:pPr>
        <w:pStyle w:val="ListBullet"/>
        <w:rPr>
          <w:lang w:eastAsia="en-AU"/>
        </w:rPr>
      </w:pPr>
      <w:proofErr w:type="spellStart"/>
      <w:r w:rsidRPr="004956EA">
        <w:t>Benralizumab</w:t>
      </w:r>
      <w:proofErr w:type="spellEnd"/>
      <w:r w:rsidRPr="004956EA">
        <w:t>: The FDA approved label</w:t>
      </w:r>
      <w:r w:rsidRPr="004956EA">
        <w:rPr>
          <w:rStyle w:val="FootnoteReference"/>
          <w:rFonts w:asciiTheme="minorHAnsi" w:hAnsiTheme="minorHAnsi"/>
        </w:rPr>
        <w:footnoteReference w:id="33"/>
      </w:r>
      <w:r w:rsidRPr="004956EA">
        <w:t xml:space="preserve"> notes that </w:t>
      </w:r>
      <w:r w:rsidRPr="004956EA">
        <w:rPr>
          <w:lang w:eastAsia="en-AU"/>
        </w:rPr>
        <w:t>patients with a baseline blood eosinophil count ≥ 300 cells/</w:t>
      </w:r>
      <w:r w:rsidR="000C068C">
        <w:rPr>
          <w:lang w:eastAsia="en-AU"/>
        </w:rPr>
        <w:t>µ</w:t>
      </w:r>
      <w:r w:rsidRPr="004956EA">
        <w:rPr>
          <w:lang w:eastAsia="en-AU"/>
        </w:rPr>
        <w:t>L showed a numerically greater response in asthma exacerbation reduction than those with counts &lt; 300 cells/</w:t>
      </w:r>
      <w:r w:rsidR="000C068C">
        <w:rPr>
          <w:lang w:eastAsia="en-AU"/>
        </w:rPr>
        <w:t>µ</w:t>
      </w:r>
      <w:r w:rsidRPr="004956EA">
        <w:rPr>
          <w:lang w:eastAsia="en-AU"/>
        </w:rPr>
        <w:t>L.</w:t>
      </w:r>
    </w:p>
    <w:p w14:paraId="5223DD1D" w14:textId="77777777" w:rsidR="00A8334D" w:rsidRDefault="00A8334D" w:rsidP="00A8334D">
      <w:pPr>
        <w:pStyle w:val="Heading5"/>
      </w:pPr>
      <w:r>
        <w:t>Changes in blood eosinophil level and disease activity</w:t>
      </w:r>
    </w:p>
    <w:p w14:paraId="44E694DA" w14:textId="0151E46A" w:rsidR="00624472" w:rsidRDefault="00A8334D" w:rsidP="00A8334D">
      <w:r>
        <w:rPr>
          <w:lang w:eastAsia="ja-JP"/>
        </w:rPr>
        <w:t>Tissue injury in EGPA is thought to result from vasculitis, together with a contribution from tissue eosinophilia. The mechanistic relationships between blood eosinophilia, tissue eosinophilia, vasculitis activity and tissue injury are unknown. Demonstration of a reduction in blood eosinophil count cannot be assumed to equate to a reduction in tissue eosinophils and a reduction in tissue injury. Study MEE103291 investigated changes in blood eosinophils and eosinophil count in oesop</w:t>
      </w:r>
      <w:r w:rsidR="00585180">
        <w:rPr>
          <w:lang w:eastAsia="ja-JP"/>
        </w:rPr>
        <w:t xml:space="preserve">hageal biopsy in 59 children (2 to </w:t>
      </w:r>
      <w:r>
        <w:rPr>
          <w:lang w:eastAsia="ja-JP"/>
        </w:rPr>
        <w:t>17</w:t>
      </w:r>
      <w:r w:rsidR="000C068C">
        <w:rPr>
          <w:lang w:eastAsia="ja-JP"/>
        </w:rPr>
        <w:t> </w:t>
      </w:r>
      <w:r>
        <w:rPr>
          <w:lang w:eastAsia="ja-JP"/>
        </w:rPr>
        <w:t xml:space="preserve">years) with eosinophilic oesophagitis who received 3 </w:t>
      </w:r>
      <w:proofErr w:type="spellStart"/>
      <w:r>
        <w:rPr>
          <w:lang w:eastAsia="ja-JP"/>
        </w:rPr>
        <w:t>mepolizumab</w:t>
      </w:r>
      <w:proofErr w:type="spellEnd"/>
      <w:r>
        <w:rPr>
          <w:lang w:eastAsia="ja-JP"/>
        </w:rPr>
        <w:t xml:space="preserve"> treatments. At baseline, these children had blood eosinophils largely within normal range and ≥</w:t>
      </w:r>
      <w:r w:rsidR="000C068C">
        <w:rPr>
          <w:lang w:eastAsia="ja-JP"/>
        </w:rPr>
        <w:t> </w:t>
      </w:r>
      <w:r>
        <w:rPr>
          <w:lang w:eastAsia="ja-JP"/>
        </w:rPr>
        <w:t>20</w:t>
      </w:r>
      <w:r w:rsidR="000C068C">
        <w:rPr>
          <w:lang w:eastAsia="ja-JP"/>
        </w:rPr>
        <w:t> </w:t>
      </w:r>
      <w:r>
        <w:rPr>
          <w:lang w:eastAsia="ja-JP"/>
        </w:rPr>
        <w:t xml:space="preserve">eosinophils per high power field on oesophageal biopsy. Mean blood eosinophil levels were found to decrease around 70% from Week 2 to Week 12. Repeat oesophageal biopsies at Week 12 (4 weeks after last dose of </w:t>
      </w:r>
      <w:proofErr w:type="spellStart"/>
      <w:r>
        <w:rPr>
          <w:lang w:eastAsia="ja-JP"/>
        </w:rPr>
        <w:t>mepolizumab</w:t>
      </w:r>
      <w:proofErr w:type="spellEnd"/>
      <w:r>
        <w:rPr>
          <w:lang w:eastAsia="ja-JP"/>
        </w:rPr>
        <w:t xml:space="preserve">) found that around 30% had a reduction in oesophageal eosinophils below baseline but that </w:t>
      </w:r>
      <w:r w:rsidR="00585180">
        <w:rPr>
          <w:lang w:eastAsia="ja-JP"/>
        </w:rPr>
        <w:t xml:space="preserve">only 5 out of </w:t>
      </w:r>
      <w:r>
        <w:rPr>
          <w:lang w:eastAsia="ja-JP"/>
        </w:rPr>
        <w:t>59 (8.5%) met the pre-specified criteria for response (</w:t>
      </w:r>
      <w:r>
        <w:t>where this was defined as achieving a reduction in oesophageal eosinophils to &lt;</w:t>
      </w:r>
      <w:r w:rsidR="00585180">
        <w:t xml:space="preserve"> </w:t>
      </w:r>
      <w:r>
        <w:t xml:space="preserve">5 cells per </w:t>
      </w:r>
      <w:r w:rsidR="00585180">
        <w:t xml:space="preserve">high power field). This open </w:t>
      </w:r>
      <w:r>
        <w:t>label, dose ranging study of 59 patients was not designed to allow for a meaningful assessment of efficacy</w:t>
      </w:r>
      <w:r w:rsidR="00624472">
        <w:t>.</w:t>
      </w:r>
    </w:p>
    <w:p w14:paraId="5CE93793" w14:textId="77777777" w:rsidR="00A8334D" w:rsidRDefault="00A8334D" w:rsidP="00A8334D">
      <w:pPr>
        <w:rPr>
          <w:lang w:eastAsia="ja-JP"/>
        </w:rPr>
      </w:pPr>
      <w:r>
        <w:rPr>
          <w:lang w:eastAsia="ja-JP"/>
        </w:rPr>
        <w:lastRenderedPageBreak/>
        <w:t xml:space="preserve">There were no analyses in the dossier that explored the relationship between blood eosinophil level, tissue eosinophil levels and disease activity in patients with EGPA, </w:t>
      </w:r>
      <w:r w:rsidR="007B19BE">
        <w:rPr>
          <w:lang w:eastAsia="ja-JP"/>
        </w:rPr>
        <w:t>for example</w:t>
      </w:r>
      <w:r>
        <w:rPr>
          <w:lang w:eastAsia="ja-JP"/>
        </w:rPr>
        <w:t xml:space="preserve">, there was no analysis comparing blood eosinophil levels at the time of EGPA relapse in patients from the </w:t>
      </w:r>
      <w:proofErr w:type="spellStart"/>
      <w:r>
        <w:rPr>
          <w:lang w:eastAsia="ja-JP"/>
        </w:rPr>
        <w:t>mepolizumab</w:t>
      </w:r>
      <w:proofErr w:type="spellEnd"/>
      <w:r>
        <w:rPr>
          <w:lang w:eastAsia="ja-JP"/>
        </w:rPr>
        <w:t xml:space="preserve"> arm to patie</w:t>
      </w:r>
      <w:r w:rsidR="002B3D99">
        <w:rPr>
          <w:lang w:eastAsia="ja-JP"/>
        </w:rPr>
        <w:t>nts in the placebo arm of Study </w:t>
      </w:r>
      <w:r>
        <w:rPr>
          <w:lang w:eastAsia="ja-JP"/>
        </w:rPr>
        <w:t xml:space="preserve">MEA115921. The sponsor is asked to provide more information regarding the reduction in blood eosinophil levels in individual patients and if there was any relationship between this reduction and efficacy. See </w:t>
      </w:r>
      <w:r w:rsidR="00585180">
        <w:rPr>
          <w:lang w:eastAsia="ja-JP"/>
        </w:rPr>
        <w:t>Clinical Questions section below.</w:t>
      </w:r>
    </w:p>
    <w:p w14:paraId="7A05EE12" w14:textId="77777777" w:rsidR="00A8334D" w:rsidRDefault="00A8334D" w:rsidP="00A8334D">
      <w:pPr>
        <w:pStyle w:val="Heading5"/>
      </w:pPr>
      <w:proofErr w:type="spellStart"/>
      <w:r>
        <w:t>Mepolizumab</w:t>
      </w:r>
      <w:proofErr w:type="spellEnd"/>
      <w:r>
        <w:t xml:space="preserve"> and off target effects</w:t>
      </w:r>
    </w:p>
    <w:p w14:paraId="508B296A" w14:textId="14D4DE14" w:rsidR="00A8334D" w:rsidRDefault="00A8334D" w:rsidP="00A8334D">
      <w:r>
        <w:t xml:space="preserve">Off target effects of </w:t>
      </w:r>
      <w:proofErr w:type="spellStart"/>
      <w:r>
        <w:t>mepolizumab</w:t>
      </w:r>
      <w:proofErr w:type="spellEnd"/>
      <w:r>
        <w:t xml:space="preserve"> may result through changes in IL-5 availability, reduced blood eosinophils and impaired activation/accumulation of eosinophils. The understanding of the roles of Il-5 and eosinophils in health is continuing to evolve. IL-5 has pleiotropic effects on various cell types and controls the production and function of myeloid and lymphoid cells, only one of which is eosinophils. The role of the eosinophils as the primary effector mechanism aga</w:t>
      </w:r>
      <w:r w:rsidR="00585180">
        <w:t xml:space="preserve">inst specific parasites is well </w:t>
      </w:r>
      <w:r>
        <w:t xml:space="preserve">recognised, as is their involvement in hypersensitivity reactions and the potential for tissue injury due to the release of cytotoxic proteins. More recently, other roles of the eosinophils, in both the innate and the adaptive immune system, are </w:t>
      </w:r>
      <w:r w:rsidRPr="00D0035B">
        <w:t xml:space="preserve">being recognised. These roles include effector functions, antigen presentation and immunomodulatory actions via the release of mediators. Eosinophils have also been implicated in immune homeostasis, allograft rejection, and anti-tumour immunity. Given the poorly understood roles of IL-5 and eosinophils in the immune system as a whole, and the limited number of patients treated with </w:t>
      </w:r>
      <w:proofErr w:type="spellStart"/>
      <w:r w:rsidRPr="00D0035B">
        <w:t>mepolizumab</w:t>
      </w:r>
      <w:proofErr w:type="spellEnd"/>
      <w:r w:rsidRPr="00D0035B">
        <w:t xml:space="preserve">, off-target effects of </w:t>
      </w:r>
      <w:proofErr w:type="spellStart"/>
      <w:r w:rsidRPr="00D0035B">
        <w:t>mepolizumab</w:t>
      </w:r>
      <w:proofErr w:type="spellEnd"/>
      <w:r w:rsidRPr="00D0035B">
        <w:t xml:space="preserve"> may yet be recognised. These may relate to immunosuppression and include reduced tumour surveillance. </w:t>
      </w:r>
      <w:r>
        <w:t xml:space="preserve">Of note is that </w:t>
      </w:r>
      <w:r w:rsidRPr="00D0035B">
        <w:t xml:space="preserve">the FDA label for another IL-5 antagonist, </w:t>
      </w:r>
      <w:proofErr w:type="spellStart"/>
      <w:r w:rsidRPr="00D0035B">
        <w:t>reslizumab</w:t>
      </w:r>
      <w:proofErr w:type="spellEnd"/>
      <w:r w:rsidRPr="00D0035B">
        <w:t xml:space="preserve">, includes malignancies in the </w:t>
      </w:r>
      <w:r w:rsidR="000C068C">
        <w:t xml:space="preserve">Warnings And Precautions </w:t>
      </w:r>
      <w:r w:rsidR="00F528C9">
        <w:t>section:</w:t>
      </w:r>
    </w:p>
    <w:p w14:paraId="05C0B189" w14:textId="77777777" w:rsidR="00F528C9" w:rsidRDefault="00F528C9" w:rsidP="00F528C9">
      <w:pPr>
        <w:ind w:left="720"/>
      </w:pPr>
      <w:r>
        <w:t>‘</w:t>
      </w:r>
      <w:r w:rsidRPr="002B2435">
        <w:rPr>
          <w:b/>
        </w:rPr>
        <w:t>5.3 Malignancy</w:t>
      </w:r>
    </w:p>
    <w:p w14:paraId="4C678912" w14:textId="77777777" w:rsidR="00F528C9" w:rsidRPr="00D0035B" w:rsidRDefault="00F528C9" w:rsidP="00F528C9">
      <w:pPr>
        <w:ind w:left="720"/>
      </w:pPr>
      <w:r>
        <w:t xml:space="preserve">In placebo controlled clinical studies, 6/1028 (0.6%) patients receiving 3 mg/kg </w:t>
      </w:r>
      <w:proofErr w:type="spellStart"/>
      <w:r>
        <w:t>Cinqair</w:t>
      </w:r>
      <w:proofErr w:type="spellEnd"/>
      <w:r>
        <w:t xml:space="preserve"> had at least 1 malignant neoplasm reported compared to 2/730 (0.3%) patients in the placebo group. The observed malignancies in </w:t>
      </w:r>
      <w:proofErr w:type="spellStart"/>
      <w:r>
        <w:t>Cinqair</w:t>
      </w:r>
      <w:proofErr w:type="spellEnd"/>
      <w:r>
        <w:t xml:space="preserve">-treated patients were diverse in nature and without clustering of any particular tissue type. The majority of malignancies were diagnosed within less than six months of exposure to </w:t>
      </w:r>
      <w:proofErr w:type="spellStart"/>
      <w:r>
        <w:t>Cinqair</w:t>
      </w:r>
      <w:proofErr w:type="spellEnd"/>
      <w:r>
        <w:t>.’</w:t>
      </w:r>
    </w:p>
    <w:p w14:paraId="3B024923" w14:textId="77777777" w:rsidR="00A8334D" w:rsidRDefault="00A8334D" w:rsidP="00A8334D">
      <w:pPr>
        <w:pStyle w:val="Heading5"/>
      </w:pPr>
      <w:r>
        <w:t>Proposed description of PD in the PI</w:t>
      </w:r>
    </w:p>
    <w:p w14:paraId="61BC9622" w14:textId="77777777" w:rsidR="00500337" w:rsidRPr="00500337" w:rsidRDefault="00A8334D" w:rsidP="00500337">
      <w:r>
        <w:t xml:space="preserve">The sponsor has proposed </w:t>
      </w:r>
      <w:r w:rsidR="00585180">
        <w:t xml:space="preserve">changes to the </w:t>
      </w:r>
      <w:r>
        <w:t>PD</w:t>
      </w:r>
      <w:r w:rsidR="00585180">
        <w:t xml:space="preserve"> information be added to the PI, which are beyond the scope of this AusPAR.</w:t>
      </w:r>
    </w:p>
    <w:p w14:paraId="1AD88F10" w14:textId="77777777" w:rsidR="008E7846" w:rsidRDefault="00605AD4" w:rsidP="00605AD4">
      <w:pPr>
        <w:pStyle w:val="Heading3"/>
      </w:pPr>
      <w:bookmarkStart w:id="77" w:name="_Toc25227380"/>
      <w:r>
        <w:t>Dosage selection for the pivotal studies</w:t>
      </w:r>
      <w:bookmarkEnd w:id="77"/>
    </w:p>
    <w:p w14:paraId="00F52432" w14:textId="77777777" w:rsidR="00A8334D" w:rsidRDefault="00A8334D" w:rsidP="00775D7E">
      <w:pPr>
        <w:rPr>
          <w:lang w:eastAsia="ja-JP"/>
        </w:rPr>
      </w:pPr>
      <w:r>
        <w:rPr>
          <w:lang w:eastAsia="ja-JP"/>
        </w:rPr>
        <w:t xml:space="preserve">The following rationale for dosage selection for the main efficacy and safety study is provided in the </w:t>
      </w:r>
      <w:r w:rsidR="00775D7E">
        <w:rPr>
          <w:lang w:eastAsia="ja-JP"/>
        </w:rPr>
        <w:t>clinical study report</w:t>
      </w:r>
      <w:r>
        <w:rPr>
          <w:lang w:eastAsia="ja-JP"/>
        </w:rPr>
        <w:t xml:space="preserve"> for Study MEA115921:</w:t>
      </w:r>
    </w:p>
    <w:p w14:paraId="577A3B4C" w14:textId="4B785937" w:rsidR="00A8334D" w:rsidRPr="00585180" w:rsidRDefault="00585180" w:rsidP="00A8334D">
      <w:pPr>
        <w:autoSpaceDE w:val="0"/>
        <w:autoSpaceDN w:val="0"/>
        <w:adjustRightInd w:val="0"/>
        <w:spacing w:before="0" w:after="0" w:line="240" w:lineRule="auto"/>
        <w:ind w:left="720"/>
        <w:rPr>
          <w:rFonts w:asciiTheme="minorHAnsi" w:eastAsiaTheme="minorHAnsi" w:hAnsiTheme="minorHAnsi" w:cs="TimesNewRoman"/>
          <w:color w:val="000000"/>
        </w:rPr>
      </w:pPr>
      <w:r>
        <w:rPr>
          <w:rFonts w:asciiTheme="minorHAnsi" w:eastAsiaTheme="minorHAnsi" w:hAnsiTheme="minorHAnsi" w:cs="TimesNewRoman"/>
          <w:color w:val="000000"/>
        </w:rPr>
        <w:t>‘</w:t>
      </w:r>
      <w:r w:rsidR="00A8334D" w:rsidRPr="00585180">
        <w:rPr>
          <w:rFonts w:asciiTheme="minorHAnsi" w:eastAsiaTheme="minorHAnsi" w:hAnsiTheme="minorHAnsi" w:cs="TimesNewRoman"/>
          <w:color w:val="000000"/>
        </w:rPr>
        <w:t xml:space="preserve">EGPA involves greater implication of eosinophils at multiple target organs and there is potential for a significant increase in blood eosinophils preceding relapse or during OCS taper. It was therefore considered that a higher dose of </w:t>
      </w:r>
      <w:proofErr w:type="spellStart"/>
      <w:r w:rsidR="00A8334D" w:rsidRPr="00585180">
        <w:rPr>
          <w:rFonts w:asciiTheme="minorHAnsi" w:eastAsiaTheme="minorHAnsi" w:hAnsiTheme="minorHAnsi" w:cs="TimesNewRoman"/>
          <w:color w:val="000000"/>
        </w:rPr>
        <w:t>mepolizumab</w:t>
      </w:r>
      <w:proofErr w:type="spellEnd"/>
      <w:r w:rsidR="00A8334D" w:rsidRPr="00585180">
        <w:rPr>
          <w:rFonts w:asciiTheme="minorHAnsi" w:eastAsiaTheme="minorHAnsi" w:hAnsiTheme="minorHAnsi" w:cs="TimesNewRoman"/>
          <w:color w:val="000000"/>
        </w:rPr>
        <w:t xml:space="preserve"> would be required in EGPA to confer therapeutic benefit compared with severe asthma. Thus, 300 mg SC (approximately equivalent to 225 mg intravenous </w:t>
      </w:r>
      <w:r w:rsidR="002E4BF6">
        <w:rPr>
          <w:rFonts w:asciiTheme="minorHAnsi" w:eastAsiaTheme="minorHAnsi" w:hAnsiTheme="minorHAnsi" w:cs="TimesNewRoman"/>
          <w:color w:val="000000"/>
        </w:rPr>
        <w:t>(</w:t>
      </w:r>
      <w:r w:rsidR="00A8334D" w:rsidRPr="00585180">
        <w:rPr>
          <w:rFonts w:asciiTheme="minorHAnsi" w:eastAsiaTheme="minorHAnsi" w:hAnsiTheme="minorHAnsi" w:cs="TimesNewRoman"/>
          <w:color w:val="000000"/>
        </w:rPr>
        <w:t>IV</w:t>
      </w:r>
      <w:r w:rsidR="002E4BF6">
        <w:rPr>
          <w:rFonts w:asciiTheme="minorHAnsi" w:eastAsiaTheme="minorHAnsi" w:hAnsiTheme="minorHAnsi" w:cs="TimesNewRoman"/>
          <w:color w:val="000000"/>
        </w:rPr>
        <w:t>)</w:t>
      </w:r>
      <w:r w:rsidR="00A8334D" w:rsidRPr="00585180">
        <w:rPr>
          <w:rFonts w:asciiTheme="minorHAnsi" w:eastAsiaTheme="minorHAnsi" w:hAnsiTheme="minorHAnsi" w:cs="TimesNewRoman"/>
          <w:color w:val="000000"/>
        </w:rPr>
        <w:t xml:space="preserve">) every 4 weeks was selected for this study since data from a severe asthma study showed that 250 mg IV every 4 weeks provided a greater reduction in blood eosinophils compared with 75 mg IV every 4 weeks, while a higher dose of 750 mg IV did not provide a greater reduction than the 250 mg IV </w:t>
      </w:r>
      <w:r w:rsidR="00A8334D" w:rsidRPr="00585180">
        <w:rPr>
          <w:rFonts w:asciiTheme="minorHAnsi" w:eastAsiaTheme="minorHAnsi" w:hAnsiTheme="minorHAnsi" w:cs="TimesNewRoman"/>
          <w:color w:val="000000"/>
        </w:rPr>
        <w:lastRenderedPageBreak/>
        <w:t xml:space="preserve">dose. In addition, </w:t>
      </w:r>
      <w:proofErr w:type="spellStart"/>
      <w:r w:rsidR="00A8334D" w:rsidRPr="00585180">
        <w:rPr>
          <w:rFonts w:asciiTheme="minorHAnsi" w:eastAsiaTheme="minorHAnsi" w:hAnsiTheme="minorHAnsi" w:cs="TimesNewRoman"/>
          <w:color w:val="000000"/>
        </w:rPr>
        <w:t>mepolizumab</w:t>
      </w:r>
      <w:proofErr w:type="spellEnd"/>
      <w:r w:rsidR="00A8334D" w:rsidRPr="00585180">
        <w:rPr>
          <w:rFonts w:asciiTheme="minorHAnsi" w:eastAsiaTheme="minorHAnsi" w:hAnsiTheme="minorHAnsi" w:cs="TimesNewRoman"/>
          <w:color w:val="000000"/>
        </w:rPr>
        <w:t xml:space="preserve"> (750 mg IV every 4 weeks) was shown to be well-tolerated in previous EGPA studies</w:t>
      </w:r>
      <w:r w:rsidR="000C068C">
        <w:rPr>
          <w:rFonts w:asciiTheme="minorHAnsi" w:eastAsiaTheme="minorHAnsi" w:hAnsiTheme="minorHAnsi" w:cs="TimesNewRoman"/>
          <w:color w:val="000000"/>
        </w:rPr>
        <w:t>,</w:t>
      </w:r>
      <w:bookmarkStart w:id="78" w:name="_Ref15036784"/>
      <w:r w:rsidR="00DC5D3D">
        <w:rPr>
          <w:rStyle w:val="FootnoteReference"/>
          <w:rFonts w:asciiTheme="minorHAnsi" w:eastAsiaTheme="minorHAnsi" w:hAnsiTheme="minorHAnsi" w:cs="TimesNewRoman"/>
          <w:color w:val="000000"/>
        </w:rPr>
        <w:footnoteReference w:id="34"/>
      </w:r>
      <w:bookmarkEnd w:id="78"/>
      <w:r w:rsidR="000C068C">
        <w:rPr>
          <w:rFonts w:asciiTheme="minorHAnsi" w:eastAsiaTheme="minorHAnsi" w:hAnsiTheme="minorHAnsi" w:cs="TimesNewRoman"/>
          <w:color w:val="000000"/>
          <w:vertAlign w:val="superscript"/>
        </w:rPr>
        <w:t>,</w:t>
      </w:r>
      <w:bookmarkStart w:id="79" w:name="_Ref15036896"/>
      <w:r w:rsidR="00DC5D3D">
        <w:rPr>
          <w:rStyle w:val="FootnoteReference"/>
          <w:rFonts w:asciiTheme="minorHAnsi" w:eastAsiaTheme="minorHAnsi" w:hAnsiTheme="minorHAnsi" w:cs="TimesNewRoman"/>
          <w:color w:val="000000"/>
        </w:rPr>
        <w:footnoteReference w:id="35"/>
      </w:r>
      <w:bookmarkEnd w:id="79"/>
      <w:r w:rsidR="00DC5D3D">
        <w:rPr>
          <w:rFonts w:asciiTheme="minorHAnsi" w:eastAsiaTheme="minorHAnsi" w:hAnsiTheme="minorHAnsi" w:cs="TimesNewRoman"/>
          <w:color w:val="000000"/>
        </w:rPr>
        <w:t xml:space="preserve"> </w:t>
      </w:r>
      <w:r w:rsidR="00A8334D" w:rsidRPr="00585180">
        <w:rPr>
          <w:rFonts w:asciiTheme="minorHAnsi" w:eastAsiaTheme="minorHAnsi" w:hAnsiTheme="minorHAnsi" w:cs="TimesNewRoman"/>
          <w:color w:val="000000"/>
        </w:rPr>
        <w:t>and in other eosinophilic diseases</w:t>
      </w:r>
      <w:r>
        <w:rPr>
          <w:rFonts w:asciiTheme="minorHAnsi" w:eastAsiaTheme="minorHAnsi" w:hAnsiTheme="minorHAnsi" w:cs="TimesNewRoman"/>
          <w:color w:val="000000"/>
        </w:rPr>
        <w:t>.’</w:t>
      </w:r>
    </w:p>
    <w:p w14:paraId="0741C81A" w14:textId="68FA1215" w:rsidR="00A8334D" w:rsidRPr="00A8334D" w:rsidRDefault="00A8334D" w:rsidP="00775D7E">
      <w:r w:rsidRPr="00775D7E">
        <w:t xml:space="preserve">Of the articles cited in the </w:t>
      </w:r>
      <w:r w:rsidR="00DC5D3D" w:rsidRPr="00775D7E">
        <w:t>clinical study report</w:t>
      </w:r>
      <w:r w:rsidRPr="00775D7E">
        <w:t xml:space="preserve"> as supporting safety with higher doses of </w:t>
      </w:r>
      <w:proofErr w:type="spellStart"/>
      <w:r w:rsidRPr="00775D7E">
        <w:t>mepolizumab</w:t>
      </w:r>
      <w:proofErr w:type="spellEnd"/>
      <w:r w:rsidRPr="00775D7E">
        <w:t xml:space="preserve"> in EGPA, Kim et al</w:t>
      </w:r>
      <w:r w:rsidR="00DC5D3D" w:rsidRPr="00775D7E">
        <w:t>.</w:t>
      </w:r>
      <w:r w:rsidR="000C068C">
        <w:t>,</w:t>
      </w:r>
      <w:r w:rsidR="00DC5D3D" w:rsidRPr="00775D7E">
        <w:fldChar w:fldCharType="begin"/>
      </w:r>
      <w:r w:rsidR="00DC5D3D" w:rsidRPr="00775D7E">
        <w:instrText xml:space="preserve"> NOTEREF _Ref15036784 \f \h  \* MERGEFORMAT </w:instrText>
      </w:r>
      <w:r w:rsidR="00DC5D3D" w:rsidRPr="00775D7E">
        <w:fldChar w:fldCharType="separate"/>
      </w:r>
      <w:r w:rsidR="00DC5D3D" w:rsidRPr="00775D7E">
        <w:rPr>
          <w:rStyle w:val="FootnoteReference"/>
        </w:rPr>
        <w:t>34</w:t>
      </w:r>
      <w:r w:rsidR="00DC5D3D" w:rsidRPr="00775D7E">
        <w:fldChar w:fldCharType="end"/>
      </w:r>
      <w:r w:rsidR="00DC5D3D" w:rsidRPr="00775D7E">
        <w:t xml:space="preserve"> </w:t>
      </w:r>
      <w:r w:rsidRPr="00775D7E">
        <w:t xml:space="preserve">and </w:t>
      </w:r>
      <w:proofErr w:type="spellStart"/>
      <w:r w:rsidRPr="00775D7E">
        <w:t>Moosig</w:t>
      </w:r>
      <w:proofErr w:type="spellEnd"/>
      <w:r w:rsidRPr="00775D7E">
        <w:t xml:space="preserve"> et al</w:t>
      </w:r>
      <w:r w:rsidR="00DC5D3D" w:rsidRPr="00775D7E">
        <w:t>.</w:t>
      </w:r>
      <w:r w:rsidR="000C068C">
        <w:t>,</w:t>
      </w:r>
      <w:r w:rsidR="00DC5D3D" w:rsidRPr="00775D7E">
        <w:fldChar w:fldCharType="begin"/>
      </w:r>
      <w:r w:rsidR="00DC5D3D" w:rsidRPr="00775D7E">
        <w:instrText xml:space="preserve"> NOTEREF _Ref15036896 \f \h  \* MERGEFORMAT </w:instrText>
      </w:r>
      <w:r w:rsidR="00DC5D3D" w:rsidRPr="00775D7E">
        <w:fldChar w:fldCharType="separate"/>
      </w:r>
      <w:r w:rsidR="00DC5D3D" w:rsidRPr="00775D7E">
        <w:rPr>
          <w:rStyle w:val="FootnoteReference"/>
        </w:rPr>
        <w:t>35</w:t>
      </w:r>
      <w:r w:rsidR="00DC5D3D" w:rsidRPr="00775D7E">
        <w:fldChar w:fldCharType="end"/>
      </w:r>
      <w:r w:rsidR="00DC5D3D" w:rsidRPr="00775D7E">
        <w:t xml:space="preserve"> </w:t>
      </w:r>
      <w:r w:rsidRPr="00775D7E">
        <w:t xml:space="preserve">describe separate open label studies in which patients with EGPA were treated with 9 doses of </w:t>
      </w:r>
      <w:proofErr w:type="spellStart"/>
      <w:r w:rsidRPr="00775D7E">
        <w:t>mepolizumab</w:t>
      </w:r>
      <w:proofErr w:type="spellEnd"/>
      <w:r w:rsidRPr="00775D7E">
        <w:t xml:space="preserve"> 750</w:t>
      </w:r>
      <w:r w:rsidR="00DC5D3D" w:rsidRPr="00775D7E">
        <w:t xml:space="preserve"> </w:t>
      </w:r>
      <w:r w:rsidRPr="00775D7E">
        <w:t xml:space="preserve">mg administered IV monthly (7 patients in Kim et al and 10 patients in </w:t>
      </w:r>
      <w:proofErr w:type="spellStart"/>
      <w:r w:rsidRPr="00775D7E">
        <w:t>Moosig</w:t>
      </w:r>
      <w:proofErr w:type="spellEnd"/>
      <w:r w:rsidRPr="00775D7E">
        <w:t xml:space="preserve"> et al). Both studies were provided with financial support by </w:t>
      </w:r>
      <w:r w:rsidR="00775D7E">
        <w:t>the sponsor</w:t>
      </w:r>
      <w:r w:rsidRPr="00775D7E">
        <w:t xml:space="preserve">. Neither publication provides a rationale for the selected dose. Both studies report clinical improvement during </w:t>
      </w:r>
      <w:proofErr w:type="spellStart"/>
      <w:r w:rsidRPr="00775D7E">
        <w:t>mepolizumab</w:t>
      </w:r>
      <w:proofErr w:type="spellEnd"/>
      <w:r w:rsidRPr="00775D7E">
        <w:t xml:space="preserve"> treatment, as shown by weaning of oral corticosteroids, and worsening of disease following completion of </w:t>
      </w:r>
      <w:proofErr w:type="spellStart"/>
      <w:r w:rsidRPr="00775D7E">
        <w:t>mepolizumab</w:t>
      </w:r>
      <w:proofErr w:type="spellEnd"/>
      <w:r w:rsidRPr="00775D7E">
        <w:t xml:space="preserve"> treatment. Both studies report that </w:t>
      </w:r>
      <w:proofErr w:type="spellStart"/>
      <w:r w:rsidRPr="00775D7E">
        <w:t>mepolizumab</w:t>
      </w:r>
      <w:proofErr w:type="spellEnd"/>
      <w:r w:rsidRPr="00775D7E">
        <w:t xml:space="preserve"> was well tolerated. There were no </w:t>
      </w:r>
      <w:r w:rsidR="00775D7E">
        <w:t>serious adverse events (</w:t>
      </w:r>
      <w:r w:rsidRPr="00775D7E">
        <w:t>SAEs</w:t>
      </w:r>
      <w:r w:rsidR="00775D7E">
        <w:t>)</w:t>
      </w:r>
      <w:r w:rsidRPr="00775D7E">
        <w:t xml:space="preserve"> reported in Kim et al. There were 4 SAEs reported </w:t>
      </w:r>
      <w:r w:rsidR="00775D7E">
        <w:t xml:space="preserve">in 2 patients in </w:t>
      </w:r>
      <w:proofErr w:type="spellStart"/>
      <w:r w:rsidR="00775D7E">
        <w:t>Moosig</w:t>
      </w:r>
      <w:proofErr w:type="spellEnd"/>
      <w:r w:rsidR="00775D7E">
        <w:t xml:space="preserve"> et al.; </w:t>
      </w:r>
      <w:r w:rsidRPr="00775D7E">
        <w:t xml:space="preserve">these were not considered treatment related. </w:t>
      </w:r>
      <w:proofErr w:type="spellStart"/>
      <w:r w:rsidRPr="00775D7E">
        <w:t>Moosig</w:t>
      </w:r>
      <w:proofErr w:type="spellEnd"/>
      <w:r w:rsidRPr="00775D7E">
        <w:t xml:space="preserve"> et al reports on all </w:t>
      </w:r>
      <w:r w:rsidR="00775D7E">
        <w:t>adverse events (</w:t>
      </w:r>
      <w:r w:rsidRPr="00775D7E">
        <w:t>AEs</w:t>
      </w:r>
      <w:r w:rsidR="00775D7E">
        <w:t>)</w:t>
      </w:r>
      <w:r w:rsidRPr="00775D7E">
        <w:t xml:space="preserve"> experienced by </w:t>
      </w:r>
      <w:r w:rsidR="00775D7E">
        <w:t xml:space="preserve">the patients. Of note is that 5 out of </w:t>
      </w:r>
      <w:r w:rsidRPr="00775D7E">
        <w:t>10 had infectious A</w:t>
      </w:r>
      <w:r w:rsidR="00775D7E">
        <w:t>Es (urinary tract infection, nor</w:t>
      </w:r>
      <w:r w:rsidRPr="00775D7E">
        <w:t>ovirus infection, herpes zoster, herpes simplex, wound infection) and one pat</w:t>
      </w:r>
      <w:r w:rsidR="00775D7E">
        <w:t>ient had anaphylactic shock at W</w:t>
      </w:r>
      <w:r w:rsidRPr="00775D7E">
        <w:t>eek 25 that was attributed to cefuroxime.</w:t>
      </w:r>
    </w:p>
    <w:p w14:paraId="01A64532" w14:textId="77777777" w:rsidR="008E7846" w:rsidRPr="00254787" w:rsidRDefault="008E7846" w:rsidP="008E7846">
      <w:pPr>
        <w:pStyle w:val="Heading3"/>
      </w:pPr>
      <w:bookmarkStart w:id="80" w:name="_Toc163441372"/>
      <w:bookmarkStart w:id="81" w:name="_Toc196046485"/>
      <w:bookmarkStart w:id="82" w:name="_Toc247691521"/>
      <w:bookmarkStart w:id="83" w:name="_Toc314842504"/>
      <w:bookmarkStart w:id="84" w:name="_Toc25227381"/>
      <w:r w:rsidRPr="00254787">
        <w:t>Efficacy</w:t>
      </w:r>
      <w:bookmarkEnd w:id="80"/>
      <w:bookmarkEnd w:id="81"/>
      <w:bookmarkEnd w:id="82"/>
      <w:bookmarkEnd w:id="83"/>
      <w:bookmarkEnd w:id="84"/>
    </w:p>
    <w:p w14:paraId="62B94808" w14:textId="77777777" w:rsidR="00190952" w:rsidRDefault="00605AD4" w:rsidP="00775D7E">
      <w:pPr>
        <w:pStyle w:val="Heading4"/>
      </w:pPr>
      <w:bookmarkStart w:id="85" w:name="_Toc184439992"/>
      <w:bookmarkStart w:id="86" w:name="_Toc184440279"/>
      <w:bookmarkStart w:id="87" w:name="_Toc184444657"/>
      <w:bookmarkStart w:id="88" w:name="_Toc196046487"/>
      <w:r>
        <w:t>Studies providing efficacy data</w:t>
      </w:r>
    </w:p>
    <w:p w14:paraId="790D55F0" w14:textId="77777777" w:rsidR="00500337" w:rsidRDefault="00190952" w:rsidP="00775D7E">
      <w:pPr>
        <w:rPr>
          <w:lang w:eastAsia="ja-JP"/>
        </w:rPr>
      </w:pPr>
      <w:r>
        <w:rPr>
          <w:lang w:eastAsia="ja-JP"/>
        </w:rPr>
        <w:t>Study MEA115921 is pivotal for the demonstration of efficacy and safety.</w:t>
      </w:r>
    </w:p>
    <w:p w14:paraId="0FA6C73C" w14:textId="27537043" w:rsidR="00190952" w:rsidRPr="00775D7E" w:rsidRDefault="00775D7E" w:rsidP="00775D7E">
      <w:pPr>
        <w:pStyle w:val="ListBullet"/>
        <w:rPr>
          <w:lang w:eastAsia="ja-JP"/>
        </w:rPr>
      </w:pPr>
      <w:r>
        <w:t xml:space="preserve">Study title: A </w:t>
      </w:r>
      <w:r w:rsidR="000C068C">
        <w:t>double blind, randomised, placebo c</w:t>
      </w:r>
      <w:r w:rsidR="000C068C" w:rsidRPr="00E23A4A">
        <w:t xml:space="preserve">ontrolled study to investigate the efficacy and safety of </w:t>
      </w:r>
      <w:proofErr w:type="spellStart"/>
      <w:r w:rsidR="000C068C" w:rsidRPr="00E23A4A">
        <w:t>mepolizumab</w:t>
      </w:r>
      <w:proofErr w:type="spellEnd"/>
      <w:r w:rsidR="000C068C" w:rsidRPr="00E23A4A">
        <w:t xml:space="preserve"> in the treatment of eosinophilic granulomatosis with </w:t>
      </w:r>
      <w:proofErr w:type="spellStart"/>
      <w:r w:rsidR="000C068C" w:rsidRPr="00E23A4A">
        <w:t>polyangiitis</w:t>
      </w:r>
      <w:proofErr w:type="spellEnd"/>
      <w:r w:rsidR="000C068C" w:rsidRPr="00E23A4A">
        <w:t xml:space="preserve"> in subjects receiving standard of care therapy</w:t>
      </w:r>
      <w:r w:rsidR="000C068C">
        <w:t>.</w:t>
      </w:r>
    </w:p>
    <w:p w14:paraId="0C3603C5" w14:textId="77777777" w:rsidR="008E7846" w:rsidRDefault="00605AD4" w:rsidP="00605AD4">
      <w:pPr>
        <w:pStyle w:val="Heading4"/>
      </w:pPr>
      <w:r>
        <w:t>Evaluator’s conclusions on efficacy</w:t>
      </w:r>
    </w:p>
    <w:p w14:paraId="0F3B4E2C" w14:textId="77777777" w:rsidR="00190952" w:rsidRDefault="00190952" w:rsidP="00190952">
      <w:bookmarkStart w:id="89" w:name="_Hlk506369761"/>
      <w:r w:rsidRPr="0098422B">
        <w:t xml:space="preserve">The demonstration of efficacy of </w:t>
      </w:r>
      <w:proofErr w:type="spellStart"/>
      <w:r w:rsidRPr="0098422B">
        <w:t>mepolizumab</w:t>
      </w:r>
      <w:proofErr w:type="spellEnd"/>
      <w:r w:rsidRPr="0098422B">
        <w:t xml:space="preserve"> for the proposed indica</w:t>
      </w:r>
      <w:r w:rsidR="00775D7E">
        <w:t xml:space="preserve">tion is based on data from a 52 </w:t>
      </w:r>
      <w:r w:rsidRPr="0098422B">
        <w:t xml:space="preserve">week treatment clinical trial that compared </w:t>
      </w:r>
      <w:proofErr w:type="spellStart"/>
      <w:r w:rsidRPr="0098422B">
        <w:t>mepolizumab</w:t>
      </w:r>
      <w:proofErr w:type="spellEnd"/>
      <w:r w:rsidRPr="0098422B">
        <w:t xml:space="preserve"> to placebo, with both arms receiving standard care. </w:t>
      </w:r>
      <w:bookmarkStart w:id="90" w:name="_Hlk506369849"/>
      <w:r>
        <w:t xml:space="preserve">Eligible patients were aged 18 years or more, had confirmed diagnosis of EGPA (using modified </w:t>
      </w:r>
      <w:r w:rsidR="00775D7E" w:rsidRPr="00AF7B2C">
        <w:rPr>
          <w:rFonts w:eastAsia="TimesNewRoman" w:cs="TimesNewRoman"/>
        </w:rPr>
        <w:t>American College of Rheumatology</w:t>
      </w:r>
      <w:r w:rsidR="00775D7E">
        <w:t xml:space="preserve"> (</w:t>
      </w:r>
      <w:r>
        <w:t>ACR</w:t>
      </w:r>
      <w:r w:rsidR="00775D7E">
        <w:t>)</w:t>
      </w:r>
      <w:r>
        <w:t xml:space="preserve"> criteria) that was relapsing or refractory disease, were on stable OCS </w:t>
      </w:r>
      <w:r w:rsidRPr="0098422B">
        <w:t>± other immunosuppressive treatment</w:t>
      </w:r>
      <w:r>
        <w:t xml:space="preserve"> and did not have life- or organ-threatening disease</w:t>
      </w:r>
      <w:bookmarkEnd w:id="90"/>
      <w:r>
        <w:t>. The sponsor has been asked for clarification regarding the timing of the blood eosinophil level required for EGPA diagnosis.</w:t>
      </w:r>
    </w:p>
    <w:p w14:paraId="7132AAE6" w14:textId="397C1F6B" w:rsidR="00190952" w:rsidRPr="0098422B" w:rsidRDefault="00190952" w:rsidP="00190952">
      <w:bookmarkStart w:id="91" w:name="_Hlk506369910"/>
      <w:r w:rsidRPr="0098422B">
        <w:t xml:space="preserve">Patients received 300 mg of </w:t>
      </w:r>
      <w:proofErr w:type="spellStart"/>
      <w:r w:rsidRPr="0098422B">
        <w:t>mepolizumab</w:t>
      </w:r>
      <w:proofErr w:type="spellEnd"/>
      <w:r w:rsidRPr="0098422B">
        <w:t xml:space="preserve"> or placebo administered </w:t>
      </w:r>
      <w:r w:rsidR="00775D7E">
        <w:t>SC</w:t>
      </w:r>
      <w:r w:rsidRPr="0098422B">
        <w:t xml:space="preserve"> once every four weeks </w:t>
      </w:r>
      <w:r>
        <w:t xml:space="preserve">for 13 treatments </w:t>
      </w:r>
      <w:r w:rsidRPr="0098422B">
        <w:t>while continuing their stable daily OCS therapy. Ta</w:t>
      </w:r>
      <w:r w:rsidR="00775D7E">
        <w:t>pering of OCS was allowed from W</w:t>
      </w:r>
      <w:r w:rsidR="006C43D4">
        <w:t>eek 4</w:t>
      </w:r>
      <w:r w:rsidRPr="0098422B">
        <w:t>.</w:t>
      </w:r>
      <w:r>
        <w:t xml:space="preserve"> Subjects were followed up for 12 weeks after treatment completion.</w:t>
      </w:r>
    </w:p>
    <w:p w14:paraId="3FD32D3F" w14:textId="77777777" w:rsidR="00190952" w:rsidRPr="0098422B" w:rsidRDefault="00190952" w:rsidP="00190952">
      <w:bookmarkStart w:id="92" w:name="_Hlk506369926"/>
      <w:bookmarkEnd w:id="91"/>
      <w:r w:rsidRPr="0098422B">
        <w:t>The trial had two primary efficacy end points</w:t>
      </w:r>
      <w:r>
        <w:t>,</w:t>
      </w:r>
      <w:r w:rsidRPr="0098422B">
        <w:t xml:space="preserve"> both of which needed to be achieved for a positive study result:</w:t>
      </w:r>
    </w:p>
    <w:p w14:paraId="237B8EBF" w14:textId="77777777" w:rsidR="00190952" w:rsidRPr="0098422B" w:rsidRDefault="00190952" w:rsidP="00BB389D">
      <w:pPr>
        <w:pStyle w:val="Numberbullet0"/>
      </w:pPr>
      <w:r w:rsidRPr="0098422B">
        <w:t xml:space="preserve">The total accrued weeks of remission, </w:t>
      </w:r>
      <w:r w:rsidR="007B19BE">
        <w:t>that is</w:t>
      </w:r>
      <w:r w:rsidRPr="0098422B">
        <w:t>, the accrued number of weeks where BVAS</w:t>
      </w:r>
      <w:r w:rsidR="00775D7E">
        <w:t> = </w:t>
      </w:r>
      <w:r w:rsidRPr="0098422B">
        <w:t>0 plus prednisolone/prednisone dose ≤</w:t>
      </w:r>
      <w:r w:rsidR="00775D7E">
        <w:t xml:space="preserve"> 4 mg/</w:t>
      </w:r>
      <w:r w:rsidRPr="0098422B">
        <w:t>day over the 52 week study treatment period according to 12 week blocks (0 weeks; &gt;</w:t>
      </w:r>
      <w:r w:rsidR="00775D7E">
        <w:t xml:space="preserve"> 0 weeks but &lt; 12 weeks; </w:t>
      </w:r>
      <w:r w:rsidR="00775D7E">
        <w:lastRenderedPageBreak/>
        <w:t>≥ 12 </w:t>
      </w:r>
      <w:r w:rsidRPr="0098422B">
        <w:t>weeks but less than 24 weeks; for ≥ 24 weeks but l</w:t>
      </w:r>
      <w:r w:rsidR="00775D7E">
        <w:t>ess than 36 weeks; and for ≥ 36 </w:t>
      </w:r>
      <w:r w:rsidRPr="0098422B">
        <w:t>weeks)</w:t>
      </w:r>
      <w:r w:rsidR="00376A8B">
        <w:t>.</w:t>
      </w:r>
    </w:p>
    <w:p w14:paraId="56200C74" w14:textId="77777777" w:rsidR="00190952" w:rsidRPr="0098422B" w:rsidRDefault="00190952" w:rsidP="00BB389D">
      <w:pPr>
        <w:pStyle w:val="Numberbullet0"/>
      </w:pPr>
      <w:r w:rsidRPr="0098422B">
        <w:t>The proportion of participants who had remission (</w:t>
      </w:r>
      <w:r w:rsidR="007B19BE">
        <w:t>that is</w:t>
      </w:r>
      <w:r w:rsidRPr="0098422B">
        <w:t xml:space="preserve"> BVAS</w:t>
      </w:r>
      <w:r w:rsidR="00775D7E">
        <w:t xml:space="preserve"> </w:t>
      </w:r>
      <w:r w:rsidRPr="0098422B">
        <w:t>=</w:t>
      </w:r>
      <w:r w:rsidR="00775D7E">
        <w:t xml:space="preserve"> 0 and prednisolone/</w:t>
      </w:r>
      <w:r w:rsidRPr="0098422B">
        <w:t>prednisone ≤</w:t>
      </w:r>
      <w:r w:rsidR="00775D7E">
        <w:t xml:space="preserve"> </w:t>
      </w:r>
      <w:r w:rsidRPr="0098422B">
        <w:t xml:space="preserve">4 mg/day) </w:t>
      </w:r>
      <w:r w:rsidR="00775D7E">
        <w:t>at both Week 36 and W</w:t>
      </w:r>
      <w:r w:rsidRPr="0098422B">
        <w:t>eek 48</w:t>
      </w:r>
      <w:r w:rsidR="00376A8B">
        <w:t>.</w:t>
      </w:r>
    </w:p>
    <w:p w14:paraId="268A9A87" w14:textId="77777777" w:rsidR="00190952" w:rsidRPr="002A0E61" w:rsidRDefault="00775D7E" w:rsidP="00190952">
      <w:r w:rsidRPr="002A0E61">
        <w:t xml:space="preserve">Predefined sub </w:t>
      </w:r>
      <w:r w:rsidR="00190952" w:rsidRPr="002A0E61">
        <w:t xml:space="preserve">groups for analysis included 50 years of age, sex, treatment with other immunosuppressive drugs </w:t>
      </w:r>
      <w:r w:rsidR="00126A5E">
        <w:t>at Baseline</w:t>
      </w:r>
      <w:r w:rsidR="00190952" w:rsidRPr="002A0E61">
        <w:t xml:space="preserve">, baseline blood eosinophil level 150 cells/µL. Exploratory end-points included relapse rate, changes in OCS dose </w:t>
      </w:r>
      <w:r w:rsidR="00126A5E">
        <w:t>from Baseline</w:t>
      </w:r>
      <w:r w:rsidR="00190952" w:rsidRPr="002A0E61">
        <w:t>, control of asthma symptoms and quality of life measures.</w:t>
      </w:r>
    </w:p>
    <w:bookmarkEnd w:id="89"/>
    <w:bookmarkEnd w:id="92"/>
    <w:p w14:paraId="2E570576" w14:textId="77777777" w:rsidR="00190952" w:rsidRPr="002A0E61" w:rsidRDefault="00190952" w:rsidP="00190952">
      <w:r w:rsidRPr="002A0E61">
        <w:t>The results for the primary end-points an</w:t>
      </w:r>
      <w:r w:rsidR="00E03BA3">
        <w:t xml:space="preserve">d other clinically relevant end </w:t>
      </w:r>
      <w:r w:rsidRPr="002A0E61">
        <w:t xml:space="preserve">points are </w:t>
      </w:r>
      <w:r w:rsidR="00E03BA3">
        <w:t xml:space="preserve">shown in </w:t>
      </w:r>
      <w:r w:rsidR="00E03BA3">
        <w:fldChar w:fldCharType="begin"/>
      </w:r>
      <w:r w:rsidR="00E03BA3">
        <w:instrText xml:space="preserve"> REF _Ref15296227 \h </w:instrText>
      </w:r>
      <w:r w:rsidR="00E03BA3">
        <w:fldChar w:fldCharType="separate"/>
      </w:r>
      <w:r w:rsidR="001B4E8B" w:rsidRPr="002A0E61">
        <w:t xml:space="preserve">Table </w:t>
      </w:r>
      <w:r w:rsidR="001B4E8B">
        <w:rPr>
          <w:noProof/>
        </w:rPr>
        <w:t>7</w:t>
      </w:r>
      <w:r w:rsidR="00E03BA3">
        <w:fldChar w:fldCharType="end"/>
      </w:r>
      <w:r w:rsidRPr="002A0E61">
        <w:t>.</w:t>
      </w:r>
    </w:p>
    <w:p w14:paraId="5B79403B" w14:textId="087B10C0" w:rsidR="00190952" w:rsidRDefault="00376A8B" w:rsidP="00376A8B">
      <w:pPr>
        <w:pStyle w:val="TableTitle"/>
      </w:pPr>
      <w:bookmarkStart w:id="93" w:name="_Ref15296227"/>
      <w:bookmarkStart w:id="94" w:name="_Toc522224028"/>
      <w:r w:rsidRPr="002A0E61">
        <w:t xml:space="preserve">Table </w:t>
      </w:r>
      <w:r w:rsidR="00C33647">
        <w:rPr>
          <w:noProof/>
        </w:rPr>
        <w:fldChar w:fldCharType="begin"/>
      </w:r>
      <w:r w:rsidR="00C33647">
        <w:rPr>
          <w:noProof/>
        </w:rPr>
        <w:instrText xml:space="preserve"> SEQ Table \* ARABIC </w:instrText>
      </w:r>
      <w:r w:rsidR="00C33647">
        <w:rPr>
          <w:noProof/>
        </w:rPr>
        <w:fldChar w:fldCharType="separate"/>
      </w:r>
      <w:r w:rsidR="001B4E8B">
        <w:rPr>
          <w:noProof/>
        </w:rPr>
        <w:t>7</w:t>
      </w:r>
      <w:r w:rsidR="00C33647">
        <w:rPr>
          <w:noProof/>
        </w:rPr>
        <w:fldChar w:fldCharType="end"/>
      </w:r>
      <w:bookmarkEnd w:id="93"/>
      <w:r w:rsidRPr="002A0E61">
        <w:t xml:space="preserve">: </w:t>
      </w:r>
      <w:r w:rsidR="00190952" w:rsidRPr="002A0E61">
        <w:t>Study MEA115921 Results for co-primary endpoints and evaluator selected end-points</w:t>
      </w:r>
      <w:bookmarkEnd w:id="94"/>
    </w:p>
    <w:p w14:paraId="55A1F265" w14:textId="77777777" w:rsidR="002A0E61" w:rsidRDefault="00E03BA3" w:rsidP="00190952">
      <w:pPr>
        <w:rPr>
          <w:lang w:eastAsia="ja-JP"/>
        </w:rPr>
      </w:pPr>
      <w:r>
        <w:rPr>
          <w:noProof/>
          <w:lang w:eastAsia="en-AU"/>
        </w:rPr>
        <w:drawing>
          <wp:inline distT="0" distB="0" distL="0" distR="0" wp14:anchorId="515BEBE1" wp14:editId="4E750854">
            <wp:extent cx="5420563" cy="2858536"/>
            <wp:effectExtent l="0" t="0" r="8890" b="0"/>
            <wp:docPr id="12" name="Picture 12" descr="Study MEA115921: Results for co-primary endpoints and evaluator selecte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23134" cy="2859892"/>
                    </a:xfrm>
                    <a:prstGeom prst="rect">
                      <a:avLst/>
                    </a:prstGeom>
                  </pic:spPr>
                </pic:pic>
              </a:graphicData>
            </a:graphic>
          </wp:inline>
        </w:drawing>
      </w:r>
    </w:p>
    <w:p w14:paraId="40DCFA29" w14:textId="77777777" w:rsidR="002A0E61" w:rsidRDefault="002A0E61" w:rsidP="002A0E61">
      <w:pPr>
        <w:pStyle w:val="TableDescription"/>
        <w:rPr>
          <w:lang w:eastAsia="ja-JP"/>
        </w:rPr>
      </w:pPr>
      <w:r>
        <w:rPr>
          <w:lang w:eastAsia="ja-JP"/>
        </w:rPr>
        <w:t>OR = odds ratio</w:t>
      </w:r>
    </w:p>
    <w:p w14:paraId="7875DF31" w14:textId="77777777" w:rsidR="00190952" w:rsidRDefault="00190952" w:rsidP="00190952">
      <w:r>
        <w:rPr>
          <w:lang w:eastAsia="ja-JP"/>
        </w:rPr>
        <w:t xml:space="preserve">On comparison of participants receiving </w:t>
      </w:r>
      <w:proofErr w:type="spellStart"/>
      <w:r>
        <w:rPr>
          <w:lang w:eastAsia="ja-JP"/>
        </w:rPr>
        <w:t>mepolizumab</w:t>
      </w:r>
      <w:proofErr w:type="spellEnd"/>
      <w:r>
        <w:rPr>
          <w:lang w:eastAsia="ja-JP"/>
        </w:rPr>
        <w:t xml:space="preserve"> to partic</w:t>
      </w:r>
      <w:r w:rsidR="00E03BA3">
        <w:rPr>
          <w:lang w:eastAsia="ja-JP"/>
        </w:rPr>
        <w:t>ipants receiving placebo, Study </w:t>
      </w:r>
      <w:r>
        <w:rPr>
          <w:lang w:eastAsia="ja-JP"/>
        </w:rPr>
        <w:t xml:space="preserve">MEA115921 shows a substantial improvement with </w:t>
      </w:r>
      <w:proofErr w:type="spellStart"/>
      <w:r>
        <w:rPr>
          <w:lang w:eastAsia="ja-JP"/>
        </w:rPr>
        <w:t>m</w:t>
      </w:r>
      <w:r w:rsidR="00E03BA3">
        <w:rPr>
          <w:lang w:eastAsia="ja-JP"/>
        </w:rPr>
        <w:t>epolizumab</w:t>
      </w:r>
      <w:proofErr w:type="spellEnd"/>
      <w:r w:rsidR="00E03BA3">
        <w:rPr>
          <w:lang w:eastAsia="ja-JP"/>
        </w:rPr>
        <w:t xml:space="preserve"> treatment for the co</w:t>
      </w:r>
      <w:r w:rsidR="00E03BA3">
        <w:rPr>
          <w:lang w:eastAsia="ja-JP"/>
        </w:rPr>
        <w:noBreakHyphen/>
        <w:t xml:space="preserve">primary end </w:t>
      </w:r>
      <w:r>
        <w:rPr>
          <w:lang w:eastAsia="ja-JP"/>
        </w:rPr>
        <w:t>points of accrued remission and p</w:t>
      </w:r>
      <w:r>
        <w:t>roportion of subjects in remission at both Weeks 36 and 48. This result appears robust as all of the supportive analyses showed benefit. All secondary outcome measures (not shown in</w:t>
      </w:r>
      <w:r w:rsidR="002E4BF6">
        <w:t xml:space="preserve"> </w:t>
      </w:r>
      <w:r w:rsidR="002E4BF6">
        <w:fldChar w:fldCharType="begin"/>
      </w:r>
      <w:r w:rsidR="002E4BF6">
        <w:instrText xml:space="preserve"> REF _Ref15296227 \h </w:instrText>
      </w:r>
      <w:r w:rsidR="002E4BF6">
        <w:fldChar w:fldCharType="separate"/>
      </w:r>
      <w:r w:rsidR="00126A5E" w:rsidRPr="002A0E61">
        <w:t xml:space="preserve">Table </w:t>
      </w:r>
      <w:r w:rsidR="00126A5E">
        <w:rPr>
          <w:noProof/>
        </w:rPr>
        <w:t>7</w:t>
      </w:r>
      <w:r w:rsidR="002E4BF6">
        <w:fldChar w:fldCharType="end"/>
      </w:r>
      <w:r w:rsidR="002E4BF6">
        <w:t>, above</w:t>
      </w:r>
      <w:r w:rsidR="00E03BA3">
        <w:t xml:space="preserve">) also showed benefit. Sub </w:t>
      </w:r>
      <w:r>
        <w:t>group analysis found similar b</w:t>
      </w:r>
      <w:r w:rsidR="00E03BA3">
        <w:t xml:space="preserve">enefits for both co-primary end </w:t>
      </w:r>
      <w:r>
        <w:t>points for all groups, except for the group with baseline blood eosinophil level &lt; 150 cells/µL.</w:t>
      </w:r>
    </w:p>
    <w:p w14:paraId="5D005502" w14:textId="77777777" w:rsidR="00190952" w:rsidRDefault="00E03BA3" w:rsidP="00190952">
      <w:r>
        <w:t xml:space="preserve">The co-primary end </w:t>
      </w:r>
      <w:r w:rsidR="00190952">
        <w:t>points are novel and have not been reported in EGPA or vasculitis studies previously. The use of such complex and novel end-points limits comparison to historical controls and also limits the ability of clinicians to contextualise the results within their own experience.</w:t>
      </w:r>
    </w:p>
    <w:p w14:paraId="70CA1174" w14:textId="60B7AE2B" w:rsidR="00190952" w:rsidRPr="00487171" w:rsidRDefault="00190952" w:rsidP="005344E4">
      <w:r>
        <w:t>More common e</w:t>
      </w:r>
      <w:r w:rsidR="00E03BA3">
        <w:t xml:space="preserve">nd </w:t>
      </w:r>
      <w:r>
        <w:t xml:space="preserve">points are relapse rate and complete remission rate, although varying definitions have been used for remission and relapse. </w:t>
      </w:r>
      <w:r w:rsidRPr="00CD6849">
        <w:t>As shown in</w:t>
      </w:r>
      <w:r w:rsidR="00E03BA3">
        <w:t xml:space="preserve"> </w:t>
      </w:r>
      <w:r w:rsidR="00E03BA3">
        <w:fldChar w:fldCharType="begin"/>
      </w:r>
      <w:r w:rsidR="00E03BA3">
        <w:instrText xml:space="preserve"> REF _Ref15296227 \h </w:instrText>
      </w:r>
      <w:r w:rsidR="005344E4">
        <w:instrText xml:space="preserve"> \* MERGEFORMAT </w:instrText>
      </w:r>
      <w:r w:rsidR="00E03BA3">
        <w:fldChar w:fldCharType="separate"/>
      </w:r>
      <w:r w:rsidR="00126A5E" w:rsidRPr="002A0E61">
        <w:t xml:space="preserve">Table </w:t>
      </w:r>
      <w:r w:rsidR="00126A5E">
        <w:rPr>
          <w:noProof/>
        </w:rPr>
        <w:t>7</w:t>
      </w:r>
      <w:r w:rsidR="00E03BA3">
        <w:fldChar w:fldCharType="end"/>
      </w:r>
      <w:r w:rsidRPr="00CD6849">
        <w:t xml:space="preserve">, </w:t>
      </w:r>
      <w:proofErr w:type="spellStart"/>
      <w:r w:rsidRPr="00CD6849">
        <w:t>mepolizumab</w:t>
      </w:r>
      <w:proofErr w:type="spellEnd"/>
      <w:r w:rsidRPr="00CD6849">
        <w:t xml:space="preserve"> was associated with a substantial reduction in relapse rate compared to placebo (56% compared to 82%), although the analysis of the annual relapse rate shows that this equates on average to a reduction from 2 relapses to one relapse per year. </w:t>
      </w:r>
      <w:r>
        <w:t>Indirect c</w:t>
      </w:r>
      <w:r w:rsidRPr="00CD6849">
        <w:t>omparison of the outcome</w:t>
      </w:r>
      <w:r>
        <w:t>s</w:t>
      </w:r>
      <w:r w:rsidRPr="00CD6849">
        <w:t xml:space="preserve"> achieved with </w:t>
      </w:r>
      <w:proofErr w:type="spellStart"/>
      <w:r w:rsidRPr="00CD6849">
        <w:t>mepolizumab</w:t>
      </w:r>
      <w:proofErr w:type="spellEnd"/>
      <w:r w:rsidRPr="00CD6849">
        <w:t xml:space="preserve"> to outcomes reported in the literature is limited by the </w:t>
      </w:r>
      <w:r>
        <w:t xml:space="preserve">very </w:t>
      </w:r>
      <w:r w:rsidRPr="00CD6849">
        <w:t xml:space="preserve">few </w:t>
      </w:r>
      <w:r w:rsidR="00E03BA3">
        <w:t>randomised controlled trials</w:t>
      </w:r>
      <w:r>
        <w:t xml:space="preserve"> investigating EGPA </w:t>
      </w:r>
      <w:r>
        <w:lastRenderedPageBreak/>
        <w:t>reported in the literature</w:t>
      </w:r>
      <w:r w:rsidRPr="00CD6849">
        <w:t>. Cohen et al</w:t>
      </w:r>
      <w:r w:rsidR="000C068C">
        <w:t>.,</w:t>
      </w:r>
      <w:r w:rsidRPr="00CD6849">
        <w:rPr>
          <w:rStyle w:val="FootnoteReference"/>
        </w:rPr>
        <w:footnoteReference w:id="36"/>
      </w:r>
      <w:r w:rsidRPr="00CD6849">
        <w:t xml:space="preserve"> in a study comparing two different cyclophosphamide regimens for induction of remission, reported EGPA relapse rates of 78% and 52% during 8 years of follow-up. </w:t>
      </w:r>
      <w:proofErr w:type="spellStart"/>
      <w:r w:rsidRPr="00CD6849">
        <w:t>Hiemstra</w:t>
      </w:r>
      <w:proofErr w:type="spellEnd"/>
      <w:r w:rsidRPr="00CD6849">
        <w:t xml:space="preserve"> et al</w:t>
      </w:r>
      <w:r w:rsidR="000C068C">
        <w:t>.,</w:t>
      </w:r>
      <w:r w:rsidRPr="00CD6849">
        <w:rPr>
          <w:rStyle w:val="FootnoteReference"/>
        </w:rPr>
        <w:footnoteReference w:id="37"/>
      </w:r>
      <w:r w:rsidRPr="00CD6849">
        <w:t xml:space="preserve"> , in a study investigating the use of </w:t>
      </w:r>
      <w:proofErr w:type="spellStart"/>
      <w:r w:rsidR="00E03BA3" w:rsidRPr="00CD6849">
        <w:t>mycophenolate</w:t>
      </w:r>
      <w:proofErr w:type="spellEnd"/>
      <w:r w:rsidRPr="00CD6849">
        <w:t xml:space="preserve"> </w:t>
      </w:r>
      <w:proofErr w:type="spellStart"/>
      <w:r w:rsidRPr="00CD6849">
        <w:t>mofetil</w:t>
      </w:r>
      <w:proofErr w:type="spellEnd"/>
      <w:r w:rsidRPr="00CD6849">
        <w:t xml:space="preserve"> and azathioprine for remission maintenance in ANCA associated vasculitis (limited to Wegener’s or MPA) reported relapse rates of 55% in the </w:t>
      </w:r>
      <w:proofErr w:type="spellStart"/>
      <w:r w:rsidR="00E03BA3" w:rsidRPr="00CD6849">
        <w:t>mycophenolate</w:t>
      </w:r>
      <w:proofErr w:type="spellEnd"/>
      <w:r w:rsidRPr="00CD6849">
        <w:t xml:space="preserve"> group and 37.5% in the azathioprine group.</w:t>
      </w:r>
    </w:p>
    <w:p w14:paraId="130C8648" w14:textId="754BDCBF" w:rsidR="00190952" w:rsidRDefault="00190952" w:rsidP="005344E4">
      <w:r>
        <w:t xml:space="preserve">Other results show clinically relevant improvements in patients receiving </w:t>
      </w:r>
      <w:proofErr w:type="spellStart"/>
      <w:r>
        <w:t>mepolizumab</w:t>
      </w:r>
      <w:proofErr w:type="spellEnd"/>
      <w:r>
        <w:t xml:space="preserve"> compared to placebo. There was a reduction in the number of patients experiencing more clinically important major relapses. There were fewer patient</w:t>
      </w:r>
      <w:r w:rsidR="00E03BA3">
        <w:t>s</w:t>
      </w:r>
      <w:r>
        <w:t xml:space="preserve"> who did not achieve any reduction in OCS dose and the number of patients who accrued more than 24 weeks at an OCS dose ≤ 4mg was higher in the </w:t>
      </w:r>
      <w:proofErr w:type="spellStart"/>
      <w:r>
        <w:t>mepolizumab</w:t>
      </w:r>
      <w:proofErr w:type="spellEnd"/>
      <w:r>
        <w:t xml:space="preserve"> group compared to placebo. The analysis of asthma control, according to the </w:t>
      </w:r>
      <w:r w:rsidR="000C068C">
        <w:t>Asthma Control Questionnaire-</w:t>
      </w:r>
      <w:r w:rsidR="000C068C" w:rsidRPr="00AF7B2C">
        <w:t>6</w:t>
      </w:r>
      <w:r w:rsidR="00E03BA3">
        <w:t xml:space="preserve"> (</w:t>
      </w:r>
      <w:r>
        <w:t>ACQ-6</w:t>
      </w:r>
      <w:r w:rsidR="00E03BA3">
        <w:t>)</w:t>
      </w:r>
      <w:r>
        <w:t xml:space="preserve">, reported that subjects treated with </w:t>
      </w:r>
      <w:proofErr w:type="spellStart"/>
      <w:r>
        <w:t>mepolizumab</w:t>
      </w:r>
      <w:proofErr w:type="spellEnd"/>
      <w:r>
        <w:t xml:space="preserve"> had numerically greater reductions (improvement) </w:t>
      </w:r>
      <w:r w:rsidR="00E03BA3">
        <w:t xml:space="preserve">in mean ACQ-6 scores at every 4 </w:t>
      </w:r>
      <w:r>
        <w:t>week time period compared with subjects who received placebo.</w:t>
      </w:r>
    </w:p>
    <w:p w14:paraId="62882470" w14:textId="77777777" w:rsidR="00190952" w:rsidRDefault="00190952" w:rsidP="005344E4">
      <w:r>
        <w:t>The results are clinically relevant and important as time in remission, reduction in the number of relapses and reduction in corticosteroid dose are goals of therapy for EGPA. The improvement in asthma control</w:t>
      </w:r>
      <w:r>
        <w:rPr>
          <w:rFonts w:asciiTheme="minorHAnsi" w:eastAsia="TimesNewRoman" w:hAnsiTheme="minorHAnsi" w:cs="TimesNewRoman"/>
        </w:rPr>
        <w:t xml:space="preserve"> is also clinically important as </w:t>
      </w:r>
      <w:r>
        <w:t>asthma exacerbations may be poorly controlled by immunosuppressive treatment and require high doses of glucocorticoids.</w:t>
      </w:r>
    </w:p>
    <w:p w14:paraId="1BEAC3F1" w14:textId="77777777" w:rsidR="00190952" w:rsidRDefault="00190952" w:rsidP="005344E4">
      <w:r>
        <w:t>Within these positive results there are some concerning issues.</w:t>
      </w:r>
    </w:p>
    <w:p w14:paraId="186BB391" w14:textId="77777777" w:rsidR="00190952" w:rsidRPr="00307919" w:rsidRDefault="00190952" w:rsidP="00A51C94">
      <w:pPr>
        <w:pStyle w:val="Numberbullet0"/>
        <w:numPr>
          <w:ilvl w:val="0"/>
          <w:numId w:val="29"/>
        </w:numPr>
      </w:pPr>
      <w:r w:rsidRPr="00307919">
        <w:t>Non-responders</w:t>
      </w:r>
    </w:p>
    <w:p w14:paraId="76D4924C" w14:textId="77777777" w:rsidR="00190952" w:rsidRDefault="00190952" w:rsidP="00E03BA3">
      <w:pPr>
        <w:ind w:left="425"/>
        <w:rPr>
          <w:rFonts w:eastAsia="OTNEJMQuadraat" w:cs="OTNEJMQuadraat"/>
        </w:rPr>
      </w:pPr>
      <w:bookmarkStart w:id="95" w:name="_Hlk506370063"/>
      <w:r w:rsidRPr="00307919">
        <w:t xml:space="preserve">Treatment with </w:t>
      </w:r>
      <w:proofErr w:type="spellStart"/>
      <w:r w:rsidRPr="00307919">
        <w:t>mepolizumab</w:t>
      </w:r>
      <w:proofErr w:type="spellEnd"/>
      <w:r w:rsidRPr="00307919">
        <w:t xml:space="preserve"> did not have the same effects with all patients. There were 32 patients (47%) in the </w:t>
      </w:r>
      <w:proofErr w:type="spellStart"/>
      <w:r w:rsidRPr="00307919">
        <w:t>mepolizumab</w:t>
      </w:r>
      <w:proofErr w:type="spellEnd"/>
      <w:r w:rsidRPr="00307919">
        <w:t xml:space="preserve"> arm who did not achieve a remission of any duration. </w:t>
      </w:r>
      <w:r w:rsidRPr="00307919">
        <w:rPr>
          <w:rFonts w:eastAsia="OTNEJMQuadraat" w:cs="OTNEJMQuadraat"/>
        </w:rPr>
        <w:t xml:space="preserve">Studies investigating the use of </w:t>
      </w:r>
      <w:proofErr w:type="spellStart"/>
      <w:r w:rsidRPr="00307919">
        <w:rPr>
          <w:rFonts w:eastAsia="OTNEJMQuadraat" w:cs="OTNEJMQuadraat"/>
        </w:rPr>
        <w:t>mepolizumab</w:t>
      </w:r>
      <w:proofErr w:type="spellEnd"/>
      <w:r w:rsidRPr="00307919">
        <w:rPr>
          <w:rFonts w:eastAsia="OTNEJMQuadraat" w:cs="OTNEJMQuadraat"/>
        </w:rPr>
        <w:t xml:space="preserve"> in asthma also found that not all patients benefited. </w:t>
      </w:r>
      <w:bookmarkEnd w:id="95"/>
      <w:r w:rsidRPr="00307919">
        <w:rPr>
          <w:rFonts w:eastAsia="OTNEJMQuadraat" w:cs="OTNEJMQuadraat"/>
        </w:rPr>
        <w:t xml:space="preserve">Investigators for the SIRIUS study reported that: </w:t>
      </w:r>
      <w:r w:rsidR="00126A5E">
        <w:rPr>
          <w:rFonts w:eastAsia="OTNEJMQuadraat" w:cs="OTNEJMQuadraat"/>
        </w:rPr>
        <w:t>‘</w:t>
      </w:r>
      <w:r w:rsidRPr="00307919">
        <w:t>36% were unable to reduce their dose of oral corticosteroid, withdrew from treatment or had a lack of asthma control</w:t>
      </w:r>
      <w:r w:rsidR="00126A5E">
        <w:t>’</w:t>
      </w:r>
      <w:r w:rsidRPr="00307919">
        <w:t>.</w:t>
      </w:r>
      <w:r w:rsidRPr="00307919">
        <w:rPr>
          <w:rStyle w:val="FootnoteReference"/>
          <w:rFonts w:asciiTheme="minorHAnsi" w:hAnsiTheme="minorHAnsi"/>
          <w:i/>
        </w:rPr>
        <w:footnoteReference w:id="38"/>
      </w:r>
      <w:r w:rsidRPr="00307919">
        <w:t xml:space="preserve"> It is not clear why there should be this difference in effect. The related EGPA article reasonably speculates that: </w:t>
      </w:r>
      <w:r w:rsidR="00126A5E">
        <w:t>‘</w:t>
      </w:r>
      <w:r w:rsidRPr="00307919">
        <w:rPr>
          <w:rFonts w:eastAsia="OTNEJMQuadraat" w:cs="OTNEJMQuadraat"/>
        </w:rPr>
        <w:t xml:space="preserve">One consideration is that eosinophilic granulomatosis with </w:t>
      </w:r>
      <w:proofErr w:type="spellStart"/>
      <w:r w:rsidRPr="00307919">
        <w:rPr>
          <w:rFonts w:eastAsia="OTNEJMQuadraat" w:cs="OTNEJMQuadraat"/>
        </w:rPr>
        <w:t>polyangiitis</w:t>
      </w:r>
      <w:proofErr w:type="spellEnd"/>
      <w:r w:rsidRPr="00307919">
        <w:rPr>
          <w:rFonts w:eastAsia="OTNEJMQuadraat" w:cs="OTNEJMQuadraat"/>
        </w:rPr>
        <w:t xml:space="preserve"> is a heterogeneous disease with some </w:t>
      </w:r>
      <w:r w:rsidR="00E03BA3">
        <w:rPr>
          <w:rFonts w:eastAsia="OTNEJMQuadraat" w:cs="OTNEJMQuadraat"/>
        </w:rPr>
        <w:t>manifestations being non</w:t>
      </w:r>
      <w:r w:rsidR="00E03BA3">
        <w:rPr>
          <w:rFonts w:eastAsia="OTNEJMQuadraat" w:cs="OTNEJMQuadraat"/>
        </w:rPr>
        <w:noBreakHyphen/>
      </w:r>
      <w:r w:rsidRPr="00307919">
        <w:rPr>
          <w:rFonts w:eastAsia="OTNEJMQuadraat" w:cs="OTNEJMQuadraat"/>
        </w:rPr>
        <w:t>eosinophil driven</w:t>
      </w:r>
      <w:r w:rsidR="00126A5E">
        <w:rPr>
          <w:rFonts w:eastAsia="OTNEJMQuadraat" w:cs="OTNEJMQuadraat"/>
        </w:rPr>
        <w:t>’</w:t>
      </w:r>
      <w:r w:rsidRPr="00307919">
        <w:rPr>
          <w:rFonts w:eastAsia="OTNEJMQuadraat" w:cs="OTNEJMQuadraat"/>
        </w:rPr>
        <w:t xml:space="preserve"> and </w:t>
      </w:r>
      <w:r w:rsidR="00126A5E">
        <w:rPr>
          <w:rFonts w:eastAsia="OTNEJMQuadraat" w:cs="OTNEJMQuadraat"/>
        </w:rPr>
        <w:t>‘</w:t>
      </w:r>
      <w:r w:rsidRPr="00307919">
        <w:rPr>
          <w:rFonts w:eastAsia="OTNEJMQuadraat" w:cs="OTNEJMQuadraat"/>
        </w:rPr>
        <w:t xml:space="preserve">Alternatively, although </w:t>
      </w:r>
      <w:proofErr w:type="spellStart"/>
      <w:r w:rsidRPr="00307919">
        <w:rPr>
          <w:rFonts w:eastAsia="OTNEJMQuadraat" w:cs="OTNEJMQuadraat"/>
        </w:rPr>
        <w:t>mepolizumab</w:t>
      </w:r>
      <w:proofErr w:type="spellEnd"/>
      <w:r w:rsidRPr="00307919">
        <w:rPr>
          <w:rFonts w:eastAsia="OTNEJMQuadraat" w:cs="OTNEJMQuadraat"/>
        </w:rPr>
        <w:t xml:space="preserve"> reduced blood eosinophils, the dose may have been insufficient to eliminate tissue eosinophils</w:t>
      </w:r>
      <w:r w:rsidR="00126A5E">
        <w:rPr>
          <w:rFonts w:eastAsia="OTNEJMQuadraat" w:cs="OTNEJMQuadraat"/>
        </w:rPr>
        <w:t>’</w:t>
      </w:r>
      <w:r w:rsidRPr="00307919">
        <w:rPr>
          <w:rFonts w:eastAsia="OTNEJMQuadraat" w:cs="OTNEJMQuadraat"/>
        </w:rPr>
        <w:t>. The differential effects reported suggest that equating raised blood eosinophilia with disease activity that may be suppr</w:t>
      </w:r>
      <w:r w:rsidR="00E03BA3">
        <w:rPr>
          <w:rFonts w:eastAsia="OTNEJMQuadraat" w:cs="OTNEJMQuadraat"/>
        </w:rPr>
        <w:t xml:space="preserve">essed by </w:t>
      </w:r>
      <w:proofErr w:type="spellStart"/>
      <w:r w:rsidR="00E03BA3">
        <w:rPr>
          <w:rFonts w:eastAsia="OTNEJMQuadraat" w:cs="OTNEJMQuadraat"/>
        </w:rPr>
        <w:t>mepolizumab</w:t>
      </w:r>
      <w:proofErr w:type="spellEnd"/>
      <w:r w:rsidR="00E03BA3">
        <w:rPr>
          <w:rFonts w:eastAsia="OTNEJMQuadraat" w:cs="OTNEJMQuadraat"/>
        </w:rPr>
        <w:t xml:space="preserve"> is an over </w:t>
      </w:r>
      <w:r w:rsidRPr="00307919">
        <w:rPr>
          <w:rFonts w:eastAsia="OTNEJMQuadraat" w:cs="OTNEJMQuadraat"/>
        </w:rPr>
        <w:t xml:space="preserve">simplification, particularly given the lack of any demonstrated relationship between blood eosinophil reduction, tissue </w:t>
      </w:r>
      <w:r>
        <w:rPr>
          <w:rFonts w:eastAsia="OTNEJMQuadraat" w:cs="OTNEJMQuadraat"/>
        </w:rPr>
        <w:t xml:space="preserve">eosinophil changes </w:t>
      </w:r>
      <w:r w:rsidRPr="00307919">
        <w:rPr>
          <w:rFonts w:eastAsia="OTNEJMQuadraat" w:cs="OTNEJMQuadraat"/>
        </w:rPr>
        <w:t xml:space="preserve">and reduction in disease activity for the conditions in which </w:t>
      </w:r>
      <w:proofErr w:type="spellStart"/>
      <w:r w:rsidRPr="00307919">
        <w:rPr>
          <w:rFonts w:eastAsia="OTNEJMQuadraat" w:cs="OTNEJMQuadraat"/>
        </w:rPr>
        <w:t>mepolizumab</w:t>
      </w:r>
      <w:proofErr w:type="spellEnd"/>
      <w:r w:rsidRPr="00307919">
        <w:rPr>
          <w:rFonts w:eastAsia="OTNEJMQuadraat" w:cs="OTNEJMQuadraat"/>
        </w:rPr>
        <w:t xml:space="preserve"> has been investigated. A better and more predictive biomarker is required.</w:t>
      </w:r>
    </w:p>
    <w:p w14:paraId="53FD5888" w14:textId="77777777" w:rsidR="00190952" w:rsidRDefault="00190952" w:rsidP="00E03BA3">
      <w:pPr>
        <w:pStyle w:val="Numberbullet0"/>
      </w:pPr>
      <w:r>
        <w:t>Lack of efficacy in participants with baseline eosinophil count &lt;</w:t>
      </w:r>
      <w:r w:rsidR="00E03BA3">
        <w:t xml:space="preserve"> </w:t>
      </w:r>
      <w:r>
        <w:t>150 cells/µL</w:t>
      </w:r>
    </w:p>
    <w:p w14:paraId="393A3B0A" w14:textId="77777777" w:rsidR="00190952" w:rsidRPr="0060591E" w:rsidRDefault="00E03BA3" w:rsidP="00E03BA3">
      <w:pPr>
        <w:ind w:left="425"/>
      </w:pPr>
      <w:r>
        <w:t xml:space="preserve">The pre-specified sub </w:t>
      </w:r>
      <w:r w:rsidR="00190952">
        <w:t>group analysis found no benefit for the primar</w:t>
      </w:r>
      <w:r>
        <w:t xml:space="preserve">y outcome measures for this sub </w:t>
      </w:r>
      <w:r w:rsidR="00190952">
        <w:t>group. This did not appear to be due to the duration taken to we</w:t>
      </w:r>
      <w:r>
        <w:t xml:space="preserve">an from high doses of OCS as 15 out of </w:t>
      </w:r>
      <w:r w:rsidR="00190952">
        <w:t>57 patients (26%) with baseline eosinophil count &lt;</w:t>
      </w:r>
      <w:r>
        <w:t xml:space="preserve"> </w:t>
      </w:r>
      <w:r w:rsidR="00190952">
        <w:t>150 cells/</w:t>
      </w:r>
      <w:proofErr w:type="spellStart"/>
      <w:r w:rsidR="00190952">
        <w:t>uL</w:t>
      </w:r>
      <w:proofErr w:type="spellEnd"/>
      <w:r w:rsidR="00190952">
        <w:t xml:space="preserve"> were receiving high dose OCS (&gt;</w:t>
      </w:r>
      <w:r>
        <w:t xml:space="preserve"> </w:t>
      </w:r>
      <w:r w:rsidR="00190952">
        <w:t>20</w:t>
      </w:r>
      <w:r>
        <w:t xml:space="preserve"> </w:t>
      </w:r>
      <w:r w:rsidR="00190952">
        <w:t xml:space="preserve">mg per day). Post hoc </w:t>
      </w:r>
      <w:r w:rsidR="00190952">
        <w:lastRenderedPageBreak/>
        <w:t>analyses found a similar lack of benefit for the annualised relapse rate and linear relationships between baseline eosinophil level and EGPA relapse rate and baseline eosinophil level and percentag</w:t>
      </w:r>
      <w:r>
        <w:t>e reduction in OCS dose during W</w:t>
      </w:r>
      <w:r w:rsidR="00190952">
        <w:t>eeks 48 to 52. The baseline eosinophil count &lt;</w:t>
      </w:r>
      <w:r>
        <w:t xml:space="preserve"> </w:t>
      </w:r>
      <w:r w:rsidR="00190952">
        <w:t>150 cells/µL does no</w:t>
      </w:r>
      <w:r>
        <w:t xml:space="preserve">t identify all non-responders; </w:t>
      </w:r>
      <w:r w:rsidR="00190952">
        <w:t>there were 57 participants with baseline eosinophil count &lt;</w:t>
      </w:r>
      <w:r>
        <w:t> 150 </w:t>
      </w:r>
      <w:r w:rsidR="00190952">
        <w:t>cells/µL but 32 participants who failed to achieve remission of any duration.</w:t>
      </w:r>
    </w:p>
    <w:p w14:paraId="09F7BC1D" w14:textId="77777777" w:rsidR="00190952" w:rsidRPr="00307919" w:rsidRDefault="00190952" w:rsidP="00E03BA3">
      <w:pPr>
        <w:pStyle w:val="Numberbullet0"/>
      </w:pPr>
      <w:r w:rsidRPr="00307919">
        <w:t xml:space="preserve">Rebound after cessation of </w:t>
      </w:r>
      <w:proofErr w:type="spellStart"/>
      <w:r w:rsidRPr="00307919">
        <w:t>mepolizumab</w:t>
      </w:r>
      <w:proofErr w:type="spellEnd"/>
    </w:p>
    <w:p w14:paraId="7FF850F7" w14:textId="77777777" w:rsidR="00190952" w:rsidRPr="00307919" w:rsidRDefault="00190952" w:rsidP="00E03BA3">
      <w:pPr>
        <w:ind w:left="425"/>
      </w:pPr>
      <w:r w:rsidRPr="00307919">
        <w:t xml:space="preserve">A possible rebound effect, with increased disease activity following cessation of </w:t>
      </w:r>
      <w:proofErr w:type="spellStart"/>
      <w:r w:rsidRPr="00307919">
        <w:t>mepolizumab</w:t>
      </w:r>
      <w:proofErr w:type="spellEnd"/>
      <w:r w:rsidRPr="00307919">
        <w:t xml:space="preserve">, is suggested by the increased number of subjects in the </w:t>
      </w:r>
      <w:proofErr w:type="spellStart"/>
      <w:r w:rsidRPr="00307919">
        <w:t>mepolizumab</w:t>
      </w:r>
      <w:proofErr w:type="spellEnd"/>
      <w:r w:rsidRPr="00307919">
        <w:t xml:space="preserve"> group expe</w:t>
      </w:r>
      <w:r w:rsidR="00E03BA3">
        <w:t xml:space="preserve">riencing relapses in the follow </w:t>
      </w:r>
      <w:r w:rsidRPr="00307919">
        <w:t xml:space="preserve">up period compared to the placebo group. Of note is that an observational study of </w:t>
      </w:r>
      <w:proofErr w:type="spellStart"/>
      <w:r w:rsidRPr="00307919">
        <w:t>mepolizumab</w:t>
      </w:r>
      <w:proofErr w:type="spellEnd"/>
      <w:r w:rsidRPr="00307919">
        <w:t xml:space="preserve"> in severe eosinophi</w:t>
      </w:r>
      <w:r w:rsidR="00E03BA3">
        <w:t xml:space="preserve">lic asthma with 12 month follow </w:t>
      </w:r>
      <w:r w:rsidRPr="00307919">
        <w:t xml:space="preserve">up after cessation of </w:t>
      </w:r>
      <w:proofErr w:type="spellStart"/>
      <w:r w:rsidRPr="00307919">
        <w:t>mepolizumab</w:t>
      </w:r>
      <w:proofErr w:type="spellEnd"/>
      <w:r w:rsidRPr="00307919">
        <w:t xml:space="preserve"> has reported an increase in asthma exacerbations and asthma symptoms following cessation, with the authors of the opinion that this was due to a rebound phenomenon.</w:t>
      </w:r>
      <w:r w:rsidRPr="00307919">
        <w:rPr>
          <w:rStyle w:val="FootnoteReference"/>
          <w:rFonts w:asciiTheme="minorHAnsi" w:hAnsiTheme="minorHAnsi"/>
        </w:rPr>
        <w:footnoteReference w:id="39"/>
      </w:r>
      <w:r w:rsidRPr="00307919">
        <w:t xml:space="preserve"> The sponsor has been asked to provide further information regarding possible rebound following cessation of </w:t>
      </w:r>
      <w:proofErr w:type="spellStart"/>
      <w:r w:rsidRPr="00307919">
        <w:t>mepolizumab</w:t>
      </w:r>
      <w:proofErr w:type="spellEnd"/>
      <w:r w:rsidRPr="00307919">
        <w:t xml:space="preserve"> in patients with EGPA.</w:t>
      </w:r>
    </w:p>
    <w:p w14:paraId="744708EA" w14:textId="707962F2" w:rsidR="00190952" w:rsidRDefault="00190952" w:rsidP="005344E4">
      <w:pPr>
        <w:rPr>
          <w:rFonts w:eastAsiaTheme="minorHAnsi"/>
        </w:rPr>
      </w:pPr>
      <w:r>
        <w:t xml:space="preserve">The indication as proposed is for open-ended treatment. This presupposes that long-term use is not associated with tolerance and reduced efficacy. The main study for efficacy was limited to 13 treatments (48 weeks). The increase in EGPA relapse after </w:t>
      </w:r>
      <w:proofErr w:type="spellStart"/>
      <w:r>
        <w:t>mepolizumab</w:t>
      </w:r>
      <w:proofErr w:type="spellEnd"/>
      <w:r>
        <w:t xml:space="preserve"> cessation suggests that a treatment duration greater than 12 months is required. Subjects from Study MEA115921 were able to enter an open-label extension study through a </w:t>
      </w:r>
      <w:r w:rsidR="00FA06C6">
        <w:t>Long Term Access Program</w:t>
      </w:r>
      <w:r>
        <w:t xml:space="preserve">me or </w:t>
      </w:r>
      <w:r w:rsidR="00FA06C6">
        <w:t>Compassionate Use Program</w:t>
      </w:r>
      <w:r>
        <w:t xml:space="preserve">me, </w:t>
      </w:r>
      <w:r>
        <w:rPr>
          <w:rFonts w:eastAsiaTheme="minorHAnsi"/>
        </w:rPr>
        <w:t xml:space="preserve">Study MEA116841/201607. The interim </w:t>
      </w:r>
      <w:r w:rsidR="006850B7">
        <w:rPr>
          <w:rFonts w:eastAsiaTheme="minorHAnsi"/>
        </w:rPr>
        <w:t xml:space="preserve">clinical study report </w:t>
      </w:r>
      <w:r>
        <w:rPr>
          <w:rFonts w:eastAsiaTheme="minorHAnsi"/>
        </w:rPr>
        <w:t xml:space="preserve">for this study that was provided in the dossier was limited to exposure data and safety results. From the exposure data, </w:t>
      </w:r>
      <w:r>
        <w:rPr>
          <w:rFonts w:asciiTheme="minorHAnsi" w:hAnsiTheme="minorHAnsi"/>
        </w:rPr>
        <w:t xml:space="preserve">52 participants from the </w:t>
      </w:r>
      <w:proofErr w:type="spellStart"/>
      <w:r>
        <w:rPr>
          <w:rFonts w:asciiTheme="minorHAnsi" w:hAnsiTheme="minorHAnsi"/>
        </w:rPr>
        <w:t>mepolizumab</w:t>
      </w:r>
      <w:proofErr w:type="spellEnd"/>
      <w:r>
        <w:rPr>
          <w:rFonts w:asciiTheme="minorHAnsi" w:hAnsiTheme="minorHAnsi"/>
        </w:rPr>
        <w:t xml:space="preserve"> arm and 57 subjects from the placebo arm have entered the extension study (total 109 subjects) and have received a median number of treatments of 8 (range 1</w:t>
      </w:r>
      <w:r w:rsidR="000C068C">
        <w:rPr>
          <w:rFonts w:asciiTheme="minorHAnsi" w:hAnsiTheme="minorHAnsi"/>
        </w:rPr>
        <w:t> to </w:t>
      </w:r>
      <w:r>
        <w:rPr>
          <w:rFonts w:asciiTheme="minorHAnsi" w:hAnsiTheme="minorHAnsi"/>
        </w:rPr>
        <w:t xml:space="preserve">18). </w:t>
      </w:r>
      <w:r w:rsidR="00001050">
        <w:rPr>
          <w:rFonts w:asciiTheme="minorHAnsi" w:eastAsia="TimesNewRoman" w:hAnsiTheme="minorHAnsi" w:cs="TimesNewRoman"/>
        </w:rPr>
        <w:t xml:space="preserve">There were 3 out of </w:t>
      </w:r>
      <w:r>
        <w:rPr>
          <w:rFonts w:asciiTheme="minorHAnsi" w:eastAsia="TimesNewRoman" w:hAnsiTheme="minorHAnsi" w:cs="TimesNewRoman"/>
        </w:rPr>
        <w:t xml:space="preserve">109 subjects who ceased treatment with </w:t>
      </w:r>
      <w:proofErr w:type="spellStart"/>
      <w:r>
        <w:rPr>
          <w:rFonts w:asciiTheme="minorHAnsi" w:eastAsia="TimesNewRoman" w:hAnsiTheme="minorHAnsi" w:cs="TimesNewRoman"/>
        </w:rPr>
        <w:t>mepolizumab</w:t>
      </w:r>
      <w:proofErr w:type="spellEnd"/>
      <w:r>
        <w:rPr>
          <w:rFonts w:asciiTheme="minorHAnsi" w:eastAsia="TimesNewRoman" w:hAnsiTheme="minorHAnsi" w:cs="TimesNewRoman"/>
        </w:rPr>
        <w:t xml:space="preserve"> due to lack</w:t>
      </w:r>
      <w:r w:rsidR="00001050">
        <w:rPr>
          <w:rFonts w:asciiTheme="minorHAnsi" w:eastAsia="TimesNewRoman" w:hAnsiTheme="minorHAnsi" w:cs="TimesNewRoman"/>
        </w:rPr>
        <w:t xml:space="preserve"> of efficacy; </w:t>
      </w:r>
      <w:r>
        <w:rPr>
          <w:rFonts w:asciiTheme="minorHAnsi" w:eastAsia="TimesNewRoman" w:hAnsiTheme="minorHAnsi" w:cs="TimesNewRoman"/>
        </w:rPr>
        <w:t xml:space="preserve">whether these patients were from the </w:t>
      </w:r>
      <w:proofErr w:type="spellStart"/>
      <w:r>
        <w:rPr>
          <w:rFonts w:asciiTheme="minorHAnsi" w:eastAsia="TimesNewRoman" w:hAnsiTheme="minorHAnsi" w:cs="TimesNewRoman"/>
        </w:rPr>
        <w:t>mepolizumab</w:t>
      </w:r>
      <w:proofErr w:type="spellEnd"/>
      <w:r>
        <w:rPr>
          <w:rFonts w:asciiTheme="minorHAnsi" w:eastAsia="TimesNewRoman" w:hAnsiTheme="minorHAnsi" w:cs="TimesNewRoman"/>
        </w:rPr>
        <w:t xml:space="preserve"> arm of Study MEA115921 was not reported. To provide support for the proposed long-term use of </w:t>
      </w:r>
      <w:proofErr w:type="spellStart"/>
      <w:r>
        <w:rPr>
          <w:rFonts w:asciiTheme="minorHAnsi" w:eastAsia="TimesNewRoman" w:hAnsiTheme="minorHAnsi" w:cs="TimesNewRoman"/>
        </w:rPr>
        <w:t>mepolizumab</w:t>
      </w:r>
      <w:proofErr w:type="spellEnd"/>
      <w:r>
        <w:rPr>
          <w:rFonts w:asciiTheme="minorHAnsi" w:eastAsia="TimesNewRoman" w:hAnsiTheme="minorHAnsi" w:cs="TimesNewRoman"/>
        </w:rPr>
        <w:t xml:space="preserve"> in patients with EGPA, the sponsor has been asked to provide interim efficacy results from </w:t>
      </w:r>
      <w:r>
        <w:rPr>
          <w:rFonts w:eastAsiaTheme="minorHAnsi"/>
        </w:rPr>
        <w:t>Study MEA116841/201607.</w:t>
      </w:r>
    </w:p>
    <w:p w14:paraId="642DFC81" w14:textId="77777777" w:rsidR="00500337" w:rsidRPr="005344E4" w:rsidRDefault="00190952" w:rsidP="005344E4">
      <w:pPr>
        <w:rPr>
          <w:rFonts w:eastAsiaTheme="minorHAnsi"/>
        </w:rPr>
      </w:pPr>
      <w:r>
        <w:rPr>
          <w:rFonts w:eastAsiaTheme="minorHAnsi"/>
        </w:rPr>
        <w:t xml:space="preserve">The evaluator has proposed a number of changes to the description of </w:t>
      </w:r>
      <w:r w:rsidR="005344E4">
        <w:rPr>
          <w:rFonts w:eastAsiaTheme="minorHAnsi"/>
        </w:rPr>
        <w:t xml:space="preserve">Study </w:t>
      </w:r>
      <w:r w:rsidR="00F528C9">
        <w:rPr>
          <w:rFonts w:eastAsiaTheme="minorHAnsi"/>
        </w:rPr>
        <w:t>MEA115921 in the draft PI, however these</w:t>
      </w:r>
      <w:r w:rsidR="005344E4">
        <w:rPr>
          <w:rFonts w:eastAsiaTheme="minorHAnsi"/>
        </w:rPr>
        <w:t xml:space="preserve"> are beyond the scope of this AusPAR.</w:t>
      </w:r>
    </w:p>
    <w:p w14:paraId="533CD8AC" w14:textId="77777777" w:rsidR="008E7846" w:rsidRPr="002E238E" w:rsidRDefault="008E7846" w:rsidP="008E7846">
      <w:pPr>
        <w:pStyle w:val="Heading3"/>
      </w:pPr>
      <w:bookmarkStart w:id="96" w:name="_Toc163441378"/>
      <w:bookmarkStart w:id="97" w:name="_Toc196046495"/>
      <w:bookmarkStart w:id="98" w:name="_Toc247691522"/>
      <w:bookmarkStart w:id="99" w:name="_Toc314842505"/>
      <w:bookmarkStart w:id="100" w:name="_Toc25227382"/>
      <w:bookmarkEnd w:id="85"/>
      <w:bookmarkEnd w:id="86"/>
      <w:bookmarkEnd w:id="87"/>
      <w:bookmarkEnd w:id="88"/>
      <w:r w:rsidRPr="002E238E">
        <w:t>Safety</w:t>
      </w:r>
      <w:bookmarkEnd w:id="96"/>
      <w:bookmarkEnd w:id="97"/>
      <w:bookmarkEnd w:id="98"/>
      <w:bookmarkEnd w:id="99"/>
      <w:bookmarkEnd w:id="100"/>
    </w:p>
    <w:p w14:paraId="60512955" w14:textId="77777777" w:rsidR="00605AD4" w:rsidRPr="00B052F0" w:rsidRDefault="00605AD4" w:rsidP="00B052F0">
      <w:pPr>
        <w:pStyle w:val="Heading4"/>
      </w:pPr>
      <w:bookmarkStart w:id="101" w:name="_Toc247691524"/>
      <w:bookmarkStart w:id="102" w:name="_Toc314842508"/>
      <w:bookmarkStart w:id="103" w:name="_Toc196046504"/>
      <w:bookmarkStart w:id="104" w:name="_Toc163441390"/>
      <w:r w:rsidRPr="00B052F0">
        <w:t>Studies providing safety data</w:t>
      </w:r>
    </w:p>
    <w:p w14:paraId="24AB7C78" w14:textId="77777777" w:rsidR="00190952" w:rsidRPr="00190952" w:rsidRDefault="00190952" w:rsidP="00B052F0">
      <w:r>
        <w:rPr>
          <w:lang w:eastAsia="ja-JP"/>
        </w:rPr>
        <w:t xml:space="preserve">Study MEA115921 is pivotal for the demonstration of efficacy and safety. </w:t>
      </w:r>
      <w:r w:rsidRPr="00190952">
        <w:t>Additional safety dat</w:t>
      </w:r>
      <w:r w:rsidR="00FD64C0">
        <w:t xml:space="preserve">a have been gathered via a </w:t>
      </w:r>
      <w:r w:rsidR="00FA06C6">
        <w:t>Long Term Access Program</w:t>
      </w:r>
      <w:r w:rsidR="00F71739">
        <w:t>me</w:t>
      </w:r>
      <w:r w:rsidR="00FD64C0">
        <w:t>, which is comprised of S</w:t>
      </w:r>
      <w:r w:rsidRPr="00190952">
        <w:t>tudies MEA116841 and 201607</w:t>
      </w:r>
      <w:r w:rsidR="00FD64C0">
        <w:t>.</w:t>
      </w:r>
    </w:p>
    <w:p w14:paraId="61D2D238" w14:textId="77777777" w:rsidR="00190952" w:rsidRDefault="00190952" w:rsidP="00B052F0">
      <w:bookmarkStart w:id="105" w:name="_Toc272414659"/>
      <w:bookmarkStart w:id="106" w:name="_Toc290888510"/>
      <w:bookmarkStart w:id="107" w:name="_Toc416353726"/>
      <w:bookmarkStart w:id="108" w:name="_Toc421005274"/>
      <w:bookmarkStart w:id="109" w:name="_Toc432079156"/>
      <w:bookmarkStart w:id="110" w:name="_Toc432080729"/>
      <w:r w:rsidRPr="00545B14">
        <w:t>Studies providing evaluable safety data</w:t>
      </w:r>
      <w:bookmarkEnd w:id="105"/>
      <w:bookmarkEnd w:id="106"/>
      <w:bookmarkEnd w:id="107"/>
      <w:bookmarkEnd w:id="108"/>
      <w:bookmarkEnd w:id="109"/>
      <w:bookmarkEnd w:id="110"/>
      <w:r w:rsidR="00FD64C0">
        <w:t>:</w:t>
      </w:r>
    </w:p>
    <w:p w14:paraId="6FD7AB3F" w14:textId="77777777" w:rsidR="00190952" w:rsidRPr="00160A2A" w:rsidRDefault="00190952" w:rsidP="00FD64C0">
      <w:pPr>
        <w:pStyle w:val="ListBullet"/>
      </w:pPr>
      <w:r w:rsidRPr="00160A2A">
        <w:t>Study MEA115921</w:t>
      </w:r>
      <w:r w:rsidR="00FD64C0">
        <w:t xml:space="preserve"> was a Phase III placebo </w:t>
      </w:r>
      <w:r>
        <w:t xml:space="preserve">controlled study investigating the use of </w:t>
      </w:r>
      <w:proofErr w:type="spellStart"/>
      <w:r>
        <w:t>mepolizumab</w:t>
      </w:r>
      <w:proofErr w:type="spellEnd"/>
      <w:r>
        <w:t xml:space="preserve"> in adults (age ≥ 18 years). The final </w:t>
      </w:r>
      <w:r w:rsidR="00FD64C0">
        <w:t>clinical study report was provided in the dossier.</w:t>
      </w:r>
    </w:p>
    <w:p w14:paraId="3FD18839" w14:textId="3A05AC2E" w:rsidR="00190952" w:rsidRPr="00BC00A1" w:rsidRDefault="00190952" w:rsidP="00FD64C0">
      <w:pPr>
        <w:pStyle w:val="ListBullet"/>
      </w:pPr>
      <w:r w:rsidRPr="00BC00A1">
        <w:t>Study MEA116841/201607 is</w:t>
      </w:r>
      <w:r w:rsidR="00FD64C0">
        <w:t xml:space="preserve"> an open </w:t>
      </w:r>
      <w:r w:rsidRPr="00BC00A1">
        <w:t>label continuation</w:t>
      </w:r>
      <w:r w:rsidR="000C068C">
        <w:t xml:space="preserve"> </w:t>
      </w:r>
      <w:r w:rsidRPr="00BC00A1">
        <w:t xml:space="preserve">of </w:t>
      </w:r>
      <w:r w:rsidR="000C068C">
        <w:t xml:space="preserve">Study </w:t>
      </w:r>
      <w:r w:rsidRPr="00BC00A1">
        <w:t>MEA115921, condu</w:t>
      </w:r>
      <w:r w:rsidR="00FD64C0">
        <w:t xml:space="preserve">cted through the sponsor’s long </w:t>
      </w:r>
      <w:r w:rsidRPr="00BC00A1">
        <w:t xml:space="preserve">term access and </w:t>
      </w:r>
      <w:r w:rsidR="00FA06C6">
        <w:t xml:space="preserve">Compassionate Use </w:t>
      </w:r>
      <w:r w:rsidR="00FA06C6">
        <w:lastRenderedPageBreak/>
        <w:t>Program</w:t>
      </w:r>
      <w:r w:rsidRPr="00BC00A1">
        <w:t xml:space="preserve">mes. An interim </w:t>
      </w:r>
      <w:r w:rsidR="00FD64C0">
        <w:t>clinical study report</w:t>
      </w:r>
      <w:r w:rsidRPr="00BC00A1">
        <w:t xml:space="preserve"> is provided in the dossier, with data cut</w:t>
      </w:r>
      <w:r w:rsidR="00FD64C0">
        <w:t>-</w:t>
      </w:r>
      <w:r w:rsidRPr="00BC00A1">
        <w:t xml:space="preserve">off date of </w:t>
      </w:r>
      <w:r w:rsidR="00FD64C0">
        <w:rPr>
          <w:lang w:eastAsia="ja-JP"/>
        </w:rPr>
        <w:t>5 </w:t>
      </w:r>
      <w:r>
        <w:rPr>
          <w:lang w:eastAsia="ja-JP"/>
        </w:rPr>
        <w:t xml:space="preserve">September 2016. </w:t>
      </w:r>
      <w:r w:rsidRPr="00B749C5">
        <w:t xml:space="preserve">According to the Clinical Overview, </w:t>
      </w:r>
      <w:r w:rsidR="00126A5E">
        <w:t>‘</w:t>
      </w:r>
      <w:r w:rsidRPr="00BC00A1">
        <w:rPr>
          <w:i/>
        </w:rPr>
        <w:t xml:space="preserve">The </w:t>
      </w:r>
      <w:r w:rsidR="00FA06C6">
        <w:rPr>
          <w:i/>
        </w:rPr>
        <w:t>Long Term Access Program</w:t>
      </w:r>
      <w:r w:rsidR="00FD64C0" w:rsidRPr="00FD64C0">
        <w:rPr>
          <w:i/>
        </w:rPr>
        <w:t>me</w:t>
      </w:r>
      <w:r w:rsidRPr="00BC00A1">
        <w:rPr>
          <w:i/>
        </w:rPr>
        <w:t xml:space="preserve"> is ongoing at the data cut-off date for this marketing application and therefore provides interim safety data; the data collection was limited to adverse events</w:t>
      </w:r>
      <w:r w:rsidR="00126A5E">
        <w:rPr>
          <w:i/>
        </w:rPr>
        <w:t>’</w:t>
      </w:r>
      <w:r w:rsidR="00FD64C0">
        <w:rPr>
          <w:i/>
        </w:rPr>
        <w:t>.</w:t>
      </w:r>
    </w:p>
    <w:p w14:paraId="6463C1C1" w14:textId="77777777" w:rsidR="00190952" w:rsidRDefault="00190952" w:rsidP="00FD64C0">
      <w:r w:rsidRPr="00160A2A">
        <w:t>Some additional safety information is provided</w:t>
      </w:r>
      <w:r>
        <w:t>:</w:t>
      </w:r>
    </w:p>
    <w:p w14:paraId="620CFB27" w14:textId="77777777" w:rsidR="00190952" w:rsidRPr="00975AD1" w:rsidRDefault="00190952" w:rsidP="00FD64C0">
      <w:pPr>
        <w:pStyle w:val="ListBullet"/>
        <w:rPr>
          <w:rFonts w:asciiTheme="minorHAnsi" w:eastAsiaTheme="minorHAnsi" w:hAnsiTheme="minorHAnsi" w:cs="TimesNewRoman"/>
        </w:rPr>
      </w:pPr>
      <w:r w:rsidRPr="00FD0867">
        <w:t>A 120 Day Safety Update Report (</w:t>
      </w:r>
      <w:r>
        <w:t xml:space="preserve">dated </w:t>
      </w:r>
      <w:r w:rsidR="00FD64C0">
        <w:t>28 June</w:t>
      </w:r>
      <w:r>
        <w:t xml:space="preserve"> 2017</w:t>
      </w:r>
      <w:r w:rsidRPr="00FD0867">
        <w:t xml:space="preserve">) </w:t>
      </w:r>
      <w:r>
        <w:t xml:space="preserve">that was provided to the FDA to support the EGPA application. This update provides updated data regarding SAEs reported in </w:t>
      </w:r>
      <w:r w:rsidRPr="00975AD1">
        <w:rPr>
          <w:rFonts w:asciiTheme="minorHAnsi" w:eastAsiaTheme="minorHAnsi" w:hAnsiTheme="minorHAnsi" w:cs="TimesNewRoman"/>
        </w:rPr>
        <w:t xml:space="preserve">Study MEA116841/201607, ongoing </w:t>
      </w:r>
      <w:r w:rsidR="00FD64C0">
        <w:rPr>
          <w:rFonts w:asciiTheme="minorHAnsi" w:eastAsiaTheme="minorHAnsi" w:hAnsiTheme="minorHAnsi" w:cs="TimesNewRoman"/>
        </w:rPr>
        <w:t>studies by the sponsor</w:t>
      </w:r>
      <w:r w:rsidRPr="00975AD1">
        <w:rPr>
          <w:rFonts w:asciiTheme="minorHAnsi" w:eastAsiaTheme="minorHAnsi" w:hAnsiTheme="minorHAnsi" w:cs="TimesNewRoman"/>
        </w:rPr>
        <w:t>; and on</w:t>
      </w:r>
      <w:r w:rsidR="00FD64C0">
        <w:rPr>
          <w:rFonts w:asciiTheme="minorHAnsi" w:eastAsiaTheme="minorHAnsi" w:hAnsiTheme="minorHAnsi" w:cs="TimesNewRoman"/>
        </w:rPr>
        <w:t xml:space="preserve">going or completed investigator </w:t>
      </w:r>
      <w:r w:rsidRPr="00975AD1">
        <w:rPr>
          <w:rFonts w:asciiTheme="minorHAnsi" w:eastAsiaTheme="minorHAnsi" w:hAnsiTheme="minorHAnsi" w:cs="TimesNewRoman"/>
        </w:rPr>
        <w:t>sponsored studies</w:t>
      </w:r>
      <w:r w:rsidR="00FD64C0">
        <w:rPr>
          <w:rFonts w:asciiTheme="minorHAnsi" w:eastAsiaTheme="minorHAnsi" w:hAnsiTheme="minorHAnsi" w:cs="TimesNewRoman"/>
        </w:rPr>
        <w:t>.</w:t>
      </w:r>
    </w:p>
    <w:p w14:paraId="270BF28B" w14:textId="77777777" w:rsidR="00500337" w:rsidRPr="00500337" w:rsidRDefault="00190952" w:rsidP="00500337">
      <w:pPr>
        <w:pStyle w:val="ListBullet"/>
      </w:pPr>
      <w:r>
        <w:t xml:space="preserve">Safety data from the </w:t>
      </w:r>
      <w:r w:rsidRPr="00975AD1">
        <w:rPr>
          <w:rFonts w:eastAsiaTheme="minorHAnsi"/>
        </w:rPr>
        <w:t xml:space="preserve">use of </w:t>
      </w:r>
      <w:proofErr w:type="spellStart"/>
      <w:r w:rsidRPr="00975AD1">
        <w:rPr>
          <w:rFonts w:eastAsiaTheme="minorHAnsi"/>
        </w:rPr>
        <w:t>mepolizumab</w:t>
      </w:r>
      <w:proofErr w:type="spellEnd"/>
      <w:r w:rsidRPr="00975AD1">
        <w:rPr>
          <w:rFonts w:eastAsiaTheme="minorHAnsi"/>
        </w:rPr>
        <w:t xml:space="preserve"> in patients with other conditions and from </w:t>
      </w:r>
      <w:r w:rsidRPr="00160A2A">
        <w:t xml:space="preserve">listings and narratives for fatal and non-fatal </w:t>
      </w:r>
      <w:r w:rsidR="00FD64C0">
        <w:t>SAEs</w:t>
      </w:r>
      <w:r w:rsidRPr="00160A2A">
        <w:t xml:space="preserve"> reported in the Global Safety Database for ongoing </w:t>
      </w:r>
      <w:r w:rsidR="00FD64C0">
        <w:t>GlaxoSmithKline</w:t>
      </w:r>
      <w:r w:rsidRPr="00160A2A">
        <w:t>-sponsored studies.</w:t>
      </w:r>
    </w:p>
    <w:p w14:paraId="10647D24" w14:textId="77777777" w:rsidR="00500337" w:rsidRDefault="00605AD4" w:rsidP="00FD64C0">
      <w:pPr>
        <w:pStyle w:val="Heading4"/>
      </w:pPr>
      <w:r w:rsidRPr="00605AD4">
        <w:t>Patient exposure</w:t>
      </w:r>
    </w:p>
    <w:p w14:paraId="7A217BDB" w14:textId="77777777" w:rsidR="00B052F0" w:rsidRPr="00B052F0" w:rsidRDefault="00B052F0" w:rsidP="00B052F0">
      <w:pPr>
        <w:pStyle w:val="Heading5"/>
      </w:pPr>
      <w:r w:rsidRPr="00B052F0">
        <w:t>All diseases</w:t>
      </w:r>
    </w:p>
    <w:p w14:paraId="71998015" w14:textId="77777777" w:rsidR="00B052F0" w:rsidRDefault="00B052F0" w:rsidP="00B052F0">
      <w:r>
        <w:rPr>
          <w:lang w:eastAsia="ja-JP"/>
        </w:rPr>
        <w:t>According to the summary of clinical safety,</w:t>
      </w:r>
      <w:r w:rsidR="00F528C9">
        <w:t xml:space="preserve"> ‘</w:t>
      </w:r>
      <w:r>
        <w:t xml:space="preserve">A total of </w:t>
      </w:r>
      <w:r w:rsidRPr="004663CB">
        <w:t>2</w:t>
      </w:r>
      <w:r>
        <w:t>,</w:t>
      </w:r>
      <w:r w:rsidRPr="004663CB">
        <w:t>5</w:t>
      </w:r>
      <w:r>
        <w:t>22</w:t>
      </w:r>
      <w:r w:rsidRPr="004663CB">
        <w:t xml:space="preserve"> subjects have received at least one dose of </w:t>
      </w:r>
      <w:proofErr w:type="spellStart"/>
      <w:r w:rsidRPr="004663CB">
        <w:t>mepolizumab</w:t>
      </w:r>
      <w:proofErr w:type="spellEnd"/>
      <w:r w:rsidRPr="004663CB">
        <w:t xml:space="preserve"> across 26 studies in EGPA, asthma (including severe asthma), HES, eosinophilic esophagitis, atopic dermatitis, nasal p</w:t>
      </w:r>
      <w:r w:rsidR="00F528C9">
        <w:t>olyposis and healthy volunteers’</w:t>
      </w:r>
      <w:r w:rsidRPr="00FE4AF8">
        <w:rPr>
          <w:lang w:eastAsia="ja-JP"/>
        </w:rPr>
        <w:t xml:space="preserve"> </w:t>
      </w:r>
      <w:r>
        <w:rPr>
          <w:lang w:eastAsia="ja-JP"/>
        </w:rPr>
        <w:t>i</w:t>
      </w:r>
      <w:r w:rsidRPr="00467CB6">
        <w:t xml:space="preserve">n </w:t>
      </w:r>
      <w:r>
        <w:t>GlaxoSmithKline</w:t>
      </w:r>
      <w:r w:rsidRPr="00467CB6">
        <w:t>-sponsored clinical trials</w:t>
      </w:r>
      <w:r>
        <w:t>.</w:t>
      </w:r>
    </w:p>
    <w:p w14:paraId="28D3ABD4" w14:textId="77777777" w:rsidR="00B052F0" w:rsidRDefault="00B052F0" w:rsidP="00B052F0">
      <w:pPr>
        <w:rPr>
          <w:rFonts w:asciiTheme="minorHAnsi" w:eastAsiaTheme="minorHAnsi" w:hAnsiTheme="minorHAnsi" w:cs="ArialNarrow,Bold"/>
          <w:bCs/>
        </w:rPr>
      </w:pPr>
      <w:r>
        <w:t xml:space="preserve">Participants in these studies received a range of doses, from 12.5 mg to 1500 mg, usually administered monthly. Doses ranging from 75 mg IV to 750 mg IV were investigated in asthma. The recommended dose for the approved indication of severe eosinophilic asthma is 100 mg SC monthly. Doses of 750 mg and 1500 mg IV monthly have been </w:t>
      </w:r>
      <w:r w:rsidRPr="00467CB6">
        <w:rPr>
          <w:rFonts w:asciiTheme="minorHAnsi" w:hAnsiTheme="minorHAnsi"/>
        </w:rPr>
        <w:t xml:space="preserve">investigated in </w:t>
      </w:r>
      <w:r w:rsidRPr="00467CB6">
        <w:rPr>
          <w:rFonts w:asciiTheme="minorHAnsi" w:eastAsiaTheme="minorHAnsi" w:hAnsiTheme="minorHAnsi" w:cs="ArialNarrow,Bold"/>
          <w:bCs/>
        </w:rPr>
        <w:t xml:space="preserve">eosinophilic </w:t>
      </w:r>
      <w:r>
        <w:rPr>
          <w:rFonts w:asciiTheme="minorHAnsi" w:eastAsiaTheme="minorHAnsi" w:hAnsiTheme="minorHAnsi" w:cs="ArialNarrow,Bold"/>
          <w:bCs/>
        </w:rPr>
        <w:t>e</w:t>
      </w:r>
      <w:r w:rsidRPr="00467CB6">
        <w:rPr>
          <w:rFonts w:asciiTheme="minorHAnsi" w:eastAsiaTheme="minorHAnsi" w:hAnsiTheme="minorHAnsi" w:cs="ArialNarrow,Bold"/>
          <w:bCs/>
        </w:rPr>
        <w:t xml:space="preserve">sophagitis and </w:t>
      </w:r>
      <w:r>
        <w:rPr>
          <w:rFonts w:asciiTheme="minorHAnsi" w:eastAsiaTheme="minorHAnsi" w:hAnsiTheme="minorHAnsi" w:cs="ArialNarrow,Bold"/>
          <w:bCs/>
        </w:rPr>
        <w:t>HES</w:t>
      </w:r>
      <w:r w:rsidRPr="00467CB6">
        <w:rPr>
          <w:rFonts w:asciiTheme="minorHAnsi" w:eastAsiaTheme="minorHAnsi" w:hAnsiTheme="minorHAnsi" w:cs="ArialNarrow,Bold"/>
          <w:bCs/>
        </w:rPr>
        <w:t>.</w:t>
      </w:r>
      <w:r>
        <w:rPr>
          <w:rFonts w:asciiTheme="minorHAnsi" w:eastAsiaTheme="minorHAnsi" w:hAnsiTheme="minorHAnsi" w:cs="ArialNarrow,Bold"/>
          <w:bCs/>
        </w:rPr>
        <w:t xml:space="preserve"> The dose of 300 mg SC monthly has only been substantially investigated in EGPA to date.</w:t>
      </w:r>
    </w:p>
    <w:p w14:paraId="5B73A3C7" w14:textId="77777777" w:rsidR="00B052F0" w:rsidRPr="00467CB6" w:rsidRDefault="00B052F0" w:rsidP="00B052F0">
      <w:pPr>
        <w:rPr>
          <w:rFonts w:asciiTheme="minorHAnsi" w:eastAsiaTheme="minorHAnsi" w:hAnsiTheme="minorHAnsi" w:cs="ArialNarrow,Bold"/>
          <w:bCs/>
        </w:rPr>
      </w:pPr>
      <w:r>
        <w:rPr>
          <w:rFonts w:asciiTheme="minorHAnsi" w:eastAsiaTheme="minorHAnsi" w:hAnsiTheme="minorHAnsi" w:cs="ArialNarrow,Bold"/>
          <w:bCs/>
        </w:rPr>
        <w:t>Participants in most of the 26 studies were treated for &lt; 12 months (2233 out of 2522, 89%). The dose for which the longest duration of treatment has been reported is 750 mg IV monthly; 122 subjects have received this dose for 60 months or longer.</w:t>
      </w:r>
    </w:p>
    <w:p w14:paraId="7E5EF93B" w14:textId="77777777" w:rsidR="00B052F0" w:rsidRPr="00B052F0" w:rsidRDefault="00B052F0" w:rsidP="00B052F0">
      <w:pPr>
        <w:pStyle w:val="Heading5"/>
      </w:pPr>
      <w:r w:rsidRPr="00B052F0">
        <w:t>EGPA</w:t>
      </w:r>
    </w:p>
    <w:p w14:paraId="1C8C5AE0" w14:textId="77777777" w:rsidR="00B052F0" w:rsidRPr="00B052F0" w:rsidRDefault="00B052F0" w:rsidP="00B052F0">
      <w:pPr>
        <w:pStyle w:val="Heading6"/>
      </w:pPr>
      <w:r w:rsidRPr="00B052F0">
        <w:t>Study MEA115921</w:t>
      </w:r>
    </w:p>
    <w:p w14:paraId="4F870264" w14:textId="77777777" w:rsidR="00B052F0" w:rsidRDefault="00B052F0" w:rsidP="00B052F0">
      <w:r>
        <w:rPr>
          <w:lang w:eastAsia="ja-JP"/>
        </w:rPr>
        <w:t xml:space="preserve">In Study MEA115921, there were 68 patients who received </w:t>
      </w:r>
      <w:proofErr w:type="spellStart"/>
      <w:r>
        <w:rPr>
          <w:lang w:eastAsia="ja-JP"/>
        </w:rPr>
        <w:t>mepolizumab</w:t>
      </w:r>
      <w:proofErr w:type="spellEnd"/>
      <w:r>
        <w:rPr>
          <w:lang w:eastAsia="ja-JP"/>
        </w:rPr>
        <w:t xml:space="preserve"> treatment and 68 patients who received placebo (safety population). There were 10 patients in the </w:t>
      </w:r>
      <w:proofErr w:type="spellStart"/>
      <w:r>
        <w:rPr>
          <w:lang w:eastAsia="ja-JP"/>
        </w:rPr>
        <w:t>mepolizumab</w:t>
      </w:r>
      <w:proofErr w:type="spellEnd"/>
      <w:r>
        <w:rPr>
          <w:lang w:eastAsia="ja-JP"/>
        </w:rPr>
        <w:t xml:space="preserve"> arm and 5 in the placebo arm who did not receive the protocol determined 13 treatments. </w:t>
      </w:r>
      <w:r w:rsidRPr="00764EDF">
        <w:t>There were 4 subjects in the study who each received one additional treatment in error.</w:t>
      </w:r>
      <w:r>
        <w:t xml:space="preserve"> See</w:t>
      </w:r>
      <w:r w:rsidR="00FA06C6">
        <w:t xml:space="preserve"> </w:t>
      </w:r>
      <w:r w:rsidR="00FA06C6">
        <w:fldChar w:fldCharType="begin"/>
      </w:r>
      <w:r w:rsidR="00FA06C6">
        <w:instrText xml:space="preserve"> REF _Ref15539034 \h </w:instrText>
      </w:r>
      <w:r w:rsidR="00FA06C6">
        <w:fldChar w:fldCharType="separate"/>
      </w:r>
      <w:r w:rsidR="00126A5E">
        <w:t xml:space="preserve">Table </w:t>
      </w:r>
      <w:r w:rsidR="00126A5E">
        <w:rPr>
          <w:noProof/>
        </w:rPr>
        <w:t>8</w:t>
      </w:r>
      <w:r w:rsidR="00FA06C6">
        <w:fldChar w:fldCharType="end"/>
      </w:r>
      <w:r>
        <w:t>.</w:t>
      </w:r>
    </w:p>
    <w:p w14:paraId="097386F4" w14:textId="77777777" w:rsidR="00B052F0" w:rsidRPr="004663CB" w:rsidRDefault="00B052F0" w:rsidP="00B052F0">
      <w:pPr>
        <w:pStyle w:val="TableTitle"/>
        <w:rPr>
          <w:lang w:eastAsia="ja-JP"/>
        </w:rPr>
      </w:pPr>
      <w:bookmarkStart w:id="111" w:name="_Ref15539034"/>
      <w:bookmarkStart w:id="112" w:name="_Toc525724241"/>
      <w:r>
        <w:lastRenderedPageBreak/>
        <w:t xml:space="preserve">Table </w:t>
      </w:r>
      <w:r w:rsidR="00C33647">
        <w:rPr>
          <w:noProof/>
        </w:rPr>
        <w:fldChar w:fldCharType="begin"/>
      </w:r>
      <w:r w:rsidR="00C33647">
        <w:rPr>
          <w:noProof/>
        </w:rPr>
        <w:instrText xml:space="preserve"> SEQ Table \* ARABIC </w:instrText>
      </w:r>
      <w:r w:rsidR="00C33647">
        <w:rPr>
          <w:noProof/>
        </w:rPr>
        <w:fldChar w:fldCharType="separate"/>
      </w:r>
      <w:r w:rsidR="00126A5E">
        <w:rPr>
          <w:noProof/>
        </w:rPr>
        <w:t>8</w:t>
      </w:r>
      <w:r w:rsidR="00C33647">
        <w:rPr>
          <w:noProof/>
        </w:rPr>
        <w:fldChar w:fldCharType="end"/>
      </w:r>
      <w:bookmarkEnd w:id="111"/>
      <w:r>
        <w:t xml:space="preserve">: Duration of </w:t>
      </w:r>
      <w:proofErr w:type="spellStart"/>
      <w:r>
        <w:t>mepolizumab</w:t>
      </w:r>
      <w:proofErr w:type="spellEnd"/>
      <w:r>
        <w:t xml:space="preserve"> exposure and treatments administered (</w:t>
      </w:r>
      <w:r w:rsidR="002B3D99">
        <w:t>Study </w:t>
      </w:r>
      <w:r w:rsidRPr="004663CB">
        <w:t>MEA115921</w:t>
      </w:r>
      <w:bookmarkEnd w:id="112"/>
      <w:r>
        <w:t>, safety population)</w:t>
      </w:r>
    </w:p>
    <w:p w14:paraId="300D0334" w14:textId="77777777" w:rsidR="00B052F0" w:rsidRDefault="00B052F0" w:rsidP="00B052F0">
      <w:pPr>
        <w:spacing w:after="0"/>
        <w:rPr>
          <w:lang w:eastAsia="ja-JP"/>
        </w:rPr>
      </w:pPr>
      <w:r>
        <w:rPr>
          <w:noProof/>
          <w:lang w:eastAsia="en-AU"/>
        </w:rPr>
        <w:drawing>
          <wp:inline distT="0" distB="0" distL="0" distR="0" wp14:anchorId="7ACD6670" wp14:editId="34DFD46B">
            <wp:extent cx="3635654" cy="3265485"/>
            <wp:effectExtent l="0" t="0" r="3175" b="0"/>
            <wp:docPr id="18" name="Picture 18" descr="Duration of mepolizumab exposure and treatments administered (Study MEA115921,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37162" cy="3266840"/>
                    </a:xfrm>
                    <a:prstGeom prst="rect">
                      <a:avLst/>
                    </a:prstGeom>
                  </pic:spPr>
                </pic:pic>
              </a:graphicData>
            </a:graphic>
          </wp:inline>
        </w:drawing>
      </w:r>
    </w:p>
    <w:p w14:paraId="7E409D15" w14:textId="77777777" w:rsidR="00B052F0" w:rsidRPr="00E949E9" w:rsidRDefault="00B052F0" w:rsidP="00B052F0">
      <w:pPr>
        <w:rPr>
          <w:lang w:eastAsia="ja-JP"/>
        </w:rPr>
      </w:pPr>
      <w:r w:rsidRPr="00E949E9">
        <w:rPr>
          <w:lang w:eastAsia="ja-JP"/>
        </w:rPr>
        <w:t xml:space="preserve">Demographics </w:t>
      </w:r>
      <w:r>
        <w:rPr>
          <w:lang w:eastAsia="ja-JP"/>
        </w:rPr>
        <w:t xml:space="preserve">and disease characteristics </w:t>
      </w:r>
      <w:r w:rsidRPr="00E949E9">
        <w:rPr>
          <w:lang w:eastAsia="ja-JP"/>
        </w:rPr>
        <w:t xml:space="preserve">of the participants in Study MEA115921 are shown </w:t>
      </w:r>
      <w:r w:rsidR="00FA06C6">
        <w:rPr>
          <w:lang w:eastAsia="ja-JP"/>
        </w:rPr>
        <w:t>in the clinical evaluation report</w:t>
      </w:r>
      <w:r w:rsidRPr="00E949E9">
        <w:rPr>
          <w:lang w:eastAsia="ja-JP"/>
        </w:rPr>
        <w:t xml:space="preserve">. Of note, is that: there were no participants aged younger than 18 years and only 17 aged 65 years or older; 92% of patients were white and 59% were female; the mean </w:t>
      </w:r>
      <w:r w:rsidR="006850B7">
        <w:rPr>
          <w:lang w:eastAsia="ja-JP"/>
        </w:rPr>
        <w:t>body mass index (</w:t>
      </w:r>
      <w:r w:rsidRPr="00E949E9">
        <w:rPr>
          <w:lang w:eastAsia="ja-JP"/>
        </w:rPr>
        <w:t>BMI</w:t>
      </w:r>
      <w:r w:rsidR="006850B7">
        <w:rPr>
          <w:lang w:eastAsia="ja-JP"/>
        </w:rPr>
        <w:t>)</w:t>
      </w:r>
      <w:r w:rsidRPr="00E949E9">
        <w:rPr>
          <w:lang w:eastAsia="ja-JP"/>
        </w:rPr>
        <w:t xml:space="preserve"> was 28 kg/m</w:t>
      </w:r>
      <w:r w:rsidRPr="00E949E9">
        <w:rPr>
          <w:vertAlign w:val="superscript"/>
          <w:lang w:eastAsia="ja-JP"/>
        </w:rPr>
        <w:t>2</w:t>
      </w:r>
      <w:r>
        <w:rPr>
          <w:lang w:eastAsia="ja-JP"/>
        </w:rPr>
        <w:t>; the mean time since EGPA diagnosis was 5.5 years; all patients were receiving oral corticoste</w:t>
      </w:r>
      <w:r w:rsidR="00FA06C6">
        <w:rPr>
          <w:lang w:eastAsia="ja-JP"/>
        </w:rPr>
        <w:t xml:space="preserve">roid as per protocol. Most (105 out of </w:t>
      </w:r>
      <w:r>
        <w:rPr>
          <w:lang w:eastAsia="ja-JP"/>
        </w:rPr>
        <w:t>136, 77%) had received other immunosuppressive therapy, with prior management includin</w:t>
      </w:r>
      <w:r w:rsidR="00FA06C6">
        <w:rPr>
          <w:lang w:eastAsia="ja-JP"/>
        </w:rPr>
        <w:t>g cyclophosphamide in 46 out of </w:t>
      </w:r>
      <w:r>
        <w:rPr>
          <w:lang w:eastAsia="ja-JP"/>
        </w:rPr>
        <w:t>136 (34%).</w:t>
      </w:r>
    </w:p>
    <w:p w14:paraId="0FD71B81" w14:textId="77777777" w:rsidR="00B052F0" w:rsidRPr="00FA06C6" w:rsidRDefault="00B052F0" w:rsidP="00FA06C6">
      <w:pPr>
        <w:pStyle w:val="Heading6"/>
      </w:pPr>
      <w:r w:rsidRPr="00FA06C6">
        <w:rPr>
          <w:rFonts w:eastAsiaTheme="minorHAnsi"/>
        </w:rPr>
        <w:t>Study MEA116841/201607</w:t>
      </w:r>
    </w:p>
    <w:p w14:paraId="4A46D47E" w14:textId="77777777" w:rsidR="00B052F0" w:rsidRPr="00EE27E6" w:rsidRDefault="00FA06C6" w:rsidP="00B052F0">
      <w:r>
        <w:rPr>
          <w:lang w:eastAsia="ja-JP"/>
        </w:rPr>
        <w:t xml:space="preserve">There were 109 out of </w:t>
      </w:r>
      <w:r w:rsidR="00B052F0" w:rsidRPr="00EE27E6">
        <w:rPr>
          <w:lang w:eastAsia="ja-JP"/>
        </w:rPr>
        <w:t xml:space="preserve">136 patients </w:t>
      </w:r>
      <w:r w:rsidR="00B052F0">
        <w:rPr>
          <w:lang w:eastAsia="ja-JP"/>
        </w:rPr>
        <w:t xml:space="preserve">(78%) </w:t>
      </w:r>
      <w:r w:rsidR="00B052F0" w:rsidRPr="00EE27E6">
        <w:rPr>
          <w:lang w:eastAsia="ja-JP"/>
        </w:rPr>
        <w:t xml:space="preserve">from Study MEA115921 who went on to receive open label </w:t>
      </w:r>
      <w:proofErr w:type="spellStart"/>
      <w:r w:rsidR="00B052F0" w:rsidRPr="00EE27E6">
        <w:rPr>
          <w:lang w:eastAsia="ja-JP"/>
        </w:rPr>
        <w:t>mepolizumab</w:t>
      </w:r>
      <w:proofErr w:type="spellEnd"/>
      <w:r w:rsidR="00B052F0" w:rsidRPr="00EE27E6">
        <w:rPr>
          <w:lang w:eastAsia="ja-JP"/>
        </w:rPr>
        <w:t xml:space="preserve"> </w:t>
      </w:r>
      <w:r w:rsidR="00B052F0" w:rsidRPr="00EE27E6">
        <w:t xml:space="preserve">300 mg SC monthly </w:t>
      </w:r>
      <w:r>
        <w:rPr>
          <w:lang w:eastAsia="ja-JP"/>
        </w:rPr>
        <w:t>in the Long Term Access Program</w:t>
      </w:r>
      <w:r w:rsidR="00F71739">
        <w:rPr>
          <w:lang w:eastAsia="ja-JP"/>
        </w:rPr>
        <w:t>me</w:t>
      </w:r>
      <w:r>
        <w:rPr>
          <w:lang w:eastAsia="ja-JP"/>
        </w:rPr>
        <w:t>/</w:t>
      </w:r>
      <w:r>
        <w:t>Compassionate Use Programme</w:t>
      </w:r>
      <w:r w:rsidR="00B052F0" w:rsidRPr="00EE27E6">
        <w:rPr>
          <w:lang w:eastAsia="ja-JP"/>
        </w:rPr>
        <w:t xml:space="preserve"> study. Of these, </w:t>
      </w:r>
      <w:r w:rsidR="00B052F0" w:rsidRPr="00EE27E6">
        <w:t xml:space="preserve">52 had received </w:t>
      </w:r>
      <w:proofErr w:type="spellStart"/>
      <w:r w:rsidR="00B052F0" w:rsidRPr="00EE27E6">
        <w:t>mepolizumab</w:t>
      </w:r>
      <w:proofErr w:type="spellEnd"/>
      <w:r w:rsidR="00B052F0" w:rsidRPr="00EE27E6">
        <w:t xml:space="preserve"> in Study MEA115921 and 57 subjects had received placebo. </w:t>
      </w:r>
      <w:r>
        <w:rPr>
          <w:rFonts w:eastAsia="TimesNewRoman" w:cs="TimesNewRoman"/>
          <w:color w:val="000000"/>
        </w:rPr>
        <w:t xml:space="preserve">At the data cut </w:t>
      </w:r>
      <w:r w:rsidR="00B052F0" w:rsidRPr="00EE27E6">
        <w:rPr>
          <w:rFonts w:eastAsia="TimesNewRoman" w:cs="TimesNewRoman"/>
          <w:color w:val="000000"/>
        </w:rPr>
        <w:t>off, 103</w:t>
      </w:r>
      <w:r>
        <w:rPr>
          <w:rFonts w:eastAsia="TimesNewRoman" w:cs="TimesNewRoman"/>
          <w:color w:val="000000"/>
        </w:rPr>
        <w:t xml:space="preserve"> out of </w:t>
      </w:r>
      <w:r w:rsidR="00B052F0">
        <w:rPr>
          <w:rFonts w:eastAsia="TimesNewRoman" w:cs="TimesNewRoman"/>
          <w:color w:val="000000"/>
        </w:rPr>
        <w:t>109</w:t>
      </w:r>
      <w:r w:rsidR="00B052F0" w:rsidRPr="00EE27E6">
        <w:rPr>
          <w:rFonts w:eastAsia="TimesNewRoman" w:cs="TimesNewRoman"/>
          <w:color w:val="000000"/>
        </w:rPr>
        <w:t xml:space="preserve"> subjects were continuing to be treated with </w:t>
      </w:r>
      <w:proofErr w:type="spellStart"/>
      <w:r w:rsidR="00B052F0" w:rsidRPr="00EE27E6">
        <w:rPr>
          <w:rFonts w:eastAsia="TimesNewRoman" w:cs="TimesNewRoman"/>
          <w:color w:val="000000"/>
        </w:rPr>
        <w:t>mepolizumab</w:t>
      </w:r>
      <w:proofErr w:type="spellEnd"/>
      <w:r w:rsidR="00B052F0">
        <w:rPr>
          <w:rFonts w:eastAsia="TimesNewRoman" w:cs="TimesNewRoman"/>
          <w:color w:val="000000"/>
        </w:rPr>
        <w:t>, and had received a mean number of 8 treatments (</w:t>
      </w:r>
      <w:r>
        <w:rPr>
          <w:rFonts w:eastAsia="TimesNewRoman" w:cs="TimesNewRoman"/>
          <w:color w:val="000000"/>
        </w:rPr>
        <w:t>see</w:t>
      </w:r>
      <w:r w:rsidR="002B3D99">
        <w:rPr>
          <w:rFonts w:eastAsia="TimesNewRoman" w:cs="TimesNewRoman"/>
          <w:color w:val="000000"/>
        </w:rPr>
        <w:t xml:space="preserve"> </w:t>
      </w:r>
      <w:r w:rsidR="002B3D99">
        <w:rPr>
          <w:rFonts w:eastAsia="TimesNewRoman" w:cs="TimesNewRoman"/>
          <w:color w:val="000000"/>
        </w:rPr>
        <w:fldChar w:fldCharType="begin"/>
      </w:r>
      <w:r w:rsidR="002B3D99">
        <w:rPr>
          <w:rFonts w:eastAsia="TimesNewRoman" w:cs="TimesNewRoman"/>
          <w:color w:val="000000"/>
        </w:rPr>
        <w:instrText xml:space="preserve"> REF _Ref15980254 \h </w:instrText>
      </w:r>
      <w:r w:rsidR="002B3D99">
        <w:rPr>
          <w:rFonts w:eastAsia="TimesNewRoman" w:cs="TimesNewRoman"/>
          <w:color w:val="000000"/>
        </w:rPr>
      </w:r>
      <w:r w:rsidR="002B3D99">
        <w:rPr>
          <w:rFonts w:eastAsia="TimesNewRoman" w:cs="TimesNewRoman"/>
          <w:color w:val="000000"/>
        </w:rPr>
        <w:fldChar w:fldCharType="separate"/>
      </w:r>
      <w:r w:rsidR="00126A5E">
        <w:t xml:space="preserve">Table </w:t>
      </w:r>
      <w:r w:rsidR="00126A5E">
        <w:rPr>
          <w:noProof/>
        </w:rPr>
        <w:t>9</w:t>
      </w:r>
      <w:r w:rsidR="002B3D99">
        <w:rPr>
          <w:rFonts w:eastAsia="TimesNewRoman" w:cs="TimesNewRoman"/>
          <w:color w:val="000000"/>
        </w:rPr>
        <w:fldChar w:fldCharType="end"/>
      </w:r>
      <w:r w:rsidR="00B052F0">
        <w:rPr>
          <w:rFonts w:eastAsia="TimesNewRoman" w:cs="TimesNewRoman"/>
          <w:color w:val="000000"/>
        </w:rPr>
        <w:t>)</w:t>
      </w:r>
      <w:r w:rsidR="00B052F0" w:rsidRPr="00EE27E6">
        <w:rPr>
          <w:rFonts w:eastAsia="TimesNewRoman" w:cs="TimesNewRoman"/>
          <w:color w:val="000000"/>
        </w:rPr>
        <w:t>. There were 6 subjects who had had discontinued treatment: 3 due to lack of efficacy, 2 due to AEs and 1 due to the subject’s decision.</w:t>
      </w:r>
    </w:p>
    <w:p w14:paraId="1A52BB32" w14:textId="77777777" w:rsidR="00B052F0" w:rsidRDefault="00FA06C6" w:rsidP="00FA06C6">
      <w:pPr>
        <w:pStyle w:val="TableTitle"/>
        <w:rPr>
          <w:lang w:eastAsia="ja-JP"/>
        </w:rPr>
      </w:pPr>
      <w:bookmarkStart w:id="113" w:name="_Ref15980254"/>
      <w:bookmarkStart w:id="114" w:name="_Toc525724242"/>
      <w:r>
        <w:lastRenderedPageBreak/>
        <w:t xml:space="preserve">Table </w:t>
      </w:r>
      <w:r w:rsidR="00C33647">
        <w:rPr>
          <w:noProof/>
        </w:rPr>
        <w:fldChar w:fldCharType="begin"/>
      </w:r>
      <w:r w:rsidR="00C33647">
        <w:rPr>
          <w:noProof/>
        </w:rPr>
        <w:instrText xml:space="preserve"> SEQ Table \* ARABIC </w:instrText>
      </w:r>
      <w:r w:rsidR="00C33647">
        <w:rPr>
          <w:noProof/>
        </w:rPr>
        <w:fldChar w:fldCharType="separate"/>
      </w:r>
      <w:r w:rsidR="00126A5E">
        <w:rPr>
          <w:noProof/>
        </w:rPr>
        <w:t>9</w:t>
      </w:r>
      <w:r w:rsidR="00C33647">
        <w:rPr>
          <w:noProof/>
        </w:rPr>
        <w:fldChar w:fldCharType="end"/>
      </w:r>
      <w:bookmarkEnd w:id="113"/>
      <w:r>
        <w:t xml:space="preserve">: </w:t>
      </w:r>
      <w:proofErr w:type="spellStart"/>
      <w:r>
        <w:t>Mepolizumab</w:t>
      </w:r>
      <w:proofErr w:type="spellEnd"/>
      <w:r>
        <w:t xml:space="preserve"> exposure in Long-term access p</w:t>
      </w:r>
      <w:r w:rsidR="00B052F0">
        <w:t>rogramme</w:t>
      </w:r>
      <w:bookmarkEnd w:id="114"/>
      <w:r>
        <w:t xml:space="preserve"> MEA116841 and Compassionate Use Programme 201607, safety population</w:t>
      </w:r>
    </w:p>
    <w:p w14:paraId="72E42356" w14:textId="77777777" w:rsidR="00B052F0" w:rsidRDefault="00FA06C6" w:rsidP="00B052F0">
      <w:pPr>
        <w:rPr>
          <w:lang w:eastAsia="ja-JP"/>
        </w:rPr>
      </w:pPr>
      <w:r>
        <w:rPr>
          <w:noProof/>
          <w:lang w:eastAsia="en-AU"/>
        </w:rPr>
        <w:drawing>
          <wp:inline distT="0" distB="0" distL="0" distR="0" wp14:anchorId="09E4DEEC" wp14:editId="2C48B33E">
            <wp:extent cx="5362041" cy="2205541"/>
            <wp:effectExtent l="0" t="0" r="0" b="4445"/>
            <wp:docPr id="23" name="Picture 23" descr="Mepolizumab exposure in Long-term access programme MEA116841 and Compassionate use programme 201607,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64265" cy="2206456"/>
                    </a:xfrm>
                    <a:prstGeom prst="rect">
                      <a:avLst/>
                    </a:prstGeom>
                  </pic:spPr>
                </pic:pic>
              </a:graphicData>
            </a:graphic>
          </wp:inline>
        </w:drawing>
      </w:r>
    </w:p>
    <w:p w14:paraId="352C8098" w14:textId="77777777" w:rsidR="00B052F0" w:rsidRDefault="00B052F0" w:rsidP="00FA06C6">
      <w:pPr>
        <w:rPr>
          <w:lang w:eastAsia="ja-JP"/>
        </w:rPr>
      </w:pPr>
      <w:r>
        <w:rPr>
          <w:lang w:eastAsia="ja-JP"/>
        </w:rPr>
        <w:t xml:space="preserve">The </w:t>
      </w:r>
      <w:r w:rsidR="00FA06C6">
        <w:rPr>
          <w:lang w:eastAsia="ja-JP"/>
        </w:rPr>
        <w:t xml:space="preserve">summary of clinical safety </w:t>
      </w:r>
      <w:r>
        <w:rPr>
          <w:lang w:eastAsia="ja-JP"/>
        </w:rPr>
        <w:t xml:space="preserve">reports that, combining exposure in Study MEA115921 and the </w:t>
      </w:r>
      <w:r w:rsidR="00FA06C6">
        <w:rPr>
          <w:lang w:eastAsia="ja-JP"/>
        </w:rPr>
        <w:t>Long Term Access Program</w:t>
      </w:r>
      <w:r w:rsidR="00F71739">
        <w:rPr>
          <w:lang w:eastAsia="ja-JP"/>
        </w:rPr>
        <w:t>me</w:t>
      </w:r>
      <w:r>
        <w:rPr>
          <w:lang w:eastAsia="ja-JP"/>
        </w:rPr>
        <w:t xml:space="preserve">, there have been 125 patients with EGPA who have received at least one dose of </w:t>
      </w:r>
      <w:proofErr w:type="spellStart"/>
      <w:r>
        <w:rPr>
          <w:lang w:eastAsia="ja-JP"/>
        </w:rPr>
        <w:t>mepolizumab</w:t>
      </w:r>
      <w:proofErr w:type="spellEnd"/>
      <w:r>
        <w:rPr>
          <w:lang w:eastAsia="ja-JP"/>
        </w:rPr>
        <w:t>, the median exposure was 12.9 months (range 1 to 28 months) and that there were:</w:t>
      </w:r>
    </w:p>
    <w:p w14:paraId="074E25DB" w14:textId="77777777" w:rsidR="00B052F0" w:rsidRDefault="00B052F0" w:rsidP="00FA06C6">
      <w:pPr>
        <w:pStyle w:val="ListBullet"/>
      </w:pPr>
      <w:r>
        <w:t xml:space="preserve">43 subjects </w:t>
      </w:r>
      <w:r w:rsidRPr="00764EDF">
        <w:t xml:space="preserve">treated for </w:t>
      </w:r>
      <w:r w:rsidR="00FA06C6">
        <w:t>&lt; 12 months.</w:t>
      </w:r>
    </w:p>
    <w:p w14:paraId="5C0F05D8" w14:textId="77777777" w:rsidR="00B052F0" w:rsidRDefault="00B052F0" w:rsidP="00FA06C6">
      <w:pPr>
        <w:pStyle w:val="ListBullet"/>
      </w:pPr>
      <w:r w:rsidRPr="00764EDF">
        <w:t xml:space="preserve">65 subjects </w:t>
      </w:r>
      <w:r>
        <w:t>treated for 12 to &lt;</w:t>
      </w:r>
      <w:r w:rsidR="00FA06C6">
        <w:t xml:space="preserve"> 24 months.</w:t>
      </w:r>
    </w:p>
    <w:p w14:paraId="47600DA7" w14:textId="77777777" w:rsidR="00B052F0" w:rsidRDefault="00B052F0" w:rsidP="00FA06C6">
      <w:pPr>
        <w:pStyle w:val="ListBullet"/>
      </w:pPr>
      <w:r w:rsidRPr="00764EDF">
        <w:t xml:space="preserve">17 (14%) subjects treated for 24 months to </w:t>
      </w:r>
      <w:r>
        <w:t>&lt;</w:t>
      </w:r>
      <w:r w:rsidRPr="00764EDF">
        <w:t xml:space="preserve"> 36 months</w:t>
      </w:r>
      <w:r w:rsidR="00FA06C6">
        <w:t>.</w:t>
      </w:r>
    </w:p>
    <w:p w14:paraId="4AF8A5DF" w14:textId="77777777" w:rsidR="00B052F0" w:rsidRPr="00B052F0" w:rsidRDefault="00B052F0" w:rsidP="00FA06C6">
      <w:r>
        <w:t>No patients with EGPA have been treated for 36 months or longer.</w:t>
      </w:r>
    </w:p>
    <w:p w14:paraId="40002C8F" w14:textId="77777777" w:rsidR="00605AD4" w:rsidRDefault="00605AD4" w:rsidP="00605AD4">
      <w:pPr>
        <w:pStyle w:val="Heading4"/>
      </w:pPr>
      <w:r w:rsidRPr="00605AD4">
        <w:t>Safety issues with the potential for major regulatory impact</w:t>
      </w:r>
    </w:p>
    <w:p w14:paraId="61BA4DE7" w14:textId="77777777" w:rsidR="002005CD" w:rsidRPr="009079B0" w:rsidRDefault="002005CD" w:rsidP="00FD64C0">
      <w:pPr>
        <w:rPr>
          <w:rFonts w:eastAsiaTheme="minorHAnsi"/>
        </w:rPr>
      </w:pPr>
      <w:r>
        <w:t xml:space="preserve">As described above, </w:t>
      </w:r>
      <w:r w:rsidRPr="00AB7B81">
        <w:t xml:space="preserve">the following </w:t>
      </w:r>
      <w:r w:rsidR="00126A5E">
        <w:t>‘</w:t>
      </w:r>
      <w:r w:rsidRPr="00AB7B81">
        <w:t>adverse events of special interest</w:t>
      </w:r>
      <w:r w:rsidR="00126A5E">
        <w:t>’</w:t>
      </w:r>
      <w:r w:rsidRPr="00AB7B81">
        <w:t xml:space="preserve"> (AESIs) have been recognised as </w:t>
      </w:r>
      <w:r w:rsidR="00126A5E">
        <w:t>‘</w:t>
      </w:r>
      <w:r w:rsidRPr="00AB7B81">
        <w:t>identified</w:t>
      </w:r>
      <w:r w:rsidR="00126A5E">
        <w:t>’</w:t>
      </w:r>
      <w:r w:rsidRPr="00AB7B81">
        <w:t xml:space="preserve"> or </w:t>
      </w:r>
      <w:r w:rsidR="00126A5E">
        <w:t>‘</w:t>
      </w:r>
      <w:r w:rsidRPr="00AB7B81">
        <w:t>potential</w:t>
      </w:r>
      <w:r w:rsidR="00126A5E">
        <w:t>’</w:t>
      </w:r>
      <w:r w:rsidRPr="00AB7B81">
        <w:t xml:space="preserve"> risks associated </w:t>
      </w:r>
      <w:r w:rsidR="00FD64C0">
        <w:t xml:space="preserve">with </w:t>
      </w:r>
      <w:proofErr w:type="spellStart"/>
      <w:r w:rsidR="00FD64C0">
        <w:t>mepolizumab</w:t>
      </w:r>
      <w:proofErr w:type="spellEnd"/>
      <w:r w:rsidR="00FD64C0">
        <w:t>: systemic (non</w:t>
      </w:r>
      <w:r w:rsidR="00FD64C0">
        <w:noBreakHyphen/>
      </w:r>
      <w:r w:rsidRPr="00AB7B81">
        <w:t>allergic and allergic/hypersensitivity) reactions, local injection site reactions, cardiac disorders including serious cardiac, vascular, thromboembolic (CVT) and serious ischaemic events, infections (including serious and opportunistic), and malignancies.</w:t>
      </w:r>
      <w:r>
        <w:t xml:space="preserve"> These AESIs represent AEs that may have possible regulatory impact, noting that the current PI lists Hypersensitivity and Administration Reactions, </w:t>
      </w:r>
      <w:r w:rsidRPr="009079B0">
        <w:rPr>
          <w:rFonts w:eastAsiaTheme="minorHAnsi"/>
        </w:rPr>
        <w:t>Parasitic Infections</w:t>
      </w:r>
      <w:r>
        <w:rPr>
          <w:rFonts w:eastAsiaTheme="minorHAnsi"/>
        </w:rPr>
        <w:t xml:space="preserve"> and </w:t>
      </w:r>
      <w:r w:rsidRPr="009079B0">
        <w:rPr>
          <w:rFonts w:eastAsiaTheme="minorHAnsi"/>
        </w:rPr>
        <w:t>Opportunistic Infections: Herpes Zoster</w:t>
      </w:r>
      <w:r>
        <w:rPr>
          <w:rFonts w:eastAsiaTheme="minorHAnsi"/>
        </w:rPr>
        <w:t xml:space="preserve"> as Precautions.</w:t>
      </w:r>
    </w:p>
    <w:p w14:paraId="434B7C99" w14:textId="77777777" w:rsidR="00624472" w:rsidRDefault="002005CD" w:rsidP="00FD64C0">
      <w:r>
        <w:t xml:space="preserve">The following discussion presented by the evaluator uses information regarding AESIs as reported in the </w:t>
      </w:r>
      <w:r w:rsidR="00FD64C0">
        <w:t>clinical study reports</w:t>
      </w:r>
      <w:r>
        <w:t xml:space="preserve"> </w:t>
      </w:r>
      <w:r w:rsidR="002B3D99">
        <w:t>for Studies MEA115921 and Study </w:t>
      </w:r>
      <w:r>
        <w:t xml:space="preserve">MEA116841/201607 together with the reporting of AESIs in the </w:t>
      </w:r>
      <w:r w:rsidR="00FD64C0">
        <w:t>clinical study report</w:t>
      </w:r>
      <w:r>
        <w:t xml:space="preserve"> for the Compassionate Use Programme in which patients w</w:t>
      </w:r>
      <w:r w:rsidR="00FD64C0">
        <w:t xml:space="preserve">ith HES were provided with long </w:t>
      </w:r>
      <w:r>
        <w:t xml:space="preserve">term access to </w:t>
      </w:r>
      <w:proofErr w:type="spellStart"/>
      <w:r>
        <w:t>mepolizumab</w:t>
      </w:r>
      <w:proofErr w:type="spellEnd"/>
      <w:r>
        <w:t>. Information from the latter has been included below due to the relatively short durations of treatment reported in patients with EGPA</w:t>
      </w:r>
      <w:r w:rsidR="00624472">
        <w:t>.</w:t>
      </w:r>
    </w:p>
    <w:p w14:paraId="41F7BFB7" w14:textId="77777777" w:rsidR="002005CD" w:rsidRDefault="002005CD" w:rsidP="00FD64C0">
      <w:pPr>
        <w:rPr>
          <w:lang w:eastAsia="ja-JP"/>
        </w:rPr>
      </w:pPr>
      <w:r>
        <w:t xml:space="preserve">A summary of the Compassionate Use Programme for patients with HES is provided in </w:t>
      </w:r>
      <w:r w:rsidR="00FD64C0">
        <w:t>the clinical evaluation report</w:t>
      </w:r>
      <w:r w:rsidR="00653385">
        <w:t>,</w:t>
      </w:r>
      <w:r w:rsidR="00FD64C0">
        <w:t xml:space="preserve"> Study ZM2006/0080/05.</w:t>
      </w:r>
      <w:r w:rsidRPr="00FD64C0">
        <w:t xml:space="preserve"> </w:t>
      </w:r>
      <w:r>
        <w:rPr>
          <w:rFonts w:asciiTheme="minorHAnsi" w:hAnsiTheme="minorHAnsi"/>
        </w:rPr>
        <w:t xml:space="preserve">In this ongoing study, </w:t>
      </w:r>
      <w:r>
        <w:rPr>
          <w:lang w:eastAsia="ja-JP"/>
        </w:rPr>
        <w:t>285 patients were included in the interim report, of whom 89 patients had had exposure &gt; 60 months, with this including 16 patients with treatment duration &gt;</w:t>
      </w:r>
      <w:r w:rsidR="00653385">
        <w:rPr>
          <w:lang w:eastAsia="ja-JP"/>
        </w:rPr>
        <w:t xml:space="preserve"> </w:t>
      </w:r>
      <w:r>
        <w:rPr>
          <w:lang w:eastAsia="ja-JP"/>
        </w:rPr>
        <w:t>96 months.</w:t>
      </w:r>
    </w:p>
    <w:p w14:paraId="5882A9EB" w14:textId="77777777" w:rsidR="002005CD" w:rsidRDefault="002005CD" w:rsidP="00FD64C0">
      <w:r>
        <w:t>The sponsor has not proposed any changes to the Precautions or Adverse Effects section of the PI apart from the addition of the following statement to the Adverse Effects section:</w:t>
      </w:r>
    </w:p>
    <w:p w14:paraId="27BD7F6E" w14:textId="0645F749" w:rsidR="002005CD" w:rsidRPr="00BB389D" w:rsidRDefault="00956E9F" w:rsidP="00BB389D">
      <w:pPr>
        <w:ind w:left="720"/>
        <w:rPr>
          <w:i/>
        </w:rPr>
      </w:pPr>
      <w:r>
        <w:rPr>
          <w:i/>
        </w:rPr>
        <w:t>‘</w:t>
      </w:r>
      <w:r w:rsidR="002005CD" w:rsidRPr="00BB389D">
        <w:rPr>
          <w:i/>
        </w:rPr>
        <w:t>EGPA</w:t>
      </w:r>
    </w:p>
    <w:p w14:paraId="2BCE5762" w14:textId="6E9996FD" w:rsidR="002005CD" w:rsidRPr="00BB389D" w:rsidRDefault="002005CD" w:rsidP="00BB389D">
      <w:pPr>
        <w:ind w:left="720"/>
        <w:rPr>
          <w:i/>
        </w:rPr>
      </w:pPr>
      <w:r w:rsidRPr="00BB389D">
        <w:rPr>
          <w:i/>
        </w:rPr>
        <w:lastRenderedPageBreak/>
        <w:t xml:space="preserve">In a double-blind, placebo-controlled study in subjects with EGPA (300 mg </w:t>
      </w:r>
      <w:proofErr w:type="spellStart"/>
      <w:r w:rsidRPr="00BB389D">
        <w:rPr>
          <w:i/>
        </w:rPr>
        <w:t>mepolizumab</w:t>
      </w:r>
      <w:proofErr w:type="spellEnd"/>
      <w:r w:rsidRPr="00BB389D">
        <w:rPr>
          <w:i/>
        </w:rPr>
        <w:t xml:space="preserve"> n</w:t>
      </w:r>
      <w:r w:rsidR="00653385" w:rsidRPr="00BB389D">
        <w:rPr>
          <w:i/>
        </w:rPr>
        <w:t> </w:t>
      </w:r>
      <w:r w:rsidRPr="00BB389D">
        <w:rPr>
          <w:i/>
        </w:rPr>
        <w:t>=</w:t>
      </w:r>
      <w:r w:rsidR="00653385" w:rsidRPr="00BB389D">
        <w:rPr>
          <w:i/>
        </w:rPr>
        <w:t> </w:t>
      </w:r>
      <w:r w:rsidRPr="00BB389D">
        <w:rPr>
          <w:i/>
        </w:rPr>
        <w:t>68, placebo n</w:t>
      </w:r>
      <w:r w:rsidR="00653385" w:rsidRPr="00BB389D">
        <w:rPr>
          <w:i/>
        </w:rPr>
        <w:t xml:space="preserve"> </w:t>
      </w:r>
      <w:r w:rsidRPr="00BB389D">
        <w:rPr>
          <w:i/>
        </w:rPr>
        <w:t>=</w:t>
      </w:r>
      <w:r w:rsidR="00653385" w:rsidRPr="00BB389D">
        <w:rPr>
          <w:i/>
        </w:rPr>
        <w:t xml:space="preserve"> </w:t>
      </w:r>
      <w:r w:rsidRPr="00BB389D">
        <w:rPr>
          <w:i/>
        </w:rPr>
        <w:t>68), no additional adverse reactions were identified to those reported for the severe asthma studies.</w:t>
      </w:r>
      <w:r w:rsidR="00956E9F">
        <w:rPr>
          <w:i/>
        </w:rPr>
        <w:t>’</w:t>
      </w:r>
    </w:p>
    <w:p w14:paraId="25FB1BD3" w14:textId="6EE14351" w:rsidR="002005CD" w:rsidRDefault="002005CD" w:rsidP="00BB389D">
      <w:pPr>
        <w:pStyle w:val="Heading4"/>
      </w:pPr>
      <w:r>
        <w:t xml:space="preserve">Adverse </w:t>
      </w:r>
      <w:r w:rsidR="00956E9F">
        <w:t>e</w:t>
      </w:r>
      <w:r w:rsidR="00956E9F" w:rsidRPr="00956E9F">
        <w:t>vents</w:t>
      </w:r>
      <w:r w:rsidR="00956E9F">
        <w:t xml:space="preserve"> </w:t>
      </w:r>
      <w:r>
        <w:t xml:space="preserve">of </w:t>
      </w:r>
      <w:r w:rsidR="00956E9F">
        <w:t>special i</w:t>
      </w:r>
      <w:r>
        <w:t>nterest</w:t>
      </w:r>
    </w:p>
    <w:p w14:paraId="2D674399" w14:textId="77777777" w:rsidR="002005CD" w:rsidRPr="00956E9F" w:rsidRDefault="002005CD" w:rsidP="00BB389D">
      <w:pPr>
        <w:pStyle w:val="Heading5"/>
      </w:pPr>
      <w:r>
        <w:t>Anaphylaxis</w:t>
      </w:r>
    </w:p>
    <w:p w14:paraId="6D99052B" w14:textId="77777777" w:rsidR="002005CD" w:rsidRPr="008A2102" w:rsidRDefault="00126A5E" w:rsidP="002005CD">
      <w:r>
        <w:rPr>
          <w:lang w:eastAsia="ja-JP"/>
        </w:rPr>
        <w:t>‘</w:t>
      </w:r>
      <w:r w:rsidR="002005CD">
        <w:rPr>
          <w:lang w:eastAsia="ja-JP"/>
        </w:rPr>
        <w:t>Anaphylaxis</w:t>
      </w:r>
      <w:r>
        <w:rPr>
          <w:lang w:eastAsia="ja-JP"/>
        </w:rPr>
        <w:t>’</w:t>
      </w:r>
      <w:r w:rsidR="002005CD">
        <w:rPr>
          <w:lang w:eastAsia="ja-JP"/>
        </w:rPr>
        <w:t xml:space="preserve"> was added to the to the list of reactions in the </w:t>
      </w:r>
      <w:r>
        <w:rPr>
          <w:lang w:eastAsia="ja-JP"/>
        </w:rPr>
        <w:t>‘</w:t>
      </w:r>
      <w:r w:rsidR="002005CD">
        <w:rPr>
          <w:lang w:eastAsia="ja-JP"/>
        </w:rPr>
        <w:t>Hypersensitivity and Administration Reactions</w:t>
      </w:r>
      <w:r>
        <w:rPr>
          <w:lang w:eastAsia="ja-JP"/>
        </w:rPr>
        <w:t>’</w:t>
      </w:r>
      <w:r w:rsidR="002005CD">
        <w:rPr>
          <w:lang w:eastAsia="ja-JP"/>
        </w:rPr>
        <w:t xml:space="preserve"> Precaution in the PI on the basis of post-marketing data. The frequency, as reported in the </w:t>
      </w:r>
      <w:r>
        <w:rPr>
          <w:lang w:eastAsia="ja-JP"/>
        </w:rPr>
        <w:t>‘</w:t>
      </w:r>
      <w:r w:rsidR="002005CD">
        <w:rPr>
          <w:lang w:eastAsia="ja-JP"/>
        </w:rPr>
        <w:t>Post-marketing data</w:t>
      </w:r>
      <w:r>
        <w:rPr>
          <w:lang w:eastAsia="ja-JP"/>
        </w:rPr>
        <w:t>’</w:t>
      </w:r>
      <w:r w:rsidR="002005CD">
        <w:rPr>
          <w:lang w:eastAsia="ja-JP"/>
        </w:rPr>
        <w:t xml:space="preserve"> section, was reported as </w:t>
      </w:r>
      <w:r>
        <w:rPr>
          <w:lang w:eastAsia="ja-JP"/>
        </w:rPr>
        <w:t>‘</w:t>
      </w:r>
      <w:r w:rsidR="002005CD">
        <w:rPr>
          <w:lang w:eastAsia="ja-JP"/>
        </w:rPr>
        <w:t>rare</w:t>
      </w:r>
      <w:r>
        <w:rPr>
          <w:lang w:eastAsia="ja-JP"/>
        </w:rPr>
        <w:t>’</w:t>
      </w:r>
      <w:r w:rsidR="002005CD">
        <w:rPr>
          <w:lang w:eastAsia="ja-JP"/>
        </w:rPr>
        <w:t xml:space="preserve"> (</w:t>
      </w:r>
      <w:r w:rsidR="002005CD">
        <w:t>≥</w:t>
      </w:r>
      <w:r w:rsidR="00653385">
        <w:t xml:space="preserve"> 1 out of </w:t>
      </w:r>
      <w:r w:rsidR="002005CD">
        <w:t>10,000 to &lt;</w:t>
      </w:r>
      <w:r w:rsidR="00653385">
        <w:t xml:space="preserve"> 1 out of </w:t>
      </w:r>
      <w:r w:rsidR="002005CD">
        <w:t>1,000)</w:t>
      </w:r>
      <w:r w:rsidR="002005CD">
        <w:rPr>
          <w:lang w:eastAsia="ja-JP"/>
        </w:rPr>
        <w:t>.</w:t>
      </w:r>
    </w:p>
    <w:p w14:paraId="2268327E" w14:textId="77777777" w:rsidR="002005CD" w:rsidRDefault="00653385" w:rsidP="00956E9F">
      <w:pPr>
        <w:pStyle w:val="Heading6"/>
        <w:rPr>
          <w:lang w:eastAsia="ja-JP"/>
        </w:rPr>
      </w:pPr>
      <w:r>
        <w:t xml:space="preserve">Study </w:t>
      </w:r>
      <w:r w:rsidRPr="00956E9F">
        <w:t>MEA115921</w:t>
      </w:r>
    </w:p>
    <w:p w14:paraId="1265C698" w14:textId="77777777" w:rsidR="002005CD" w:rsidRDefault="002005CD" w:rsidP="002005CD">
      <w:r>
        <w:t xml:space="preserve">There was one report of anaphylaxis in this study. This was reported as </w:t>
      </w:r>
      <w:r w:rsidR="00126A5E">
        <w:rPr>
          <w:i/>
        </w:rPr>
        <w:t>‘</w:t>
      </w:r>
      <w:r w:rsidRPr="00653385">
        <w:t>anaphylactic reaction after fish meal</w:t>
      </w:r>
      <w:r w:rsidR="00126A5E">
        <w:t>’</w:t>
      </w:r>
      <w:r>
        <w:t xml:space="preserve"> occurring 16 days after the last dose of </w:t>
      </w:r>
      <w:proofErr w:type="spellStart"/>
      <w:r>
        <w:t>mepolizumab</w:t>
      </w:r>
      <w:proofErr w:type="spellEnd"/>
      <w:r>
        <w:t xml:space="preserve"> and not considered related to </w:t>
      </w:r>
      <w:proofErr w:type="spellStart"/>
      <w:r>
        <w:t>mepolizumab</w:t>
      </w:r>
      <w:proofErr w:type="spellEnd"/>
      <w:r>
        <w:t>. Treatment was continued unchanged and without recurrence of anaphylaxis.</w:t>
      </w:r>
    </w:p>
    <w:p w14:paraId="65807F3F" w14:textId="77777777" w:rsidR="002005CD" w:rsidRPr="00956E9F" w:rsidRDefault="002005CD" w:rsidP="00956E9F">
      <w:pPr>
        <w:pStyle w:val="Heading6"/>
        <w:rPr>
          <w:rFonts w:eastAsiaTheme="minorHAnsi"/>
        </w:rPr>
      </w:pPr>
      <w:r>
        <w:rPr>
          <w:lang w:eastAsia="ja-JP"/>
        </w:rPr>
        <w:t xml:space="preserve">Study </w:t>
      </w:r>
      <w:r w:rsidRPr="00160A2A">
        <w:rPr>
          <w:rFonts w:eastAsiaTheme="minorHAnsi"/>
        </w:rPr>
        <w:t>MEA116841/201607</w:t>
      </w:r>
    </w:p>
    <w:p w14:paraId="0D9E7F6A" w14:textId="77777777" w:rsidR="002005CD" w:rsidRPr="00F57172" w:rsidRDefault="002005CD" w:rsidP="002005CD">
      <w:pPr>
        <w:rPr>
          <w:rFonts w:asciiTheme="minorHAnsi" w:hAnsiTheme="minorHAnsi"/>
        </w:rPr>
      </w:pPr>
      <w:r w:rsidRPr="00F57172">
        <w:rPr>
          <w:rFonts w:asciiTheme="minorHAnsi" w:eastAsia="TimesNewRoman" w:hAnsiTheme="minorHAnsi" w:cs="TimesNewRoman"/>
        </w:rPr>
        <w:t>No anaphylaxis events were reported</w:t>
      </w:r>
      <w:r w:rsidR="00653385">
        <w:rPr>
          <w:rFonts w:asciiTheme="minorHAnsi" w:eastAsia="TimesNewRoman" w:hAnsiTheme="minorHAnsi" w:cs="TimesNewRoman"/>
        </w:rPr>
        <w:t>.</w:t>
      </w:r>
    </w:p>
    <w:p w14:paraId="148AABB9" w14:textId="77777777" w:rsidR="002005CD" w:rsidRPr="009079B0" w:rsidRDefault="002005CD" w:rsidP="002005CD">
      <w:pPr>
        <w:pStyle w:val="Heading6"/>
        <w:rPr>
          <w:rFonts w:eastAsiaTheme="minorHAnsi"/>
        </w:rPr>
      </w:pPr>
      <w:r>
        <w:t>Compassionate Use Programme</w:t>
      </w:r>
    </w:p>
    <w:p w14:paraId="26EAA41C" w14:textId="77777777" w:rsidR="00624472" w:rsidRDefault="002005CD" w:rsidP="002005CD">
      <w:pPr>
        <w:rPr>
          <w:rFonts w:eastAsia="TimesNewRoman" w:cs="TimesNewRoman"/>
        </w:rPr>
      </w:pPr>
      <w:r w:rsidRPr="00AC72B2">
        <w:t>There were four events of possible severe hypersensitivity/anaphylaxis requiring t</w:t>
      </w:r>
      <w:r w:rsidRPr="00AC72B2">
        <w:rPr>
          <w:rFonts w:eastAsia="TimesNewRoman" w:cs="TimesNewRoman"/>
        </w:rPr>
        <w:t xml:space="preserve">reatment with </w:t>
      </w:r>
      <w:r w:rsidRPr="00AC72B2">
        <w:t xml:space="preserve">intravenous antihistamine and corticosteroid ± adrenaline. Three of these events were considered to be related to food and the </w:t>
      </w:r>
      <w:r w:rsidRPr="00AC72B2">
        <w:rPr>
          <w:rFonts w:eastAsia="TimesNewRoman" w:cs="TimesNewRoman"/>
        </w:rPr>
        <w:t xml:space="preserve">subjects continued </w:t>
      </w:r>
      <w:proofErr w:type="spellStart"/>
      <w:r w:rsidRPr="00AC72B2">
        <w:rPr>
          <w:rFonts w:eastAsia="TimesNewRoman" w:cs="TimesNewRoman"/>
        </w:rPr>
        <w:t>mepolizumab</w:t>
      </w:r>
      <w:proofErr w:type="spellEnd"/>
      <w:r w:rsidRPr="00AC72B2">
        <w:rPr>
          <w:rFonts w:eastAsia="TimesNewRoman" w:cs="TimesNewRoman"/>
        </w:rPr>
        <w:t xml:space="preserve"> treatment with no further events reported. One event was described as </w:t>
      </w:r>
      <w:r w:rsidR="00126A5E">
        <w:rPr>
          <w:rFonts w:eastAsia="TimesNewRoman" w:cs="TimesNewRoman"/>
        </w:rPr>
        <w:t>‘</w:t>
      </w:r>
      <w:r w:rsidRPr="00AC72B2">
        <w:rPr>
          <w:rFonts w:eastAsia="TimesNewRoman" w:cs="TimesNewRoman"/>
        </w:rPr>
        <w:t>non-serious</w:t>
      </w:r>
      <w:r w:rsidR="00126A5E">
        <w:rPr>
          <w:rFonts w:eastAsia="TimesNewRoman" w:cs="TimesNewRoman"/>
        </w:rPr>
        <w:t>’</w:t>
      </w:r>
      <w:r w:rsidRPr="00AC72B2">
        <w:rPr>
          <w:rFonts w:eastAsia="TimesNewRoman" w:cs="TimesNewRoman"/>
        </w:rPr>
        <w:t xml:space="preserve"> although symptoms included facial swelling, pruritus, bronchospasm, chest tightness and wheeze. These </w:t>
      </w:r>
      <w:r>
        <w:rPr>
          <w:rFonts w:eastAsia="TimesNewRoman" w:cs="TimesNewRoman"/>
        </w:rPr>
        <w:t xml:space="preserve">symptoms </w:t>
      </w:r>
      <w:r w:rsidRPr="00AC72B2">
        <w:rPr>
          <w:rFonts w:eastAsia="TimesNewRoman" w:cs="TimesNewRoman"/>
        </w:rPr>
        <w:t xml:space="preserve">were reported to resolve with systemic corticosteroids, antihistamines and </w:t>
      </w:r>
      <w:proofErr w:type="spellStart"/>
      <w:r w:rsidRPr="00AC72B2">
        <w:rPr>
          <w:rFonts w:eastAsia="TimesNewRoman" w:cs="TimesNewRoman"/>
        </w:rPr>
        <w:t>albuterol</w:t>
      </w:r>
      <w:proofErr w:type="spellEnd"/>
      <w:r w:rsidRPr="00AC72B2">
        <w:rPr>
          <w:rFonts w:eastAsia="TimesNewRoman" w:cs="TimesNewRoman"/>
        </w:rPr>
        <w:t xml:space="preserve"> nebuli</w:t>
      </w:r>
      <w:r>
        <w:rPr>
          <w:rFonts w:eastAsia="TimesNewRoman" w:cs="TimesNewRoman"/>
        </w:rPr>
        <w:t>s</w:t>
      </w:r>
      <w:r w:rsidRPr="00AC72B2">
        <w:rPr>
          <w:rFonts w:eastAsia="TimesNewRoman" w:cs="TimesNewRoman"/>
        </w:rPr>
        <w:t xml:space="preserve">er and treatment with </w:t>
      </w:r>
      <w:proofErr w:type="spellStart"/>
      <w:r w:rsidRPr="00AC72B2">
        <w:rPr>
          <w:rFonts w:eastAsia="TimesNewRoman" w:cs="TimesNewRoman"/>
        </w:rPr>
        <w:t>mepolizumab</w:t>
      </w:r>
      <w:proofErr w:type="spellEnd"/>
      <w:r w:rsidRPr="00AC72B2">
        <w:rPr>
          <w:rFonts w:eastAsia="TimesNewRoman" w:cs="TimesNewRoman"/>
        </w:rPr>
        <w:t xml:space="preserve"> was discontinued</w:t>
      </w:r>
      <w:r w:rsidR="00624472">
        <w:rPr>
          <w:rFonts w:eastAsia="TimesNewRoman" w:cs="TimesNewRoman"/>
        </w:rPr>
        <w:t>.</w:t>
      </w:r>
    </w:p>
    <w:p w14:paraId="12A6A017" w14:textId="5F27DE70" w:rsidR="002005CD" w:rsidRDefault="002005CD" w:rsidP="00BB389D">
      <w:pPr>
        <w:pStyle w:val="Heading5"/>
        <w:rPr>
          <w:rFonts w:eastAsia="Arial,Bold"/>
        </w:rPr>
      </w:pPr>
      <w:r w:rsidRPr="00F760C2">
        <w:rPr>
          <w:rFonts w:eastAsia="Arial,Bold"/>
        </w:rPr>
        <w:t>Systemic (</w:t>
      </w:r>
      <w:r w:rsidR="00956E9F" w:rsidRPr="00956E9F">
        <w:rPr>
          <w:rFonts w:eastAsia="Arial,Bold"/>
        </w:rPr>
        <w:t>hypersensitivity</w:t>
      </w:r>
      <w:r w:rsidR="00956E9F" w:rsidRPr="00F760C2">
        <w:rPr>
          <w:rFonts w:eastAsia="Arial,Bold"/>
        </w:rPr>
        <w:t xml:space="preserve"> or non-allergic) reactions</w:t>
      </w:r>
    </w:p>
    <w:p w14:paraId="1D5844A3" w14:textId="77777777" w:rsidR="002005CD" w:rsidRDefault="002005CD" w:rsidP="00184739">
      <w:r>
        <w:t xml:space="preserve">The current PI includes </w:t>
      </w:r>
      <w:r w:rsidR="00126A5E">
        <w:t>‘</w:t>
      </w:r>
      <w:r>
        <w:t>Hypersensitivity and Administration R</w:t>
      </w:r>
      <w:r w:rsidR="00184739">
        <w:t>eactions</w:t>
      </w:r>
      <w:r w:rsidR="00126A5E">
        <w:t>’</w:t>
      </w:r>
      <w:r w:rsidR="00184739">
        <w:t xml:space="preserve"> as a Precaution with:</w:t>
      </w:r>
    </w:p>
    <w:p w14:paraId="5E4DD01E" w14:textId="77777777" w:rsidR="00184739" w:rsidRPr="00184739" w:rsidRDefault="00184739" w:rsidP="00184739">
      <w:pPr>
        <w:spacing w:after="0"/>
        <w:ind w:left="720"/>
        <w:rPr>
          <w:b/>
        </w:rPr>
      </w:pPr>
      <w:r w:rsidRPr="00184739">
        <w:rPr>
          <w:b/>
        </w:rPr>
        <w:t>Hypersensitivity and Administration Reactions</w:t>
      </w:r>
    </w:p>
    <w:p w14:paraId="6A3603DC" w14:textId="77777777" w:rsidR="00184739" w:rsidRDefault="00184739" w:rsidP="00184739">
      <w:pPr>
        <w:spacing w:after="0"/>
        <w:ind w:left="720"/>
      </w:pPr>
      <w:r>
        <w:t xml:space="preserve">‘Acute and delayed systemic reactions, including hypersensitivity reactions (for example, anaphylaxis, </w:t>
      </w:r>
      <w:proofErr w:type="spellStart"/>
      <w:r>
        <w:t>urticaria</w:t>
      </w:r>
      <w:proofErr w:type="spellEnd"/>
      <w:r>
        <w:t xml:space="preserve">, angioedema, rash, bronchospasm, hypotension), have occurred following administration of </w:t>
      </w:r>
      <w:proofErr w:type="spellStart"/>
      <w:r>
        <w:t>Nucala</w:t>
      </w:r>
      <w:proofErr w:type="spellEnd"/>
      <w:r>
        <w:t xml:space="preserve">. These reactions generally occur within hours of administration, but in some instances had a delayed onset (i.e. days). These reactions may occur for the first time after a long duration of treatment (ADVERSE EFFECTS). In the event of a hypersensitivity reaction, </w:t>
      </w:r>
      <w:proofErr w:type="spellStart"/>
      <w:r>
        <w:t>Nucala</w:t>
      </w:r>
      <w:proofErr w:type="spellEnd"/>
      <w:r>
        <w:t xml:space="preserve"> should be discontinued.’</w:t>
      </w:r>
    </w:p>
    <w:p w14:paraId="353EFD84" w14:textId="77777777" w:rsidR="002005CD" w:rsidRDefault="00653385" w:rsidP="002005CD">
      <w:pPr>
        <w:pStyle w:val="Heading6"/>
        <w:rPr>
          <w:lang w:eastAsia="ja-JP"/>
        </w:rPr>
      </w:pPr>
      <w:r>
        <w:t>Study MEA115921</w:t>
      </w:r>
    </w:p>
    <w:p w14:paraId="4C908EB0" w14:textId="77777777" w:rsidR="00624472" w:rsidRDefault="002005CD" w:rsidP="002005CD">
      <w:pPr>
        <w:rPr>
          <w:rFonts w:asciiTheme="minorHAnsi" w:hAnsiTheme="minorHAnsi"/>
        </w:rPr>
      </w:pPr>
      <w:r>
        <w:rPr>
          <w:rFonts w:asciiTheme="minorHAnsi" w:hAnsiTheme="minorHAnsi"/>
        </w:rPr>
        <w:t>S</w:t>
      </w:r>
      <w:r w:rsidRPr="00F57172">
        <w:rPr>
          <w:rFonts w:asciiTheme="minorHAnsi" w:hAnsiTheme="minorHAnsi"/>
        </w:rPr>
        <w:t xml:space="preserve">ystemic </w:t>
      </w:r>
      <w:r>
        <w:rPr>
          <w:rFonts w:asciiTheme="minorHAnsi" w:hAnsiTheme="minorHAnsi"/>
        </w:rPr>
        <w:t xml:space="preserve">hypersensitivity </w:t>
      </w:r>
      <w:r w:rsidRPr="00F57172">
        <w:rPr>
          <w:rFonts w:asciiTheme="minorHAnsi" w:hAnsiTheme="minorHAnsi"/>
        </w:rPr>
        <w:t>reactions were reported for</w:t>
      </w:r>
      <w:r>
        <w:rPr>
          <w:rFonts w:asciiTheme="minorHAnsi" w:hAnsiTheme="minorHAnsi"/>
        </w:rPr>
        <w:t xml:space="preserve"> </w:t>
      </w:r>
      <w:r w:rsidRPr="00F57172">
        <w:rPr>
          <w:rFonts w:asciiTheme="minorHAnsi" w:hAnsiTheme="minorHAnsi"/>
        </w:rPr>
        <w:t xml:space="preserve">4 subjects (6%) in the </w:t>
      </w:r>
      <w:proofErr w:type="spellStart"/>
      <w:r w:rsidRPr="00F57172">
        <w:rPr>
          <w:rFonts w:asciiTheme="minorHAnsi" w:hAnsiTheme="minorHAnsi"/>
        </w:rPr>
        <w:t>mepolizumab</w:t>
      </w:r>
      <w:proofErr w:type="spellEnd"/>
      <w:r w:rsidRPr="00F57172">
        <w:rPr>
          <w:rFonts w:asciiTheme="minorHAnsi" w:hAnsiTheme="minorHAnsi"/>
        </w:rPr>
        <w:t xml:space="preserve"> group and 1 subject in the placebo group (1%). All of the systemic reactions were considered related to study treatment by</w:t>
      </w:r>
      <w:r>
        <w:rPr>
          <w:rFonts w:asciiTheme="minorHAnsi" w:hAnsiTheme="minorHAnsi"/>
        </w:rPr>
        <w:t xml:space="preserve"> </w:t>
      </w:r>
      <w:r w:rsidRPr="00F57172">
        <w:rPr>
          <w:rFonts w:asciiTheme="minorHAnsi" w:hAnsiTheme="minorHAnsi"/>
        </w:rPr>
        <w:t>the investigators</w:t>
      </w:r>
      <w:r>
        <w:rPr>
          <w:rFonts w:asciiTheme="minorHAnsi" w:hAnsiTheme="minorHAnsi"/>
        </w:rPr>
        <w:t xml:space="preserve">. The nature and timing of these reactions are shown </w:t>
      </w:r>
      <w:r w:rsidR="00653385">
        <w:rPr>
          <w:rFonts w:asciiTheme="minorHAnsi" w:hAnsiTheme="minorHAnsi"/>
        </w:rPr>
        <w:t xml:space="preserve">in </w:t>
      </w:r>
      <w:r w:rsidR="00D84518">
        <w:rPr>
          <w:rFonts w:asciiTheme="minorHAnsi" w:hAnsiTheme="minorHAnsi"/>
        </w:rPr>
        <w:fldChar w:fldCharType="begin"/>
      </w:r>
      <w:r w:rsidR="00D84518">
        <w:rPr>
          <w:rFonts w:asciiTheme="minorHAnsi" w:hAnsiTheme="minorHAnsi"/>
        </w:rPr>
        <w:instrText xml:space="preserve"> REF _Ref15983015 \h </w:instrText>
      </w:r>
      <w:r w:rsidR="00D84518">
        <w:rPr>
          <w:rFonts w:asciiTheme="minorHAnsi" w:hAnsiTheme="minorHAnsi"/>
        </w:rPr>
      </w:r>
      <w:r w:rsidR="00D84518">
        <w:rPr>
          <w:rFonts w:asciiTheme="minorHAnsi" w:hAnsiTheme="minorHAnsi"/>
        </w:rPr>
        <w:fldChar w:fldCharType="separate"/>
      </w:r>
      <w:r w:rsidR="00126A5E">
        <w:t xml:space="preserve">Table </w:t>
      </w:r>
      <w:r w:rsidR="00126A5E">
        <w:rPr>
          <w:noProof/>
        </w:rPr>
        <w:t>10</w:t>
      </w:r>
      <w:r w:rsidR="00D84518">
        <w:rPr>
          <w:rFonts w:asciiTheme="minorHAnsi" w:hAnsiTheme="minorHAnsi"/>
        </w:rPr>
        <w:fldChar w:fldCharType="end"/>
      </w:r>
      <w:r w:rsidR="00D84518">
        <w:rPr>
          <w:rFonts w:asciiTheme="minorHAnsi" w:hAnsiTheme="minorHAnsi"/>
        </w:rPr>
        <w:t>.</w:t>
      </w:r>
    </w:p>
    <w:p w14:paraId="60BED8B1" w14:textId="77777777" w:rsidR="002005CD" w:rsidRDefault="00D84518" w:rsidP="00D84518">
      <w:pPr>
        <w:pStyle w:val="TableTitle"/>
      </w:pPr>
      <w:bookmarkStart w:id="115" w:name="_Ref15983015"/>
      <w:bookmarkStart w:id="116" w:name="_Toc525724248"/>
      <w:r>
        <w:lastRenderedPageBreak/>
        <w:t xml:space="preserve">Table </w:t>
      </w:r>
      <w:r w:rsidR="00C33647">
        <w:rPr>
          <w:noProof/>
        </w:rPr>
        <w:fldChar w:fldCharType="begin"/>
      </w:r>
      <w:r w:rsidR="00C33647">
        <w:rPr>
          <w:noProof/>
        </w:rPr>
        <w:instrText xml:space="preserve"> SEQ Table \* ARABIC </w:instrText>
      </w:r>
      <w:r w:rsidR="00C33647">
        <w:rPr>
          <w:noProof/>
        </w:rPr>
        <w:fldChar w:fldCharType="separate"/>
      </w:r>
      <w:r w:rsidR="00126A5E">
        <w:rPr>
          <w:noProof/>
        </w:rPr>
        <w:t>10</w:t>
      </w:r>
      <w:r w:rsidR="00C33647">
        <w:rPr>
          <w:noProof/>
        </w:rPr>
        <w:fldChar w:fldCharType="end"/>
      </w:r>
      <w:bookmarkEnd w:id="115"/>
      <w:r w:rsidR="00653385">
        <w:rPr>
          <w:noProof/>
        </w:rPr>
        <w:t>:</w:t>
      </w:r>
      <w:r w:rsidR="002005CD">
        <w:t xml:space="preserve"> Study MEA115921: </w:t>
      </w:r>
      <w:r w:rsidR="00653385">
        <w:t>Systemic hypersensitivity and non-allergic r</w:t>
      </w:r>
      <w:r w:rsidR="002005CD" w:rsidRPr="00F57172">
        <w:t>eactions</w:t>
      </w:r>
      <w:bookmarkEnd w:id="116"/>
    </w:p>
    <w:p w14:paraId="148BE794" w14:textId="77777777" w:rsidR="002005CD" w:rsidRDefault="00653385" w:rsidP="002005CD">
      <w:pPr>
        <w:rPr>
          <w:rFonts w:asciiTheme="minorHAnsi" w:hAnsiTheme="minorHAnsi"/>
        </w:rPr>
      </w:pPr>
      <w:r>
        <w:rPr>
          <w:noProof/>
          <w:lang w:eastAsia="en-AU"/>
        </w:rPr>
        <w:drawing>
          <wp:inline distT="0" distB="0" distL="0" distR="0" wp14:anchorId="7C110B24" wp14:editId="34E55811">
            <wp:extent cx="4819650" cy="1714500"/>
            <wp:effectExtent l="0" t="0" r="0" b="0"/>
            <wp:docPr id="13" name="Picture 13" descr="Study MEA115921: Systemic hypersensitivity and non-allergic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19650" cy="1714500"/>
                    </a:xfrm>
                    <a:prstGeom prst="rect">
                      <a:avLst/>
                    </a:prstGeom>
                  </pic:spPr>
                </pic:pic>
              </a:graphicData>
            </a:graphic>
          </wp:inline>
        </w:drawing>
      </w:r>
    </w:p>
    <w:p w14:paraId="563FD41C" w14:textId="77777777" w:rsidR="002005CD" w:rsidRDefault="002005CD" w:rsidP="002005CD">
      <w:pPr>
        <w:rPr>
          <w:rFonts w:asciiTheme="minorHAnsi" w:hAnsiTheme="minorHAnsi"/>
        </w:rPr>
      </w:pPr>
      <w:r>
        <w:rPr>
          <w:rFonts w:asciiTheme="minorHAnsi" w:hAnsiTheme="minorHAnsi"/>
        </w:rPr>
        <w:t xml:space="preserve">The 4 </w:t>
      </w:r>
      <w:proofErr w:type="spellStart"/>
      <w:r>
        <w:rPr>
          <w:rFonts w:asciiTheme="minorHAnsi" w:hAnsiTheme="minorHAnsi"/>
        </w:rPr>
        <w:t>mepolizumab</w:t>
      </w:r>
      <w:proofErr w:type="spellEnd"/>
      <w:r>
        <w:rPr>
          <w:rFonts w:asciiTheme="minorHAnsi" w:hAnsiTheme="minorHAnsi"/>
        </w:rPr>
        <w:t xml:space="preserve"> </w:t>
      </w:r>
      <w:r w:rsidRPr="00F57172">
        <w:rPr>
          <w:rFonts w:asciiTheme="minorHAnsi" w:hAnsiTheme="minorHAnsi"/>
        </w:rPr>
        <w:t>subjects had single events</w:t>
      </w:r>
      <w:r>
        <w:rPr>
          <w:rFonts w:asciiTheme="minorHAnsi" w:hAnsiTheme="minorHAnsi"/>
        </w:rPr>
        <w:t xml:space="preserve">; </w:t>
      </w:r>
      <w:r w:rsidRPr="00F57172">
        <w:rPr>
          <w:rFonts w:asciiTheme="minorHAnsi" w:hAnsiTheme="minorHAnsi"/>
        </w:rPr>
        <w:t>the subject in the placebo</w:t>
      </w:r>
      <w:r>
        <w:rPr>
          <w:rFonts w:asciiTheme="minorHAnsi" w:hAnsiTheme="minorHAnsi"/>
        </w:rPr>
        <w:t xml:space="preserve"> </w:t>
      </w:r>
      <w:r w:rsidRPr="00F57172">
        <w:rPr>
          <w:rFonts w:asciiTheme="minorHAnsi" w:hAnsiTheme="minorHAnsi"/>
        </w:rPr>
        <w:t>group had three events of facial paralysis</w:t>
      </w:r>
      <w:r>
        <w:rPr>
          <w:rFonts w:asciiTheme="minorHAnsi" w:hAnsiTheme="minorHAnsi"/>
        </w:rPr>
        <w:t xml:space="preserve">. One hypersensitivity event in a patient receiving </w:t>
      </w:r>
      <w:proofErr w:type="spellStart"/>
      <w:r>
        <w:rPr>
          <w:rFonts w:asciiTheme="minorHAnsi" w:hAnsiTheme="minorHAnsi"/>
        </w:rPr>
        <w:t>mepolizumab</w:t>
      </w:r>
      <w:proofErr w:type="spellEnd"/>
      <w:r>
        <w:rPr>
          <w:rFonts w:asciiTheme="minorHAnsi" w:hAnsiTheme="minorHAnsi"/>
        </w:rPr>
        <w:t xml:space="preserve"> was reported as serious and resulted in treatment discontinuation. This patient experienced symptoms, including dyspnoea and stridor, 15 minutes after the </w:t>
      </w:r>
      <w:r w:rsidR="00653385">
        <w:rPr>
          <w:rFonts w:asciiTheme="minorHAnsi" w:hAnsiTheme="minorHAnsi"/>
        </w:rPr>
        <w:t>ninth</w:t>
      </w:r>
      <w:r>
        <w:rPr>
          <w:rFonts w:asciiTheme="minorHAnsi" w:hAnsiTheme="minorHAnsi"/>
        </w:rPr>
        <w:t xml:space="preserve"> dose of </w:t>
      </w:r>
      <w:proofErr w:type="spellStart"/>
      <w:r>
        <w:rPr>
          <w:rFonts w:asciiTheme="minorHAnsi" w:hAnsiTheme="minorHAnsi"/>
        </w:rPr>
        <w:t>mepolizumab</w:t>
      </w:r>
      <w:proofErr w:type="spellEnd"/>
      <w:r>
        <w:rPr>
          <w:rFonts w:asciiTheme="minorHAnsi" w:hAnsiTheme="minorHAnsi"/>
        </w:rPr>
        <w:t xml:space="preserve">. These rapidly resolved with intravenous antihistamine and corticosteroid. Hypersensitivity events in other subjects were mild, self-limiting and did not recur with ongoing </w:t>
      </w:r>
      <w:proofErr w:type="spellStart"/>
      <w:r>
        <w:rPr>
          <w:rFonts w:asciiTheme="minorHAnsi" w:hAnsiTheme="minorHAnsi"/>
        </w:rPr>
        <w:t>mepolizumab</w:t>
      </w:r>
      <w:proofErr w:type="spellEnd"/>
      <w:r>
        <w:rPr>
          <w:rFonts w:asciiTheme="minorHAnsi" w:hAnsiTheme="minorHAnsi"/>
        </w:rPr>
        <w:t xml:space="preserve"> treatment.</w:t>
      </w:r>
    </w:p>
    <w:p w14:paraId="69B90A9D" w14:textId="77777777" w:rsidR="002005CD" w:rsidRDefault="002005CD" w:rsidP="002005CD">
      <w:pPr>
        <w:pStyle w:val="Heading6"/>
        <w:rPr>
          <w:lang w:eastAsia="ja-JP"/>
        </w:rPr>
      </w:pPr>
      <w:r>
        <w:rPr>
          <w:lang w:eastAsia="ja-JP"/>
        </w:rPr>
        <w:t xml:space="preserve">Study </w:t>
      </w:r>
      <w:r>
        <w:rPr>
          <w:rFonts w:eastAsiaTheme="minorHAnsi"/>
        </w:rPr>
        <w:t>MEA116841/201607</w:t>
      </w:r>
    </w:p>
    <w:p w14:paraId="7AD91E12" w14:textId="77777777" w:rsidR="002005CD" w:rsidRDefault="002005CD" w:rsidP="002005CD">
      <w:pPr>
        <w:rPr>
          <w:rFonts w:asciiTheme="minorHAnsi" w:hAnsiTheme="minorHAnsi"/>
        </w:rPr>
      </w:pPr>
      <w:r>
        <w:rPr>
          <w:rFonts w:asciiTheme="minorHAnsi" w:hAnsiTheme="minorHAnsi"/>
        </w:rPr>
        <w:t xml:space="preserve">Systemic hypersensitivity reactions were reported for 3 subjects, all of whom had received placebo in Study MEA115921. Each of the reactions was mild, self-limiting and did not recur with ongoing </w:t>
      </w:r>
      <w:proofErr w:type="spellStart"/>
      <w:r>
        <w:rPr>
          <w:rFonts w:asciiTheme="minorHAnsi" w:hAnsiTheme="minorHAnsi"/>
        </w:rPr>
        <w:t>mepolizumab</w:t>
      </w:r>
      <w:proofErr w:type="spellEnd"/>
      <w:r>
        <w:rPr>
          <w:rFonts w:asciiTheme="minorHAnsi" w:hAnsiTheme="minorHAnsi"/>
        </w:rPr>
        <w:t xml:space="preserve"> treatment.</w:t>
      </w:r>
    </w:p>
    <w:p w14:paraId="76638E19" w14:textId="77777777" w:rsidR="002005CD" w:rsidRDefault="002005CD" w:rsidP="002005CD">
      <w:pPr>
        <w:pStyle w:val="Heading6"/>
        <w:rPr>
          <w:rFonts w:eastAsiaTheme="minorHAnsi"/>
        </w:rPr>
      </w:pPr>
      <w:r>
        <w:t>Compassionate Use Programme</w:t>
      </w:r>
    </w:p>
    <w:p w14:paraId="644F5522" w14:textId="77777777" w:rsidR="00624472" w:rsidRDefault="002005CD" w:rsidP="002005CD">
      <w:pPr>
        <w:rPr>
          <w:rFonts w:eastAsia="TimesNewRoman" w:cs="TimesNewRoman"/>
        </w:rPr>
      </w:pPr>
      <w:r w:rsidRPr="00E5391F">
        <w:t xml:space="preserve">Events were identified from completed </w:t>
      </w:r>
      <w:r w:rsidR="00126A5E">
        <w:t>‘</w:t>
      </w:r>
      <w:r w:rsidRPr="00E5391F">
        <w:t>Hypersensitivity/Anaphylaxis Forms</w:t>
      </w:r>
      <w:r w:rsidR="00126A5E">
        <w:t>’</w:t>
      </w:r>
      <w:r w:rsidRPr="00E5391F">
        <w:t xml:space="preserve"> and b</w:t>
      </w:r>
      <w:r>
        <w:t>y</w:t>
      </w:r>
      <w:r w:rsidRPr="00E5391F">
        <w:t xml:space="preserve"> review of reported AEs. There were 8 completed form</w:t>
      </w:r>
      <w:r>
        <w:t>s</w:t>
      </w:r>
      <w:r w:rsidRPr="00E5391F">
        <w:t xml:space="preserve"> submitted by investigators. In 4 of t</w:t>
      </w:r>
      <w:r w:rsidR="00D84518">
        <w:t xml:space="preserve">hese, the reactions were severe. </w:t>
      </w:r>
      <w:r w:rsidRPr="00E5391F">
        <w:t xml:space="preserve">Mild reactions were reported in the other 4 subjects (rash and pruritus in 2 patients, conjunctivitis in one, chest tightness in one). These reactions were reported to resolve and to not recur with ongoing </w:t>
      </w:r>
      <w:proofErr w:type="spellStart"/>
      <w:r w:rsidRPr="00E5391F">
        <w:t>mepolizumab</w:t>
      </w:r>
      <w:proofErr w:type="spellEnd"/>
      <w:r w:rsidRPr="00E5391F">
        <w:t xml:space="preserve"> treatment. Review of reported AEs identified 6 additional subjects in whom hypers</w:t>
      </w:r>
      <w:r w:rsidR="00653385">
        <w:t xml:space="preserve">ensitivity reactions occurred; </w:t>
      </w:r>
      <w:r w:rsidRPr="00E5391F">
        <w:t xml:space="preserve">some of these were attributed to other medications including </w:t>
      </w:r>
      <w:proofErr w:type="spellStart"/>
      <w:r w:rsidRPr="00E5391F">
        <w:t>metamizol</w:t>
      </w:r>
      <w:proofErr w:type="spellEnd"/>
      <w:r w:rsidRPr="00E5391F">
        <w:t xml:space="preserve"> drops, </w:t>
      </w:r>
      <w:r w:rsidRPr="00E5391F">
        <w:rPr>
          <w:rFonts w:eastAsia="TimesNewRoman" w:cs="TimesNewRoman"/>
        </w:rPr>
        <w:t xml:space="preserve">azathioprine, </w:t>
      </w:r>
      <w:proofErr w:type="spellStart"/>
      <w:r w:rsidRPr="00E5391F">
        <w:rPr>
          <w:rFonts w:eastAsia="TimesNewRoman" w:cs="TimesNewRoman"/>
        </w:rPr>
        <w:t>dorzalomide</w:t>
      </w:r>
      <w:proofErr w:type="spellEnd"/>
      <w:r w:rsidRPr="00E5391F">
        <w:rPr>
          <w:rFonts w:eastAsia="TimesNewRoman" w:cs="TimesNewRoman"/>
        </w:rPr>
        <w:t xml:space="preserve"> and ciprofloxacin. All reactions resolved and patients continued </w:t>
      </w:r>
      <w:proofErr w:type="spellStart"/>
      <w:r w:rsidRPr="00E5391F">
        <w:rPr>
          <w:rFonts w:eastAsia="TimesNewRoman" w:cs="TimesNewRoman"/>
        </w:rPr>
        <w:t>mepolizumab</w:t>
      </w:r>
      <w:proofErr w:type="spellEnd"/>
      <w:r w:rsidRPr="00E5391F">
        <w:rPr>
          <w:rFonts w:eastAsia="TimesNewRoman" w:cs="TimesNewRoman"/>
        </w:rPr>
        <w:t xml:space="preserve"> treatment</w:t>
      </w:r>
      <w:r w:rsidR="00624472">
        <w:rPr>
          <w:rFonts w:eastAsia="TimesNewRoman" w:cs="TimesNewRoman"/>
        </w:rPr>
        <w:t>.</w:t>
      </w:r>
    </w:p>
    <w:p w14:paraId="5281E386" w14:textId="77777777" w:rsidR="002005CD" w:rsidRDefault="002005CD" w:rsidP="002005CD">
      <w:pPr>
        <w:rPr>
          <w:rFonts w:eastAsia="TimesNewRoman" w:cs="TimesNewRoman"/>
        </w:rPr>
      </w:pPr>
      <w:r>
        <w:rPr>
          <w:rFonts w:eastAsia="TimesNewRoman" w:cs="TimesNewRoman"/>
        </w:rPr>
        <w:t xml:space="preserve">AEs were also analysed according to their occurrence on the day of </w:t>
      </w:r>
      <w:proofErr w:type="spellStart"/>
      <w:r>
        <w:rPr>
          <w:rFonts w:eastAsia="TimesNewRoman" w:cs="TimesNewRoman"/>
        </w:rPr>
        <w:t>mepolizumab</w:t>
      </w:r>
      <w:proofErr w:type="spellEnd"/>
      <w:r>
        <w:rPr>
          <w:rFonts w:eastAsia="TimesNewRoman" w:cs="TimesNewRoman"/>
        </w:rPr>
        <w:t xml:space="preserve"> administration. This found that t</w:t>
      </w:r>
      <w:r w:rsidRPr="00E5391F">
        <w:rPr>
          <w:rFonts w:eastAsia="TimesNewRoman" w:cs="TimesNewRoman"/>
        </w:rPr>
        <w:t>he overall incidence of AEs that occurred on the day of administration</w:t>
      </w:r>
      <w:r w:rsidR="00653385">
        <w:rPr>
          <w:rFonts w:eastAsia="TimesNewRoman" w:cs="TimesNewRoman"/>
        </w:rPr>
        <w:t xml:space="preserve"> was 58% (163 out of </w:t>
      </w:r>
      <w:r>
        <w:rPr>
          <w:rFonts w:eastAsia="TimesNewRoman" w:cs="TimesNewRoman"/>
        </w:rPr>
        <w:t xml:space="preserve">281), with the most common AEs being: fatigue (8%); cough (7%); dyspnoea, arthralgia and headache (each 6%); and nasal congestion (5%). Rash and pruritus were reported in 10 subjects (4%), with </w:t>
      </w:r>
      <w:proofErr w:type="spellStart"/>
      <w:r>
        <w:rPr>
          <w:rFonts w:eastAsia="TimesNewRoman" w:cs="TimesNewRoman"/>
        </w:rPr>
        <w:t>urticaria</w:t>
      </w:r>
      <w:proofErr w:type="spellEnd"/>
      <w:r>
        <w:rPr>
          <w:rFonts w:eastAsia="TimesNewRoman" w:cs="TimesNewRoman"/>
        </w:rPr>
        <w:t xml:space="preserve"> in one subject.</w:t>
      </w:r>
    </w:p>
    <w:p w14:paraId="5C027447" w14:textId="7535FBC3" w:rsidR="002005CD" w:rsidRPr="00956E9F" w:rsidRDefault="002005CD" w:rsidP="00BB389D">
      <w:pPr>
        <w:pStyle w:val="Heading5"/>
      </w:pPr>
      <w:r w:rsidRPr="00F760C2">
        <w:rPr>
          <w:rFonts w:eastAsia="Arial,Bold"/>
        </w:rPr>
        <w:t xml:space="preserve">Local </w:t>
      </w:r>
      <w:r w:rsidR="00956E9F" w:rsidRPr="00F760C2">
        <w:rPr>
          <w:rFonts w:eastAsia="Arial,Bold"/>
        </w:rPr>
        <w:t>injection site reactions</w:t>
      </w:r>
    </w:p>
    <w:p w14:paraId="6533B782" w14:textId="77777777" w:rsidR="002005CD" w:rsidRDefault="00653385" w:rsidP="002005CD">
      <w:pPr>
        <w:pStyle w:val="Heading6"/>
        <w:rPr>
          <w:lang w:eastAsia="ja-JP"/>
        </w:rPr>
      </w:pPr>
      <w:r>
        <w:t>Study MEA115921</w:t>
      </w:r>
    </w:p>
    <w:p w14:paraId="0C13EFC4" w14:textId="77777777" w:rsidR="002005CD" w:rsidRPr="008418DA" w:rsidRDefault="002005CD" w:rsidP="002005CD">
      <w:r w:rsidRPr="008418DA">
        <w:t>Local injection site reactions (inc</w:t>
      </w:r>
      <w:r w:rsidR="00653385">
        <w:t>luding bruising, erythema, pain and</w:t>
      </w:r>
      <w:r w:rsidRPr="008418DA">
        <w:t xml:space="preserve"> swelling) were reported for a similar proportion of subjects in each treatment group: 10 subjects (15%) in the </w:t>
      </w:r>
      <w:proofErr w:type="spellStart"/>
      <w:r w:rsidRPr="008418DA">
        <w:t>mepolizumab</w:t>
      </w:r>
      <w:proofErr w:type="spellEnd"/>
      <w:r w:rsidRPr="008418DA">
        <w:t xml:space="preserve"> group and 9 subjects (13%) in the placebo group; the majority of events were considered related to study treatment by the investigators. </w:t>
      </w:r>
      <w:r w:rsidRPr="008418DA">
        <w:rPr>
          <w:rFonts w:eastAsia="TimesNewRoman" w:cs="TimesNewRoman"/>
        </w:rPr>
        <w:t>Most of the reactions were mild and self-limiting and no</w:t>
      </w:r>
      <w:r w:rsidRPr="008418DA">
        <w:t xml:space="preserve"> patient discontinued study treatment.</w:t>
      </w:r>
    </w:p>
    <w:p w14:paraId="73E1D724" w14:textId="77777777" w:rsidR="002005CD" w:rsidRDefault="002005CD" w:rsidP="002005CD">
      <w:pPr>
        <w:pStyle w:val="Heading6"/>
        <w:rPr>
          <w:lang w:eastAsia="ja-JP"/>
        </w:rPr>
      </w:pPr>
      <w:r>
        <w:rPr>
          <w:lang w:eastAsia="ja-JP"/>
        </w:rPr>
        <w:t xml:space="preserve">Study </w:t>
      </w:r>
      <w:r>
        <w:rPr>
          <w:rFonts w:eastAsiaTheme="minorHAnsi"/>
        </w:rPr>
        <w:t>MEA116841/201607</w:t>
      </w:r>
    </w:p>
    <w:p w14:paraId="3A076EF9" w14:textId="77777777" w:rsidR="002005CD" w:rsidRPr="008418DA" w:rsidRDefault="002005CD" w:rsidP="002005CD">
      <w:r w:rsidRPr="008418DA">
        <w:t>Local injection site reactions were report</w:t>
      </w:r>
      <w:r w:rsidR="00653385">
        <w:t xml:space="preserve">ed by 11 (11%) subjects, with 9 out of </w:t>
      </w:r>
      <w:r w:rsidRPr="008418DA">
        <w:t>11 considered related to study treatment. Most of the reactions were mild and self-limiting and no patient discontinued study treatment.</w:t>
      </w:r>
    </w:p>
    <w:p w14:paraId="4A3919B4" w14:textId="7040F043" w:rsidR="002005CD" w:rsidRDefault="002005CD" w:rsidP="002005CD">
      <w:pPr>
        <w:pStyle w:val="Heading6"/>
        <w:rPr>
          <w:rFonts w:eastAsiaTheme="minorHAnsi"/>
        </w:rPr>
      </w:pPr>
      <w:r>
        <w:lastRenderedPageBreak/>
        <w:t xml:space="preserve">Compassionate </w:t>
      </w:r>
      <w:r w:rsidR="004101C8">
        <w:t>use programme</w:t>
      </w:r>
    </w:p>
    <w:p w14:paraId="0B9BE0AA" w14:textId="77777777" w:rsidR="002005CD" w:rsidRDefault="002005CD" w:rsidP="002005CD">
      <w:r>
        <w:t xml:space="preserve">Local injection site reactions were not discussed in the </w:t>
      </w:r>
      <w:r w:rsidR="00653385">
        <w:t>clinical study report</w:t>
      </w:r>
      <w:r>
        <w:t xml:space="preserve">. However, reports </w:t>
      </w:r>
      <w:r w:rsidR="002E4BF6">
        <w:t xml:space="preserve">of </w:t>
      </w:r>
      <w:r>
        <w:t>AE</w:t>
      </w:r>
      <w:r w:rsidR="002E4BF6">
        <w:t xml:space="preserve">s on the day of administration show </w:t>
      </w:r>
      <w:r>
        <w:t>infusion site bruising and infusion site induration was reported by one subject each.</w:t>
      </w:r>
    </w:p>
    <w:p w14:paraId="76069E2A" w14:textId="77777777" w:rsidR="00624472" w:rsidRDefault="002005CD" w:rsidP="00E77EAC">
      <w:bookmarkStart w:id="117" w:name="_Hlk504647856"/>
      <w:r w:rsidRPr="00E77EAC">
        <w:t xml:space="preserve">The rate of injection site reactions reported here differs from that shown </w:t>
      </w:r>
      <w:r w:rsidR="00681F6C">
        <w:t xml:space="preserve">in </w:t>
      </w:r>
      <w:r w:rsidR="00681F6C">
        <w:fldChar w:fldCharType="begin"/>
      </w:r>
      <w:r w:rsidR="00681F6C">
        <w:instrText xml:space="preserve"> REF _Ref15982296 \h </w:instrText>
      </w:r>
      <w:r w:rsidR="00681F6C">
        <w:fldChar w:fldCharType="separate"/>
      </w:r>
      <w:r w:rsidR="00126A5E">
        <w:t xml:space="preserve">Table </w:t>
      </w:r>
      <w:r w:rsidR="00126A5E">
        <w:rPr>
          <w:noProof/>
        </w:rPr>
        <w:t>11</w:t>
      </w:r>
      <w:r w:rsidR="00681F6C">
        <w:fldChar w:fldCharType="end"/>
      </w:r>
      <w:r w:rsidR="00681F6C">
        <w:t>, below,</w:t>
      </w:r>
      <w:r w:rsidRPr="00E77EAC">
        <w:t xml:space="preserve"> due to the inclusion of other preferred terms (</w:t>
      </w:r>
      <w:r w:rsidR="007B19BE" w:rsidRPr="00E77EAC">
        <w:t>for example</w:t>
      </w:r>
      <w:r w:rsidRPr="00E77EAC">
        <w:t xml:space="preserve">, injection site pain). The incidence of injection site reactions in patients receiving </w:t>
      </w:r>
      <w:proofErr w:type="spellStart"/>
      <w:r w:rsidRPr="00E77EAC">
        <w:t>mepolizumab</w:t>
      </w:r>
      <w:proofErr w:type="spellEnd"/>
      <w:r w:rsidRPr="00E77EAC">
        <w:t xml:space="preserve"> for EGPA (15%) is higher than that reported in patients with severe asthma who received </w:t>
      </w:r>
      <w:proofErr w:type="spellStart"/>
      <w:r w:rsidRPr="00E77EAC">
        <w:t>mepolizumab</w:t>
      </w:r>
      <w:proofErr w:type="spellEnd"/>
      <w:r w:rsidRPr="00E77EAC">
        <w:t xml:space="preserve"> (8%). As noted above, this would be expected given that patients </w:t>
      </w:r>
      <w:r w:rsidR="00681F6C">
        <w:t>with EGPA received 3 </w:t>
      </w:r>
      <w:r w:rsidRPr="00E77EAC">
        <w:t>injections per treatment compared to one injection in asthma</w:t>
      </w:r>
      <w:bookmarkEnd w:id="117"/>
      <w:r w:rsidR="00624472" w:rsidRPr="00E77EAC">
        <w:t>.</w:t>
      </w:r>
    </w:p>
    <w:p w14:paraId="76EEAB3D" w14:textId="6C720D4A" w:rsidR="00681F6C" w:rsidRDefault="00681F6C" w:rsidP="00681F6C">
      <w:pPr>
        <w:pStyle w:val="TableTitle"/>
      </w:pPr>
      <w:bookmarkStart w:id="118" w:name="_Ref15982296"/>
      <w:r>
        <w:t xml:space="preserve">Table </w:t>
      </w:r>
      <w:r w:rsidR="00C33647">
        <w:rPr>
          <w:noProof/>
        </w:rPr>
        <w:fldChar w:fldCharType="begin"/>
      </w:r>
      <w:r w:rsidR="00C33647">
        <w:rPr>
          <w:noProof/>
        </w:rPr>
        <w:instrText xml:space="preserve"> SEQ Table \* ARABIC </w:instrText>
      </w:r>
      <w:r w:rsidR="00C33647">
        <w:rPr>
          <w:noProof/>
        </w:rPr>
        <w:fldChar w:fldCharType="separate"/>
      </w:r>
      <w:r w:rsidR="00126A5E">
        <w:rPr>
          <w:noProof/>
        </w:rPr>
        <w:t>11</w:t>
      </w:r>
      <w:r w:rsidR="00C33647">
        <w:rPr>
          <w:noProof/>
        </w:rPr>
        <w:fldChar w:fldCharType="end"/>
      </w:r>
      <w:bookmarkEnd w:id="118"/>
      <w:r>
        <w:t xml:space="preserve">: </w:t>
      </w:r>
      <w:r w:rsidRPr="00F36DEF">
        <w:t>Study MEA115921 AEs by preferred term reported in 10% or more in either treatment group</w:t>
      </w:r>
    </w:p>
    <w:p w14:paraId="3D2C3846" w14:textId="77777777" w:rsidR="00681F6C" w:rsidRDefault="00681F6C" w:rsidP="00E77EAC">
      <w:r>
        <w:rPr>
          <w:noProof/>
          <w:lang w:eastAsia="en-AU"/>
        </w:rPr>
        <w:drawing>
          <wp:inline distT="0" distB="0" distL="0" distR="0" wp14:anchorId="5D7064E8" wp14:editId="3BDC053A">
            <wp:extent cx="4637836" cy="3444683"/>
            <wp:effectExtent l="0" t="0" r="0" b="3810"/>
            <wp:docPr id="42" name="Picture 42" descr="Study MEA115921: AEs by preferred term reported in 10% or more in either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40231" cy="3446462"/>
                    </a:xfrm>
                    <a:prstGeom prst="rect">
                      <a:avLst/>
                    </a:prstGeom>
                  </pic:spPr>
                </pic:pic>
              </a:graphicData>
            </a:graphic>
          </wp:inline>
        </w:drawing>
      </w:r>
    </w:p>
    <w:p w14:paraId="6477ABAC" w14:textId="77777777" w:rsidR="00681F6C" w:rsidRPr="00E77EAC" w:rsidRDefault="00681F6C" w:rsidP="00681F6C">
      <w:pPr>
        <w:pStyle w:val="TableDescription"/>
      </w:pPr>
      <w:r w:rsidRPr="00F36DEF">
        <w:rPr>
          <w:lang w:eastAsia="ja-JP"/>
        </w:rPr>
        <w:t>AEs that were reported more commonly (&gt;</w:t>
      </w:r>
      <w:r>
        <w:rPr>
          <w:lang w:eastAsia="ja-JP"/>
        </w:rPr>
        <w:t xml:space="preserve"> </w:t>
      </w:r>
      <w:r w:rsidRPr="00F36DEF">
        <w:rPr>
          <w:lang w:eastAsia="ja-JP"/>
        </w:rPr>
        <w:t xml:space="preserve">5% difference in incidence) in patients receiving </w:t>
      </w:r>
      <w:proofErr w:type="spellStart"/>
      <w:r w:rsidRPr="00F36DEF">
        <w:rPr>
          <w:lang w:eastAsia="ja-JP"/>
        </w:rPr>
        <w:t>mepolizumab</w:t>
      </w:r>
      <w:proofErr w:type="spellEnd"/>
      <w:r w:rsidRPr="00F36DEF">
        <w:rPr>
          <w:lang w:eastAsia="ja-JP"/>
        </w:rPr>
        <w:t xml:space="preserve"> are shown in bold.</w:t>
      </w:r>
    </w:p>
    <w:p w14:paraId="5E01C1F2" w14:textId="77777777" w:rsidR="002005CD" w:rsidRPr="00491260" w:rsidRDefault="002005CD" w:rsidP="00BB389D">
      <w:pPr>
        <w:pStyle w:val="Heading5"/>
      </w:pPr>
      <w:r w:rsidRPr="00F760C2">
        <w:rPr>
          <w:rFonts w:eastAsia="Arial,Bold"/>
        </w:rPr>
        <w:t>Infections</w:t>
      </w:r>
    </w:p>
    <w:p w14:paraId="047A404D" w14:textId="77777777" w:rsidR="002005CD" w:rsidRDefault="004D0059" w:rsidP="002005CD">
      <w:pPr>
        <w:pStyle w:val="Heading6"/>
        <w:rPr>
          <w:lang w:eastAsia="ja-JP"/>
        </w:rPr>
      </w:pPr>
      <w:r>
        <w:t>Study MEA115921</w:t>
      </w:r>
    </w:p>
    <w:p w14:paraId="61018637" w14:textId="77777777" w:rsidR="002005CD" w:rsidRPr="000565A6" w:rsidRDefault="00E77EAC" w:rsidP="002005CD">
      <w:r>
        <w:t xml:space="preserve">On </w:t>
      </w:r>
      <w:r w:rsidR="002005CD" w:rsidRPr="000565A6">
        <w:t xml:space="preserve">treatment AEs in the Infections and Infestations </w:t>
      </w:r>
      <w:r>
        <w:t>system organ class (</w:t>
      </w:r>
      <w:r w:rsidR="002005CD" w:rsidRPr="000565A6">
        <w:t>SOC</w:t>
      </w:r>
      <w:r>
        <w:t>)</w:t>
      </w:r>
      <w:r w:rsidR="002005CD" w:rsidRPr="000565A6">
        <w:t xml:space="preserve"> were reported with a similar incidence in the </w:t>
      </w:r>
      <w:proofErr w:type="spellStart"/>
      <w:r w:rsidR="002005CD" w:rsidRPr="000565A6">
        <w:t>mepolizumab</w:t>
      </w:r>
      <w:proofErr w:type="spellEnd"/>
      <w:r w:rsidR="002005CD" w:rsidRPr="000565A6">
        <w:t xml:space="preserve"> (84%) and placebo (78%) groups, while serious infections were reported by 6% of subjects in the </w:t>
      </w:r>
      <w:proofErr w:type="spellStart"/>
      <w:r w:rsidR="002005CD" w:rsidRPr="000565A6">
        <w:t>mepolizumab</w:t>
      </w:r>
      <w:proofErr w:type="spellEnd"/>
      <w:r w:rsidR="002005CD" w:rsidRPr="000565A6">
        <w:t xml:space="preserve"> group and 15% of subjects in the placebo group.</w:t>
      </w:r>
    </w:p>
    <w:p w14:paraId="1286C752" w14:textId="77777777" w:rsidR="002005CD" w:rsidRDefault="002005CD" w:rsidP="002005CD">
      <w:pPr>
        <w:pStyle w:val="Heading6"/>
        <w:rPr>
          <w:lang w:eastAsia="ja-JP"/>
        </w:rPr>
      </w:pPr>
      <w:r>
        <w:rPr>
          <w:lang w:eastAsia="ja-JP"/>
        </w:rPr>
        <w:t xml:space="preserve">Study </w:t>
      </w:r>
      <w:r>
        <w:rPr>
          <w:rFonts w:eastAsiaTheme="minorHAnsi"/>
        </w:rPr>
        <w:t>MEA116841/201607</w:t>
      </w:r>
    </w:p>
    <w:p w14:paraId="57995860" w14:textId="77777777" w:rsidR="002005CD" w:rsidRPr="00194085" w:rsidRDefault="002005CD" w:rsidP="002005CD">
      <w:pPr>
        <w:autoSpaceDE w:val="0"/>
        <w:autoSpaceDN w:val="0"/>
        <w:adjustRightInd w:val="0"/>
        <w:spacing w:before="0" w:after="0" w:line="240" w:lineRule="auto"/>
        <w:rPr>
          <w:rFonts w:asciiTheme="minorHAnsi" w:hAnsiTheme="minorHAnsi"/>
        </w:rPr>
      </w:pPr>
      <w:r w:rsidRPr="00194085">
        <w:rPr>
          <w:rFonts w:asciiTheme="minorHAnsi" w:eastAsia="TimesNewRoman" w:hAnsiTheme="minorHAnsi" w:cs="TimesNewRoman"/>
        </w:rPr>
        <w:t>On treatment AEs in the Infections and infes</w:t>
      </w:r>
      <w:r w:rsidR="00E77EAC">
        <w:rPr>
          <w:rFonts w:asciiTheme="minorHAnsi" w:eastAsia="TimesNewRoman" w:hAnsiTheme="minorHAnsi" w:cs="TimesNewRoman"/>
        </w:rPr>
        <w:t xml:space="preserve">tations SOC were reported by 49 out of </w:t>
      </w:r>
      <w:r w:rsidRPr="00194085">
        <w:rPr>
          <w:rFonts w:asciiTheme="minorHAnsi" w:eastAsia="TimesNewRoman" w:hAnsiTheme="minorHAnsi" w:cs="TimesNewRoman"/>
        </w:rPr>
        <w:t>109 subjects</w:t>
      </w:r>
      <w:r>
        <w:rPr>
          <w:rFonts w:asciiTheme="minorHAnsi" w:eastAsia="TimesNewRoman" w:hAnsiTheme="minorHAnsi" w:cs="TimesNewRoman"/>
        </w:rPr>
        <w:t xml:space="preserve"> (45%)</w:t>
      </w:r>
      <w:r w:rsidRPr="00194085">
        <w:rPr>
          <w:rFonts w:asciiTheme="minorHAnsi" w:eastAsia="TimesNewRoman" w:hAnsiTheme="minorHAnsi" w:cs="TimesNewRoman"/>
        </w:rPr>
        <w:t>, w</w:t>
      </w:r>
      <w:r w:rsidR="00E77EAC">
        <w:rPr>
          <w:rFonts w:asciiTheme="minorHAnsi" w:eastAsia="TimesNewRoman" w:hAnsiTheme="minorHAnsi" w:cs="TimesNewRoman"/>
        </w:rPr>
        <w:t xml:space="preserve">ith these reported as SAEs in 9 out of </w:t>
      </w:r>
      <w:r w:rsidRPr="00194085">
        <w:rPr>
          <w:rFonts w:asciiTheme="minorHAnsi" w:eastAsia="TimesNewRoman" w:hAnsiTheme="minorHAnsi" w:cs="TimesNewRoman"/>
        </w:rPr>
        <w:t>109 subjects</w:t>
      </w:r>
      <w:r>
        <w:rPr>
          <w:rFonts w:asciiTheme="minorHAnsi" w:eastAsia="TimesNewRoman" w:hAnsiTheme="minorHAnsi" w:cs="TimesNewRoman"/>
        </w:rPr>
        <w:t xml:space="preserve"> (9%)</w:t>
      </w:r>
      <w:r w:rsidRPr="00194085">
        <w:rPr>
          <w:rFonts w:asciiTheme="minorHAnsi" w:eastAsia="TimesNewRoman" w:hAnsiTheme="minorHAnsi" w:cs="TimesNewRoman"/>
        </w:rPr>
        <w:t>.</w:t>
      </w:r>
    </w:p>
    <w:p w14:paraId="30E02E92" w14:textId="67FB8D2C" w:rsidR="002005CD" w:rsidRDefault="002005CD" w:rsidP="002005CD">
      <w:pPr>
        <w:pStyle w:val="Heading6"/>
        <w:rPr>
          <w:rFonts w:eastAsiaTheme="minorHAnsi"/>
        </w:rPr>
      </w:pPr>
      <w:r>
        <w:t xml:space="preserve">Compassionate </w:t>
      </w:r>
      <w:r w:rsidR="004101C8">
        <w:t>use programme</w:t>
      </w:r>
    </w:p>
    <w:p w14:paraId="23676CC2" w14:textId="77777777" w:rsidR="002005CD" w:rsidRPr="00194085" w:rsidRDefault="00E77EAC" w:rsidP="002005CD">
      <w:pPr>
        <w:autoSpaceDE w:val="0"/>
        <w:autoSpaceDN w:val="0"/>
        <w:adjustRightInd w:val="0"/>
        <w:spacing w:before="0" w:after="0" w:line="240" w:lineRule="auto"/>
        <w:rPr>
          <w:rFonts w:asciiTheme="minorHAnsi" w:hAnsiTheme="minorHAnsi"/>
        </w:rPr>
      </w:pPr>
      <w:r>
        <w:rPr>
          <w:rFonts w:asciiTheme="minorHAnsi" w:hAnsiTheme="minorHAnsi"/>
        </w:rPr>
        <w:t xml:space="preserve">On </w:t>
      </w:r>
      <w:r w:rsidR="002005CD" w:rsidRPr="00194085">
        <w:rPr>
          <w:rFonts w:asciiTheme="minorHAnsi" w:hAnsiTheme="minorHAnsi"/>
        </w:rPr>
        <w:t xml:space="preserve">treatment AEs in the Infections and Infestations SOC were reported in 180 of 281 patients (64%), with a total of 792 events. These were reported as SAEs in </w:t>
      </w:r>
      <w:r>
        <w:rPr>
          <w:rFonts w:asciiTheme="minorHAnsi" w:eastAsia="TimesNewRoman" w:hAnsiTheme="minorHAnsi" w:cs="TimesNewRoman"/>
        </w:rPr>
        <w:t xml:space="preserve">47 out of </w:t>
      </w:r>
      <w:r w:rsidR="002005CD" w:rsidRPr="00194085">
        <w:rPr>
          <w:rFonts w:asciiTheme="minorHAnsi" w:eastAsia="TimesNewRoman" w:hAnsiTheme="minorHAnsi" w:cs="TimesNewRoman"/>
        </w:rPr>
        <w:t>285 (16%) of patients. The events reported by ≥</w:t>
      </w:r>
      <w:r>
        <w:rPr>
          <w:rFonts w:asciiTheme="minorHAnsi" w:eastAsia="TimesNewRoman" w:hAnsiTheme="minorHAnsi" w:cs="TimesNewRoman"/>
        </w:rPr>
        <w:t xml:space="preserve"> </w:t>
      </w:r>
      <w:r w:rsidR="002005CD" w:rsidRPr="00194085">
        <w:rPr>
          <w:rFonts w:asciiTheme="minorHAnsi" w:eastAsia="TimesNewRoman" w:hAnsiTheme="minorHAnsi" w:cs="TimesNewRoman"/>
        </w:rPr>
        <w:t>1%</w:t>
      </w:r>
      <w:r>
        <w:rPr>
          <w:rFonts w:asciiTheme="minorHAnsi" w:eastAsia="TimesNewRoman" w:hAnsiTheme="minorHAnsi" w:cs="TimesNewRoman"/>
        </w:rPr>
        <w:t xml:space="preserve"> of patients were pneumonia (14 out of </w:t>
      </w:r>
      <w:r>
        <w:rPr>
          <w:rFonts w:asciiTheme="minorHAnsi" w:eastAsia="TimesNewRoman" w:hAnsiTheme="minorHAnsi" w:cs="TimesNewRoman"/>
        </w:rPr>
        <w:lastRenderedPageBreak/>
        <w:t xml:space="preserve">285, or 5%), sepsis (5 out of </w:t>
      </w:r>
      <w:r w:rsidR="002005CD" w:rsidRPr="00194085">
        <w:rPr>
          <w:rFonts w:asciiTheme="minorHAnsi" w:eastAsia="TimesNewRoman" w:hAnsiTheme="minorHAnsi" w:cs="TimesNewRoman"/>
        </w:rPr>
        <w:t>285, or 2%), and bronchitis, cellulitis, device related infection, diverticulitis, gastroenteritis, uri</w:t>
      </w:r>
      <w:r>
        <w:rPr>
          <w:rFonts w:asciiTheme="minorHAnsi" w:eastAsia="TimesNewRoman" w:hAnsiTheme="minorHAnsi" w:cs="TimesNewRoman"/>
        </w:rPr>
        <w:t xml:space="preserve">nary tract infection (each by 3 out of </w:t>
      </w:r>
      <w:r w:rsidR="002005CD" w:rsidRPr="00194085">
        <w:rPr>
          <w:rFonts w:asciiTheme="minorHAnsi" w:eastAsia="TimesNewRoman" w:hAnsiTheme="minorHAnsi" w:cs="TimesNewRoman"/>
        </w:rPr>
        <w:t>285, or 1%)</w:t>
      </w:r>
      <w:r w:rsidR="002005CD">
        <w:rPr>
          <w:rFonts w:asciiTheme="minorHAnsi" w:eastAsia="TimesNewRoman" w:hAnsiTheme="minorHAnsi" w:cs="TimesNewRoman"/>
        </w:rPr>
        <w:t>.</w:t>
      </w:r>
    </w:p>
    <w:p w14:paraId="51C42086" w14:textId="161F51DD" w:rsidR="002005CD" w:rsidRDefault="002005CD" w:rsidP="00BB389D">
      <w:pPr>
        <w:pStyle w:val="Heading5"/>
        <w:rPr>
          <w:rFonts w:eastAsiaTheme="minorHAnsi"/>
        </w:rPr>
      </w:pPr>
      <w:r w:rsidRPr="00F760C2">
        <w:rPr>
          <w:rFonts w:eastAsiaTheme="minorHAnsi"/>
        </w:rPr>
        <w:t xml:space="preserve">Opportunistic </w:t>
      </w:r>
      <w:r w:rsidR="00491260">
        <w:rPr>
          <w:rFonts w:eastAsiaTheme="minorHAnsi"/>
        </w:rPr>
        <w:t>i</w:t>
      </w:r>
      <w:r w:rsidRPr="00491260">
        <w:rPr>
          <w:rFonts w:eastAsiaTheme="minorHAnsi"/>
        </w:rPr>
        <w:t>nfections</w:t>
      </w:r>
    </w:p>
    <w:p w14:paraId="6C208A8C" w14:textId="77777777" w:rsidR="002005CD" w:rsidRDefault="002005CD" w:rsidP="002005CD">
      <w:r>
        <w:t>The current PI includes the following as a Precaution</w:t>
      </w:r>
      <w:r w:rsidR="00184739">
        <w:t>:</w:t>
      </w:r>
    </w:p>
    <w:p w14:paraId="376FFCD8" w14:textId="77777777" w:rsidR="00184739" w:rsidRPr="00184739" w:rsidRDefault="00184739" w:rsidP="00184739">
      <w:pPr>
        <w:ind w:left="720"/>
        <w:rPr>
          <w:b/>
        </w:rPr>
      </w:pPr>
      <w:r w:rsidRPr="00184739">
        <w:rPr>
          <w:b/>
        </w:rPr>
        <w:t>Opportunistic Infections: Herpes Zoster</w:t>
      </w:r>
    </w:p>
    <w:p w14:paraId="5E43B82B" w14:textId="77777777" w:rsidR="002005CD" w:rsidRDefault="00184739" w:rsidP="00184739">
      <w:pPr>
        <w:ind w:left="720"/>
      </w:pPr>
      <w:r>
        <w:t xml:space="preserve">In controlled clinical trials, 2 serious adverse reactions of herpes zoster occurred in patients treated with </w:t>
      </w:r>
      <w:proofErr w:type="spellStart"/>
      <w:r>
        <w:t>Nucala</w:t>
      </w:r>
      <w:proofErr w:type="spellEnd"/>
      <w:r>
        <w:t xml:space="preserve"> versus none in the placebo group.</w:t>
      </w:r>
    </w:p>
    <w:p w14:paraId="66FD3152" w14:textId="77777777" w:rsidR="002005CD" w:rsidRPr="00AB4EFC" w:rsidRDefault="002005CD" w:rsidP="002005CD">
      <w:r>
        <w:t xml:space="preserve">The Adverse Effects section, describing clinical trials experience in asthma, also reports that </w:t>
      </w:r>
      <w:r w:rsidRPr="00340000">
        <w:t xml:space="preserve">3 cases of herpes zoster occurred in subjects treated with </w:t>
      </w:r>
      <w:proofErr w:type="spellStart"/>
      <w:r w:rsidRPr="00340000">
        <w:t>mepolizumab</w:t>
      </w:r>
      <w:proofErr w:type="spellEnd"/>
      <w:r w:rsidRPr="00340000">
        <w:t xml:space="preserve"> 75 mg IV, compared with 2 subjects in the placebo group</w:t>
      </w:r>
      <w:r>
        <w:t>, and that herpes zoster was reported as a SAE in 2 subjects.</w:t>
      </w:r>
    </w:p>
    <w:p w14:paraId="1A59FF9E" w14:textId="77777777" w:rsidR="002005CD" w:rsidRDefault="00E77EAC" w:rsidP="002005CD">
      <w:pPr>
        <w:pStyle w:val="Heading6"/>
        <w:rPr>
          <w:lang w:eastAsia="ja-JP"/>
        </w:rPr>
      </w:pPr>
      <w:r>
        <w:t>Study MEA115921</w:t>
      </w:r>
    </w:p>
    <w:p w14:paraId="09B0084C" w14:textId="77777777" w:rsidR="002005CD" w:rsidRDefault="002005CD" w:rsidP="002005CD">
      <w:pPr>
        <w:rPr>
          <w:rFonts w:ascii="TimesNewRoman" w:eastAsia="TimesNewRoman" w:hAnsiTheme="minorHAnsi" w:cs="TimesNewRoman"/>
          <w:sz w:val="24"/>
          <w:szCs w:val="24"/>
        </w:rPr>
      </w:pPr>
      <w:r>
        <w:t xml:space="preserve">The </w:t>
      </w:r>
      <w:r w:rsidR="00E77EAC">
        <w:t>clinical study report outlines</w:t>
      </w:r>
      <w:r>
        <w:t xml:space="preserve"> that, s</w:t>
      </w:r>
      <w:r w:rsidRPr="0007752F">
        <w:t xml:space="preserve">ince SMQs for opportunistic infections </w:t>
      </w:r>
      <w:r>
        <w:t>are</w:t>
      </w:r>
      <w:r w:rsidRPr="0007752F">
        <w:t xml:space="preserve"> not available, expert opinion on what constitutes opportunistic infections in the setting of biological therapy (according to the consensus group recommendations in Winthrop et al</w:t>
      </w:r>
      <w:r w:rsidR="002E1CAF">
        <w:t>.</w:t>
      </w:r>
      <w:r>
        <w:rPr>
          <w:rStyle w:val="FootnoteReference"/>
        </w:rPr>
        <w:footnoteReference w:id="40"/>
      </w:r>
      <w:r w:rsidRPr="0007752F">
        <w:t>) was used to develop a</w:t>
      </w:r>
      <w:r>
        <w:t xml:space="preserve"> </w:t>
      </w:r>
      <w:r w:rsidRPr="0007752F">
        <w:t xml:space="preserve">list of </w:t>
      </w:r>
      <w:r w:rsidR="00E77EAC" w:rsidRPr="00AF7B2C">
        <w:t>Medical Dictionary for Regulatory Activities</w:t>
      </w:r>
      <w:r w:rsidR="00E77EAC" w:rsidRPr="0007752F">
        <w:t xml:space="preserve"> </w:t>
      </w:r>
      <w:r w:rsidR="00E77EAC">
        <w:t>(</w:t>
      </w:r>
      <w:proofErr w:type="spellStart"/>
      <w:r w:rsidRPr="0007752F">
        <w:t>MedDRA</w:t>
      </w:r>
      <w:proofErr w:type="spellEnd"/>
      <w:r w:rsidR="00E77EAC">
        <w:t>)</w:t>
      </w:r>
      <w:r w:rsidRPr="0007752F">
        <w:t xml:space="preserve"> </w:t>
      </w:r>
      <w:r w:rsidR="00E77EAC">
        <w:t>preferred terms (</w:t>
      </w:r>
      <w:r w:rsidRPr="0007752F">
        <w:t>PTs</w:t>
      </w:r>
      <w:r w:rsidR="00E77EAC">
        <w:t>)</w:t>
      </w:r>
      <w:r w:rsidRPr="0007752F">
        <w:t xml:space="preserve"> that were considered to represent opportunistic infections. The incidence of AEs identified as potentially representing opportunistic infections was higher in the </w:t>
      </w:r>
      <w:proofErr w:type="spellStart"/>
      <w:r w:rsidRPr="0007752F">
        <w:t>mepolizumab</w:t>
      </w:r>
      <w:proofErr w:type="spellEnd"/>
      <w:r w:rsidRPr="0007752F">
        <w:t xml:space="preserve"> group (7%) compared with the placebo group (3%).</w:t>
      </w:r>
    </w:p>
    <w:p w14:paraId="413B126B" w14:textId="765148AF" w:rsidR="002005CD" w:rsidRPr="0007752F" w:rsidRDefault="002005CD" w:rsidP="00E77EAC">
      <w:pPr>
        <w:pStyle w:val="FigureTitle"/>
      </w:pPr>
      <w:bookmarkStart w:id="119" w:name="_Toc525724249"/>
      <w:r>
        <w:t xml:space="preserve">Figure </w:t>
      </w:r>
      <w:r>
        <w:rPr>
          <w:noProof/>
        </w:rPr>
        <w:fldChar w:fldCharType="begin"/>
      </w:r>
      <w:r>
        <w:rPr>
          <w:noProof/>
        </w:rPr>
        <w:instrText xml:space="preserve"> SEQ Figure \* ARABIC </w:instrText>
      </w:r>
      <w:r>
        <w:rPr>
          <w:noProof/>
        </w:rPr>
        <w:fldChar w:fldCharType="separate"/>
      </w:r>
      <w:r w:rsidR="001B4E8B">
        <w:rPr>
          <w:noProof/>
        </w:rPr>
        <w:t>3</w:t>
      </w:r>
      <w:r>
        <w:rPr>
          <w:noProof/>
        </w:rPr>
        <w:fldChar w:fldCharType="end"/>
      </w:r>
      <w:r w:rsidR="00E77EAC">
        <w:t xml:space="preserve">: </w:t>
      </w:r>
      <w:r w:rsidRPr="0007752F">
        <w:t>Study MEA115921</w:t>
      </w:r>
      <w:r>
        <w:t xml:space="preserve"> Potential </w:t>
      </w:r>
      <w:r w:rsidR="00E77EAC">
        <w:t>opportunistic i</w:t>
      </w:r>
      <w:r w:rsidRPr="0007752F">
        <w:t>nfections</w:t>
      </w:r>
      <w:bookmarkEnd w:id="119"/>
      <w:r w:rsidR="00E77EAC">
        <w:t>, safety population</w:t>
      </w:r>
    </w:p>
    <w:p w14:paraId="123E5F4D" w14:textId="77777777" w:rsidR="002005CD" w:rsidRDefault="00E77EAC" w:rsidP="002005CD">
      <w:pPr>
        <w:rPr>
          <w:rFonts w:asciiTheme="minorHAnsi" w:hAnsiTheme="minorHAnsi"/>
        </w:rPr>
      </w:pPr>
      <w:r>
        <w:rPr>
          <w:noProof/>
          <w:lang w:eastAsia="en-AU"/>
        </w:rPr>
        <w:drawing>
          <wp:inline distT="0" distB="0" distL="0" distR="0" wp14:anchorId="02C15FF6" wp14:editId="4F8B0455">
            <wp:extent cx="5266944" cy="1139993"/>
            <wp:effectExtent l="0" t="0" r="0" b="3175"/>
            <wp:docPr id="14" name="Picture 14" descr="Study MEA115921: Potential opportunistic infection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67227" cy="1140054"/>
                    </a:xfrm>
                    <a:prstGeom prst="rect">
                      <a:avLst/>
                    </a:prstGeom>
                  </pic:spPr>
                </pic:pic>
              </a:graphicData>
            </a:graphic>
          </wp:inline>
        </w:drawing>
      </w:r>
    </w:p>
    <w:p w14:paraId="7DDACAEF" w14:textId="77777777" w:rsidR="002005CD" w:rsidRPr="004D0059" w:rsidRDefault="002005CD" w:rsidP="002005CD">
      <w:pPr>
        <w:rPr>
          <w:rFonts w:asciiTheme="minorHAnsi" w:hAnsiTheme="minorHAnsi"/>
        </w:rPr>
      </w:pPr>
      <w:r w:rsidRPr="004D0059">
        <w:rPr>
          <w:rFonts w:asciiTheme="minorHAnsi" w:hAnsiTheme="minorHAnsi"/>
        </w:rPr>
        <w:t>Brief narratives were provided for these patients. The cases of herpes simplex were reported as not representing opportunistic infection as there was no suggestion of invasive disease. The cases of candida were also discounted as unlikely to be invasive disease on the basis that one was thrush and the other was non-serious and mild. All cases of herpes zoster appeared to be c</w:t>
      </w:r>
      <w:r w:rsidR="00E77EAC" w:rsidRPr="004D0059">
        <w:rPr>
          <w:rFonts w:asciiTheme="minorHAnsi" w:hAnsiTheme="minorHAnsi"/>
        </w:rPr>
        <w:t xml:space="preserve">ases of shingles, all were mild to </w:t>
      </w:r>
      <w:r w:rsidRPr="004D0059">
        <w:rPr>
          <w:rFonts w:asciiTheme="minorHAnsi" w:hAnsiTheme="minorHAnsi"/>
        </w:rPr>
        <w:t>moderate in intensity, one of the placebo cases (moderate intensity) was reported as an SAE.</w:t>
      </w:r>
    </w:p>
    <w:p w14:paraId="4DA83B58" w14:textId="77777777" w:rsidR="002005CD" w:rsidRPr="004D0059" w:rsidRDefault="002005CD" w:rsidP="002005CD">
      <w:pPr>
        <w:pStyle w:val="Heading6"/>
        <w:rPr>
          <w:lang w:eastAsia="ja-JP"/>
        </w:rPr>
      </w:pPr>
      <w:r w:rsidRPr="004D0059">
        <w:rPr>
          <w:lang w:eastAsia="ja-JP"/>
        </w:rPr>
        <w:t xml:space="preserve">Study </w:t>
      </w:r>
      <w:r w:rsidRPr="004D0059">
        <w:rPr>
          <w:rFonts w:eastAsiaTheme="minorHAnsi"/>
        </w:rPr>
        <w:t>MEA116841/201607</w:t>
      </w:r>
    </w:p>
    <w:p w14:paraId="49F97702" w14:textId="77777777" w:rsidR="002005CD" w:rsidRDefault="002005CD" w:rsidP="002005CD">
      <w:pPr>
        <w:rPr>
          <w:rFonts w:asciiTheme="minorHAnsi" w:hAnsiTheme="minorHAnsi"/>
        </w:rPr>
      </w:pPr>
      <w:r w:rsidRPr="004D0059">
        <w:rPr>
          <w:rFonts w:asciiTheme="minorHAnsi" w:hAnsiTheme="minorHAnsi"/>
        </w:rPr>
        <w:t xml:space="preserve">There was one event potentially representing an opportunistic infection reported. This was a non-serious case of herpes zoster (shingles) in a 45 year old subject who had received </w:t>
      </w:r>
      <w:proofErr w:type="spellStart"/>
      <w:r w:rsidRPr="004D0059">
        <w:rPr>
          <w:rFonts w:asciiTheme="minorHAnsi" w:hAnsiTheme="minorHAnsi"/>
        </w:rPr>
        <w:t>mepolizumab</w:t>
      </w:r>
      <w:proofErr w:type="spellEnd"/>
      <w:r w:rsidRPr="004D0059">
        <w:rPr>
          <w:rFonts w:asciiTheme="minorHAnsi" w:hAnsiTheme="minorHAnsi"/>
        </w:rPr>
        <w:t xml:space="preserve"> in Study MEA115921. The shingles developed after 211 treatment days and resolved within 7 days.</w:t>
      </w:r>
    </w:p>
    <w:p w14:paraId="025771FB" w14:textId="28B79CDA" w:rsidR="002005CD" w:rsidRDefault="002005CD" w:rsidP="002005CD">
      <w:pPr>
        <w:pStyle w:val="Heading6"/>
        <w:rPr>
          <w:rFonts w:eastAsiaTheme="minorHAnsi"/>
        </w:rPr>
      </w:pPr>
      <w:r>
        <w:t xml:space="preserve">Compassionate </w:t>
      </w:r>
      <w:r w:rsidR="004101C8">
        <w:t>use programme</w:t>
      </w:r>
    </w:p>
    <w:p w14:paraId="6FBC4D06" w14:textId="77777777" w:rsidR="002005CD" w:rsidRDefault="002005CD" w:rsidP="002005CD">
      <w:pPr>
        <w:autoSpaceDE w:val="0"/>
        <w:autoSpaceDN w:val="0"/>
        <w:adjustRightInd w:val="0"/>
        <w:spacing w:before="0" w:after="0" w:line="240" w:lineRule="auto"/>
        <w:rPr>
          <w:rFonts w:asciiTheme="minorHAnsi" w:eastAsia="TimesNewRoman" w:hAnsiTheme="minorHAnsi" w:cs="TimesNewRoman"/>
          <w:color w:val="000000"/>
        </w:rPr>
      </w:pPr>
      <w:r w:rsidRPr="00733657">
        <w:rPr>
          <w:rFonts w:asciiTheme="minorHAnsi" w:eastAsia="TimesNewRoman" w:hAnsiTheme="minorHAnsi" w:cs="TimesNewRoman"/>
          <w:color w:val="000000"/>
        </w:rPr>
        <w:t>Adverse events identified as potentially representing opportunistic infections were reported in 12 of 281 (4%) of subjects. Herpes zoster and Candida sepsis w</w:t>
      </w:r>
      <w:r w:rsidR="004D0059">
        <w:rPr>
          <w:rFonts w:asciiTheme="minorHAnsi" w:eastAsia="TimesNewRoman" w:hAnsiTheme="minorHAnsi" w:cs="TimesNewRoman"/>
          <w:color w:val="000000"/>
        </w:rPr>
        <w:t>ere reported most frequently, 8 </w:t>
      </w:r>
      <w:r w:rsidRPr="00733657">
        <w:rPr>
          <w:rFonts w:asciiTheme="minorHAnsi" w:eastAsia="TimesNewRoman" w:hAnsiTheme="minorHAnsi" w:cs="TimesNewRoman"/>
          <w:color w:val="000000"/>
        </w:rPr>
        <w:t>patients (3%) and 2 patients (&lt;</w:t>
      </w:r>
      <w:r w:rsidR="004D0059">
        <w:rPr>
          <w:rFonts w:asciiTheme="minorHAnsi" w:eastAsia="TimesNewRoman" w:hAnsiTheme="minorHAnsi" w:cs="TimesNewRoman"/>
          <w:color w:val="000000"/>
        </w:rPr>
        <w:t xml:space="preserve"> </w:t>
      </w:r>
      <w:r w:rsidRPr="00733657">
        <w:rPr>
          <w:rFonts w:asciiTheme="minorHAnsi" w:eastAsia="TimesNewRoman" w:hAnsiTheme="minorHAnsi" w:cs="TimesNewRoman"/>
          <w:color w:val="000000"/>
        </w:rPr>
        <w:t xml:space="preserve">1%), respectively. All events resolved, none were considered serious, and none led to discontinuation of treatment. Two events </w:t>
      </w:r>
      <w:r w:rsidRPr="00733657">
        <w:rPr>
          <w:rFonts w:asciiTheme="minorHAnsi" w:eastAsia="TimesNewRoman" w:hAnsiTheme="minorHAnsi" w:cs="TimesNewRoman"/>
          <w:color w:val="000000"/>
        </w:rPr>
        <w:lastRenderedPageBreak/>
        <w:t>(2 cases of herpes zoster) were assessed by the investigator as possibly related to study treatment.</w:t>
      </w:r>
    </w:p>
    <w:p w14:paraId="25E3CAC8" w14:textId="58D372D1" w:rsidR="002005CD" w:rsidRDefault="002005CD" w:rsidP="004D0059">
      <w:r>
        <w:t xml:space="preserve">It is not clear as to whether </w:t>
      </w:r>
      <w:proofErr w:type="spellStart"/>
      <w:r>
        <w:t>mepolizumab</w:t>
      </w:r>
      <w:proofErr w:type="spellEnd"/>
      <w:r>
        <w:t xml:space="preserve"> treatment may or may not have an immunosuppr</w:t>
      </w:r>
      <w:r w:rsidR="004D0059">
        <w:t>essive effect or predispose to herpes z</w:t>
      </w:r>
      <w:r>
        <w:t xml:space="preserve">oster reactivation. The incidence of </w:t>
      </w:r>
      <w:r w:rsidR="004D0059">
        <w:t xml:space="preserve">herpes zoster </w:t>
      </w:r>
      <w:r>
        <w:t xml:space="preserve">in both the placebo and treatment arms of </w:t>
      </w:r>
      <w:r w:rsidR="00491260">
        <w:t xml:space="preserve">Study </w:t>
      </w:r>
      <w:r>
        <w:t>MEA115921 appear higher than would be expected: the CDC estimates an incidence for herpes zoster of approximately 4 cases per 1,000 U.S. population annually (0.4%).</w:t>
      </w:r>
      <w:r>
        <w:rPr>
          <w:rStyle w:val="FootnoteReference"/>
        </w:rPr>
        <w:footnoteReference w:id="41"/>
      </w:r>
      <w:r>
        <w:t xml:space="preserve"> However, the reported rate in EGPA patients may reflect the use of OCS and other immunosuppressive drugs in this population, with the higher rate in the placebo group an effect of s</w:t>
      </w:r>
      <w:r w:rsidR="004D0059">
        <w:t>mall numbers. The incidence of herpes z</w:t>
      </w:r>
      <w:r>
        <w:t xml:space="preserve">oster in the uncontrolled HES population was also higher than would be expected (2.8%). Again, this may be an effect of OCS and other immunosuppressive treatment but an effect of </w:t>
      </w:r>
      <w:proofErr w:type="spellStart"/>
      <w:r>
        <w:t>mepolizumab</w:t>
      </w:r>
      <w:proofErr w:type="spellEnd"/>
      <w:r>
        <w:t xml:space="preserve"> cannot be excluded. It seems reasonable to leave the current information in the PI unchanged, pending further information with increased use of </w:t>
      </w:r>
      <w:proofErr w:type="spellStart"/>
      <w:r>
        <w:t>mepolizumab</w:t>
      </w:r>
      <w:proofErr w:type="spellEnd"/>
      <w:r>
        <w:t>.</w:t>
      </w:r>
    </w:p>
    <w:p w14:paraId="2EE71EEB" w14:textId="5927D651" w:rsidR="002005CD" w:rsidRDefault="002005CD" w:rsidP="00BB389D">
      <w:pPr>
        <w:pStyle w:val="Heading5"/>
      </w:pPr>
      <w:r w:rsidRPr="00491260">
        <w:t>Parasitic</w:t>
      </w:r>
      <w:r>
        <w:t xml:space="preserve"> </w:t>
      </w:r>
      <w:r w:rsidR="00491260">
        <w:t>i</w:t>
      </w:r>
      <w:r>
        <w:t>nfections</w:t>
      </w:r>
    </w:p>
    <w:p w14:paraId="7399E30D" w14:textId="77777777" w:rsidR="002005CD" w:rsidRDefault="002005CD" w:rsidP="00184739">
      <w:pPr>
        <w:rPr>
          <w:rFonts w:asciiTheme="minorHAnsi" w:hAnsiTheme="minorHAnsi"/>
        </w:rPr>
      </w:pPr>
      <w:r>
        <w:rPr>
          <w:rFonts w:asciiTheme="minorHAnsi" w:hAnsiTheme="minorHAnsi"/>
        </w:rPr>
        <w:t xml:space="preserve">The current PI includes Parasitic Infections as a Precaution </w:t>
      </w:r>
      <w:r w:rsidR="00184739">
        <w:rPr>
          <w:rFonts w:asciiTheme="minorHAnsi" w:hAnsiTheme="minorHAnsi"/>
        </w:rPr>
        <w:t>with the advice as shown below:</w:t>
      </w:r>
    </w:p>
    <w:p w14:paraId="71A86713" w14:textId="77777777" w:rsidR="00184739" w:rsidRPr="00184739" w:rsidRDefault="00184739" w:rsidP="00184739">
      <w:pPr>
        <w:spacing w:after="0"/>
        <w:ind w:left="720"/>
        <w:rPr>
          <w:rFonts w:asciiTheme="minorHAnsi" w:hAnsiTheme="minorHAnsi"/>
          <w:b/>
        </w:rPr>
      </w:pPr>
      <w:r w:rsidRPr="00184739">
        <w:rPr>
          <w:rFonts w:asciiTheme="minorHAnsi" w:hAnsiTheme="minorHAnsi"/>
          <w:b/>
        </w:rPr>
        <w:t>Parasitic Infections</w:t>
      </w:r>
    </w:p>
    <w:p w14:paraId="64873FC2" w14:textId="77777777" w:rsidR="00184739" w:rsidRDefault="00184739" w:rsidP="00184739">
      <w:pPr>
        <w:spacing w:after="0"/>
        <w:ind w:left="720"/>
        <w:rPr>
          <w:rFonts w:asciiTheme="minorHAnsi" w:hAnsiTheme="minorHAnsi"/>
        </w:rPr>
      </w:pPr>
      <w:r w:rsidRPr="00184739">
        <w:rPr>
          <w:rFonts w:asciiTheme="minorHAnsi" w:hAnsiTheme="minorHAnsi"/>
        </w:rPr>
        <w:t xml:space="preserve">Eosinophils may be involved in the immunological response to some helminth infections. Patients with pre-existing helminth infections were excluded from participation in the clinical program. Patients with pre-existing helminth infections should be treated for their infection prior to </w:t>
      </w:r>
      <w:proofErr w:type="spellStart"/>
      <w:r w:rsidRPr="00184739">
        <w:rPr>
          <w:rFonts w:asciiTheme="minorHAnsi" w:hAnsiTheme="minorHAnsi"/>
        </w:rPr>
        <w:t>Nucala</w:t>
      </w:r>
      <w:proofErr w:type="spellEnd"/>
      <w:r w:rsidRPr="00184739">
        <w:rPr>
          <w:rFonts w:asciiTheme="minorHAnsi" w:hAnsiTheme="minorHAnsi"/>
        </w:rPr>
        <w:t xml:space="preserve"> therapy. If patients become infected whilst receiving treatment with </w:t>
      </w:r>
      <w:proofErr w:type="spellStart"/>
      <w:r w:rsidRPr="00184739">
        <w:rPr>
          <w:rFonts w:asciiTheme="minorHAnsi" w:hAnsiTheme="minorHAnsi"/>
        </w:rPr>
        <w:t>Nucala</w:t>
      </w:r>
      <w:proofErr w:type="spellEnd"/>
      <w:r w:rsidRPr="00184739">
        <w:rPr>
          <w:rFonts w:asciiTheme="minorHAnsi" w:hAnsiTheme="minorHAnsi"/>
        </w:rPr>
        <w:t xml:space="preserve"> and do not respond to anti-helminth treatment, temporary discontinuation of </w:t>
      </w:r>
      <w:proofErr w:type="spellStart"/>
      <w:r w:rsidRPr="00184739">
        <w:rPr>
          <w:rFonts w:asciiTheme="minorHAnsi" w:hAnsiTheme="minorHAnsi"/>
        </w:rPr>
        <w:t>Nucala</w:t>
      </w:r>
      <w:proofErr w:type="spellEnd"/>
      <w:r w:rsidRPr="00184739">
        <w:rPr>
          <w:rFonts w:asciiTheme="minorHAnsi" w:hAnsiTheme="minorHAnsi"/>
        </w:rPr>
        <w:t xml:space="preserve"> should be considered.</w:t>
      </w:r>
    </w:p>
    <w:p w14:paraId="33A5D90F" w14:textId="77777777" w:rsidR="002005CD" w:rsidRDefault="002005CD" w:rsidP="002005CD">
      <w:pPr>
        <w:rPr>
          <w:rFonts w:eastAsiaTheme="minorHAnsi"/>
        </w:rPr>
      </w:pPr>
      <w:r w:rsidRPr="009838FA">
        <w:rPr>
          <w:rFonts w:asciiTheme="minorHAnsi" w:hAnsiTheme="minorHAnsi"/>
        </w:rPr>
        <w:t xml:space="preserve">No parasitic infection AEs were reported in </w:t>
      </w:r>
      <w:r>
        <w:rPr>
          <w:rFonts w:asciiTheme="minorHAnsi" w:hAnsiTheme="minorHAnsi"/>
        </w:rPr>
        <w:t>S</w:t>
      </w:r>
      <w:r w:rsidRPr="009838FA">
        <w:rPr>
          <w:rFonts w:asciiTheme="minorHAnsi" w:hAnsiTheme="minorHAnsi"/>
        </w:rPr>
        <w:t>tudy</w:t>
      </w:r>
      <w:r w:rsidR="002B3D99">
        <w:rPr>
          <w:rFonts w:asciiTheme="minorHAnsi" w:hAnsiTheme="minorHAnsi"/>
        </w:rPr>
        <w:t xml:space="preserve"> MEA115921, or in Study </w:t>
      </w:r>
      <w:r>
        <w:rPr>
          <w:rFonts w:eastAsiaTheme="minorHAnsi"/>
        </w:rPr>
        <w:t>MEA116841/201607 or the Compassionate Use Programme to date.</w:t>
      </w:r>
    </w:p>
    <w:p w14:paraId="7C84D748" w14:textId="77777777" w:rsidR="002005CD" w:rsidRDefault="0093067E" w:rsidP="0093067E">
      <w:pPr>
        <w:rPr>
          <w:rFonts w:asciiTheme="minorHAnsi" w:hAnsiTheme="minorHAnsi"/>
        </w:rPr>
      </w:pPr>
      <w:r>
        <w:t>A</w:t>
      </w:r>
      <w:r w:rsidR="002005CD">
        <w:t xml:space="preserve"> lack of effect of </w:t>
      </w:r>
      <w:proofErr w:type="spellStart"/>
      <w:r w:rsidR="002005CD">
        <w:t>mepolizumab</w:t>
      </w:r>
      <w:proofErr w:type="spellEnd"/>
      <w:r w:rsidR="002005CD">
        <w:t xml:space="preserve"> on parasitic infections cannot be concluded, given that patients with known prior infections were excluded from the clinical studies and given the difficulty in detecting and diagnosing parasitic infections without specific surveillance.</w:t>
      </w:r>
    </w:p>
    <w:p w14:paraId="0F43E643" w14:textId="77777777" w:rsidR="002005CD" w:rsidRDefault="002005CD" w:rsidP="00BB389D">
      <w:pPr>
        <w:pStyle w:val="Heading5"/>
      </w:pPr>
      <w:bookmarkStart w:id="120" w:name="_Ref504730159"/>
      <w:r w:rsidRPr="00491260">
        <w:t>Malignancies</w:t>
      </w:r>
      <w:bookmarkEnd w:id="120"/>
    </w:p>
    <w:p w14:paraId="3AE54A9E" w14:textId="77777777" w:rsidR="002005CD" w:rsidRPr="00BB389D" w:rsidRDefault="0093067E" w:rsidP="00491260">
      <w:pPr>
        <w:pStyle w:val="Heading6"/>
      </w:pPr>
      <w:r>
        <w:t>Study MEA115921</w:t>
      </w:r>
    </w:p>
    <w:p w14:paraId="096C64AC" w14:textId="77777777" w:rsidR="002005CD" w:rsidRDefault="002005CD" w:rsidP="002005CD">
      <w:pPr>
        <w:rPr>
          <w:rFonts w:asciiTheme="minorHAnsi" w:hAnsiTheme="minorHAnsi"/>
        </w:rPr>
      </w:pPr>
      <w:r w:rsidRPr="00265165">
        <w:rPr>
          <w:rFonts w:asciiTheme="minorHAnsi" w:hAnsiTheme="minorHAnsi"/>
        </w:rPr>
        <w:t>Treatment emergent events in Neoplasms benign, malignant and unspecified (including</w:t>
      </w:r>
      <w:r>
        <w:rPr>
          <w:rFonts w:asciiTheme="minorHAnsi" w:hAnsiTheme="minorHAnsi"/>
        </w:rPr>
        <w:t xml:space="preserve"> </w:t>
      </w:r>
      <w:r w:rsidRPr="00265165">
        <w:rPr>
          <w:rFonts w:asciiTheme="minorHAnsi" w:hAnsiTheme="minorHAnsi"/>
        </w:rPr>
        <w:t xml:space="preserve">cysts and polyps) </w:t>
      </w:r>
      <w:proofErr w:type="spellStart"/>
      <w:r w:rsidRPr="00265165">
        <w:rPr>
          <w:rFonts w:asciiTheme="minorHAnsi" w:hAnsiTheme="minorHAnsi"/>
        </w:rPr>
        <w:t>MedDRA</w:t>
      </w:r>
      <w:proofErr w:type="spellEnd"/>
      <w:r w:rsidRPr="00265165">
        <w:rPr>
          <w:rFonts w:asciiTheme="minorHAnsi" w:hAnsiTheme="minorHAnsi"/>
        </w:rPr>
        <w:t xml:space="preserve"> SOC were reported for 1 subject (1%) in the </w:t>
      </w:r>
      <w:proofErr w:type="spellStart"/>
      <w:r w:rsidRPr="00265165">
        <w:rPr>
          <w:rFonts w:asciiTheme="minorHAnsi" w:hAnsiTheme="minorHAnsi"/>
        </w:rPr>
        <w:t>mepolizumab</w:t>
      </w:r>
      <w:proofErr w:type="spellEnd"/>
      <w:r>
        <w:rPr>
          <w:rFonts w:asciiTheme="minorHAnsi" w:hAnsiTheme="minorHAnsi"/>
        </w:rPr>
        <w:t xml:space="preserve"> </w:t>
      </w:r>
      <w:r w:rsidR="0093067E">
        <w:rPr>
          <w:rFonts w:asciiTheme="minorHAnsi" w:hAnsiTheme="minorHAnsi"/>
        </w:rPr>
        <w:t>group and 3 </w:t>
      </w:r>
      <w:r w:rsidRPr="00265165">
        <w:rPr>
          <w:rFonts w:asciiTheme="minorHAnsi" w:hAnsiTheme="minorHAnsi"/>
        </w:rPr>
        <w:t xml:space="preserve">subjects (4%) in the placebo group. The event in the </w:t>
      </w:r>
      <w:proofErr w:type="spellStart"/>
      <w:r w:rsidRPr="00265165">
        <w:rPr>
          <w:rFonts w:asciiTheme="minorHAnsi" w:hAnsiTheme="minorHAnsi"/>
        </w:rPr>
        <w:t>mepolizumab</w:t>
      </w:r>
      <w:proofErr w:type="spellEnd"/>
      <w:r w:rsidRPr="00265165">
        <w:rPr>
          <w:rFonts w:asciiTheme="minorHAnsi" w:hAnsiTheme="minorHAnsi"/>
        </w:rPr>
        <w:t xml:space="preserve"> group</w:t>
      </w:r>
      <w:r>
        <w:rPr>
          <w:rFonts w:asciiTheme="minorHAnsi" w:hAnsiTheme="minorHAnsi"/>
        </w:rPr>
        <w:t xml:space="preserve"> </w:t>
      </w:r>
      <w:r w:rsidRPr="00265165">
        <w:rPr>
          <w:rFonts w:asciiTheme="minorHAnsi" w:hAnsiTheme="minorHAnsi"/>
        </w:rPr>
        <w:t>was colon adenoma; the events in the placebo group were lipoma, Bowen’s disease, and</w:t>
      </w:r>
      <w:r>
        <w:rPr>
          <w:rFonts w:asciiTheme="minorHAnsi" w:hAnsiTheme="minorHAnsi"/>
        </w:rPr>
        <w:t xml:space="preserve"> </w:t>
      </w:r>
      <w:r w:rsidRPr="00265165">
        <w:rPr>
          <w:rFonts w:asciiTheme="minorHAnsi" w:hAnsiTheme="minorHAnsi"/>
        </w:rPr>
        <w:t>testis cancer</w:t>
      </w:r>
      <w:r>
        <w:rPr>
          <w:rFonts w:asciiTheme="minorHAnsi" w:hAnsiTheme="minorHAnsi"/>
        </w:rPr>
        <w:t>. Of these, only Bowen’s disease and testis cancer were considered malignant.</w:t>
      </w:r>
    </w:p>
    <w:p w14:paraId="1E5EC2B9" w14:textId="77777777" w:rsidR="002005CD" w:rsidRDefault="002005CD" w:rsidP="002005CD">
      <w:pPr>
        <w:pStyle w:val="Heading6"/>
        <w:rPr>
          <w:lang w:eastAsia="ja-JP"/>
        </w:rPr>
      </w:pPr>
      <w:r>
        <w:rPr>
          <w:lang w:eastAsia="ja-JP"/>
        </w:rPr>
        <w:t xml:space="preserve">Study </w:t>
      </w:r>
      <w:r>
        <w:rPr>
          <w:rFonts w:eastAsiaTheme="minorHAnsi"/>
        </w:rPr>
        <w:t>MEA116841/201607</w:t>
      </w:r>
    </w:p>
    <w:p w14:paraId="3460FB70" w14:textId="77777777" w:rsidR="002005CD" w:rsidRPr="00265165" w:rsidRDefault="002005CD" w:rsidP="002005CD">
      <w:r w:rsidRPr="00265165">
        <w:t>Tr</w:t>
      </w:r>
      <w:r w:rsidR="0093067E">
        <w:t xml:space="preserve">eatment </w:t>
      </w:r>
      <w:r w:rsidRPr="00265165">
        <w:t>emergent events in the Neoplasms benign, malignant and unspecified (including cysts and polyps) SOC were reported for 2 (2%) subjects. No malignancies were reported.</w:t>
      </w:r>
    </w:p>
    <w:p w14:paraId="079AD56D" w14:textId="45A88790" w:rsidR="002005CD" w:rsidRDefault="002005CD" w:rsidP="002005CD">
      <w:pPr>
        <w:pStyle w:val="Heading6"/>
        <w:rPr>
          <w:rFonts w:eastAsiaTheme="minorHAnsi"/>
        </w:rPr>
      </w:pPr>
      <w:r>
        <w:t xml:space="preserve">Compassionate </w:t>
      </w:r>
      <w:r w:rsidR="004101C8">
        <w:t>use programme</w:t>
      </w:r>
    </w:p>
    <w:p w14:paraId="59FA72FD" w14:textId="77777777" w:rsidR="00624472" w:rsidRDefault="002005CD" w:rsidP="002005CD">
      <w:r w:rsidRPr="00290A20">
        <w:t>Thirteen patients reported 20 AEs of malignancy while on treatment</w:t>
      </w:r>
      <w:r>
        <w:t xml:space="preserve"> (see</w:t>
      </w:r>
      <w:r w:rsidR="0093067E">
        <w:t xml:space="preserve"> </w:t>
      </w:r>
      <w:r w:rsidR="0093067E">
        <w:fldChar w:fldCharType="begin"/>
      </w:r>
      <w:r w:rsidR="0093067E">
        <w:instrText xml:space="preserve"> REF _Ref15373268 \h </w:instrText>
      </w:r>
      <w:r w:rsidR="0093067E">
        <w:fldChar w:fldCharType="separate"/>
      </w:r>
      <w:r w:rsidR="00126A5E">
        <w:t xml:space="preserve">Table </w:t>
      </w:r>
      <w:r w:rsidR="00126A5E">
        <w:rPr>
          <w:noProof/>
        </w:rPr>
        <w:t>12</w:t>
      </w:r>
      <w:r w:rsidR="0093067E">
        <w:fldChar w:fldCharType="end"/>
      </w:r>
      <w:r>
        <w:t>)</w:t>
      </w:r>
      <w:r w:rsidR="00624472">
        <w:t>.</w:t>
      </w:r>
    </w:p>
    <w:p w14:paraId="781A3D2E" w14:textId="77777777" w:rsidR="002005CD" w:rsidRDefault="0093067E" w:rsidP="0093067E">
      <w:pPr>
        <w:pStyle w:val="TableTitle"/>
      </w:pPr>
      <w:bookmarkStart w:id="121" w:name="_Ref15373268"/>
      <w:bookmarkStart w:id="122" w:name="_Toc525724251"/>
      <w:r>
        <w:lastRenderedPageBreak/>
        <w:t xml:space="preserve">Table </w:t>
      </w:r>
      <w:r w:rsidR="00C33647">
        <w:rPr>
          <w:noProof/>
        </w:rPr>
        <w:fldChar w:fldCharType="begin"/>
      </w:r>
      <w:r w:rsidR="00C33647">
        <w:rPr>
          <w:noProof/>
        </w:rPr>
        <w:instrText xml:space="preserve"> SEQ Table \* ARABIC </w:instrText>
      </w:r>
      <w:r w:rsidR="00C33647">
        <w:rPr>
          <w:noProof/>
        </w:rPr>
        <w:fldChar w:fldCharType="separate"/>
      </w:r>
      <w:r w:rsidR="00126A5E">
        <w:rPr>
          <w:noProof/>
        </w:rPr>
        <w:t>12</w:t>
      </w:r>
      <w:r w:rsidR="00C33647">
        <w:rPr>
          <w:noProof/>
        </w:rPr>
        <w:fldChar w:fldCharType="end"/>
      </w:r>
      <w:bookmarkEnd w:id="121"/>
      <w:r>
        <w:t xml:space="preserve">: </w:t>
      </w:r>
      <w:r w:rsidR="002005CD">
        <w:t>Compassionate Use Programme: reported malignancies</w:t>
      </w:r>
      <w:bookmarkEnd w:id="122"/>
    </w:p>
    <w:p w14:paraId="21AA15C8" w14:textId="77777777" w:rsidR="002005CD" w:rsidRDefault="0093067E" w:rsidP="002005CD">
      <w:pPr>
        <w:rPr>
          <w:rFonts w:asciiTheme="minorHAnsi" w:hAnsiTheme="minorHAnsi"/>
        </w:rPr>
      </w:pPr>
      <w:r>
        <w:rPr>
          <w:noProof/>
          <w:lang w:eastAsia="en-AU"/>
        </w:rPr>
        <w:drawing>
          <wp:inline distT="0" distB="0" distL="0" distR="0" wp14:anchorId="233211EA" wp14:editId="52E6111A">
            <wp:extent cx="3886200" cy="2619375"/>
            <wp:effectExtent l="0" t="0" r="0" b="9525"/>
            <wp:docPr id="11" name="Picture 11" descr="Compassionate Use Programme: reported maligna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86200" cy="2619375"/>
                    </a:xfrm>
                    <a:prstGeom prst="rect">
                      <a:avLst/>
                    </a:prstGeom>
                  </pic:spPr>
                </pic:pic>
              </a:graphicData>
            </a:graphic>
          </wp:inline>
        </w:drawing>
      </w:r>
    </w:p>
    <w:p w14:paraId="15126E1A" w14:textId="77777777" w:rsidR="002005CD" w:rsidRDefault="002005CD" w:rsidP="002005CD">
      <w:pPr>
        <w:rPr>
          <w:lang w:eastAsia="ja-JP"/>
        </w:rPr>
      </w:pPr>
      <w:r>
        <w:rPr>
          <w:lang w:eastAsia="ja-JP"/>
        </w:rPr>
        <w:t xml:space="preserve">There were 7 lymphoma cases reported during the study: 3 of T cell lymphoma, 2 of </w:t>
      </w:r>
      <w:proofErr w:type="spellStart"/>
      <w:r>
        <w:rPr>
          <w:lang w:eastAsia="ja-JP"/>
        </w:rPr>
        <w:t>angioimmunoblastic</w:t>
      </w:r>
      <w:proofErr w:type="spellEnd"/>
      <w:r w:rsidR="0093067E">
        <w:rPr>
          <w:lang w:eastAsia="ja-JP"/>
        </w:rPr>
        <w:t xml:space="preserve"> T </w:t>
      </w:r>
      <w:r>
        <w:rPr>
          <w:lang w:eastAsia="ja-JP"/>
        </w:rPr>
        <w:t>cell lymphoma, one anaplastic large cell lymphoma and</w:t>
      </w:r>
      <w:r w:rsidR="0093067E">
        <w:rPr>
          <w:lang w:eastAsia="ja-JP"/>
        </w:rPr>
        <w:t xml:space="preserve"> one of lymphoma. One case of T </w:t>
      </w:r>
      <w:r>
        <w:rPr>
          <w:lang w:eastAsia="ja-JP"/>
        </w:rPr>
        <w:t>cell lymphoma was suspected clinically but had no pathological diagnosis. The duration of treatment at the time these lymphomas</w:t>
      </w:r>
      <w:r w:rsidR="0093067E">
        <w:rPr>
          <w:lang w:eastAsia="ja-JP"/>
        </w:rPr>
        <w:t xml:space="preserve"> developed was not described (s</w:t>
      </w:r>
      <w:r>
        <w:rPr>
          <w:lang w:eastAsia="ja-JP"/>
        </w:rPr>
        <w:t>ee</w:t>
      </w:r>
      <w:r w:rsidR="005252BF">
        <w:rPr>
          <w:lang w:eastAsia="ja-JP"/>
        </w:rPr>
        <w:t xml:space="preserve"> </w:t>
      </w:r>
      <w:r w:rsidR="005252BF">
        <w:rPr>
          <w:lang w:eastAsia="ja-JP"/>
        </w:rPr>
        <w:fldChar w:fldCharType="begin"/>
      </w:r>
      <w:r w:rsidR="005252BF">
        <w:rPr>
          <w:lang w:eastAsia="ja-JP"/>
        </w:rPr>
        <w:instrText xml:space="preserve"> REF _Ref15373813 \h </w:instrText>
      </w:r>
      <w:r w:rsidR="005252BF">
        <w:rPr>
          <w:lang w:eastAsia="ja-JP"/>
        </w:rPr>
      </w:r>
      <w:r w:rsidR="005252BF">
        <w:rPr>
          <w:lang w:eastAsia="ja-JP"/>
        </w:rPr>
        <w:fldChar w:fldCharType="separate"/>
      </w:r>
      <w:r w:rsidR="00681F6C">
        <w:t xml:space="preserve">Table </w:t>
      </w:r>
      <w:r w:rsidR="00681F6C">
        <w:rPr>
          <w:noProof/>
        </w:rPr>
        <w:t>13</w:t>
      </w:r>
      <w:r w:rsidR="005252BF">
        <w:rPr>
          <w:lang w:eastAsia="ja-JP"/>
        </w:rPr>
        <w:fldChar w:fldCharType="end"/>
      </w:r>
      <w:r w:rsidR="005252BF">
        <w:rPr>
          <w:lang w:eastAsia="ja-JP"/>
        </w:rPr>
        <w:t>)</w:t>
      </w:r>
      <w:r>
        <w:rPr>
          <w:lang w:eastAsia="ja-JP"/>
        </w:rPr>
        <w:t>.</w:t>
      </w:r>
    </w:p>
    <w:p w14:paraId="7F16AA1E" w14:textId="77777777" w:rsidR="002005CD" w:rsidRDefault="0093067E" w:rsidP="005252BF">
      <w:pPr>
        <w:pStyle w:val="TableTitle"/>
      </w:pPr>
      <w:bookmarkStart w:id="123" w:name="_Ref15373813"/>
      <w:bookmarkStart w:id="124" w:name="_Toc525724252"/>
      <w:r>
        <w:t xml:space="preserve">Table </w:t>
      </w:r>
      <w:r w:rsidR="00C33647">
        <w:rPr>
          <w:noProof/>
        </w:rPr>
        <w:fldChar w:fldCharType="begin"/>
      </w:r>
      <w:r w:rsidR="00C33647">
        <w:rPr>
          <w:noProof/>
        </w:rPr>
        <w:instrText xml:space="preserve"> SEQ Table \* ARABIC </w:instrText>
      </w:r>
      <w:r w:rsidR="00C33647">
        <w:rPr>
          <w:noProof/>
        </w:rPr>
        <w:fldChar w:fldCharType="separate"/>
      </w:r>
      <w:r w:rsidR="00126A5E">
        <w:rPr>
          <w:noProof/>
        </w:rPr>
        <w:t>13</w:t>
      </w:r>
      <w:r w:rsidR="00C33647">
        <w:rPr>
          <w:noProof/>
        </w:rPr>
        <w:fldChar w:fldCharType="end"/>
      </w:r>
      <w:bookmarkEnd w:id="123"/>
      <w:r>
        <w:t xml:space="preserve">: </w:t>
      </w:r>
      <w:r w:rsidR="002005CD">
        <w:t>Compassionate Use Programme: reported lymphomas</w:t>
      </w:r>
      <w:bookmarkEnd w:id="124"/>
    </w:p>
    <w:p w14:paraId="23893677" w14:textId="77777777" w:rsidR="002005CD" w:rsidRDefault="005252BF" w:rsidP="002005CD">
      <w:pPr>
        <w:spacing w:before="0"/>
        <w:rPr>
          <w:rFonts w:asciiTheme="minorHAnsi" w:hAnsiTheme="minorHAnsi"/>
        </w:rPr>
      </w:pPr>
      <w:r>
        <w:rPr>
          <w:noProof/>
          <w:lang w:eastAsia="en-AU"/>
        </w:rPr>
        <w:drawing>
          <wp:inline distT="0" distB="0" distL="0" distR="0" wp14:anchorId="5F2AFD24" wp14:editId="0F3E4119">
            <wp:extent cx="3906316" cy="4479663"/>
            <wp:effectExtent l="0" t="0" r="0" b="0"/>
            <wp:docPr id="16" name="Picture 16" descr="Compassionate Use Programme: reported lymp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07937" cy="4481521"/>
                    </a:xfrm>
                    <a:prstGeom prst="rect">
                      <a:avLst/>
                    </a:prstGeom>
                  </pic:spPr>
                </pic:pic>
              </a:graphicData>
            </a:graphic>
          </wp:inline>
        </w:drawing>
      </w:r>
    </w:p>
    <w:p w14:paraId="61FB268E" w14:textId="77777777" w:rsidR="00624472" w:rsidRDefault="0093067E" w:rsidP="0093067E">
      <w:r>
        <w:lastRenderedPageBreak/>
        <w:t>T</w:t>
      </w:r>
      <w:r w:rsidR="002005CD">
        <w:t>he incidence of T-cell lymphoma appears surprisingly high as this is regarded as a rare malignancy: the SEE</w:t>
      </w:r>
      <w:r w:rsidR="005252BF">
        <w:t xml:space="preserve">R Cancer Statistics Review 1975 to </w:t>
      </w:r>
      <w:r w:rsidR="002005CD">
        <w:t>2014 provides an annual estimate of approximately 2 per 100,000 for peri</w:t>
      </w:r>
      <w:r w:rsidR="005252BF">
        <w:t xml:space="preserve">pheral T </w:t>
      </w:r>
      <w:r w:rsidR="002005CD">
        <w:t>cell lymphomas.</w:t>
      </w:r>
      <w:r w:rsidR="002005CD">
        <w:rPr>
          <w:rStyle w:val="FootnoteReference"/>
        </w:rPr>
        <w:footnoteReference w:id="42"/>
      </w:r>
      <w:r w:rsidR="002005CD">
        <w:t xml:space="preserve"> The overall incidence in the Compassiona</w:t>
      </w:r>
      <w:r w:rsidR="005252BF">
        <w:t xml:space="preserve">te Use Programme may be 1.8% (5 out of 281) or 2.5% (7 out of 281), depending on the sub </w:t>
      </w:r>
      <w:r w:rsidR="002005CD">
        <w:t>type of lymphoma for the other two patients</w:t>
      </w:r>
      <w:r w:rsidR="00624472">
        <w:t>.</w:t>
      </w:r>
    </w:p>
    <w:p w14:paraId="7B02FFAE" w14:textId="77777777" w:rsidR="002005CD" w:rsidRPr="0093067E" w:rsidRDefault="002005CD" w:rsidP="0093067E">
      <w:r w:rsidRPr="0093067E">
        <w:t>The evaluator notes that:</w:t>
      </w:r>
    </w:p>
    <w:p w14:paraId="3D17BE35" w14:textId="77777777" w:rsidR="002005CD" w:rsidRPr="0093067E" w:rsidRDefault="0093067E" w:rsidP="0093067E">
      <w:pPr>
        <w:pStyle w:val="ListBullet"/>
      </w:pPr>
      <w:r w:rsidRPr="0093067E">
        <w:t>E</w:t>
      </w:r>
      <w:r w:rsidR="002005CD" w:rsidRPr="0093067E">
        <w:t>osinophils are believed to play a role in tumour surveillance in health</w:t>
      </w:r>
      <w:r w:rsidR="005252BF">
        <w:t>.</w:t>
      </w:r>
    </w:p>
    <w:p w14:paraId="52E8C4CE" w14:textId="77777777" w:rsidR="002005CD" w:rsidRPr="0093067E" w:rsidRDefault="0093067E" w:rsidP="0093067E">
      <w:pPr>
        <w:pStyle w:val="ListBullet"/>
        <w:rPr>
          <w:rFonts w:cs="Calibri"/>
        </w:rPr>
      </w:pPr>
      <w:r>
        <w:rPr>
          <w:rFonts w:cs="Calibri"/>
        </w:rPr>
        <w:t>T</w:t>
      </w:r>
      <w:r w:rsidR="002005CD" w:rsidRPr="0093067E">
        <w:rPr>
          <w:rFonts w:cs="Calibri"/>
        </w:rPr>
        <w:t xml:space="preserve">here were two malignancies and one unusual benign tumour reported in the 25 paediatric patients in the HES </w:t>
      </w:r>
      <w:r w:rsidR="00FA06C6">
        <w:rPr>
          <w:rFonts w:cs="Calibri"/>
        </w:rPr>
        <w:t>Compassionate Use Program</w:t>
      </w:r>
      <w:r w:rsidR="005252BF">
        <w:rPr>
          <w:rFonts w:cs="Calibri"/>
        </w:rPr>
        <w:t>.</w:t>
      </w:r>
    </w:p>
    <w:p w14:paraId="46D2EC9A" w14:textId="77777777" w:rsidR="002005CD" w:rsidRPr="0093067E" w:rsidRDefault="0093067E" w:rsidP="0093067E">
      <w:pPr>
        <w:pStyle w:val="ListBullet"/>
        <w:rPr>
          <w:rFonts w:cs="Calibri"/>
        </w:rPr>
      </w:pPr>
      <w:r>
        <w:rPr>
          <w:rFonts w:cs="Calibri"/>
        </w:rPr>
        <w:t>A</w:t>
      </w:r>
      <w:r w:rsidR="002005CD" w:rsidRPr="0093067E">
        <w:rPr>
          <w:rFonts w:cs="Calibri"/>
        </w:rPr>
        <w:t>n increased incidence of malignancies may be a class effect. A higher number of malignancies</w:t>
      </w:r>
      <w:r w:rsidR="005252BF">
        <w:rPr>
          <w:rFonts w:cs="Calibri"/>
        </w:rPr>
        <w:t xml:space="preserve"> with another IL-5 </w:t>
      </w:r>
      <w:proofErr w:type="spellStart"/>
      <w:r w:rsidR="005252BF">
        <w:rPr>
          <w:rFonts w:cs="Calibri"/>
        </w:rPr>
        <w:t>mAb</w:t>
      </w:r>
      <w:proofErr w:type="spellEnd"/>
      <w:r w:rsidR="005252BF">
        <w:rPr>
          <w:rFonts w:cs="Calibri"/>
        </w:rPr>
        <w:t xml:space="preserve"> is described in the FDA </w:t>
      </w:r>
      <w:r w:rsidR="002005CD" w:rsidRPr="0093067E">
        <w:rPr>
          <w:rFonts w:cs="Calibri"/>
        </w:rPr>
        <w:t xml:space="preserve">approved label for </w:t>
      </w:r>
      <w:proofErr w:type="spellStart"/>
      <w:r w:rsidR="002005CD" w:rsidRPr="0093067E">
        <w:rPr>
          <w:rFonts w:cs="Calibri"/>
        </w:rPr>
        <w:t>reslizumab</w:t>
      </w:r>
      <w:proofErr w:type="spellEnd"/>
      <w:r w:rsidR="002005CD" w:rsidRPr="0093067E">
        <w:rPr>
          <w:rFonts w:cs="Calibri"/>
        </w:rPr>
        <w:t>.</w:t>
      </w:r>
      <w:r w:rsidR="002005CD" w:rsidRPr="0093067E">
        <w:rPr>
          <w:rStyle w:val="FootnoteReference"/>
          <w:rFonts w:cs="Calibri"/>
        </w:rPr>
        <w:footnoteReference w:id="43"/>
      </w:r>
      <w:r w:rsidR="002005CD" w:rsidRPr="0093067E">
        <w:rPr>
          <w:rFonts w:cs="Calibri"/>
        </w:rPr>
        <w:t xml:space="preserve"> The incidence of malignancy in an open label extension study of </w:t>
      </w:r>
      <w:proofErr w:type="spellStart"/>
      <w:r w:rsidR="002005CD" w:rsidRPr="0093067E">
        <w:rPr>
          <w:rFonts w:cs="Calibri"/>
        </w:rPr>
        <w:t>reslizumab</w:t>
      </w:r>
      <w:proofErr w:type="spellEnd"/>
      <w:r w:rsidR="002005CD" w:rsidRPr="0093067E">
        <w:rPr>
          <w:rFonts w:cs="Calibri"/>
        </w:rPr>
        <w:t xml:space="preserve"> was 14%.</w:t>
      </w:r>
      <w:r w:rsidR="002005CD" w:rsidRPr="0093067E">
        <w:rPr>
          <w:rStyle w:val="FootnoteReference"/>
          <w:rFonts w:cs="Calibri"/>
        </w:rPr>
        <w:footnoteReference w:id="44"/>
      </w:r>
    </w:p>
    <w:p w14:paraId="24CB9AA7" w14:textId="77777777" w:rsidR="002005CD" w:rsidRDefault="002005CD" w:rsidP="0093067E">
      <w:r>
        <w:t>The sponsor is asked to:</w:t>
      </w:r>
    </w:p>
    <w:p w14:paraId="31F8AFD1" w14:textId="77777777" w:rsidR="002005CD" w:rsidRDefault="0093067E" w:rsidP="005252BF">
      <w:pPr>
        <w:pStyle w:val="ListBullet"/>
      </w:pPr>
      <w:r>
        <w:t>P</w:t>
      </w:r>
      <w:r w:rsidR="002005CD">
        <w:t xml:space="preserve">rovide a cumulative review of cases of lymphoma reported in patients who have received </w:t>
      </w:r>
      <w:proofErr w:type="spellStart"/>
      <w:r w:rsidR="002005CD">
        <w:t>mepolizumab</w:t>
      </w:r>
      <w:proofErr w:type="spellEnd"/>
      <w:r w:rsidR="005252BF">
        <w:t>.</w:t>
      </w:r>
    </w:p>
    <w:p w14:paraId="2C7DB2C7" w14:textId="77777777" w:rsidR="002005CD" w:rsidRDefault="0093067E" w:rsidP="005252BF">
      <w:pPr>
        <w:pStyle w:val="ListBullet"/>
      </w:pPr>
      <w:r>
        <w:t>P</w:t>
      </w:r>
      <w:r w:rsidR="002005CD">
        <w:t xml:space="preserve">rovide a cumulative review of neoplasms (benign and malignant) reported in patients who have received </w:t>
      </w:r>
      <w:proofErr w:type="spellStart"/>
      <w:r w:rsidR="002005CD">
        <w:t>mepolizumab</w:t>
      </w:r>
      <w:proofErr w:type="spellEnd"/>
      <w:r w:rsidR="005252BF">
        <w:t>.</w:t>
      </w:r>
    </w:p>
    <w:p w14:paraId="6D404B91" w14:textId="77777777" w:rsidR="002005CD" w:rsidRPr="00AC2E79" w:rsidRDefault="0093067E" w:rsidP="005252BF">
      <w:pPr>
        <w:pStyle w:val="ListBullet"/>
      </w:pPr>
      <w:r>
        <w:t>C</w:t>
      </w:r>
      <w:r w:rsidR="002005CD">
        <w:t xml:space="preserve">omment on whether development of lymphoma, or other malignancies, may be a risk associated with long-term use of </w:t>
      </w:r>
      <w:proofErr w:type="spellStart"/>
      <w:r w:rsidR="002005CD">
        <w:t>mepolizumab</w:t>
      </w:r>
      <w:proofErr w:type="spellEnd"/>
      <w:r w:rsidR="005252BF">
        <w:t>.</w:t>
      </w:r>
    </w:p>
    <w:p w14:paraId="569FDA42" w14:textId="77777777" w:rsidR="002005CD" w:rsidRDefault="002005CD" w:rsidP="00BB389D">
      <w:pPr>
        <w:pStyle w:val="Heading5"/>
      </w:pPr>
      <w:r>
        <w:t xml:space="preserve">Cardiac </w:t>
      </w:r>
      <w:r w:rsidRPr="00491260">
        <w:t>disorders</w:t>
      </w:r>
    </w:p>
    <w:p w14:paraId="4D84F50F" w14:textId="77777777" w:rsidR="002005CD" w:rsidRDefault="002005CD" w:rsidP="002005CD">
      <w:r>
        <w:t xml:space="preserve">The </w:t>
      </w:r>
      <w:r w:rsidR="005252BF">
        <w:t>clinical evaluation report</w:t>
      </w:r>
      <w:r>
        <w:t xml:space="preserve"> extract for the </w:t>
      </w:r>
      <w:r w:rsidR="005252BF">
        <w:t xml:space="preserve">new biological entity </w:t>
      </w:r>
      <w:r>
        <w:t>submission</w:t>
      </w:r>
      <w:r w:rsidR="005252BF">
        <w:t xml:space="preserve"> </w:t>
      </w:r>
      <w:r>
        <w:t>notes that:</w:t>
      </w:r>
    </w:p>
    <w:p w14:paraId="00BA2D8D" w14:textId="77777777" w:rsidR="002005CD" w:rsidRPr="005252BF" w:rsidRDefault="005252BF" w:rsidP="00BB389D">
      <w:pPr>
        <w:ind w:left="720"/>
      </w:pPr>
      <w:r>
        <w:t>‘</w:t>
      </w:r>
      <w:r w:rsidR="002005CD" w:rsidRPr="005252BF">
        <w:t xml:space="preserve">Severe cardiac events were uncommon in the placebo and </w:t>
      </w:r>
      <w:proofErr w:type="spellStart"/>
      <w:r w:rsidR="002005CD" w:rsidRPr="005252BF">
        <w:t>mepolizumab</w:t>
      </w:r>
      <w:proofErr w:type="spellEnd"/>
      <w:r w:rsidR="002005CD" w:rsidRPr="005252BF">
        <w:t xml:space="preserve"> groups of the severe asthma studies. However, safety concerns were raised by an excess of ischaemic events in the </w:t>
      </w:r>
      <w:proofErr w:type="spellStart"/>
      <w:r w:rsidR="002005CD" w:rsidRPr="005252BF">
        <w:t>mepolizumab</w:t>
      </w:r>
      <w:proofErr w:type="spellEnd"/>
      <w:r w:rsidR="002005CD" w:rsidRPr="005252BF">
        <w:t xml:space="preserve"> group compared with placebo in MEA112997. This finding was not confirmed by </w:t>
      </w:r>
      <w:r w:rsidR="00E648EC" w:rsidRPr="00AF7B2C">
        <w:t>Independent Data Monitoring Committee</w:t>
      </w:r>
      <w:r w:rsidR="00E648EC">
        <w:t>s</w:t>
      </w:r>
      <w:r w:rsidR="00E648EC" w:rsidRPr="005252BF">
        <w:t xml:space="preserve"> </w:t>
      </w:r>
      <w:r w:rsidR="00E648EC">
        <w:t>(</w:t>
      </w:r>
      <w:r w:rsidR="002005CD" w:rsidRPr="005252BF">
        <w:t>IDMCs</w:t>
      </w:r>
      <w:r w:rsidR="00E648EC">
        <w:t>)</w:t>
      </w:r>
      <w:r w:rsidR="002005CD" w:rsidRPr="005252BF">
        <w:t xml:space="preserve"> in subsequent studies and the sponsor reasonably argues that this</w:t>
      </w:r>
      <w:r>
        <w:t xml:space="preserve"> observation was a chance event.’</w:t>
      </w:r>
    </w:p>
    <w:p w14:paraId="01721952" w14:textId="77777777" w:rsidR="002005CD" w:rsidRDefault="002B3D99" w:rsidP="002005CD">
      <w:pPr>
        <w:pStyle w:val="Heading6"/>
        <w:rPr>
          <w:lang w:eastAsia="ja-JP"/>
        </w:rPr>
      </w:pPr>
      <w:r>
        <w:t>Study MEA115921</w:t>
      </w:r>
    </w:p>
    <w:p w14:paraId="114220E1" w14:textId="77777777" w:rsidR="002005CD" w:rsidRDefault="002005CD" w:rsidP="002005CD">
      <w:r>
        <w:t xml:space="preserve">Cardiac AEs were closely monitored, with investigators expected to complete a specific </w:t>
      </w:r>
      <w:r w:rsidR="00E648EC">
        <w:t>cardiovascular (</w:t>
      </w:r>
      <w:r>
        <w:t>CV</w:t>
      </w:r>
      <w:r w:rsidR="00E648EC">
        <w:t>)</w:t>
      </w:r>
      <w:r>
        <w:t xml:space="preserve"> page on the </w:t>
      </w:r>
      <w:r w:rsidR="00E648EC">
        <w:t>e</w:t>
      </w:r>
      <w:r w:rsidR="00E648EC" w:rsidRPr="00AF7B2C">
        <w:t>lectronic case report form</w:t>
      </w:r>
      <w:r w:rsidR="00E648EC">
        <w:t xml:space="preserve"> (</w:t>
      </w:r>
      <w:proofErr w:type="spellStart"/>
      <w:r>
        <w:t>eCRF</w:t>
      </w:r>
      <w:proofErr w:type="spellEnd"/>
      <w:r w:rsidR="00E648EC">
        <w:t>)</w:t>
      </w:r>
      <w:r>
        <w:t xml:space="preserve"> for cardiovascular AEs/SAEs. Cardiac events may also be expected due to the known cardiac involvement in EGPA, with this most commonly manifesting as ischaemic disease and cardiac failure.</w:t>
      </w:r>
    </w:p>
    <w:p w14:paraId="30F41EA8" w14:textId="77777777" w:rsidR="002005CD" w:rsidRDefault="00E648EC" w:rsidP="002005CD">
      <w:pPr>
        <w:rPr>
          <w:rFonts w:asciiTheme="minorHAnsi" w:hAnsiTheme="minorHAnsi"/>
        </w:rPr>
      </w:pPr>
      <w:r>
        <w:rPr>
          <w:rFonts w:asciiTheme="minorHAnsi" w:hAnsiTheme="minorHAnsi"/>
        </w:rPr>
        <w:t xml:space="preserve">On </w:t>
      </w:r>
      <w:r w:rsidR="002005CD" w:rsidRPr="003A6918">
        <w:rPr>
          <w:rFonts w:asciiTheme="minorHAnsi" w:hAnsiTheme="minorHAnsi"/>
        </w:rPr>
        <w:t>treatment AEs in the Cardiac disorders SOC were reported for 4 subjects (6%) in the</w:t>
      </w:r>
      <w:r w:rsidR="002005CD">
        <w:rPr>
          <w:rFonts w:asciiTheme="minorHAnsi" w:hAnsiTheme="minorHAnsi"/>
        </w:rPr>
        <w:t xml:space="preserve"> </w:t>
      </w:r>
      <w:proofErr w:type="spellStart"/>
      <w:r w:rsidR="002005CD" w:rsidRPr="003A6918">
        <w:rPr>
          <w:rFonts w:asciiTheme="minorHAnsi" w:hAnsiTheme="minorHAnsi"/>
        </w:rPr>
        <w:t>mepolizumab</w:t>
      </w:r>
      <w:proofErr w:type="spellEnd"/>
      <w:r w:rsidR="002005CD" w:rsidRPr="003A6918">
        <w:rPr>
          <w:rFonts w:asciiTheme="minorHAnsi" w:hAnsiTheme="minorHAnsi"/>
        </w:rPr>
        <w:t xml:space="preserve"> group and 6 subjects (9%) in the placebo group</w:t>
      </w:r>
      <w:r w:rsidR="002005CD">
        <w:rPr>
          <w:rFonts w:asciiTheme="minorHAnsi" w:hAnsiTheme="minorHAnsi"/>
        </w:rPr>
        <w:t xml:space="preserve">. These included </w:t>
      </w:r>
      <w:r>
        <w:rPr>
          <w:rFonts w:asciiTheme="minorHAnsi" w:hAnsiTheme="minorHAnsi"/>
        </w:rPr>
        <w:t>palpitations (1 </w:t>
      </w:r>
      <w:r w:rsidR="002005CD" w:rsidRPr="003A6918">
        <w:rPr>
          <w:rFonts w:asciiTheme="minorHAnsi" w:hAnsiTheme="minorHAnsi"/>
        </w:rPr>
        <w:t>subject</w:t>
      </w:r>
      <w:r w:rsidR="002005CD">
        <w:rPr>
          <w:rFonts w:asciiTheme="minorHAnsi" w:hAnsiTheme="minorHAnsi"/>
        </w:rPr>
        <w:t xml:space="preserve"> </w:t>
      </w:r>
      <w:r w:rsidR="002005CD" w:rsidRPr="003A6918">
        <w:rPr>
          <w:rFonts w:asciiTheme="minorHAnsi" w:hAnsiTheme="minorHAnsi"/>
        </w:rPr>
        <w:t xml:space="preserve">in the </w:t>
      </w:r>
      <w:proofErr w:type="spellStart"/>
      <w:r w:rsidR="002005CD" w:rsidRPr="003A6918">
        <w:rPr>
          <w:rFonts w:asciiTheme="minorHAnsi" w:hAnsiTheme="minorHAnsi"/>
        </w:rPr>
        <w:t>mepolizumab</w:t>
      </w:r>
      <w:proofErr w:type="spellEnd"/>
      <w:r w:rsidR="002005CD" w:rsidRPr="003A6918">
        <w:rPr>
          <w:rFonts w:asciiTheme="minorHAnsi" w:hAnsiTheme="minorHAnsi"/>
        </w:rPr>
        <w:t xml:space="preserve"> group and 2 subjects in the placebo group) and atrial fibrillation</w:t>
      </w:r>
      <w:r w:rsidR="002005CD">
        <w:rPr>
          <w:rFonts w:asciiTheme="minorHAnsi" w:hAnsiTheme="minorHAnsi"/>
        </w:rPr>
        <w:t xml:space="preserve"> </w:t>
      </w:r>
      <w:r w:rsidR="002005CD" w:rsidRPr="003A6918">
        <w:rPr>
          <w:rFonts w:asciiTheme="minorHAnsi" w:hAnsiTheme="minorHAnsi"/>
        </w:rPr>
        <w:t>(2 subjects in the placebo group).</w:t>
      </w:r>
      <w:r w:rsidR="002005CD">
        <w:rPr>
          <w:rFonts w:asciiTheme="minorHAnsi" w:hAnsiTheme="minorHAnsi"/>
        </w:rPr>
        <w:t xml:space="preserve"> </w:t>
      </w:r>
      <w:r w:rsidR="002005CD" w:rsidRPr="003A6918">
        <w:rPr>
          <w:rFonts w:asciiTheme="minorHAnsi" w:hAnsiTheme="minorHAnsi"/>
        </w:rPr>
        <w:t xml:space="preserve">SAEs in the Cardiac disorders SOC were reported for 1 subject (1%) in the </w:t>
      </w:r>
      <w:proofErr w:type="spellStart"/>
      <w:r w:rsidR="002005CD" w:rsidRPr="003A6918">
        <w:rPr>
          <w:rFonts w:asciiTheme="minorHAnsi" w:hAnsiTheme="minorHAnsi"/>
        </w:rPr>
        <w:t>mepolizumab</w:t>
      </w:r>
      <w:proofErr w:type="spellEnd"/>
      <w:r w:rsidR="002005CD">
        <w:rPr>
          <w:rFonts w:asciiTheme="minorHAnsi" w:hAnsiTheme="minorHAnsi"/>
        </w:rPr>
        <w:t xml:space="preserve"> </w:t>
      </w:r>
      <w:r w:rsidR="002005CD" w:rsidRPr="003A6918">
        <w:rPr>
          <w:rFonts w:asciiTheme="minorHAnsi" w:hAnsiTheme="minorHAnsi"/>
        </w:rPr>
        <w:t>group (cardiac arrest) and 2 subjects (3%) in the placebo group (coronary artery disease;</w:t>
      </w:r>
      <w:r w:rsidR="002005CD">
        <w:rPr>
          <w:rFonts w:asciiTheme="minorHAnsi" w:hAnsiTheme="minorHAnsi"/>
        </w:rPr>
        <w:t xml:space="preserve"> </w:t>
      </w:r>
      <w:r w:rsidR="002005CD" w:rsidRPr="003A6918">
        <w:rPr>
          <w:rFonts w:asciiTheme="minorHAnsi" w:hAnsiTheme="minorHAnsi"/>
        </w:rPr>
        <w:t>stress cardiomyopathy)</w:t>
      </w:r>
    </w:p>
    <w:p w14:paraId="2048E617" w14:textId="77777777" w:rsidR="002005CD" w:rsidRDefault="002005CD" w:rsidP="002005CD">
      <w:pPr>
        <w:rPr>
          <w:rFonts w:asciiTheme="minorHAnsi" w:hAnsiTheme="minorHAnsi"/>
        </w:rPr>
      </w:pPr>
      <w:r>
        <w:rPr>
          <w:rFonts w:asciiTheme="minorHAnsi" w:hAnsiTheme="minorHAnsi"/>
        </w:rPr>
        <w:t xml:space="preserve">CV AEs for which the CV page was completed, and that were further assessed by </w:t>
      </w:r>
      <w:r w:rsidR="00E648EC">
        <w:rPr>
          <w:rFonts w:asciiTheme="minorHAnsi" w:hAnsiTheme="minorHAnsi"/>
        </w:rPr>
        <w:t>the sponsor</w:t>
      </w:r>
      <w:r>
        <w:rPr>
          <w:rFonts w:asciiTheme="minorHAnsi" w:hAnsiTheme="minorHAnsi"/>
        </w:rPr>
        <w:t xml:space="preserve"> are shown </w:t>
      </w:r>
      <w:r w:rsidR="00E648EC">
        <w:rPr>
          <w:rFonts w:asciiTheme="minorHAnsi" w:hAnsiTheme="minorHAnsi"/>
        </w:rPr>
        <w:t xml:space="preserve">in </w:t>
      </w:r>
      <w:r w:rsidR="00E648EC">
        <w:rPr>
          <w:rFonts w:asciiTheme="minorHAnsi" w:hAnsiTheme="minorHAnsi"/>
        </w:rPr>
        <w:fldChar w:fldCharType="begin"/>
      </w:r>
      <w:r w:rsidR="00E648EC">
        <w:rPr>
          <w:rFonts w:asciiTheme="minorHAnsi" w:hAnsiTheme="minorHAnsi"/>
        </w:rPr>
        <w:instrText xml:space="preserve"> REF _Ref15374521 \h </w:instrText>
      </w:r>
      <w:r w:rsidR="00E648EC">
        <w:rPr>
          <w:rFonts w:asciiTheme="minorHAnsi" w:hAnsiTheme="minorHAnsi"/>
        </w:rPr>
      </w:r>
      <w:r w:rsidR="00E648EC">
        <w:rPr>
          <w:rFonts w:asciiTheme="minorHAnsi" w:hAnsiTheme="minorHAnsi"/>
        </w:rPr>
        <w:fldChar w:fldCharType="separate"/>
      </w:r>
      <w:r w:rsidR="00681F6C">
        <w:t xml:space="preserve">Table </w:t>
      </w:r>
      <w:r w:rsidR="00681F6C">
        <w:rPr>
          <w:noProof/>
        </w:rPr>
        <w:t>14</w:t>
      </w:r>
      <w:r w:rsidR="00E648EC">
        <w:rPr>
          <w:rFonts w:asciiTheme="minorHAnsi" w:hAnsiTheme="minorHAnsi"/>
        </w:rPr>
        <w:fldChar w:fldCharType="end"/>
      </w:r>
      <w:r>
        <w:rPr>
          <w:rFonts w:asciiTheme="minorHAnsi" w:hAnsiTheme="minorHAnsi"/>
        </w:rPr>
        <w:t>. These patien</w:t>
      </w:r>
      <w:r w:rsidR="00E648EC">
        <w:rPr>
          <w:rFonts w:asciiTheme="minorHAnsi" w:hAnsiTheme="minorHAnsi"/>
        </w:rPr>
        <w:t>ts were reported to have other CV</w:t>
      </w:r>
      <w:r>
        <w:rPr>
          <w:rFonts w:asciiTheme="minorHAnsi" w:hAnsiTheme="minorHAnsi"/>
        </w:rPr>
        <w:t xml:space="preserve"> risk factors.</w:t>
      </w:r>
    </w:p>
    <w:p w14:paraId="27AFD464" w14:textId="77777777" w:rsidR="002005CD" w:rsidRDefault="00E648EC" w:rsidP="00E648EC">
      <w:pPr>
        <w:pStyle w:val="TableTitle"/>
      </w:pPr>
      <w:bookmarkStart w:id="125" w:name="_Ref15374521"/>
      <w:bookmarkStart w:id="126" w:name="_Toc525724253"/>
      <w:r>
        <w:lastRenderedPageBreak/>
        <w:t xml:space="preserve">Table </w:t>
      </w:r>
      <w:r w:rsidR="00C33647">
        <w:rPr>
          <w:noProof/>
        </w:rPr>
        <w:fldChar w:fldCharType="begin"/>
      </w:r>
      <w:r w:rsidR="00C33647">
        <w:rPr>
          <w:noProof/>
        </w:rPr>
        <w:instrText xml:space="preserve"> SEQ Table \* ARABIC </w:instrText>
      </w:r>
      <w:r w:rsidR="00C33647">
        <w:rPr>
          <w:noProof/>
        </w:rPr>
        <w:fldChar w:fldCharType="separate"/>
      </w:r>
      <w:r w:rsidR="00126A5E">
        <w:rPr>
          <w:noProof/>
        </w:rPr>
        <w:t>14</w:t>
      </w:r>
      <w:r w:rsidR="00C33647">
        <w:rPr>
          <w:noProof/>
        </w:rPr>
        <w:fldChar w:fldCharType="end"/>
      </w:r>
      <w:bookmarkEnd w:id="125"/>
      <w:r>
        <w:t xml:space="preserve">: </w:t>
      </w:r>
      <w:r w:rsidR="002005CD">
        <w:t>Study MEA115921: Pre</w:t>
      </w:r>
      <w:r>
        <w:t>-</w:t>
      </w:r>
      <w:r w:rsidR="002005CD">
        <w:t>specified CV events</w:t>
      </w:r>
      <w:bookmarkEnd w:id="126"/>
      <w:r>
        <w:t>, safety population</w:t>
      </w:r>
    </w:p>
    <w:p w14:paraId="1F73BBDC" w14:textId="77777777" w:rsidR="002005CD" w:rsidRDefault="0008700A" w:rsidP="002005CD">
      <w:pPr>
        <w:rPr>
          <w:rFonts w:asciiTheme="minorHAnsi" w:hAnsiTheme="minorHAnsi"/>
        </w:rPr>
      </w:pPr>
      <w:r>
        <w:rPr>
          <w:noProof/>
          <w:lang w:eastAsia="en-AU"/>
        </w:rPr>
        <w:drawing>
          <wp:inline distT="0" distB="0" distL="0" distR="0" wp14:anchorId="62540896" wp14:editId="0D76ED93">
            <wp:extent cx="5215737" cy="1890705"/>
            <wp:effectExtent l="0" t="0" r="4445" b="0"/>
            <wp:docPr id="19" name="Picture 19" descr="Study MEA115921: Pre-specified CV ev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23165" cy="1893398"/>
                    </a:xfrm>
                    <a:prstGeom prst="rect">
                      <a:avLst/>
                    </a:prstGeom>
                  </pic:spPr>
                </pic:pic>
              </a:graphicData>
            </a:graphic>
          </wp:inline>
        </w:drawing>
      </w:r>
    </w:p>
    <w:p w14:paraId="35FAB99B" w14:textId="77777777" w:rsidR="00E648EC" w:rsidRDefault="00E648EC" w:rsidP="00E648EC">
      <w:pPr>
        <w:pStyle w:val="TableDescription"/>
      </w:pPr>
      <w:proofErr w:type="spellStart"/>
      <w:r>
        <w:t>Mepo</w:t>
      </w:r>
      <w:proofErr w:type="spellEnd"/>
      <w:r>
        <w:t xml:space="preserve"> = </w:t>
      </w:r>
      <w:proofErr w:type="spellStart"/>
      <w:r>
        <w:t>mepolizumab</w:t>
      </w:r>
      <w:proofErr w:type="spellEnd"/>
    </w:p>
    <w:p w14:paraId="6EAF46DC" w14:textId="77777777" w:rsidR="002005CD" w:rsidRPr="00DF1259" w:rsidRDefault="0008700A" w:rsidP="0008700A">
      <w:r>
        <w:t>T</w:t>
      </w:r>
      <w:r w:rsidR="002005CD" w:rsidRPr="00DF1259">
        <w:t xml:space="preserve">here does not appear to be an increased risk of serious cardiac disorders in the </w:t>
      </w:r>
      <w:proofErr w:type="spellStart"/>
      <w:r w:rsidR="002005CD" w:rsidRPr="00DF1259">
        <w:t>mepolizumab</w:t>
      </w:r>
      <w:proofErr w:type="spellEnd"/>
      <w:r w:rsidR="002005CD" w:rsidRPr="00DF1259">
        <w:t xml:space="preserve"> treated patients compared to the placebo patients, but the number of patients is small.</w:t>
      </w:r>
    </w:p>
    <w:p w14:paraId="553E5C75" w14:textId="77777777" w:rsidR="002005CD" w:rsidRDefault="002005CD" w:rsidP="002005CD">
      <w:pPr>
        <w:pStyle w:val="Heading6"/>
        <w:rPr>
          <w:lang w:eastAsia="ja-JP"/>
        </w:rPr>
      </w:pPr>
      <w:r>
        <w:rPr>
          <w:lang w:eastAsia="ja-JP"/>
        </w:rPr>
        <w:t xml:space="preserve">Study </w:t>
      </w:r>
      <w:r>
        <w:rPr>
          <w:rFonts w:eastAsiaTheme="minorHAnsi"/>
        </w:rPr>
        <w:t>MEA116841/201607</w:t>
      </w:r>
    </w:p>
    <w:p w14:paraId="546DDC21" w14:textId="77777777" w:rsidR="002005CD" w:rsidRPr="002670E5" w:rsidRDefault="002005CD" w:rsidP="002005CD">
      <w:r w:rsidRPr="002670E5">
        <w:t>On treatment AEs in the Cardiac disorders SOC were reported for 4 (4%) subjects, with SAEs reported in 2 subjects (arrhythmia and cardiac arrest).</w:t>
      </w:r>
    </w:p>
    <w:p w14:paraId="15A2BFD9" w14:textId="77777777" w:rsidR="002005CD" w:rsidRPr="002670E5" w:rsidRDefault="002005CD" w:rsidP="002005CD">
      <w:r w:rsidRPr="002670E5">
        <w:t>Protocol specified cardiac events of arrhythmias (2 subjects) and cerebrovascular events stroke (1 subject) were reported.</w:t>
      </w:r>
    </w:p>
    <w:p w14:paraId="1FA6A3DA" w14:textId="389425B1" w:rsidR="002005CD" w:rsidRDefault="002005CD" w:rsidP="002005CD">
      <w:pPr>
        <w:pStyle w:val="Heading6"/>
        <w:rPr>
          <w:rFonts w:asciiTheme="minorHAnsi" w:hAnsiTheme="minorHAnsi"/>
        </w:rPr>
      </w:pPr>
      <w:r>
        <w:t xml:space="preserve">Compassionate </w:t>
      </w:r>
      <w:r w:rsidR="004101C8">
        <w:t>use programme</w:t>
      </w:r>
    </w:p>
    <w:p w14:paraId="56E8A8A0" w14:textId="77777777" w:rsidR="002005CD" w:rsidRPr="00453A89" w:rsidRDefault="002005CD" w:rsidP="002005CD">
      <w:pPr>
        <w:rPr>
          <w:lang w:eastAsia="ja-JP"/>
        </w:rPr>
      </w:pPr>
      <w:r w:rsidRPr="00453A89">
        <w:rPr>
          <w:lang w:eastAsia="ja-JP"/>
        </w:rPr>
        <w:t xml:space="preserve">Thirty one of 285 patients (11%) reported 47 serious cardiac, vascular, and thromboembolic events while on treatment. </w:t>
      </w:r>
      <w:r w:rsidRPr="00453A89">
        <w:t>Hypotension was reported in 4 of 285 patients (1%), cardiac failure congestive in 3 patients (1%), myocardial infarction in 3 patients (1%), and atrial fibrillation, cardiac failure, coronary artery occlusion, tachycardia, occurred in 2 patients (&lt;</w:t>
      </w:r>
      <w:r w:rsidR="0008700A">
        <w:t xml:space="preserve"> </w:t>
      </w:r>
      <w:r w:rsidRPr="00453A89">
        <w:t>1%) for each event.</w:t>
      </w:r>
      <w:r w:rsidRPr="00453A89">
        <w:rPr>
          <w:lang w:eastAsia="ja-JP"/>
        </w:rPr>
        <w:t xml:space="preserve"> There were 5 events with fatal outcome (cardiorespiratory arrest, right ventricular failure, cardiac failure, congestive cardiac failure and shock) while on treatment. Transient ischemic attack was reported in 4 of 285 patients (1%), myocardial infarction in 3 patients (1%), and cerebrovascular accident, coronary artery occlusion in 2 patients for each event</w:t>
      </w:r>
      <w:r w:rsidR="0008700A">
        <w:rPr>
          <w:lang w:eastAsia="ja-JP"/>
        </w:rPr>
        <w:t>.</w:t>
      </w:r>
    </w:p>
    <w:p w14:paraId="3699F870" w14:textId="77777777" w:rsidR="002005CD" w:rsidRDefault="002005CD" w:rsidP="002005CD">
      <w:pPr>
        <w:rPr>
          <w:lang w:eastAsia="ja-JP"/>
        </w:rPr>
      </w:pPr>
      <w:r>
        <w:t>No events were considered related to study treatment as assessed by the investigator.</w:t>
      </w:r>
    </w:p>
    <w:p w14:paraId="4BDCB342" w14:textId="0F660B42" w:rsidR="002005CD" w:rsidRDefault="002005CD" w:rsidP="00BB389D">
      <w:pPr>
        <w:pStyle w:val="Heading4"/>
      </w:pPr>
      <w:r>
        <w:t xml:space="preserve">Withdrawal and </w:t>
      </w:r>
      <w:r w:rsidR="00491260" w:rsidRPr="00491260">
        <w:t>r</w:t>
      </w:r>
      <w:r w:rsidRPr="00491260">
        <w:t>ebound</w:t>
      </w:r>
    </w:p>
    <w:p w14:paraId="6CD5CB42" w14:textId="056F6224" w:rsidR="002005CD" w:rsidRDefault="00BB389D" w:rsidP="00BB389D">
      <w:pPr>
        <w:rPr>
          <w:rFonts w:asciiTheme="minorHAnsi" w:eastAsia="Times New Roman" w:hAnsiTheme="minorHAnsi"/>
          <w:lang w:eastAsia="en-AU"/>
        </w:rPr>
      </w:pPr>
      <w:r>
        <w:rPr>
          <w:lang w:eastAsia="en-AU"/>
        </w:rPr>
        <w:t>A theoretical risk of ‘</w:t>
      </w:r>
      <w:r w:rsidR="002005CD" w:rsidRPr="00AE795E">
        <w:rPr>
          <w:lang w:eastAsia="en-AU"/>
        </w:rPr>
        <w:t>rebound</w:t>
      </w:r>
      <w:r>
        <w:rPr>
          <w:lang w:eastAsia="en-AU"/>
        </w:rPr>
        <w:t>’</w:t>
      </w:r>
      <w:r w:rsidR="002005CD" w:rsidRPr="00AE795E">
        <w:rPr>
          <w:lang w:eastAsia="en-AU"/>
        </w:rPr>
        <w:t xml:space="preserve"> worsening of eosinophilic inflammation following cessation of </w:t>
      </w:r>
      <w:r w:rsidR="002005CD">
        <w:rPr>
          <w:lang w:eastAsia="en-AU"/>
        </w:rPr>
        <w:t>treatment</w:t>
      </w:r>
      <w:r w:rsidR="002005CD" w:rsidRPr="00AE795E">
        <w:rPr>
          <w:lang w:eastAsia="en-AU"/>
        </w:rPr>
        <w:t xml:space="preserve"> has been suggested on the basis of </w:t>
      </w:r>
      <w:r w:rsidR="002005CD" w:rsidRPr="00AE795E">
        <w:rPr>
          <w:rFonts w:cs="Arial"/>
          <w:i/>
          <w:lang w:eastAsia="en-AU"/>
        </w:rPr>
        <w:t>in vitro</w:t>
      </w:r>
      <w:r w:rsidR="002005CD" w:rsidRPr="00AE795E">
        <w:rPr>
          <w:rFonts w:cs="Arial"/>
          <w:lang w:eastAsia="en-AU"/>
        </w:rPr>
        <w:t xml:space="preserve"> </w:t>
      </w:r>
      <w:r w:rsidR="002005CD" w:rsidRPr="00AE795E">
        <w:rPr>
          <w:lang w:eastAsia="en-AU"/>
        </w:rPr>
        <w:t>observations that anti–IL-5 therapy is associated with upre</w:t>
      </w:r>
      <w:r w:rsidR="0008700A">
        <w:rPr>
          <w:lang w:eastAsia="en-AU"/>
        </w:rPr>
        <w:t>gulation of IL-5 synthesis by Th-</w:t>
      </w:r>
      <w:r w:rsidR="002005CD" w:rsidRPr="00AE795E">
        <w:rPr>
          <w:lang w:eastAsia="en-AU"/>
        </w:rPr>
        <w:t>2</w:t>
      </w:r>
      <w:r w:rsidR="0008700A">
        <w:rPr>
          <w:lang w:eastAsia="en-AU"/>
        </w:rPr>
        <w:t xml:space="preserve"> cells and upregulation of IL-5 receptor</w:t>
      </w:r>
      <w:r w:rsidR="002005CD" w:rsidRPr="00AE795E">
        <w:rPr>
          <w:lang w:eastAsia="en-AU"/>
        </w:rPr>
        <w:t xml:space="preserve"> expression by eosinophils. The preformed IL-5 in complex with the drug may also act as a reservoir for IL-5 resulting in sustained levels of free IL-5. There have been a number of reports of such rebound, with adverse clinical consequences, in the literature. </w:t>
      </w:r>
      <w:proofErr w:type="spellStart"/>
      <w:r w:rsidR="002005CD">
        <w:rPr>
          <w:rFonts w:asciiTheme="minorHAnsi" w:hAnsiTheme="minorHAnsi"/>
          <w:lang w:eastAsia="en-AU"/>
        </w:rPr>
        <w:t>Haldar</w:t>
      </w:r>
      <w:proofErr w:type="spellEnd"/>
      <w:r w:rsidR="002005CD" w:rsidRPr="00AE795E">
        <w:rPr>
          <w:rFonts w:asciiTheme="minorHAnsi" w:hAnsiTheme="minorHAnsi"/>
          <w:lang w:eastAsia="en-AU"/>
        </w:rPr>
        <w:t xml:space="preserve"> et al</w:t>
      </w:r>
      <w:r w:rsidR="00491260">
        <w:rPr>
          <w:rFonts w:asciiTheme="minorHAnsi" w:hAnsiTheme="minorHAnsi"/>
          <w:lang w:eastAsia="en-AU"/>
        </w:rPr>
        <w:t>.,</w:t>
      </w:r>
      <w:r w:rsidR="002005CD">
        <w:rPr>
          <w:rStyle w:val="FootnoteReference"/>
          <w:rFonts w:asciiTheme="minorHAnsi" w:hAnsiTheme="minorHAnsi"/>
          <w:lang w:eastAsia="en-AU"/>
        </w:rPr>
        <w:footnoteReference w:id="45"/>
      </w:r>
      <w:r w:rsidR="0008700A">
        <w:rPr>
          <w:rFonts w:asciiTheme="minorHAnsi" w:hAnsiTheme="minorHAnsi"/>
          <w:lang w:eastAsia="en-AU"/>
        </w:rPr>
        <w:t xml:space="preserve"> report on a 12 month follow </w:t>
      </w:r>
      <w:r w:rsidR="002005CD" w:rsidRPr="00AE795E">
        <w:rPr>
          <w:rFonts w:asciiTheme="minorHAnsi" w:hAnsiTheme="minorHAnsi"/>
          <w:lang w:eastAsia="en-AU"/>
        </w:rPr>
        <w:t xml:space="preserve">up of 54 patients with severe asthma, 27 of whom had received </w:t>
      </w:r>
      <w:r w:rsidR="002005CD">
        <w:rPr>
          <w:rFonts w:asciiTheme="minorHAnsi" w:hAnsiTheme="minorHAnsi"/>
          <w:lang w:eastAsia="en-AU"/>
        </w:rPr>
        <w:t xml:space="preserve">12 months of </w:t>
      </w:r>
      <w:r w:rsidR="002005CD" w:rsidRPr="00AE795E">
        <w:rPr>
          <w:rFonts w:asciiTheme="minorHAnsi" w:hAnsiTheme="minorHAnsi"/>
          <w:lang w:eastAsia="en-AU"/>
        </w:rPr>
        <w:t xml:space="preserve">treatment with </w:t>
      </w:r>
      <w:proofErr w:type="spellStart"/>
      <w:r w:rsidR="002005CD" w:rsidRPr="00AE795E">
        <w:rPr>
          <w:rFonts w:asciiTheme="minorHAnsi" w:hAnsiTheme="minorHAnsi"/>
          <w:lang w:eastAsia="en-AU"/>
        </w:rPr>
        <w:t>mepolizumab</w:t>
      </w:r>
      <w:proofErr w:type="spellEnd"/>
      <w:r w:rsidR="002005CD" w:rsidRPr="00AE795E">
        <w:rPr>
          <w:rFonts w:asciiTheme="minorHAnsi" w:hAnsiTheme="minorHAnsi"/>
          <w:lang w:eastAsia="en-AU"/>
        </w:rPr>
        <w:t xml:space="preserve">, and found that </w:t>
      </w:r>
      <w:r w:rsidR="002005CD" w:rsidRPr="00AE795E">
        <w:rPr>
          <w:rFonts w:asciiTheme="minorHAnsi" w:eastAsia="Times New Roman" w:hAnsiTheme="minorHAnsi"/>
          <w:lang w:eastAsia="en-AU"/>
        </w:rPr>
        <w:t xml:space="preserve">the frequency of severe exacerbations increased significantly after stopping </w:t>
      </w:r>
      <w:proofErr w:type="spellStart"/>
      <w:r w:rsidR="002005CD" w:rsidRPr="00AE795E">
        <w:rPr>
          <w:rFonts w:asciiTheme="minorHAnsi" w:eastAsia="Times New Roman" w:hAnsiTheme="minorHAnsi"/>
          <w:lang w:eastAsia="en-AU"/>
        </w:rPr>
        <w:t>mepolizumab</w:t>
      </w:r>
      <w:proofErr w:type="spellEnd"/>
      <w:r w:rsidR="002005CD">
        <w:rPr>
          <w:rFonts w:asciiTheme="minorHAnsi" w:eastAsia="Times New Roman" w:hAnsiTheme="minorHAnsi"/>
          <w:lang w:eastAsia="en-AU"/>
        </w:rPr>
        <w:t xml:space="preserve"> and that by 12 months there was no difference in exacerbation rate between the two groups. </w:t>
      </w:r>
      <w:r w:rsidR="002005CD">
        <w:rPr>
          <w:rFonts w:asciiTheme="minorHAnsi" w:eastAsia="Times New Roman" w:hAnsiTheme="minorHAnsi"/>
          <w:lang w:eastAsia="en-AU"/>
        </w:rPr>
        <w:lastRenderedPageBreak/>
        <w:t>Kim et al</w:t>
      </w:r>
      <w:r w:rsidR="002005CD">
        <w:rPr>
          <w:rStyle w:val="FootnoteReference"/>
          <w:rFonts w:asciiTheme="minorHAnsi" w:eastAsia="Times New Roman" w:hAnsiTheme="minorHAnsi"/>
          <w:lang w:eastAsia="en-AU"/>
        </w:rPr>
        <w:footnoteReference w:id="46"/>
      </w:r>
      <w:r w:rsidR="002005CD">
        <w:rPr>
          <w:rFonts w:asciiTheme="minorHAnsi" w:eastAsia="Times New Roman" w:hAnsiTheme="minorHAnsi"/>
          <w:lang w:eastAsia="en-AU"/>
        </w:rPr>
        <w:t xml:space="preserve"> report on 8 patients with HES or eosinophilic gastroenteritis (EGE) who were treated with another </w:t>
      </w:r>
      <w:r w:rsidR="0008700A">
        <w:t>humanis</w:t>
      </w:r>
      <w:r w:rsidR="002005CD">
        <w:t xml:space="preserve">ed antihuman IL-5 </w:t>
      </w:r>
      <w:proofErr w:type="spellStart"/>
      <w:r w:rsidR="002005CD">
        <w:t>mAb</w:t>
      </w:r>
      <w:proofErr w:type="spellEnd"/>
      <w:r w:rsidR="002005CD">
        <w:t xml:space="preserve">, </w:t>
      </w:r>
      <w:proofErr w:type="spellStart"/>
      <w:r w:rsidR="002005CD">
        <w:t>reslizumab</w:t>
      </w:r>
      <w:proofErr w:type="spellEnd"/>
      <w:r w:rsidR="002005CD">
        <w:t>, and followed up for 3 months after ceasing treatment. They found that rebound eosinophilia (to levels greater than or equal to pre</w:t>
      </w:r>
      <w:r w:rsidR="0008700A">
        <w:t>-</w:t>
      </w:r>
      <w:r w:rsidR="002005CD">
        <w:t>treatment levels) were observed in all 6 responders, with peak eosinophil counts occurr</w:t>
      </w:r>
      <w:r w:rsidR="0008700A">
        <w:t xml:space="preserve">ing between 60 and 90 days post </w:t>
      </w:r>
      <w:r w:rsidR="002005CD">
        <w:t xml:space="preserve">treatment. Rebound eosinophilia was accompanied by a severe exacerbation of symptoms, including skin rash, mucosal ulceration, angioedema, fatigue, </w:t>
      </w:r>
      <w:proofErr w:type="spellStart"/>
      <w:r w:rsidR="002005CD">
        <w:t>myalgias</w:t>
      </w:r>
      <w:proofErr w:type="spellEnd"/>
      <w:r w:rsidR="002005CD">
        <w:t xml:space="preserve">, and </w:t>
      </w:r>
      <w:proofErr w:type="spellStart"/>
      <w:r w:rsidR="002005CD">
        <w:t>arthralgias</w:t>
      </w:r>
      <w:proofErr w:type="spellEnd"/>
      <w:r w:rsidR="002005CD">
        <w:t xml:space="preserve"> </w:t>
      </w:r>
      <w:r w:rsidR="002005CD" w:rsidRPr="00AE795E">
        <w:rPr>
          <w:rFonts w:asciiTheme="minorHAnsi" w:eastAsia="Times New Roman" w:hAnsiTheme="minorHAnsi"/>
          <w:lang w:eastAsia="en-AU"/>
        </w:rPr>
        <w:t xml:space="preserve">and 12 months after stopping </w:t>
      </w:r>
      <w:proofErr w:type="spellStart"/>
      <w:r w:rsidR="002005CD" w:rsidRPr="00AE795E">
        <w:rPr>
          <w:rFonts w:asciiTheme="minorHAnsi" w:eastAsia="Times New Roman" w:hAnsiTheme="minorHAnsi"/>
          <w:lang w:eastAsia="en-AU"/>
        </w:rPr>
        <w:t>mepolizumab</w:t>
      </w:r>
      <w:proofErr w:type="spellEnd"/>
      <w:r w:rsidR="002005CD" w:rsidRPr="00AE795E">
        <w:rPr>
          <w:rFonts w:asciiTheme="minorHAnsi" w:eastAsia="Times New Roman" w:hAnsiTheme="minorHAnsi"/>
          <w:lang w:eastAsia="en-AU"/>
        </w:rPr>
        <w:t>, exacerbation frequency was not significantly different between subjects of the 2 study groups.</w:t>
      </w:r>
    </w:p>
    <w:p w14:paraId="60E38C79" w14:textId="77777777" w:rsidR="002005CD" w:rsidRDefault="002005CD" w:rsidP="002005CD">
      <w:r>
        <w:rPr>
          <w:lang w:eastAsia="en-AU"/>
        </w:rPr>
        <w:t xml:space="preserve">The possibility of rebound in relation to use in severe asthma was raised by the </w:t>
      </w:r>
      <w:r w:rsidR="0008700A" w:rsidRPr="0008700A">
        <w:rPr>
          <w:lang w:eastAsia="en-AU"/>
        </w:rPr>
        <w:t xml:space="preserve">Advisory Committee on Prescription Medicines </w:t>
      </w:r>
      <w:r w:rsidR="0008700A">
        <w:rPr>
          <w:lang w:eastAsia="en-AU"/>
        </w:rPr>
        <w:t>(</w:t>
      </w:r>
      <w:r>
        <w:rPr>
          <w:lang w:eastAsia="en-AU"/>
        </w:rPr>
        <w:t>ACPM</w:t>
      </w:r>
      <w:r w:rsidR="0008700A">
        <w:rPr>
          <w:lang w:eastAsia="en-AU"/>
        </w:rPr>
        <w:t>)</w:t>
      </w:r>
      <w:r>
        <w:rPr>
          <w:lang w:eastAsia="en-AU"/>
        </w:rPr>
        <w:t xml:space="preserve"> in relation to the </w:t>
      </w:r>
      <w:r w:rsidR="0008700A">
        <w:rPr>
          <w:lang w:eastAsia="en-AU"/>
        </w:rPr>
        <w:t>new biological entity</w:t>
      </w:r>
      <w:r>
        <w:rPr>
          <w:lang w:eastAsia="en-AU"/>
        </w:rPr>
        <w:t xml:space="preserve"> submission: </w:t>
      </w:r>
      <w:r w:rsidR="00126A5E">
        <w:rPr>
          <w:lang w:eastAsia="en-AU"/>
        </w:rPr>
        <w:t>‘</w:t>
      </w:r>
      <w:r w:rsidRPr="0008700A">
        <w:t xml:space="preserve">The ACPM noted that a recent report suggested a possible rebound effect after cessation of </w:t>
      </w:r>
      <w:proofErr w:type="spellStart"/>
      <w:r w:rsidRPr="0008700A">
        <w:t>mepolizumab</w:t>
      </w:r>
      <w:proofErr w:type="spellEnd"/>
      <w:r w:rsidRPr="0008700A">
        <w:t>, and questioned whether it might be necessary to include mention of this in the PI.</w:t>
      </w:r>
      <w:r w:rsidR="00126A5E">
        <w:t>’</w:t>
      </w:r>
    </w:p>
    <w:p w14:paraId="1490F492" w14:textId="3E1A7490" w:rsidR="002005CD" w:rsidRPr="00DD5D31" w:rsidRDefault="002005CD" w:rsidP="002005CD">
      <w:r w:rsidRPr="00DD5D31">
        <w:t xml:space="preserve">The </w:t>
      </w:r>
      <w:r w:rsidR="0008700A">
        <w:t>summary of clinical safety</w:t>
      </w:r>
      <w:r w:rsidRPr="00DD5D31">
        <w:t xml:space="preserve"> reports that </w:t>
      </w:r>
      <w:r w:rsidR="00126A5E">
        <w:t>‘</w:t>
      </w:r>
      <w:r w:rsidRPr="0008700A">
        <w:t xml:space="preserve">Clinical data in severe asthma did not show evidence of symptom rebound after cessation of </w:t>
      </w:r>
      <w:proofErr w:type="spellStart"/>
      <w:r w:rsidRPr="0008700A">
        <w:t>mepolizumab</w:t>
      </w:r>
      <w:proofErr w:type="spellEnd"/>
      <w:r w:rsidR="00126A5E">
        <w:t>’</w:t>
      </w:r>
      <w:r w:rsidRPr="00DD5D31">
        <w:t xml:space="preserve"> and describes a </w:t>
      </w:r>
      <w:r w:rsidRPr="00DD5D31">
        <w:rPr>
          <w:rFonts w:eastAsia="TimesNewRoman" w:cs="TimesNewRoman"/>
        </w:rPr>
        <w:t>treatment break of a minimum of 12 months between comp</w:t>
      </w:r>
      <w:r w:rsidR="004E6D17">
        <w:rPr>
          <w:rFonts w:eastAsia="TimesNewRoman" w:cs="TimesNewRoman"/>
        </w:rPr>
        <w:t>letion of participation in the Phase III placebo </w:t>
      </w:r>
      <w:r w:rsidRPr="00DD5D31">
        <w:rPr>
          <w:rFonts w:eastAsia="TimesNewRoman" w:cs="TimesNewRoman"/>
        </w:rPr>
        <w:t xml:space="preserve">controlled, severe asthma </w:t>
      </w:r>
      <w:r w:rsidR="00491260">
        <w:rPr>
          <w:rFonts w:eastAsia="TimesNewRoman" w:cs="TimesNewRoman"/>
        </w:rPr>
        <w:t>S</w:t>
      </w:r>
      <w:r w:rsidRPr="00DD5D31">
        <w:rPr>
          <w:rFonts w:eastAsia="TimesNewRoman" w:cs="TimesNewRoman"/>
        </w:rPr>
        <w:t xml:space="preserve">tudy MEA112997 </w:t>
      </w:r>
      <w:r w:rsidR="004E6D17">
        <w:rPr>
          <w:rFonts w:eastAsia="TimesNewRoman" w:cs="TimesNewRoman"/>
        </w:rPr>
        <w:t>and entry into the open label extension S</w:t>
      </w:r>
      <w:r w:rsidRPr="00DD5D31">
        <w:rPr>
          <w:rFonts w:eastAsia="TimesNewRoman" w:cs="TimesNewRoman"/>
        </w:rPr>
        <w:t xml:space="preserve">tudy MEA115666. The </w:t>
      </w:r>
      <w:r w:rsidR="004E6D17">
        <w:rPr>
          <w:rFonts w:eastAsia="TimesNewRoman" w:cs="TimesNewRoman"/>
        </w:rPr>
        <w:t>summary of clinical safety</w:t>
      </w:r>
      <w:r w:rsidRPr="00DD5D31">
        <w:rPr>
          <w:rFonts w:eastAsia="TimesNewRoman" w:cs="TimesNewRoman"/>
        </w:rPr>
        <w:t xml:space="preserve"> states that: </w:t>
      </w:r>
      <w:r w:rsidR="00126A5E">
        <w:rPr>
          <w:rFonts w:eastAsia="TimesNewRoman" w:cs="TimesNewRoman"/>
        </w:rPr>
        <w:t>‘</w:t>
      </w:r>
      <w:r w:rsidRPr="004E6D17">
        <w:rPr>
          <w:rFonts w:eastAsia="TimesNewRoman" w:cs="TimesNewRoman"/>
        </w:rPr>
        <w:t xml:space="preserve">There was no increase in asthma exacerbations during the interim period between the end of </w:t>
      </w:r>
      <w:r w:rsidR="00491260">
        <w:rPr>
          <w:rFonts w:eastAsia="TimesNewRoman" w:cs="TimesNewRoman"/>
        </w:rPr>
        <w:t>Study </w:t>
      </w:r>
      <w:r w:rsidRPr="004E6D17">
        <w:rPr>
          <w:rFonts w:eastAsia="TimesNewRoman" w:cs="TimesNewRoman"/>
        </w:rPr>
        <w:t xml:space="preserve">MEA112997 and the start of </w:t>
      </w:r>
      <w:r w:rsidR="00491260">
        <w:rPr>
          <w:rFonts w:eastAsia="TimesNewRoman" w:cs="TimesNewRoman"/>
        </w:rPr>
        <w:t xml:space="preserve">Study </w:t>
      </w:r>
      <w:r w:rsidRPr="004E6D17">
        <w:rPr>
          <w:rFonts w:eastAsia="TimesNewRoman" w:cs="TimesNewRoman"/>
        </w:rPr>
        <w:t>MEA115666.</w:t>
      </w:r>
      <w:r w:rsidR="00126A5E">
        <w:rPr>
          <w:rFonts w:eastAsia="TimesNewRoman" w:cs="TimesNewRoman"/>
        </w:rPr>
        <w:t>’</w:t>
      </w:r>
      <w:r>
        <w:rPr>
          <w:rFonts w:eastAsia="TimesNewRoman" w:cs="TimesNewRoman"/>
        </w:rPr>
        <w:t xml:space="preserve"> No supporting analysis was provided.</w:t>
      </w:r>
    </w:p>
    <w:p w14:paraId="18034D1F" w14:textId="77777777" w:rsidR="00624472" w:rsidRDefault="002005CD" w:rsidP="002005CD">
      <w:pPr>
        <w:rPr>
          <w:rFonts w:eastAsia="TimesNewRoman" w:cs="TimesNewRoman"/>
        </w:rPr>
      </w:pPr>
      <w:r>
        <w:rPr>
          <w:rFonts w:eastAsia="TimesNewRoman" w:cs="TimesNewRoman"/>
        </w:rPr>
        <w:t>I</w:t>
      </w:r>
      <w:r w:rsidRPr="00D8026D">
        <w:rPr>
          <w:rFonts w:eastAsia="TimesNewRoman" w:cs="TimesNewRoman"/>
        </w:rPr>
        <w:t xml:space="preserve">n </w:t>
      </w:r>
      <w:r w:rsidR="004E6D17">
        <w:rPr>
          <w:rFonts w:eastAsia="TimesNewRoman" w:cs="TimesNewRoman"/>
        </w:rPr>
        <w:t xml:space="preserve">Study </w:t>
      </w:r>
      <w:r w:rsidRPr="00D8026D">
        <w:rPr>
          <w:rFonts w:eastAsia="TimesNewRoman" w:cs="TimesNewRoman"/>
        </w:rPr>
        <w:t>MEA1159</w:t>
      </w:r>
      <w:r w:rsidR="004E6D17">
        <w:rPr>
          <w:rFonts w:eastAsia="TimesNewRoman" w:cs="TimesNewRoman"/>
        </w:rPr>
        <w:t xml:space="preserve">21, the occurrence of post </w:t>
      </w:r>
      <w:r w:rsidRPr="00D8026D">
        <w:rPr>
          <w:rFonts w:eastAsia="TimesNewRoman" w:cs="TimesNewRoman"/>
        </w:rPr>
        <w:t xml:space="preserve">treatment AEs was similar between the </w:t>
      </w:r>
      <w:proofErr w:type="spellStart"/>
      <w:r w:rsidRPr="00D8026D">
        <w:rPr>
          <w:rFonts w:eastAsia="TimesNewRoman" w:cs="TimesNewRoman"/>
        </w:rPr>
        <w:t>mepolizumab</w:t>
      </w:r>
      <w:proofErr w:type="spellEnd"/>
      <w:r w:rsidRPr="00D8026D">
        <w:rPr>
          <w:rFonts w:eastAsia="TimesNewRoman" w:cs="TimesNewRoman"/>
        </w:rPr>
        <w:t xml:space="preserve"> (49%) and placebo (51%) treatment groups and lower than the rates reported in the treatment period (97% for the </w:t>
      </w:r>
      <w:proofErr w:type="spellStart"/>
      <w:r w:rsidRPr="00D8026D">
        <w:rPr>
          <w:rFonts w:eastAsia="TimesNewRoman" w:cs="TimesNewRoman"/>
        </w:rPr>
        <w:t>mepolizumab</w:t>
      </w:r>
      <w:proofErr w:type="spellEnd"/>
      <w:r w:rsidRPr="00D8026D">
        <w:rPr>
          <w:rFonts w:eastAsia="TimesNewRoman" w:cs="TimesNewRoman"/>
        </w:rPr>
        <w:t xml:space="preserve"> and 94% for the placebo group). </w:t>
      </w:r>
      <w:r>
        <w:rPr>
          <w:rFonts w:eastAsia="TimesNewRoman" w:cs="TimesNewRoman"/>
        </w:rPr>
        <w:t>As noted above, the pat</w:t>
      </w:r>
      <w:r w:rsidR="004E6D17">
        <w:rPr>
          <w:rFonts w:eastAsia="TimesNewRoman" w:cs="TimesNewRoman"/>
        </w:rPr>
        <w:t xml:space="preserve">tern of post </w:t>
      </w:r>
      <w:r>
        <w:rPr>
          <w:rFonts w:eastAsia="TimesNewRoman" w:cs="TimesNewRoman"/>
        </w:rPr>
        <w:t xml:space="preserve">treatment AEs was different between the </w:t>
      </w:r>
      <w:proofErr w:type="spellStart"/>
      <w:r>
        <w:rPr>
          <w:rFonts w:eastAsia="TimesNewRoman" w:cs="TimesNewRoman"/>
        </w:rPr>
        <w:t>mepolizumab</w:t>
      </w:r>
      <w:proofErr w:type="spellEnd"/>
      <w:r>
        <w:rPr>
          <w:rFonts w:eastAsia="TimesNewRoman" w:cs="TimesNewRoman"/>
        </w:rPr>
        <w:t xml:space="preserve"> and placebo groups and the evaluator has speculated that this may be consistent with the higher number of patients experiencing</w:t>
      </w:r>
      <w:r w:rsidR="004E6D17">
        <w:rPr>
          <w:rFonts w:eastAsia="TimesNewRoman" w:cs="TimesNewRoman"/>
        </w:rPr>
        <w:t xml:space="preserve"> EGPA relapse during the follow </w:t>
      </w:r>
      <w:r>
        <w:rPr>
          <w:rFonts w:eastAsia="TimesNewRoman" w:cs="TimesNewRoman"/>
        </w:rPr>
        <w:t>up period</w:t>
      </w:r>
      <w:r w:rsidR="00624472">
        <w:rPr>
          <w:rFonts w:eastAsia="TimesNewRoman" w:cs="TimesNewRoman"/>
        </w:rPr>
        <w:t>.</w:t>
      </w:r>
    </w:p>
    <w:p w14:paraId="51B26E0F" w14:textId="5D7C5AAE" w:rsidR="002005CD" w:rsidRDefault="004E6D17" w:rsidP="004E6D17">
      <w:r>
        <w:t>The summary of clinical safety</w:t>
      </w:r>
      <w:r w:rsidR="002005CD">
        <w:t xml:space="preserve"> does not provide a discussion of the higher number of patients from the </w:t>
      </w:r>
      <w:proofErr w:type="spellStart"/>
      <w:r w:rsidR="002005CD">
        <w:t>mepolizumab</w:t>
      </w:r>
      <w:proofErr w:type="spellEnd"/>
      <w:r w:rsidR="002005CD">
        <w:t xml:space="preserve"> arm compared to the placebo arm reporting EGPA relapse </w:t>
      </w:r>
      <w:r>
        <w:t xml:space="preserve">during the follow </w:t>
      </w:r>
      <w:r w:rsidR="002005CD">
        <w:t xml:space="preserve">up period of </w:t>
      </w:r>
      <w:r w:rsidR="00491260">
        <w:t xml:space="preserve">Study </w:t>
      </w:r>
      <w:r w:rsidR="002005CD">
        <w:t xml:space="preserve">MEA115921 (21 compared to 18 patients). Given that patients from </w:t>
      </w:r>
      <w:r w:rsidR="00491260">
        <w:rPr>
          <w:lang w:eastAsia="en-AU"/>
        </w:rPr>
        <w:t xml:space="preserve">Study </w:t>
      </w:r>
      <w:r w:rsidR="002005CD">
        <w:t>MEA115921 could enter the open labe</w:t>
      </w:r>
      <w:r>
        <w:t>l continuation study (</w:t>
      </w:r>
      <w:r w:rsidR="00491260">
        <w:t>Study </w:t>
      </w:r>
      <w:r>
        <w:t>MEA116841/</w:t>
      </w:r>
      <w:r w:rsidR="002005CD">
        <w:t xml:space="preserve">201607) up to 6 months after completing Study MEA115921, the sponsor has been to provide an analysis of the relapse rate in patients from the </w:t>
      </w:r>
      <w:proofErr w:type="spellStart"/>
      <w:r w:rsidR="002005CD">
        <w:t>mepolizumab</w:t>
      </w:r>
      <w:proofErr w:type="spellEnd"/>
      <w:r w:rsidR="002005CD">
        <w:t xml:space="preserve"> arm compared to the placebo arm in this period and to comment on whether there is a rebound effect. The sponsor is also asked if any rebound effects, as shown by disease worsening, have been reported in any other </w:t>
      </w:r>
      <w:proofErr w:type="spellStart"/>
      <w:r w:rsidR="002005CD">
        <w:t>mepolizumab</w:t>
      </w:r>
      <w:proofErr w:type="spellEnd"/>
      <w:r w:rsidR="002005CD">
        <w:t xml:space="preserve"> studies and to comment on whether information regarding rebound sh</w:t>
      </w:r>
      <w:r>
        <w:t>ould be included in the PI.</w:t>
      </w:r>
    </w:p>
    <w:p w14:paraId="45352072" w14:textId="77777777" w:rsidR="002005CD" w:rsidRDefault="002005CD" w:rsidP="00BB389D">
      <w:pPr>
        <w:pStyle w:val="Heading4"/>
      </w:pPr>
      <w:bookmarkStart w:id="127" w:name="_Toc432079176"/>
      <w:bookmarkStart w:id="128" w:name="_Toc432080749"/>
      <w:r w:rsidRPr="00491260">
        <w:t>Immunogenicity</w:t>
      </w:r>
      <w:bookmarkEnd w:id="127"/>
      <w:bookmarkEnd w:id="128"/>
      <w:r>
        <w:t>: Study MEA115921</w:t>
      </w:r>
    </w:p>
    <w:p w14:paraId="222A9DF1" w14:textId="77777777" w:rsidR="002005CD" w:rsidRDefault="002005CD" w:rsidP="00184739">
      <w:r>
        <w:t xml:space="preserve">The </w:t>
      </w:r>
      <w:r w:rsidR="004E6D17">
        <w:t>clinical evaluation report</w:t>
      </w:r>
      <w:r>
        <w:t xml:space="preserve"> extract for the </w:t>
      </w:r>
      <w:r w:rsidR="004E6D17">
        <w:t>new biological entity</w:t>
      </w:r>
      <w:r>
        <w:t xml:space="preserve"> submission reports that: </w:t>
      </w:r>
      <w:r w:rsidR="00126A5E">
        <w:t>‘</w:t>
      </w:r>
      <w:r w:rsidR="004E6D17">
        <w:t xml:space="preserve">In the placebo </w:t>
      </w:r>
      <w:r w:rsidRPr="004E6D17">
        <w:t xml:space="preserve">controlled severe asthma studies, 6% of patients treated with </w:t>
      </w:r>
      <w:proofErr w:type="spellStart"/>
      <w:r w:rsidRPr="004E6D17">
        <w:t>mepolizumab</w:t>
      </w:r>
      <w:proofErr w:type="spellEnd"/>
      <w:r w:rsidRPr="004E6D17">
        <w:t xml:space="preserve"> 100 mg SC and 2% of patients treated with IV </w:t>
      </w:r>
      <w:proofErr w:type="spellStart"/>
      <w:r w:rsidRPr="004E6D17">
        <w:t>mepolizumab</w:t>
      </w:r>
      <w:proofErr w:type="spellEnd"/>
      <w:r w:rsidRPr="004E6D17">
        <w:t xml:space="preserve"> developed </w:t>
      </w:r>
      <w:r w:rsidR="004E6D17">
        <w:t>anti-drug antibodies (</w:t>
      </w:r>
      <w:r w:rsidRPr="004E6D17">
        <w:t>ADAs</w:t>
      </w:r>
      <w:r w:rsidR="004E6D17">
        <w:t>)</w:t>
      </w:r>
      <w:r w:rsidRPr="004E6D17">
        <w:t>. However, most were transient and low titre. Stopping and restarting treatment in MEA115666 did not increase immunogenicity and ADAs were not related to hypersensitivity reactions.</w:t>
      </w:r>
      <w:r w:rsidR="00126A5E">
        <w:t>’</w:t>
      </w:r>
      <w:r>
        <w:t xml:space="preserve"> The current PI pro</w:t>
      </w:r>
      <w:r w:rsidR="004E6D17">
        <w:t>v</w:t>
      </w:r>
      <w:r w:rsidR="00184739">
        <w:t>ides the following information:</w:t>
      </w:r>
    </w:p>
    <w:p w14:paraId="57F9E8F0" w14:textId="77777777" w:rsidR="00184739" w:rsidRPr="00184739" w:rsidRDefault="00184739" w:rsidP="004101C8">
      <w:pPr>
        <w:pageBreakBefore/>
        <w:ind w:left="357"/>
        <w:rPr>
          <w:b/>
        </w:rPr>
      </w:pPr>
      <w:r w:rsidRPr="00184739">
        <w:rPr>
          <w:b/>
        </w:rPr>
        <w:lastRenderedPageBreak/>
        <w:t>Immunogenicity</w:t>
      </w:r>
    </w:p>
    <w:p w14:paraId="296A167B" w14:textId="77777777" w:rsidR="00184739" w:rsidRPr="00184739" w:rsidRDefault="00184739" w:rsidP="00184739">
      <w:pPr>
        <w:ind w:left="360"/>
      </w:pPr>
      <w:r w:rsidRPr="00184739">
        <w:t>Consistent with the potentially immunogenic properties of pr</w:t>
      </w:r>
      <w:r>
        <w:t xml:space="preserve">otein and peptide therapeutics, </w:t>
      </w:r>
      <w:r w:rsidRPr="00184739">
        <w:t xml:space="preserve">patients may develop antibodies to </w:t>
      </w:r>
      <w:proofErr w:type="spellStart"/>
      <w:r w:rsidRPr="00184739">
        <w:t>mepolizumab</w:t>
      </w:r>
      <w:proofErr w:type="spellEnd"/>
      <w:r w:rsidRPr="00184739">
        <w:t xml:space="preserve"> following tre</w:t>
      </w:r>
      <w:r>
        <w:t xml:space="preserve">atment. In subjects with severe </w:t>
      </w:r>
      <w:r w:rsidRPr="00184739">
        <w:t>asthma and EGPA who received at least one dose o</w:t>
      </w:r>
      <w:r>
        <w:t xml:space="preserve">f 100 mg and 300 mg </w:t>
      </w:r>
      <w:proofErr w:type="spellStart"/>
      <w:r>
        <w:t>mepolizumab</w:t>
      </w:r>
      <w:proofErr w:type="spellEnd"/>
      <w:r>
        <w:t xml:space="preserve"> </w:t>
      </w:r>
      <w:r w:rsidRPr="00184739">
        <w:t>respectively, administered subcutaneously every four w</w:t>
      </w:r>
      <w:r>
        <w:t xml:space="preserve">eeks, 15/260 (6%) and 1/68 (1%) </w:t>
      </w:r>
      <w:r w:rsidRPr="00184739">
        <w:t>respectively, had detectable anti-</w:t>
      </w:r>
      <w:proofErr w:type="spellStart"/>
      <w:r w:rsidRPr="00184739">
        <w:t>mepolizumab</w:t>
      </w:r>
      <w:proofErr w:type="spellEnd"/>
      <w:r w:rsidRPr="00184739">
        <w:t xml:space="preserve"> antibodies.</w:t>
      </w:r>
    </w:p>
    <w:p w14:paraId="65ED379C" w14:textId="77777777" w:rsidR="00184739" w:rsidRPr="00184739" w:rsidRDefault="00184739" w:rsidP="00184739">
      <w:pPr>
        <w:ind w:left="360"/>
      </w:pPr>
      <w:r w:rsidRPr="00184739">
        <w:t>Neutralising antibodies were detected in one adult subject with severe asthma</w:t>
      </w:r>
      <w:r>
        <w:t xml:space="preserve"> receiving </w:t>
      </w:r>
      <w:proofErr w:type="spellStart"/>
      <w:r w:rsidRPr="00184739">
        <w:t>mepolizumab</w:t>
      </w:r>
      <w:proofErr w:type="spellEnd"/>
      <w:r w:rsidRPr="00184739">
        <w:t xml:space="preserve">. Anti- </w:t>
      </w:r>
      <w:proofErr w:type="spellStart"/>
      <w:r w:rsidRPr="00184739">
        <w:t>mepolizumab</w:t>
      </w:r>
      <w:proofErr w:type="spellEnd"/>
      <w:r w:rsidRPr="00184739">
        <w:t xml:space="preserve"> antibodies did not discern</w:t>
      </w:r>
      <w:r>
        <w:t xml:space="preserve">ibly impact the pharmacokinetic </w:t>
      </w:r>
      <w:r w:rsidRPr="00184739">
        <w:t xml:space="preserve">or </w:t>
      </w:r>
      <w:proofErr w:type="spellStart"/>
      <w:r w:rsidRPr="00184739">
        <w:t>pharmacodynamic</w:t>
      </w:r>
      <w:proofErr w:type="spellEnd"/>
      <w:r w:rsidRPr="00184739">
        <w:t xml:space="preserve"> effects of </w:t>
      </w:r>
      <w:proofErr w:type="spellStart"/>
      <w:r w:rsidRPr="00184739">
        <w:t>mepolizumab</w:t>
      </w:r>
      <w:proofErr w:type="spellEnd"/>
      <w:r w:rsidRPr="00184739">
        <w:t xml:space="preserve"> treatment in the</w:t>
      </w:r>
      <w:r>
        <w:t xml:space="preserve"> majority of patients and there </w:t>
      </w:r>
      <w:r w:rsidRPr="00184739">
        <w:t>was no evidence of a correlation between antibody titres and change in eosinophil level.</w:t>
      </w:r>
    </w:p>
    <w:p w14:paraId="587B4E16" w14:textId="06AFA4C0" w:rsidR="002005CD" w:rsidRDefault="004E6D17" w:rsidP="002005CD">
      <w:r>
        <w:t xml:space="preserve">A total of 135 out of </w:t>
      </w:r>
      <w:r w:rsidR="002005CD">
        <w:t xml:space="preserve">136 subjects in </w:t>
      </w:r>
      <w:r w:rsidR="00491260">
        <w:t xml:space="preserve">Study </w:t>
      </w:r>
      <w:r w:rsidR="002005CD">
        <w:t xml:space="preserve">MEA115921 were </w:t>
      </w:r>
      <w:r w:rsidR="00077958">
        <w:t>tested for the presence of anti </w:t>
      </w:r>
      <w:proofErr w:type="spellStart"/>
      <w:r w:rsidR="002005CD">
        <w:t>mepolizumab</w:t>
      </w:r>
      <w:proofErr w:type="spellEnd"/>
      <w:r w:rsidR="002005CD">
        <w:t xml:space="preserve"> antibodies. Two subjects in the </w:t>
      </w:r>
      <w:proofErr w:type="spellStart"/>
      <w:r w:rsidR="002005CD">
        <w:t>mepolizumab</w:t>
      </w:r>
      <w:proofErr w:type="spellEnd"/>
      <w:r w:rsidR="002005CD">
        <w:t xml:space="preserve"> group tested positive for </w:t>
      </w:r>
      <w:r w:rsidR="00A74898">
        <w:t>anti-drug antibodies (</w:t>
      </w:r>
      <w:r w:rsidR="002005CD">
        <w:t>ADA</w:t>
      </w:r>
      <w:r w:rsidR="00A74898">
        <w:t>)</w:t>
      </w:r>
      <w:r w:rsidR="002005CD">
        <w:t xml:space="preserve"> </w:t>
      </w:r>
      <w:r w:rsidR="00126A5E">
        <w:t>at Baseline</w:t>
      </w:r>
      <w:r w:rsidR="002005CD">
        <w:t>. None of t</w:t>
      </w:r>
      <w:r>
        <w:t xml:space="preserve">heir samples were positive post </w:t>
      </w:r>
      <w:r w:rsidR="002005CD">
        <w:t>dosing.</w:t>
      </w:r>
    </w:p>
    <w:p w14:paraId="0D6F89D9" w14:textId="77777777" w:rsidR="002005CD" w:rsidRDefault="002005CD" w:rsidP="002005CD">
      <w:pPr>
        <w:autoSpaceDE w:val="0"/>
        <w:autoSpaceDN w:val="0"/>
        <w:adjustRightInd w:val="0"/>
        <w:spacing w:before="0" w:after="0" w:line="240" w:lineRule="auto"/>
        <w:rPr>
          <w:rFonts w:asciiTheme="minorHAnsi" w:eastAsia="TimesNewRoman" w:hAnsiTheme="minorHAnsi" w:cs="TimesNewRoman"/>
        </w:rPr>
      </w:pPr>
      <w:r>
        <w:rPr>
          <w:rFonts w:asciiTheme="minorHAnsi" w:hAnsiTheme="minorHAnsi"/>
        </w:rPr>
        <w:t xml:space="preserve">At any time post baseline, 2 subjects tested positive for ADA, 1 subject in the </w:t>
      </w:r>
      <w:proofErr w:type="spellStart"/>
      <w:r>
        <w:rPr>
          <w:rFonts w:asciiTheme="minorHAnsi" w:hAnsiTheme="minorHAnsi"/>
        </w:rPr>
        <w:t>mepolizumab</w:t>
      </w:r>
      <w:proofErr w:type="spellEnd"/>
      <w:r>
        <w:rPr>
          <w:rFonts w:asciiTheme="minorHAnsi" w:hAnsiTheme="minorHAnsi"/>
        </w:rPr>
        <w:t xml:space="preserve"> group and 1 subject in the placebo group. </w:t>
      </w:r>
      <w:r>
        <w:rPr>
          <w:rFonts w:asciiTheme="minorHAnsi" w:eastAsia="TimesNewRoman" w:hAnsiTheme="minorHAnsi" w:cs="TimesNewRoman"/>
        </w:rPr>
        <w:t xml:space="preserve">For the subject in the </w:t>
      </w:r>
      <w:proofErr w:type="spellStart"/>
      <w:r>
        <w:rPr>
          <w:rFonts w:asciiTheme="minorHAnsi" w:eastAsia="TimesNewRoman" w:hAnsiTheme="minorHAnsi" w:cs="TimesNewRoman"/>
        </w:rPr>
        <w:t>mepolizumab</w:t>
      </w:r>
      <w:proofErr w:type="spellEnd"/>
      <w:r>
        <w:rPr>
          <w:rFonts w:asciiTheme="minorHAnsi" w:eastAsia="TimesNewRoman" w:hAnsiTheme="minorHAnsi" w:cs="TimesNewRoman"/>
        </w:rPr>
        <w:t xml:space="preserve"> group, a transient ADA response was detected at Week 24 with a titre of 32. For the subject in the placebo group, a persistent ADA response was detected at Weeks 52, and 60, with decreasing titre (32 and 16, respectively). Multiple AEs were reported in both subjects:</w:t>
      </w:r>
    </w:p>
    <w:p w14:paraId="0B07F3DF" w14:textId="77777777" w:rsidR="002005CD" w:rsidRDefault="002005CD" w:rsidP="00BB389D">
      <w:pPr>
        <w:pStyle w:val="ListBullet"/>
      </w:pPr>
      <w:r>
        <w:t xml:space="preserve">The patient from the </w:t>
      </w:r>
      <w:proofErr w:type="spellStart"/>
      <w:r>
        <w:t>mepolizumab</w:t>
      </w:r>
      <w:proofErr w:type="spellEnd"/>
      <w:r>
        <w:t xml:space="preserve"> arm reported lower respiratory tract infection, upper respiratory tract infection, viral infection, restless leg syndrome, abdominal pain, epistaxis, pruritic rash, elevated </w:t>
      </w:r>
      <w:r w:rsidR="00077958">
        <w:t>a</w:t>
      </w:r>
      <w:r w:rsidR="00077958" w:rsidRPr="00AF7B2C">
        <w:t>lanine aminotransferase</w:t>
      </w:r>
      <w:r w:rsidR="00077958">
        <w:t xml:space="preserve"> (</w:t>
      </w:r>
      <w:r>
        <w:t>ALT</w:t>
      </w:r>
      <w:r w:rsidR="00077958">
        <w:t>)</w:t>
      </w:r>
      <w:r>
        <w:t>/</w:t>
      </w:r>
      <w:r w:rsidR="00077958">
        <w:t>a</w:t>
      </w:r>
      <w:r w:rsidR="00077958" w:rsidRPr="00AF7B2C">
        <w:t>spartate aminotransferase</w:t>
      </w:r>
      <w:r w:rsidR="00077958">
        <w:t xml:space="preserve"> (</w:t>
      </w:r>
      <w:r>
        <w:t>AST</w:t>
      </w:r>
      <w:r w:rsidR="00077958">
        <w:t>)</w:t>
      </w:r>
      <w:r>
        <w:t>/</w:t>
      </w:r>
      <w:r w:rsidR="00077958">
        <w:t>g</w:t>
      </w:r>
      <w:r w:rsidR="00077958" w:rsidRPr="00077958">
        <w:t>amma-</w:t>
      </w:r>
      <w:proofErr w:type="spellStart"/>
      <w:r w:rsidR="00077958" w:rsidRPr="00077958">
        <w:t>glutamyl</w:t>
      </w:r>
      <w:proofErr w:type="spellEnd"/>
      <w:r w:rsidR="00077958" w:rsidRPr="00077958">
        <w:t xml:space="preserve"> tra</w:t>
      </w:r>
      <w:r w:rsidR="00077958">
        <w:t>nsferase (</w:t>
      </w:r>
      <w:r>
        <w:t>GGT</w:t>
      </w:r>
      <w:r w:rsidR="00077958">
        <w:t>).</w:t>
      </w:r>
    </w:p>
    <w:p w14:paraId="4B2361AA" w14:textId="77777777" w:rsidR="002005CD" w:rsidRDefault="002005CD" w:rsidP="00BB389D">
      <w:pPr>
        <w:pStyle w:val="ListBullet"/>
      </w:pPr>
      <w:r>
        <w:t xml:space="preserve">The patient from the placebo arm reported sinusitis, viral rhinitis/sinusitis, asthenia, gastro-oesophageal reflux, nausea, nasal disorder, upper respiratory tract inflammation, </w:t>
      </w:r>
      <w:proofErr w:type="spellStart"/>
      <w:r>
        <w:t>intertrigo</w:t>
      </w:r>
      <w:proofErr w:type="spellEnd"/>
      <w:r>
        <w:t xml:space="preserve">, papule, cataract, vitreous floaters, ear pain, dysuria, </w:t>
      </w:r>
      <w:proofErr w:type="spellStart"/>
      <w:r>
        <w:t>pollakiuria</w:t>
      </w:r>
      <w:proofErr w:type="spellEnd"/>
      <w:r>
        <w:t xml:space="preserve"> (daytime urinary frequency), and vaginal haemorrhage</w:t>
      </w:r>
      <w:r w:rsidR="00077958">
        <w:t>.</w:t>
      </w:r>
    </w:p>
    <w:p w14:paraId="2766A4AE" w14:textId="77777777" w:rsidR="002005CD" w:rsidRDefault="002005CD" w:rsidP="00077958">
      <w:pPr>
        <w:rPr>
          <w:lang w:eastAsia="ja-JP"/>
        </w:rPr>
      </w:pPr>
      <w:r>
        <w:rPr>
          <w:lang w:eastAsia="ja-JP"/>
        </w:rPr>
        <w:t xml:space="preserve">The </w:t>
      </w:r>
      <w:r w:rsidR="00077958">
        <w:rPr>
          <w:lang w:eastAsia="ja-JP"/>
        </w:rPr>
        <w:t>clinical study report</w:t>
      </w:r>
      <w:r>
        <w:rPr>
          <w:lang w:eastAsia="ja-JP"/>
        </w:rPr>
        <w:t xml:space="preserve"> states that neither subject had systemic or local site reactions or a SAE.</w:t>
      </w:r>
    </w:p>
    <w:p w14:paraId="27C86C99" w14:textId="77777777" w:rsidR="00500337" w:rsidRPr="00500337" w:rsidRDefault="002005CD" w:rsidP="00077958">
      <w:r>
        <w:t xml:space="preserve">The testing of ADA for </w:t>
      </w:r>
      <w:proofErr w:type="spellStart"/>
      <w:r>
        <w:t>mepolizumab</w:t>
      </w:r>
      <w:proofErr w:type="spellEnd"/>
      <w:r>
        <w:t xml:space="preserve"> does not appear to be specific, given that testing was positive in 2 patients </w:t>
      </w:r>
      <w:r w:rsidR="00126A5E">
        <w:t>at Baseline</w:t>
      </w:r>
      <w:r>
        <w:t xml:space="preserve"> and one placebo patient during treatment. Within this limitation, the reported rate of ADA development in the EGPA patients is lower than that reported in asthma, despite the higher </w:t>
      </w:r>
      <w:proofErr w:type="spellStart"/>
      <w:r>
        <w:t>mepolizumab</w:t>
      </w:r>
      <w:proofErr w:type="spellEnd"/>
      <w:r>
        <w:t xml:space="preserve"> dose. As with the asthma patients, there did not appear to be any relationship between the development of ADA and hypersensitivity reactions: systemic hypersensitivity reactions were reported for 4 subjects (6%) in the </w:t>
      </w:r>
      <w:proofErr w:type="spellStart"/>
      <w:r>
        <w:t>mepolizumab</w:t>
      </w:r>
      <w:proofErr w:type="spellEnd"/>
      <w:r>
        <w:t xml:space="preserve"> group and 1 subject in the placebo group (1%); these did not include the patients with ADA.</w:t>
      </w:r>
    </w:p>
    <w:p w14:paraId="4EFAE4B3" w14:textId="77777777" w:rsidR="00605AD4" w:rsidRDefault="00605AD4" w:rsidP="00605AD4">
      <w:pPr>
        <w:pStyle w:val="Heading4"/>
      </w:pPr>
      <w:r w:rsidRPr="00605AD4">
        <w:t>Post</w:t>
      </w:r>
      <w:r w:rsidR="00077958">
        <w:t>-</w:t>
      </w:r>
      <w:r w:rsidRPr="00605AD4">
        <w:t>marketing data</w:t>
      </w:r>
    </w:p>
    <w:p w14:paraId="0A248CEF" w14:textId="5693535B" w:rsidR="002005CD" w:rsidRDefault="002005CD" w:rsidP="00077958">
      <w:pPr>
        <w:rPr>
          <w:lang w:eastAsia="ja-JP"/>
        </w:rPr>
      </w:pPr>
      <w:r>
        <w:rPr>
          <w:lang w:eastAsia="ja-JP"/>
        </w:rPr>
        <w:t xml:space="preserve">The </w:t>
      </w:r>
      <w:r w:rsidR="00077958">
        <w:rPr>
          <w:lang w:eastAsia="ja-JP"/>
        </w:rPr>
        <w:t>summary of clinical safety</w:t>
      </w:r>
      <w:r>
        <w:rPr>
          <w:lang w:eastAsia="ja-JP"/>
        </w:rPr>
        <w:t xml:space="preserve"> reports that </w:t>
      </w:r>
      <w:r w:rsidR="00126A5E">
        <w:rPr>
          <w:lang w:eastAsia="ja-JP"/>
        </w:rPr>
        <w:t>‘</w:t>
      </w:r>
      <w:r w:rsidRPr="00077958">
        <w:rPr>
          <w:lang w:eastAsia="ja-JP"/>
        </w:rPr>
        <w:t xml:space="preserve">During the post-marketing period, following a review of spontaneous post marketing reports of anaphylaxis, the </w:t>
      </w:r>
      <w:proofErr w:type="spellStart"/>
      <w:r w:rsidRPr="00077958">
        <w:rPr>
          <w:lang w:eastAsia="ja-JP"/>
        </w:rPr>
        <w:t>mepolizumab</w:t>
      </w:r>
      <w:proofErr w:type="spellEnd"/>
      <w:r w:rsidRPr="00077958">
        <w:rPr>
          <w:lang w:eastAsia="ja-JP"/>
        </w:rPr>
        <w:t xml:space="preserve"> label was updated to include </w:t>
      </w:r>
      <w:r w:rsidR="00126A5E">
        <w:rPr>
          <w:lang w:eastAsia="ja-JP"/>
        </w:rPr>
        <w:t>‘</w:t>
      </w:r>
      <w:r w:rsidRPr="00077958">
        <w:rPr>
          <w:lang w:eastAsia="ja-JP"/>
        </w:rPr>
        <w:t>anaphylaxis</w:t>
      </w:r>
      <w:r w:rsidR="00126A5E">
        <w:rPr>
          <w:lang w:eastAsia="ja-JP"/>
        </w:rPr>
        <w:t>’</w:t>
      </w:r>
      <w:r w:rsidRPr="00077958">
        <w:rPr>
          <w:lang w:eastAsia="ja-JP"/>
        </w:rPr>
        <w:t xml:space="preserve"> in the existing Warning regarding hypersensitivity reactions and in the Adverse Reactions section</w:t>
      </w:r>
      <w:r w:rsidR="00126A5E">
        <w:rPr>
          <w:lang w:eastAsia="ja-JP"/>
        </w:rPr>
        <w:t>’</w:t>
      </w:r>
      <w:r w:rsidR="00077958">
        <w:rPr>
          <w:lang w:eastAsia="ja-JP"/>
        </w:rPr>
        <w:t>.</w:t>
      </w:r>
    </w:p>
    <w:p w14:paraId="373F6180" w14:textId="77777777" w:rsidR="002005CD" w:rsidRPr="008C5086" w:rsidRDefault="002005CD" w:rsidP="00077958">
      <w:pPr>
        <w:rPr>
          <w:rFonts w:eastAsia="TimesNewRoman" w:cs="TimesNewRoman"/>
        </w:rPr>
      </w:pPr>
      <w:r w:rsidRPr="008C5086">
        <w:rPr>
          <w:lang w:eastAsia="ja-JP"/>
        </w:rPr>
        <w:t xml:space="preserve">Further information related to post-marketing sources is provided in the </w:t>
      </w:r>
      <w:r w:rsidR="00077958">
        <w:rPr>
          <w:lang w:eastAsia="ja-JP"/>
        </w:rPr>
        <w:t>summary of clinical safety</w:t>
      </w:r>
      <w:r w:rsidRPr="008C5086">
        <w:rPr>
          <w:lang w:eastAsia="ja-JP"/>
        </w:rPr>
        <w:t xml:space="preserve">. This was reported to be based on </w:t>
      </w:r>
      <w:r w:rsidRPr="008C5086">
        <w:rPr>
          <w:rFonts w:eastAsia="TimesNewRoman" w:cs="TimesNewRoman"/>
        </w:rPr>
        <w:t xml:space="preserve">the most recent </w:t>
      </w:r>
      <w:r w:rsidR="00077958">
        <w:rPr>
          <w:rFonts w:eastAsia="TimesNewRoman" w:cs="TimesNewRoman"/>
        </w:rPr>
        <w:t>p</w:t>
      </w:r>
      <w:r w:rsidR="00077958" w:rsidRPr="00077958">
        <w:rPr>
          <w:rFonts w:eastAsia="TimesNewRoman" w:cs="TimesNewRoman"/>
        </w:rPr>
        <w:t xml:space="preserve">eriodic benefit-risk evaluation report </w:t>
      </w:r>
      <w:r w:rsidR="00077958">
        <w:rPr>
          <w:rFonts w:eastAsia="TimesNewRoman" w:cs="TimesNewRoman"/>
        </w:rPr>
        <w:t>(</w:t>
      </w:r>
      <w:r w:rsidRPr="008C5086">
        <w:rPr>
          <w:rFonts w:eastAsia="TimesNewRoman" w:cs="TimesNewRoman"/>
        </w:rPr>
        <w:t>PBRER</w:t>
      </w:r>
      <w:r w:rsidR="00077958">
        <w:rPr>
          <w:rFonts w:eastAsia="TimesNewRoman" w:cs="TimesNewRoman"/>
        </w:rPr>
        <w:t>)/EU</w:t>
      </w:r>
      <w:r w:rsidR="00077958" w:rsidRPr="00077958">
        <w:t xml:space="preserve"> </w:t>
      </w:r>
      <w:r w:rsidR="00077958" w:rsidRPr="00077958">
        <w:rPr>
          <w:rFonts w:eastAsia="TimesNewRoman" w:cs="TimesNewRoman"/>
        </w:rPr>
        <w:t xml:space="preserve">periodic safety update reports </w:t>
      </w:r>
      <w:r w:rsidR="00077958">
        <w:rPr>
          <w:rFonts w:eastAsia="TimesNewRoman" w:cs="TimesNewRoman"/>
        </w:rPr>
        <w:t>(</w:t>
      </w:r>
      <w:r w:rsidRPr="008C5086">
        <w:rPr>
          <w:rFonts w:eastAsia="TimesNewRoman" w:cs="TimesNewRoman"/>
        </w:rPr>
        <w:t>PSUR</w:t>
      </w:r>
      <w:r w:rsidR="00077958">
        <w:rPr>
          <w:rFonts w:eastAsia="TimesNewRoman" w:cs="TimesNewRoman"/>
        </w:rPr>
        <w:t>)</w:t>
      </w:r>
      <w:r w:rsidRPr="008C5086">
        <w:rPr>
          <w:rFonts w:eastAsia="TimesNewRoman" w:cs="TimesNewRoman"/>
        </w:rPr>
        <w:t xml:space="preserve">, which has a cut-off date of 23 September 2016. </w:t>
      </w:r>
      <w:r>
        <w:rPr>
          <w:rFonts w:eastAsia="TimesNewRoman" w:cs="TimesNewRoman"/>
        </w:rPr>
        <w:t xml:space="preserve">At that time, </w:t>
      </w:r>
      <w:proofErr w:type="spellStart"/>
      <w:r>
        <w:rPr>
          <w:rFonts w:eastAsia="TimesNewRoman" w:cs="TimesNewRoman"/>
        </w:rPr>
        <w:t>mepolizumab</w:t>
      </w:r>
      <w:proofErr w:type="spellEnd"/>
      <w:r>
        <w:rPr>
          <w:rFonts w:eastAsia="TimesNewRoman" w:cs="TimesNewRoman"/>
        </w:rPr>
        <w:t xml:space="preserve"> was </w:t>
      </w:r>
      <w:r w:rsidRPr="00A85DD7">
        <w:rPr>
          <w:rFonts w:eastAsia="TimesNewRoman" w:cs="TimesNewRoman"/>
        </w:rPr>
        <w:t xml:space="preserve">approved </w:t>
      </w:r>
      <w:r>
        <w:rPr>
          <w:rFonts w:eastAsia="TimesNewRoman" w:cs="TimesNewRoman"/>
        </w:rPr>
        <w:t xml:space="preserve">for use in severe </w:t>
      </w:r>
      <w:r>
        <w:rPr>
          <w:rFonts w:eastAsia="TimesNewRoman" w:cs="TimesNewRoman"/>
        </w:rPr>
        <w:lastRenderedPageBreak/>
        <w:t xml:space="preserve">asthma in the </w:t>
      </w:r>
      <w:r w:rsidRPr="00A85DD7">
        <w:rPr>
          <w:rFonts w:eastAsia="TimesNewRoman" w:cs="TimesNewRoman"/>
        </w:rPr>
        <w:t>United States, all EU Member States, Japan, Canada, Australia, Switzerland, South</w:t>
      </w:r>
      <w:r>
        <w:rPr>
          <w:rFonts w:eastAsia="TimesNewRoman" w:cs="TimesNewRoman"/>
        </w:rPr>
        <w:t xml:space="preserve"> </w:t>
      </w:r>
      <w:r w:rsidRPr="00A85DD7">
        <w:rPr>
          <w:rFonts w:eastAsia="TimesNewRoman" w:cs="TimesNewRoman"/>
        </w:rPr>
        <w:t>Korea, Chile, and Taiwan.</w:t>
      </w:r>
    </w:p>
    <w:p w14:paraId="158C3994" w14:textId="77777777" w:rsidR="002005CD" w:rsidRPr="008C5086" w:rsidRDefault="002005CD" w:rsidP="002005CD">
      <w:r w:rsidRPr="008C5086">
        <w:t xml:space="preserve">The </w:t>
      </w:r>
      <w:r w:rsidR="00077958">
        <w:t>summary of clinical safety</w:t>
      </w:r>
      <w:r w:rsidRPr="008C5086">
        <w:t xml:space="preserve"> reports that </w:t>
      </w:r>
      <w:r w:rsidR="00126A5E">
        <w:t>‘</w:t>
      </w:r>
      <w:r w:rsidRPr="00077958">
        <w:t>Overall, AEs received from po</w:t>
      </w:r>
      <w:r w:rsidR="00077958">
        <w:t xml:space="preserve">st </w:t>
      </w:r>
      <w:r w:rsidRPr="00077958">
        <w:t>marketing sources are consistent with what has been observed in clinical trials with severe eosinophilic asthma</w:t>
      </w:r>
      <w:r w:rsidR="00126A5E">
        <w:t>’</w:t>
      </w:r>
      <w:r w:rsidRPr="00077958">
        <w:t>.</w:t>
      </w:r>
    </w:p>
    <w:p w14:paraId="3F89A095" w14:textId="77777777" w:rsidR="00500337" w:rsidRPr="00077958" w:rsidRDefault="002005CD" w:rsidP="00500337">
      <w:r w:rsidRPr="007A5460">
        <w:t xml:space="preserve">This PBRER was not provided in the dossier and this information could not be evaluated. </w:t>
      </w:r>
      <w:r w:rsidR="00077958">
        <w:t>The sponsor was</w:t>
      </w:r>
      <w:r>
        <w:t xml:space="preserve"> asked to provide the most recent PB</w:t>
      </w:r>
      <w:r w:rsidR="00077958">
        <w:t>RER with the second round responses</w:t>
      </w:r>
      <w:r w:rsidR="00077958" w:rsidRPr="00077958">
        <w:t>.</w:t>
      </w:r>
    </w:p>
    <w:p w14:paraId="1DE2485A" w14:textId="77777777" w:rsidR="00605AD4" w:rsidRPr="00605AD4" w:rsidRDefault="00605AD4" w:rsidP="00605AD4">
      <w:pPr>
        <w:pStyle w:val="Heading4"/>
      </w:pPr>
      <w:r w:rsidRPr="00605AD4">
        <w:t>Evaluator’s conclusions on safety</w:t>
      </w:r>
    </w:p>
    <w:p w14:paraId="0CFE5E78" w14:textId="77777777" w:rsidR="002005CD" w:rsidRPr="000C4FCE" w:rsidRDefault="00077958" w:rsidP="002005CD">
      <w:pPr>
        <w:rPr>
          <w:lang w:eastAsia="ja-JP"/>
        </w:rPr>
      </w:pPr>
      <w:r>
        <w:rPr>
          <w:lang w:eastAsia="ja-JP"/>
        </w:rPr>
        <w:t xml:space="preserve">The proposed usage is open </w:t>
      </w:r>
      <w:r w:rsidR="002005CD" w:rsidRPr="000C4FCE">
        <w:rPr>
          <w:lang w:eastAsia="ja-JP"/>
        </w:rPr>
        <w:t>ended and the most appropriate duration of treatment is unknown. There are some indications that this is likely to be prol</w:t>
      </w:r>
      <w:r>
        <w:rPr>
          <w:lang w:eastAsia="ja-JP"/>
        </w:rPr>
        <w:t>onged: efficacy data from Study </w:t>
      </w:r>
      <w:r w:rsidR="002005CD" w:rsidRPr="000C4FCE">
        <w:rPr>
          <w:lang w:eastAsia="ja-JP"/>
        </w:rPr>
        <w:t xml:space="preserve">MEA115921 demonstrates that treatment </w:t>
      </w:r>
      <w:r w:rsidR="002005CD">
        <w:rPr>
          <w:lang w:eastAsia="ja-JP"/>
        </w:rPr>
        <w:t xml:space="preserve">for </w:t>
      </w:r>
      <w:r w:rsidR="002005CD" w:rsidRPr="000C4FCE">
        <w:rPr>
          <w:lang w:eastAsia="ja-JP"/>
        </w:rPr>
        <w:t>13 months is not associated with continuing benefit</w:t>
      </w:r>
      <w:r w:rsidR="002005CD" w:rsidRPr="00944FFD">
        <w:rPr>
          <w:lang w:eastAsia="ja-JP"/>
        </w:rPr>
        <w:t xml:space="preserve"> </w:t>
      </w:r>
      <w:r w:rsidR="002005CD">
        <w:rPr>
          <w:lang w:eastAsia="ja-JP"/>
        </w:rPr>
        <w:t xml:space="preserve">after </w:t>
      </w:r>
      <w:r w:rsidR="002005CD" w:rsidRPr="000C4FCE">
        <w:rPr>
          <w:lang w:eastAsia="ja-JP"/>
        </w:rPr>
        <w:t>cessation</w:t>
      </w:r>
      <w:r w:rsidR="002005CD">
        <w:rPr>
          <w:lang w:eastAsia="ja-JP"/>
        </w:rPr>
        <w:t>; treatment</w:t>
      </w:r>
      <w:r w:rsidR="002005CD" w:rsidRPr="000C4FCE">
        <w:rPr>
          <w:lang w:eastAsia="ja-JP"/>
        </w:rPr>
        <w:t xml:space="preserve"> for </w:t>
      </w:r>
      <w:r w:rsidR="002005CD">
        <w:rPr>
          <w:lang w:eastAsia="ja-JP"/>
        </w:rPr>
        <w:t xml:space="preserve">at least </w:t>
      </w:r>
      <w:r w:rsidR="002005CD" w:rsidRPr="000C4FCE">
        <w:rPr>
          <w:lang w:eastAsia="ja-JP"/>
        </w:rPr>
        <w:t xml:space="preserve">24 months is recommended when other </w:t>
      </w:r>
      <w:r w:rsidR="002005CD">
        <w:rPr>
          <w:lang w:eastAsia="ja-JP"/>
        </w:rPr>
        <w:t>immunosuppressive drugs</w:t>
      </w:r>
      <w:r w:rsidR="002005CD" w:rsidRPr="000C4FCE">
        <w:rPr>
          <w:lang w:eastAsia="ja-JP"/>
        </w:rPr>
        <w:t xml:space="preserve"> are used for the maintenance of remission; the mean duration of </w:t>
      </w:r>
      <w:r>
        <w:rPr>
          <w:lang w:eastAsia="ja-JP"/>
        </w:rPr>
        <w:t>OCS</w:t>
      </w:r>
      <w:r w:rsidR="002005CD" w:rsidRPr="000C4FCE">
        <w:rPr>
          <w:lang w:eastAsia="ja-JP"/>
        </w:rPr>
        <w:t xml:space="preserve"> in the treatment of EGPA has been reported to be more than 5 years. The assessment of safety of </w:t>
      </w:r>
      <w:proofErr w:type="spellStart"/>
      <w:r w:rsidR="002005CD" w:rsidRPr="000C4FCE">
        <w:rPr>
          <w:lang w:eastAsia="ja-JP"/>
        </w:rPr>
        <w:t>mepolizumab</w:t>
      </w:r>
      <w:proofErr w:type="spellEnd"/>
      <w:r w:rsidR="002005CD" w:rsidRPr="000C4FCE">
        <w:rPr>
          <w:lang w:eastAsia="ja-JP"/>
        </w:rPr>
        <w:t xml:space="preserve"> must, th</w:t>
      </w:r>
      <w:r>
        <w:rPr>
          <w:lang w:eastAsia="ja-JP"/>
        </w:rPr>
        <w:t xml:space="preserve">erefore, take into account long </w:t>
      </w:r>
      <w:r w:rsidR="002005CD" w:rsidRPr="000C4FCE">
        <w:rPr>
          <w:lang w:eastAsia="ja-JP"/>
        </w:rPr>
        <w:t>term use.</w:t>
      </w:r>
    </w:p>
    <w:p w14:paraId="157AD6CC" w14:textId="77777777" w:rsidR="002005CD" w:rsidRPr="009F6155" w:rsidRDefault="002005CD" w:rsidP="002005CD">
      <w:pPr>
        <w:pStyle w:val="Heading6"/>
        <w:rPr>
          <w:lang w:eastAsia="ja-JP"/>
        </w:rPr>
      </w:pPr>
      <w:r w:rsidRPr="009F6155">
        <w:rPr>
          <w:lang w:eastAsia="ja-JP"/>
        </w:rPr>
        <w:t>Sources of safety data</w:t>
      </w:r>
    </w:p>
    <w:p w14:paraId="248F023D" w14:textId="77777777" w:rsidR="002005CD" w:rsidRPr="0029246F" w:rsidRDefault="002005CD" w:rsidP="002B3D99">
      <w:pPr>
        <w:rPr>
          <w:lang w:eastAsia="ja-JP"/>
        </w:rPr>
      </w:pPr>
      <w:r w:rsidRPr="0029246F">
        <w:rPr>
          <w:lang w:eastAsia="ja-JP"/>
        </w:rPr>
        <w:t xml:space="preserve">The safety of </w:t>
      </w:r>
      <w:proofErr w:type="spellStart"/>
      <w:r w:rsidRPr="0029246F">
        <w:rPr>
          <w:lang w:eastAsia="ja-JP"/>
        </w:rPr>
        <w:t>mepolizumab</w:t>
      </w:r>
      <w:proofErr w:type="spellEnd"/>
      <w:r w:rsidRPr="0029246F">
        <w:rPr>
          <w:lang w:eastAsia="ja-JP"/>
        </w:rPr>
        <w:t xml:space="preserve"> was demonstrated using data from:</w:t>
      </w:r>
    </w:p>
    <w:p w14:paraId="1D55A57F" w14:textId="77777777" w:rsidR="002005CD" w:rsidRPr="0029246F" w:rsidRDefault="002005CD" w:rsidP="002B3D99">
      <w:pPr>
        <w:pStyle w:val="ListBullet"/>
        <w:rPr>
          <w:lang w:eastAsia="ja-JP"/>
        </w:rPr>
      </w:pPr>
      <w:r w:rsidRPr="0029246F">
        <w:rPr>
          <w:lang w:eastAsia="ja-JP"/>
        </w:rPr>
        <w:t>Study MEA115921, the main safety and efficacy study</w:t>
      </w:r>
      <w:r w:rsidR="00077958">
        <w:rPr>
          <w:lang w:eastAsia="ja-JP"/>
        </w:rPr>
        <w:t>.</w:t>
      </w:r>
    </w:p>
    <w:p w14:paraId="79BAA99D" w14:textId="77777777" w:rsidR="002005CD" w:rsidRPr="0029246F" w:rsidRDefault="002005CD" w:rsidP="002B3D99">
      <w:pPr>
        <w:pStyle w:val="ListBullet"/>
        <w:rPr>
          <w:rFonts w:asciiTheme="minorHAnsi" w:eastAsiaTheme="minorHAnsi" w:hAnsiTheme="minorHAnsi" w:cs="TimesNewRoman"/>
        </w:rPr>
      </w:pPr>
      <w:r w:rsidRPr="0029246F">
        <w:rPr>
          <w:rFonts w:asciiTheme="minorHAnsi" w:eastAsiaTheme="minorHAnsi" w:hAnsiTheme="minorHAnsi" w:cs="TimesNewRoman"/>
        </w:rPr>
        <w:t>St</w:t>
      </w:r>
      <w:r w:rsidR="00077958">
        <w:rPr>
          <w:rFonts w:asciiTheme="minorHAnsi" w:eastAsiaTheme="minorHAnsi" w:hAnsiTheme="minorHAnsi" w:cs="TimesNewRoman"/>
        </w:rPr>
        <w:t xml:space="preserve">udy MEA116841/201607 is an open </w:t>
      </w:r>
      <w:r w:rsidRPr="0029246F">
        <w:rPr>
          <w:rFonts w:asciiTheme="minorHAnsi" w:eastAsiaTheme="minorHAnsi" w:hAnsiTheme="minorHAnsi" w:cs="TimesNewRoman"/>
        </w:rPr>
        <w:t>label continuation study of MEA115921</w:t>
      </w:r>
      <w:r w:rsidR="00077958">
        <w:rPr>
          <w:rFonts w:asciiTheme="minorHAnsi" w:eastAsiaTheme="minorHAnsi" w:hAnsiTheme="minorHAnsi" w:cs="TimesNewRoman"/>
        </w:rPr>
        <w:t>.</w:t>
      </w:r>
    </w:p>
    <w:p w14:paraId="0909D9E2" w14:textId="77777777" w:rsidR="002005CD" w:rsidRPr="0029246F" w:rsidRDefault="002005CD" w:rsidP="002B3D99">
      <w:pPr>
        <w:pStyle w:val="ListBullet"/>
      </w:pPr>
      <w:r w:rsidRPr="0029246F">
        <w:t>A 120 Day Safety Upda</w:t>
      </w:r>
      <w:r w:rsidR="00077958">
        <w:t>te Report (dated 28 June 2017).</w:t>
      </w:r>
    </w:p>
    <w:p w14:paraId="59F871AA" w14:textId="77777777" w:rsidR="002005CD" w:rsidRDefault="002005CD" w:rsidP="002B3D99">
      <w:pPr>
        <w:pStyle w:val="ListBullet"/>
      </w:pPr>
      <w:r w:rsidRPr="0029246F">
        <w:t xml:space="preserve">Safety data from the </w:t>
      </w:r>
      <w:r w:rsidR="00077958">
        <w:t>GlaxoSmithKline</w:t>
      </w:r>
      <w:r w:rsidRPr="0029246F">
        <w:t xml:space="preserve"> Global Safety Database</w:t>
      </w:r>
      <w:r w:rsidR="00077958">
        <w:t>.</w:t>
      </w:r>
    </w:p>
    <w:p w14:paraId="2B2D7A4D" w14:textId="77777777" w:rsidR="002005CD" w:rsidRDefault="002005CD" w:rsidP="002B3D99">
      <w:pPr>
        <w:pStyle w:val="ListBullet"/>
      </w:pPr>
      <w:r>
        <w:t>Safety data from the HES Compassionate Use Program</w:t>
      </w:r>
      <w:r w:rsidR="00077958">
        <w:t>.</w:t>
      </w:r>
    </w:p>
    <w:p w14:paraId="0AB992E6" w14:textId="77777777" w:rsidR="002005CD" w:rsidRDefault="002005CD" w:rsidP="002005CD">
      <w:pPr>
        <w:pStyle w:val="Heading6"/>
        <w:rPr>
          <w:lang w:eastAsia="ja-JP"/>
        </w:rPr>
      </w:pPr>
      <w:proofErr w:type="spellStart"/>
      <w:r>
        <w:rPr>
          <w:lang w:eastAsia="ja-JP"/>
        </w:rPr>
        <w:t>Mepolizumab</w:t>
      </w:r>
      <w:proofErr w:type="spellEnd"/>
      <w:r>
        <w:rPr>
          <w:lang w:eastAsia="ja-JP"/>
        </w:rPr>
        <w:t xml:space="preserve"> exposure</w:t>
      </w:r>
    </w:p>
    <w:p w14:paraId="0C453A81" w14:textId="77777777" w:rsidR="002005CD" w:rsidRPr="0029246F" w:rsidRDefault="002005CD" w:rsidP="002B3D99">
      <w:r w:rsidRPr="000C4FCE">
        <w:rPr>
          <w:lang w:eastAsia="ja-JP"/>
        </w:rPr>
        <w:t xml:space="preserve">The sponsor’s </w:t>
      </w:r>
      <w:r w:rsidR="00077958" w:rsidRPr="000C4FCE">
        <w:rPr>
          <w:lang w:eastAsia="ja-JP"/>
        </w:rPr>
        <w:t xml:space="preserve">summary of clinical safety states </w:t>
      </w:r>
      <w:r w:rsidRPr="000C4FCE">
        <w:rPr>
          <w:lang w:eastAsia="ja-JP"/>
        </w:rPr>
        <w:t xml:space="preserve">that </w:t>
      </w:r>
      <w:r w:rsidR="00126A5E">
        <w:t>‘</w:t>
      </w:r>
      <w:r w:rsidRPr="00077958">
        <w:t>a total of 2</w:t>
      </w:r>
      <w:r w:rsidR="00077958">
        <w:t>,</w:t>
      </w:r>
      <w:r w:rsidRPr="00077958">
        <w:t xml:space="preserve">522 subjects have received at least one dose of </w:t>
      </w:r>
      <w:proofErr w:type="spellStart"/>
      <w:r w:rsidRPr="00077958">
        <w:t>mepolizumab</w:t>
      </w:r>
      <w:proofErr w:type="spellEnd"/>
      <w:r w:rsidRPr="00077958">
        <w:t xml:space="preserve"> across 26 studies in EGPA, asthma (including severe asthma), HES, eosinophilic esophagitis, atopic dermatitis, nasal polyposis and healthy volunteers</w:t>
      </w:r>
      <w:r w:rsidR="00126A5E">
        <w:t>’</w:t>
      </w:r>
      <w:r w:rsidRPr="00077958">
        <w:t>.</w:t>
      </w:r>
      <w:r>
        <w:rPr>
          <w:i/>
        </w:rPr>
        <w:t xml:space="preserve"> </w:t>
      </w:r>
      <w:r>
        <w:t xml:space="preserve">Almost all of these study participants </w:t>
      </w:r>
      <w:r>
        <w:rPr>
          <w:rFonts w:asciiTheme="minorHAnsi" w:eastAsiaTheme="minorHAnsi" w:hAnsiTheme="minorHAnsi" w:cs="ArialNarrow,Bold"/>
          <w:bCs/>
        </w:rPr>
        <w:t>were treated f</w:t>
      </w:r>
      <w:r w:rsidR="00077958">
        <w:rPr>
          <w:rFonts w:asciiTheme="minorHAnsi" w:eastAsiaTheme="minorHAnsi" w:hAnsiTheme="minorHAnsi" w:cs="ArialNarrow,Bold"/>
          <w:bCs/>
        </w:rPr>
        <w:t xml:space="preserve">or &lt; 12 months (2233 out of </w:t>
      </w:r>
      <w:r>
        <w:rPr>
          <w:rFonts w:asciiTheme="minorHAnsi" w:eastAsiaTheme="minorHAnsi" w:hAnsiTheme="minorHAnsi" w:cs="ArialNarrow,Bold"/>
          <w:bCs/>
        </w:rPr>
        <w:t>2522, 89%) although there have been 122 subjects who have received 750</w:t>
      </w:r>
      <w:r w:rsidR="00077958">
        <w:rPr>
          <w:rFonts w:asciiTheme="minorHAnsi" w:eastAsiaTheme="minorHAnsi" w:hAnsiTheme="minorHAnsi" w:cs="ArialNarrow,Bold"/>
          <w:bCs/>
        </w:rPr>
        <w:t xml:space="preserve"> </w:t>
      </w:r>
      <w:r>
        <w:rPr>
          <w:rFonts w:asciiTheme="minorHAnsi" w:eastAsiaTheme="minorHAnsi" w:hAnsiTheme="minorHAnsi" w:cs="ArialNarrow,Bold"/>
          <w:bCs/>
        </w:rPr>
        <w:t>mg IV monthly for 60 months or longer.</w:t>
      </w:r>
    </w:p>
    <w:p w14:paraId="56E21C23" w14:textId="77777777" w:rsidR="002005CD" w:rsidRDefault="002005CD" w:rsidP="002B3D99">
      <w:r>
        <w:t xml:space="preserve">There were 68 adult patients with EGPA who received </w:t>
      </w:r>
      <w:proofErr w:type="spellStart"/>
      <w:r>
        <w:t>mepolizumab</w:t>
      </w:r>
      <w:proofErr w:type="spellEnd"/>
      <w:r>
        <w:t xml:space="preserve"> 300</w:t>
      </w:r>
      <w:r w:rsidR="00077958">
        <w:t xml:space="preserve"> </w:t>
      </w:r>
      <w:r>
        <w:t xml:space="preserve">mg monthly SC in Study MEA115921. </w:t>
      </w:r>
      <w:r w:rsidR="00077958">
        <w:rPr>
          <w:lang w:eastAsia="ja-JP"/>
        </w:rPr>
        <w:t xml:space="preserve">There were 109 out of </w:t>
      </w:r>
      <w:r w:rsidRPr="00EE27E6">
        <w:rPr>
          <w:lang w:eastAsia="ja-JP"/>
        </w:rPr>
        <w:t xml:space="preserve">136 patients </w:t>
      </w:r>
      <w:r>
        <w:rPr>
          <w:lang w:eastAsia="ja-JP"/>
        </w:rPr>
        <w:t xml:space="preserve">(including </w:t>
      </w:r>
      <w:r w:rsidRPr="00EE27E6">
        <w:t xml:space="preserve">52 </w:t>
      </w:r>
      <w:r>
        <w:t xml:space="preserve">from the </w:t>
      </w:r>
      <w:proofErr w:type="spellStart"/>
      <w:r>
        <w:t>mepolizumab</w:t>
      </w:r>
      <w:proofErr w:type="spellEnd"/>
      <w:r>
        <w:t xml:space="preserve"> arm) </w:t>
      </w:r>
      <w:r w:rsidRPr="00EE27E6">
        <w:rPr>
          <w:lang w:eastAsia="ja-JP"/>
        </w:rPr>
        <w:t xml:space="preserve">from Study MEA115921 who went on to receive open label </w:t>
      </w:r>
      <w:proofErr w:type="spellStart"/>
      <w:r w:rsidRPr="00EE27E6">
        <w:rPr>
          <w:lang w:eastAsia="ja-JP"/>
        </w:rPr>
        <w:t>mepolizumab</w:t>
      </w:r>
      <w:proofErr w:type="spellEnd"/>
      <w:r w:rsidRPr="00EE27E6">
        <w:rPr>
          <w:lang w:eastAsia="ja-JP"/>
        </w:rPr>
        <w:t xml:space="preserve"> </w:t>
      </w:r>
      <w:r w:rsidRPr="00EE27E6">
        <w:t xml:space="preserve">300 mg SC monthly </w:t>
      </w:r>
      <w:r w:rsidRPr="00EE27E6">
        <w:rPr>
          <w:lang w:eastAsia="ja-JP"/>
        </w:rPr>
        <w:t xml:space="preserve">in the </w:t>
      </w:r>
      <w:r>
        <w:rPr>
          <w:lang w:eastAsia="ja-JP"/>
        </w:rPr>
        <w:t xml:space="preserve">extension study, </w:t>
      </w:r>
      <w:r>
        <w:rPr>
          <w:rFonts w:asciiTheme="minorHAnsi" w:eastAsiaTheme="minorHAnsi" w:hAnsiTheme="minorHAnsi" w:cs="TimesNewRoman"/>
        </w:rPr>
        <w:t>Study MEA116841/201607</w:t>
      </w:r>
      <w:r>
        <w:rPr>
          <w:lang w:eastAsia="ja-JP"/>
        </w:rPr>
        <w:t xml:space="preserve">. </w:t>
      </w:r>
      <w:r>
        <w:t xml:space="preserve">Including both studies, a total of </w:t>
      </w:r>
      <w:r>
        <w:rPr>
          <w:lang w:eastAsia="ja-JP"/>
        </w:rPr>
        <w:t xml:space="preserve">125 patients with EGPA have received at least one dose of </w:t>
      </w:r>
      <w:proofErr w:type="spellStart"/>
      <w:r>
        <w:rPr>
          <w:lang w:eastAsia="ja-JP"/>
        </w:rPr>
        <w:t>mepolizumab</w:t>
      </w:r>
      <w:proofErr w:type="spellEnd"/>
      <w:r>
        <w:rPr>
          <w:lang w:eastAsia="ja-JP"/>
        </w:rPr>
        <w:t>, with median exposure of 12.9 months (range 1 to</w:t>
      </w:r>
      <w:r w:rsidR="00077958">
        <w:rPr>
          <w:lang w:eastAsia="ja-JP"/>
        </w:rPr>
        <w:t xml:space="preserve"> 28 months). Most patients (108 out of </w:t>
      </w:r>
      <w:r>
        <w:rPr>
          <w:lang w:eastAsia="ja-JP"/>
        </w:rPr>
        <w:t xml:space="preserve">125) have been treated for </w:t>
      </w:r>
      <w:r w:rsidR="00077958">
        <w:t>&lt; </w:t>
      </w:r>
      <w:r>
        <w:t>24 months with 17 (14%) subjects treated for 24 months to &lt; 36 months. No patients with EGPA have been treated for 36 months or longer.</w:t>
      </w:r>
    </w:p>
    <w:p w14:paraId="3B5E4A2D" w14:textId="77777777" w:rsidR="002005CD" w:rsidRPr="00ED677B" w:rsidRDefault="002005CD" w:rsidP="002005CD">
      <w:pPr>
        <w:pStyle w:val="Heading6"/>
        <w:rPr>
          <w:lang w:eastAsia="ja-JP"/>
        </w:rPr>
      </w:pPr>
      <w:r w:rsidRPr="00ED677B">
        <w:rPr>
          <w:lang w:eastAsia="ja-JP"/>
        </w:rPr>
        <w:t>Study MEA115921</w:t>
      </w:r>
    </w:p>
    <w:p w14:paraId="2B50638F" w14:textId="77777777" w:rsidR="002005CD" w:rsidRDefault="002005CD" w:rsidP="002005CD">
      <w:pPr>
        <w:pStyle w:val="Comment1"/>
        <w:rPr>
          <w:rFonts w:asciiTheme="minorHAnsi" w:hAnsiTheme="minorHAnsi"/>
        </w:rPr>
      </w:pPr>
      <w:r w:rsidRPr="00DA38C5">
        <w:rPr>
          <w:rFonts w:asciiTheme="minorHAnsi" w:hAnsiTheme="minorHAnsi"/>
          <w:lang w:eastAsia="ja-JP"/>
        </w:rPr>
        <w:t xml:space="preserve">AEs were reported in more than 90% of participants in each arm of Study MEA115921. </w:t>
      </w:r>
      <w:r w:rsidRPr="00DA38C5">
        <w:rPr>
          <w:rFonts w:asciiTheme="minorHAnsi" w:hAnsiTheme="minorHAnsi"/>
        </w:rPr>
        <w:t>The AEs of headache, sinusitis, upper respiratory tract infection, vomiting, diarrhoea, oropharyngeal pain and neck pain were reported more frequently</w:t>
      </w:r>
      <w:r>
        <w:rPr>
          <w:rFonts w:asciiTheme="minorHAnsi" w:hAnsiTheme="minorHAnsi"/>
        </w:rPr>
        <w:t xml:space="preserve"> (≥</w:t>
      </w:r>
      <w:r w:rsidR="00077958">
        <w:rPr>
          <w:rFonts w:asciiTheme="minorHAnsi" w:hAnsiTheme="minorHAnsi"/>
        </w:rPr>
        <w:t xml:space="preserve"> </w:t>
      </w:r>
      <w:r>
        <w:rPr>
          <w:rFonts w:asciiTheme="minorHAnsi" w:hAnsiTheme="minorHAnsi"/>
        </w:rPr>
        <w:t>5%)</w:t>
      </w:r>
      <w:r w:rsidRPr="00DA38C5">
        <w:rPr>
          <w:rFonts w:asciiTheme="minorHAnsi" w:hAnsiTheme="minorHAnsi"/>
        </w:rPr>
        <w:t xml:space="preserve"> in the patients receiving </w:t>
      </w:r>
      <w:proofErr w:type="spellStart"/>
      <w:r w:rsidRPr="00DA38C5">
        <w:rPr>
          <w:rFonts w:asciiTheme="minorHAnsi" w:hAnsiTheme="minorHAnsi"/>
        </w:rPr>
        <w:t>mepolizumab</w:t>
      </w:r>
      <w:proofErr w:type="spellEnd"/>
      <w:r w:rsidRPr="00DA38C5">
        <w:rPr>
          <w:rFonts w:asciiTheme="minorHAnsi" w:hAnsiTheme="minorHAnsi"/>
        </w:rPr>
        <w:t xml:space="preserve">. Comparison to adverse reactions reported in the asthma studies </w:t>
      </w:r>
      <w:r w:rsidRPr="00DA38C5">
        <w:rPr>
          <w:rFonts w:asciiTheme="minorHAnsi" w:hAnsiTheme="minorHAnsi"/>
        </w:rPr>
        <w:lastRenderedPageBreak/>
        <w:t xml:space="preserve">shows </w:t>
      </w:r>
      <w:r>
        <w:rPr>
          <w:rFonts w:asciiTheme="minorHAnsi" w:hAnsiTheme="minorHAnsi"/>
        </w:rPr>
        <w:t xml:space="preserve">that </w:t>
      </w:r>
      <w:r w:rsidRPr="00DA38C5">
        <w:rPr>
          <w:rFonts w:asciiTheme="minorHAnsi" w:hAnsiTheme="minorHAnsi"/>
        </w:rPr>
        <w:t xml:space="preserve">the AEs of </w:t>
      </w:r>
      <w:r>
        <w:rPr>
          <w:rFonts w:asciiTheme="minorHAnsi" w:hAnsiTheme="minorHAnsi"/>
        </w:rPr>
        <w:t xml:space="preserve">headache, injection site reaction, </w:t>
      </w:r>
      <w:r w:rsidRPr="00DA38C5">
        <w:rPr>
          <w:rFonts w:asciiTheme="minorHAnsi" w:hAnsiTheme="minorHAnsi"/>
        </w:rPr>
        <w:t xml:space="preserve">vomiting and diarrhoea appear to be more commonly reported in patients with EGPA who received </w:t>
      </w:r>
      <w:proofErr w:type="spellStart"/>
      <w:r w:rsidRPr="00DA38C5">
        <w:rPr>
          <w:rFonts w:asciiTheme="minorHAnsi" w:hAnsiTheme="minorHAnsi"/>
        </w:rPr>
        <w:t>mepolizumab</w:t>
      </w:r>
      <w:proofErr w:type="spellEnd"/>
      <w:r>
        <w:rPr>
          <w:rFonts w:asciiTheme="minorHAnsi" w:hAnsiTheme="minorHAnsi"/>
        </w:rPr>
        <w:t>.</w:t>
      </w:r>
    </w:p>
    <w:p w14:paraId="46083C2A" w14:textId="77777777" w:rsidR="002005CD" w:rsidRDefault="00077958" w:rsidP="002005CD">
      <w:r>
        <w:t xml:space="preserve">The overall incidence of on </w:t>
      </w:r>
      <w:r w:rsidR="002005CD">
        <w:t xml:space="preserve">treatment SAEs was lower in the </w:t>
      </w:r>
      <w:proofErr w:type="spellStart"/>
      <w:r w:rsidR="002005CD">
        <w:t>mepolizumab</w:t>
      </w:r>
      <w:proofErr w:type="spellEnd"/>
      <w:r w:rsidR="002005CD">
        <w:t xml:space="preserve"> group (18%) compared with the placebo group (26%). </w:t>
      </w:r>
      <w:r w:rsidR="002005CD" w:rsidRPr="009C5FBA">
        <w:t>Three subjects had AEs that</w:t>
      </w:r>
      <w:r w:rsidR="002005CD">
        <w:t xml:space="preserve"> </w:t>
      </w:r>
      <w:r w:rsidR="002005CD" w:rsidRPr="009C5FBA">
        <w:t>led to permanent discontinuation of study treatment or withdrawal from the study</w:t>
      </w:r>
      <w:r>
        <w:t xml:space="preserve">; </w:t>
      </w:r>
      <w:r w:rsidR="002005CD">
        <w:t xml:space="preserve">2 participants from the </w:t>
      </w:r>
      <w:proofErr w:type="spellStart"/>
      <w:r w:rsidR="002005CD">
        <w:t>mepolizumab</w:t>
      </w:r>
      <w:proofErr w:type="spellEnd"/>
      <w:r w:rsidR="002005CD">
        <w:t xml:space="preserve"> arm and one from the placebo arm.</w:t>
      </w:r>
      <w:r w:rsidR="002005CD" w:rsidRPr="00B42CD4">
        <w:t xml:space="preserve"> </w:t>
      </w:r>
      <w:r w:rsidR="002005CD">
        <w:t>The was one deat</w:t>
      </w:r>
      <w:r>
        <w:t xml:space="preserve">h reported in Study MEA115921; </w:t>
      </w:r>
      <w:r w:rsidR="002005CD">
        <w:t xml:space="preserve">this was a patient from the </w:t>
      </w:r>
      <w:proofErr w:type="spellStart"/>
      <w:r w:rsidR="002005CD">
        <w:t>mepolizumab</w:t>
      </w:r>
      <w:proofErr w:type="spellEnd"/>
      <w:r w:rsidR="002005CD">
        <w:t xml:space="preserve"> arm who died due to an acute </w:t>
      </w:r>
      <w:r>
        <w:t>myocardial infarction (</w:t>
      </w:r>
      <w:r w:rsidR="002005CD">
        <w:t>MI</w:t>
      </w:r>
      <w:r>
        <w:t>)</w:t>
      </w:r>
      <w:r w:rsidR="002005CD">
        <w:t>.</w:t>
      </w:r>
    </w:p>
    <w:p w14:paraId="44F90195" w14:textId="77777777" w:rsidR="002005CD" w:rsidRDefault="002005CD" w:rsidP="002005CD">
      <w:r>
        <w:t xml:space="preserve">Review of AES reported during the follow-up period identified a different pattern of AEs in the </w:t>
      </w:r>
      <w:proofErr w:type="spellStart"/>
      <w:r>
        <w:t>mepolizumab</w:t>
      </w:r>
      <w:proofErr w:type="spellEnd"/>
      <w:r>
        <w:t xml:space="preserve"> treated patients compared to the placebo arm, with this potentially due to the higher number of patients in this arm in whom relapse following cessation of treatment was reported. Rebound in disease symptoms after cessation of </w:t>
      </w:r>
      <w:proofErr w:type="spellStart"/>
      <w:r>
        <w:t>mepolizumab</w:t>
      </w:r>
      <w:proofErr w:type="spellEnd"/>
      <w:r>
        <w:t xml:space="preserve"> treatment is currently listed in the Summary of Safety Concerns in the EU RMP but is not described in the PI. The sponsor has been asked to provide more information regarding relapse rates in placebo and </w:t>
      </w:r>
      <w:proofErr w:type="spellStart"/>
      <w:r>
        <w:t>mepolizumab</w:t>
      </w:r>
      <w:proofErr w:type="spellEnd"/>
      <w:r>
        <w:t xml:space="preserve"> patients in th</w:t>
      </w:r>
      <w:r w:rsidR="002B3D99">
        <w:t>e time between completing Study </w:t>
      </w:r>
      <w:r>
        <w:t>MEA115921 and entering the extension study.</w:t>
      </w:r>
    </w:p>
    <w:p w14:paraId="1FBE814E" w14:textId="77777777" w:rsidR="002005CD" w:rsidRDefault="002005CD" w:rsidP="002005CD">
      <w:pPr>
        <w:pStyle w:val="Heading6"/>
      </w:pPr>
      <w:r>
        <w:t>Other studies</w:t>
      </w:r>
    </w:p>
    <w:p w14:paraId="6A734E72" w14:textId="77777777" w:rsidR="00624472" w:rsidRDefault="002005CD" w:rsidP="002005CD">
      <w:pPr>
        <w:rPr>
          <w:rFonts w:asciiTheme="minorHAnsi" w:eastAsia="ArialNarrow" w:hAnsiTheme="minorHAnsi" w:cs="ArialNarrow"/>
        </w:rPr>
      </w:pPr>
      <w:r>
        <w:rPr>
          <w:lang w:eastAsia="en-AU"/>
        </w:rPr>
        <w:t>The safet</w:t>
      </w:r>
      <w:r w:rsidR="00077958">
        <w:rPr>
          <w:lang w:eastAsia="en-AU"/>
        </w:rPr>
        <w:t xml:space="preserve">y profile described in the open </w:t>
      </w:r>
      <w:r>
        <w:rPr>
          <w:lang w:eastAsia="en-AU"/>
        </w:rPr>
        <w:t>label extension study was consistent with that reported in the parent study. Limited review of other clinical study reports included in the dossier (</w:t>
      </w:r>
      <w:r w:rsidR="00077958">
        <w:rPr>
          <w:rFonts w:asciiTheme="minorHAnsi" w:eastAsia="ArialNarrow" w:hAnsiTheme="minorHAnsi" w:cs="ArialNarrow"/>
        </w:rPr>
        <w:t xml:space="preserve">Study 200862; patients with severe asthma, Study MPP111782; </w:t>
      </w:r>
      <w:r>
        <w:rPr>
          <w:rFonts w:asciiTheme="minorHAnsi" w:eastAsia="ArialNarrow" w:hAnsiTheme="minorHAnsi" w:cs="ArialNarrow"/>
        </w:rPr>
        <w:t>patients with severe nasal polyposis) did not identify any new safety signals</w:t>
      </w:r>
      <w:r w:rsidR="00624472">
        <w:rPr>
          <w:rFonts w:asciiTheme="minorHAnsi" w:eastAsia="ArialNarrow" w:hAnsiTheme="minorHAnsi" w:cs="ArialNarrow"/>
        </w:rPr>
        <w:t>.</w:t>
      </w:r>
    </w:p>
    <w:p w14:paraId="649565B2" w14:textId="77777777" w:rsidR="002005CD" w:rsidRDefault="00077958" w:rsidP="002005CD">
      <w:pPr>
        <w:pStyle w:val="Heading6"/>
        <w:rPr>
          <w:rFonts w:eastAsia="ArialNarrow"/>
        </w:rPr>
      </w:pPr>
      <w:r>
        <w:rPr>
          <w:rFonts w:eastAsia="ArialNarrow"/>
        </w:rPr>
        <w:t xml:space="preserve">Long </w:t>
      </w:r>
      <w:r w:rsidR="002005CD">
        <w:rPr>
          <w:rFonts w:eastAsia="ArialNarrow"/>
        </w:rPr>
        <w:t>term use</w:t>
      </w:r>
    </w:p>
    <w:p w14:paraId="526B4849" w14:textId="77777777" w:rsidR="002005CD" w:rsidRDefault="002005CD" w:rsidP="002005CD">
      <w:r>
        <w:rPr>
          <w:rFonts w:asciiTheme="minorHAnsi" w:eastAsia="ArialNarrow" w:hAnsiTheme="minorHAnsi" w:cs="ArialNarrow"/>
        </w:rPr>
        <w:t xml:space="preserve">Detailed review of the HES Compassionate Use Programme was performed as this study provides data regarding longer term use of </w:t>
      </w:r>
      <w:proofErr w:type="spellStart"/>
      <w:r>
        <w:rPr>
          <w:rFonts w:asciiTheme="minorHAnsi" w:eastAsia="ArialNarrow" w:hAnsiTheme="minorHAnsi" w:cs="ArialNarrow"/>
        </w:rPr>
        <w:t>mepolizumab</w:t>
      </w:r>
      <w:proofErr w:type="spellEnd"/>
      <w:r>
        <w:rPr>
          <w:rFonts w:asciiTheme="minorHAnsi" w:eastAsia="ArialNarrow" w:hAnsiTheme="minorHAnsi" w:cs="ArialNarrow"/>
        </w:rPr>
        <w:t xml:space="preserve"> (up to 5 years), albeit in a small number of patients. No compar</w:t>
      </w:r>
      <w:r w:rsidR="00077958">
        <w:rPr>
          <w:rFonts w:asciiTheme="minorHAnsi" w:eastAsia="ArialNarrow" w:hAnsiTheme="minorHAnsi" w:cs="ArialNarrow"/>
        </w:rPr>
        <w:t xml:space="preserve">ison of AEs reported with short term use compared to long </w:t>
      </w:r>
      <w:r>
        <w:rPr>
          <w:rFonts w:asciiTheme="minorHAnsi" w:eastAsia="ArialNarrow" w:hAnsiTheme="minorHAnsi" w:cs="ArialNarrow"/>
        </w:rPr>
        <w:t>term use was possib</w:t>
      </w:r>
      <w:r w:rsidR="00077958">
        <w:rPr>
          <w:rFonts w:asciiTheme="minorHAnsi" w:eastAsia="ArialNarrow" w:hAnsiTheme="minorHAnsi" w:cs="ArialNarrow"/>
        </w:rPr>
        <w:t xml:space="preserve">le with the data as presented; </w:t>
      </w:r>
      <w:r>
        <w:rPr>
          <w:rFonts w:asciiTheme="minorHAnsi" w:eastAsia="ArialNarrow" w:hAnsiTheme="minorHAnsi" w:cs="ArialNarrow"/>
        </w:rPr>
        <w:t>this has been requested. A potential safety signal of inc</w:t>
      </w:r>
      <w:r w:rsidR="00077958">
        <w:rPr>
          <w:rFonts w:asciiTheme="minorHAnsi" w:eastAsia="ArialNarrow" w:hAnsiTheme="minorHAnsi" w:cs="ArialNarrow"/>
        </w:rPr>
        <w:t xml:space="preserve">reased lymphoma, specifically T </w:t>
      </w:r>
      <w:r>
        <w:rPr>
          <w:rFonts w:asciiTheme="minorHAnsi" w:eastAsia="ArialNarrow" w:hAnsiTheme="minorHAnsi" w:cs="ArialNarrow"/>
        </w:rPr>
        <w:t>cell lymphoma, has been</w:t>
      </w:r>
      <w:r w:rsidR="005E04B6">
        <w:rPr>
          <w:rFonts w:asciiTheme="minorHAnsi" w:eastAsia="ArialNarrow" w:hAnsiTheme="minorHAnsi" w:cs="ArialNarrow"/>
        </w:rPr>
        <w:t xml:space="preserve"> identified on the basis that 5 to </w:t>
      </w:r>
      <w:r>
        <w:rPr>
          <w:rFonts w:asciiTheme="minorHAnsi" w:eastAsia="ArialNarrow" w:hAnsiTheme="minorHAnsi" w:cs="ArialNarrow"/>
        </w:rPr>
        <w:t>7 of 285 study particip</w:t>
      </w:r>
      <w:r w:rsidR="005E04B6">
        <w:rPr>
          <w:rFonts w:asciiTheme="minorHAnsi" w:eastAsia="ArialNarrow" w:hAnsiTheme="minorHAnsi" w:cs="ArialNarrow"/>
        </w:rPr>
        <w:t xml:space="preserve">ants were reported to develop T </w:t>
      </w:r>
      <w:r>
        <w:rPr>
          <w:rFonts w:asciiTheme="minorHAnsi" w:eastAsia="ArialNarrow" w:hAnsiTheme="minorHAnsi" w:cs="ArialNarrow"/>
        </w:rPr>
        <w:t>cell lymphoma with this incidence (</w:t>
      </w:r>
      <w:r w:rsidR="005E04B6">
        <w:t xml:space="preserve">1.8% to </w:t>
      </w:r>
      <w:r>
        <w:t>2.5%) being considerably higher than that reported in the SEER Cancer Statistics Review for the US population</w:t>
      </w:r>
      <w:r w:rsidRPr="008076FF">
        <w:t xml:space="preserve"> </w:t>
      </w:r>
      <w:r>
        <w:t xml:space="preserve">with an annual estimate of approximately 2 per 100,000. There were also 2 malignancies and one unusual benign tumour reported in the 25 paediatric patients in this study. The sponsor has been asked to provide cumulative reviews of lymphoma and neoplasm as reported in patients who have received </w:t>
      </w:r>
      <w:proofErr w:type="spellStart"/>
      <w:r>
        <w:t>mepolizumab</w:t>
      </w:r>
      <w:proofErr w:type="spellEnd"/>
      <w:r>
        <w:t>.</w:t>
      </w:r>
    </w:p>
    <w:p w14:paraId="78C10490" w14:textId="77777777" w:rsidR="002005CD" w:rsidRDefault="002005CD" w:rsidP="002005CD">
      <w:pPr>
        <w:pStyle w:val="Heading6"/>
      </w:pPr>
      <w:r>
        <w:t>Post-marketing use</w:t>
      </w:r>
    </w:p>
    <w:p w14:paraId="1FD905AB" w14:textId="77777777" w:rsidR="002005CD" w:rsidRDefault="002005CD" w:rsidP="002005CD">
      <w:r>
        <w:t xml:space="preserve">There was limited information provided in the dossier regarding </w:t>
      </w:r>
      <w:r w:rsidR="005E04B6">
        <w:t>safety as reported through post </w:t>
      </w:r>
      <w:r>
        <w:t>marketing use. There was no PBRER provided in the dossier.</w:t>
      </w:r>
    </w:p>
    <w:p w14:paraId="63BB469D" w14:textId="77777777" w:rsidR="002005CD" w:rsidRDefault="002005CD" w:rsidP="002005CD">
      <w:pPr>
        <w:pStyle w:val="Heading6"/>
        <w:rPr>
          <w:lang w:eastAsia="en-AU"/>
        </w:rPr>
      </w:pPr>
      <w:r>
        <w:rPr>
          <w:lang w:eastAsia="en-AU"/>
        </w:rPr>
        <w:t>Summary</w:t>
      </w:r>
    </w:p>
    <w:p w14:paraId="2290D88B" w14:textId="77777777" w:rsidR="002005CD" w:rsidRDefault="002005CD" w:rsidP="002005CD">
      <w:pPr>
        <w:rPr>
          <w:lang w:eastAsia="en-AU"/>
        </w:rPr>
      </w:pPr>
      <w:r>
        <w:rPr>
          <w:lang w:eastAsia="en-AU"/>
        </w:rPr>
        <w:t xml:space="preserve">The conclusions that may be drawn regarding the safety of </w:t>
      </w:r>
      <w:proofErr w:type="spellStart"/>
      <w:r>
        <w:rPr>
          <w:lang w:eastAsia="en-AU"/>
        </w:rPr>
        <w:t>mepolizumab</w:t>
      </w:r>
      <w:proofErr w:type="spellEnd"/>
      <w:r>
        <w:rPr>
          <w:lang w:eastAsia="en-AU"/>
        </w:rPr>
        <w:t xml:space="preserve"> in the treatment of adults with EGPA are limited by the small number of patients and the relatively brief duration of treatment (13 months). Within these limitations, </w:t>
      </w:r>
      <w:proofErr w:type="spellStart"/>
      <w:r>
        <w:rPr>
          <w:lang w:eastAsia="en-AU"/>
        </w:rPr>
        <w:t>mepolizumab</w:t>
      </w:r>
      <w:proofErr w:type="spellEnd"/>
      <w:r>
        <w:rPr>
          <w:lang w:eastAsia="en-AU"/>
        </w:rPr>
        <w:t xml:space="preserve"> in short term use was well tolerated by the patients in Study MEA115921, although there was a possible rebound effect following treatment cessation. Comparison to AEs as reported for the asthma studies indicates that some AEs were reported more commonly in EGPA patients.</w:t>
      </w:r>
    </w:p>
    <w:p w14:paraId="29D0085E" w14:textId="77777777" w:rsidR="00624472" w:rsidRDefault="002005CD" w:rsidP="002005CD">
      <w:pPr>
        <w:rPr>
          <w:lang w:eastAsia="en-AU"/>
        </w:rPr>
      </w:pPr>
      <w:r>
        <w:rPr>
          <w:lang w:eastAsia="en-AU"/>
        </w:rPr>
        <w:t>No new safety signals were identified in the EGPA open label extension study or in other studies that described short-term use in other conditions</w:t>
      </w:r>
      <w:r w:rsidR="00624472">
        <w:rPr>
          <w:lang w:eastAsia="en-AU"/>
        </w:rPr>
        <w:t>.</w:t>
      </w:r>
    </w:p>
    <w:p w14:paraId="2CDDB6A5" w14:textId="77777777" w:rsidR="002005CD" w:rsidRDefault="002005CD" w:rsidP="002005CD">
      <w:pPr>
        <w:rPr>
          <w:lang w:eastAsia="en-AU"/>
        </w:rPr>
      </w:pPr>
      <w:r>
        <w:rPr>
          <w:lang w:eastAsia="en-AU"/>
        </w:rPr>
        <w:lastRenderedPageBreak/>
        <w:t xml:space="preserve">Review of long-term use, as reported in patients receiving </w:t>
      </w:r>
      <w:proofErr w:type="spellStart"/>
      <w:r>
        <w:rPr>
          <w:lang w:eastAsia="en-AU"/>
        </w:rPr>
        <w:t>mepolizumab</w:t>
      </w:r>
      <w:proofErr w:type="spellEnd"/>
      <w:r>
        <w:rPr>
          <w:lang w:eastAsia="en-AU"/>
        </w:rPr>
        <w:t xml:space="preserve"> for </w:t>
      </w:r>
      <w:proofErr w:type="spellStart"/>
      <w:r>
        <w:rPr>
          <w:lang w:eastAsia="en-AU"/>
        </w:rPr>
        <w:t>hypereosinophilic</w:t>
      </w:r>
      <w:proofErr w:type="spellEnd"/>
      <w:r>
        <w:rPr>
          <w:lang w:eastAsia="en-AU"/>
        </w:rPr>
        <w:t xml:space="preserve"> syndrome through a compassionate acc</w:t>
      </w:r>
      <w:r w:rsidR="005E04B6">
        <w:rPr>
          <w:lang w:eastAsia="en-AU"/>
        </w:rPr>
        <w:t xml:space="preserve">ess programme, has identified T </w:t>
      </w:r>
      <w:r>
        <w:rPr>
          <w:lang w:eastAsia="en-AU"/>
        </w:rPr>
        <w:t>cell lymphoma and neoplasms as safety concerns.</w:t>
      </w:r>
    </w:p>
    <w:p w14:paraId="50B4B022" w14:textId="77777777" w:rsidR="002005CD" w:rsidRDefault="002005CD" w:rsidP="002005CD">
      <w:pPr>
        <w:pStyle w:val="Heading6"/>
      </w:pPr>
      <w:r>
        <w:t>Description of safety in the PI</w:t>
      </w:r>
    </w:p>
    <w:p w14:paraId="3ED5DA2C" w14:textId="77777777" w:rsidR="002005CD" w:rsidRDefault="002005CD" w:rsidP="002005CD">
      <w:r>
        <w:t>The sponsor has not proposed any changes to the Precautions or Adverse Effects section of the PI apart from the addition of the following statement to the Adverse Effects section:</w:t>
      </w:r>
    </w:p>
    <w:p w14:paraId="2D1FB150" w14:textId="77777777" w:rsidR="002005CD" w:rsidRPr="005E04B6" w:rsidRDefault="002005CD" w:rsidP="002005CD">
      <w:pPr>
        <w:ind w:left="720"/>
      </w:pPr>
      <w:r w:rsidRPr="005E04B6">
        <w:t>EGPA</w:t>
      </w:r>
    </w:p>
    <w:p w14:paraId="33E2100C" w14:textId="77777777" w:rsidR="002005CD" w:rsidRPr="005E04B6" w:rsidRDefault="005E04B6" w:rsidP="002005CD">
      <w:pPr>
        <w:ind w:left="720"/>
      </w:pPr>
      <w:r>
        <w:t xml:space="preserve">In a double blind, placebo </w:t>
      </w:r>
      <w:r w:rsidR="002005CD" w:rsidRPr="005E04B6">
        <w:t xml:space="preserve">controlled study in subjects with EGPA (300 mg </w:t>
      </w:r>
      <w:proofErr w:type="spellStart"/>
      <w:r w:rsidR="002005CD" w:rsidRPr="005E04B6">
        <w:t>mepolizumab</w:t>
      </w:r>
      <w:proofErr w:type="spellEnd"/>
      <w:r w:rsidR="002005CD" w:rsidRPr="005E04B6">
        <w:t xml:space="preserve"> n</w:t>
      </w:r>
      <w:r>
        <w:t xml:space="preserve"> </w:t>
      </w:r>
      <w:r w:rsidR="002005CD" w:rsidRPr="005E04B6">
        <w:t>=</w:t>
      </w:r>
      <w:r>
        <w:t xml:space="preserve"> </w:t>
      </w:r>
      <w:r w:rsidR="002005CD" w:rsidRPr="005E04B6">
        <w:t>68, placebo n</w:t>
      </w:r>
      <w:r>
        <w:t xml:space="preserve"> </w:t>
      </w:r>
      <w:r w:rsidR="002005CD" w:rsidRPr="005E04B6">
        <w:t>=</w:t>
      </w:r>
      <w:r>
        <w:t xml:space="preserve"> </w:t>
      </w:r>
      <w:r w:rsidR="002005CD" w:rsidRPr="005E04B6">
        <w:t>68), no additional adverse reactions were identified to those reported for the severe asthma studies.</w:t>
      </w:r>
    </w:p>
    <w:p w14:paraId="028E68DE" w14:textId="77777777" w:rsidR="002005CD" w:rsidRDefault="002005CD" w:rsidP="002005CD">
      <w:pPr>
        <w:rPr>
          <w:lang w:eastAsia="en-AU"/>
        </w:rPr>
      </w:pPr>
      <w:r>
        <w:rPr>
          <w:lang w:eastAsia="ja-JP"/>
        </w:rPr>
        <w:t>The evaluator agrees that there were no new adverse reactions reported. However, the rates of common adverse reactions were numerically higher in the EGPA group and this may reflect do</w:t>
      </w:r>
      <w:r w:rsidR="005E04B6">
        <w:rPr>
          <w:lang w:eastAsia="ja-JP"/>
        </w:rPr>
        <w:t>se </w:t>
      </w:r>
      <w:r>
        <w:rPr>
          <w:lang w:eastAsia="ja-JP"/>
        </w:rPr>
        <w:t xml:space="preserve">dependency for some AEs. It is important that healthcare providers are aware that the use of </w:t>
      </w:r>
      <w:proofErr w:type="spellStart"/>
      <w:r>
        <w:rPr>
          <w:lang w:eastAsia="ja-JP"/>
        </w:rPr>
        <w:t>mepolizumab</w:t>
      </w:r>
      <w:proofErr w:type="spellEnd"/>
      <w:r>
        <w:rPr>
          <w:lang w:eastAsia="ja-JP"/>
        </w:rPr>
        <w:t xml:space="preserve"> in patients with EGPA at the recommended dose may have more frequently reported AEs than those described for patients with asthma in the PI. The evaluator recommends that a table showing the rate of reported AEs </w:t>
      </w:r>
      <w:r w:rsidR="005E04B6">
        <w:rPr>
          <w:lang w:eastAsia="ja-JP"/>
        </w:rPr>
        <w:t>be included in the PI.</w:t>
      </w:r>
    </w:p>
    <w:p w14:paraId="2C59AB39" w14:textId="77777777" w:rsidR="002005CD" w:rsidRDefault="002005CD" w:rsidP="002005CD">
      <w:pPr>
        <w:rPr>
          <w:lang w:eastAsia="en-AU"/>
        </w:rPr>
      </w:pPr>
      <w:r>
        <w:rPr>
          <w:lang w:eastAsia="en-AU"/>
        </w:rPr>
        <w:t>Pending further information from the sponsor, the evaluator also proposes that lymphoma/neoplasm and rebound effect be in</w:t>
      </w:r>
      <w:r w:rsidR="005E04B6">
        <w:rPr>
          <w:lang w:eastAsia="en-AU"/>
        </w:rPr>
        <w:t>cluded as Precautions in the PI.</w:t>
      </w:r>
    </w:p>
    <w:p w14:paraId="070A6163" w14:textId="77777777" w:rsidR="00605AD4" w:rsidRDefault="002005CD" w:rsidP="00966718">
      <w:pPr>
        <w:pStyle w:val="Heading3"/>
      </w:pPr>
      <w:bookmarkStart w:id="129" w:name="_Toc25227383"/>
      <w:r w:rsidRPr="00C51FBF">
        <w:t xml:space="preserve">Use of </w:t>
      </w:r>
      <w:proofErr w:type="spellStart"/>
      <w:r w:rsidRPr="00C51FBF">
        <w:t>mepolizumab</w:t>
      </w:r>
      <w:proofErr w:type="spellEnd"/>
      <w:r w:rsidRPr="00C51FBF">
        <w:t xml:space="preserve"> in children with EGPA</w:t>
      </w:r>
      <w:bookmarkEnd w:id="129"/>
    </w:p>
    <w:p w14:paraId="3446B582" w14:textId="77777777" w:rsidR="00966718" w:rsidRDefault="00966718" w:rsidP="00966718">
      <w:pPr>
        <w:pStyle w:val="Heading4"/>
      </w:pPr>
      <w:bookmarkStart w:id="130" w:name="_Toc522224185"/>
      <w:r>
        <w:t>Background</w:t>
      </w:r>
      <w:bookmarkEnd w:id="130"/>
    </w:p>
    <w:p w14:paraId="17AE0BF4" w14:textId="77777777" w:rsidR="00966718" w:rsidRDefault="00966718" w:rsidP="00966718">
      <w:pPr>
        <w:rPr>
          <w:lang w:eastAsia="ja-JP"/>
        </w:rPr>
      </w:pPr>
      <w:r>
        <w:rPr>
          <w:lang w:eastAsia="ja-JP"/>
        </w:rPr>
        <w:t>The sponsor’s proposed indication is:</w:t>
      </w:r>
    </w:p>
    <w:p w14:paraId="0B0D4D4F" w14:textId="6ACCDC1A" w:rsidR="00966718" w:rsidRDefault="00491260" w:rsidP="00966718">
      <w:pPr>
        <w:ind w:left="720"/>
        <w:rPr>
          <w:rFonts w:asciiTheme="minorHAnsi" w:hAnsiTheme="minorHAnsi" w:cs="Arial"/>
          <w:i/>
        </w:rPr>
      </w:pPr>
      <w:proofErr w:type="spellStart"/>
      <w:r>
        <w:rPr>
          <w:i/>
        </w:rPr>
        <w:t>Nucala</w:t>
      </w:r>
      <w:proofErr w:type="spellEnd"/>
      <w:r w:rsidR="00966718">
        <w:rPr>
          <w:i/>
        </w:rPr>
        <w:t xml:space="preserve"> is indicated as an add-on treatment for relapsing or refractory Eosinophilic Granulomatosis with </w:t>
      </w:r>
      <w:proofErr w:type="spellStart"/>
      <w:r w:rsidR="00966718">
        <w:rPr>
          <w:i/>
        </w:rPr>
        <w:t>Polyangiitis</w:t>
      </w:r>
      <w:proofErr w:type="spellEnd"/>
      <w:r w:rsidR="00966718">
        <w:rPr>
          <w:i/>
        </w:rPr>
        <w:t xml:space="preserve"> (EGPA) in patients aged 6 years and over.</w:t>
      </w:r>
      <w:r w:rsidR="00184739" w:rsidRPr="00184739">
        <w:rPr>
          <w:rStyle w:val="Heading3Char"/>
          <w:rFonts w:eastAsia="Cambria"/>
          <w:i/>
        </w:rPr>
        <w:t xml:space="preserve"> </w:t>
      </w:r>
      <w:r w:rsidR="00184739">
        <w:rPr>
          <w:rStyle w:val="FootnoteReference"/>
          <w:i/>
        </w:rPr>
        <w:footnoteReference w:id="47"/>
      </w:r>
    </w:p>
    <w:p w14:paraId="185B95FC" w14:textId="77777777" w:rsidR="00966718" w:rsidRDefault="00966718" w:rsidP="00966718">
      <w:pPr>
        <w:rPr>
          <w:lang w:eastAsia="ja-JP"/>
        </w:rPr>
      </w:pPr>
      <w:r>
        <w:rPr>
          <w:lang w:eastAsia="ja-JP"/>
        </w:rPr>
        <w:t>This indication includes children and adolescents aged 6 to 17 years. The main safety and e</w:t>
      </w:r>
      <w:r w:rsidR="005E04B6">
        <w:rPr>
          <w:lang w:eastAsia="ja-JP"/>
        </w:rPr>
        <w:t>fficacy Study MEA115921</w:t>
      </w:r>
      <w:r>
        <w:rPr>
          <w:lang w:eastAsia="ja-JP"/>
        </w:rPr>
        <w:t xml:space="preserve"> described above excluded patients aged &lt; 18 years.</w:t>
      </w:r>
    </w:p>
    <w:p w14:paraId="0C95A690" w14:textId="77777777" w:rsidR="00966718" w:rsidRDefault="00966718" w:rsidP="00966718">
      <w:pPr>
        <w:rPr>
          <w:lang w:eastAsia="ja-JP"/>
        </w:rPr>
      </w:pPr>
      <w:r>
        <w:rPr>
          <w:lang w:eastAsia="ja-JP"/>
        </w:rPr>
        <w:t xml:space="preserve">The use of </w:t>
      </w:r>
      <w:proofErr w:type="spellStart"/>
      <w:r>
        <w:rPr>
          <w:lang w:eastAsia="ja-JP"/>
        </w:rPr>
        <w:t>mepolizumab</w:t>
      </w:r>
      <w:proofErr w:type="spellEnd"/>
      <w:r>
        <w:rPr>
          <w:lang w:eastAsia="ja-JP"/>
        </w:rPr>
        <w:t xml:space="preserve"> in the treatment of EGPA in the paediatric or adolescent population (aged 6 to 18 years) has not been investigated in the sponsor’s clinical development programme and has not been reported in the literature. There is no direct evidence to support the safety or efficacy of </w:t>
      </w:r>
      <w:proofErr w:type="spellStart"/>
      <w:r>
        <w:rPr>
          <w:lang w:eastAsia="ja-JP"/>
        </w:rPr>
        <w:t>mepolizumab</w:t>
      </w:r>
      <w:proofErr w:type="spellEnd"/>
      <w:r>
        <w:rPr>
          <w:lang w:eastAsia="ja-JP"/>
        </w:rPr>
        <w:t xml:space="preserve"> in these patients. The sponsor seeks to establish safety and efficacy in this population by extrapolation from adults with EGPA and children with other conditions.</w:t>
      </w:r>
    </w:p>
    <w:p w14:paraId="642396C3" w14:textId="77777777" w:rsidR="00184739" w:rsidRDefault="00184739" w:rsidP="00966718">
      <w:pPr>
        <w:rPr>
          <w:lang w:eastAsia="ja-JP"/>
        </w:rPr>
      </w:pPr>
      <w:r>
        <w:rPr>
          <w:lang w:eastAsia="ja-JP"/>
        </w:rPr>
        <w:t>[Information redacted]</w:t>
      </w:r>
    </w:p>
    <w:p w14:paraId="445B9660" w14:textId="34268540" w:rsidR="00605AD4" w:rsidRPr="00605AD4" w:rsidRDefault="00605AD4" w:rsidP="00605AD4">
      <w:pPr>
        <w:pStyle w:val="Heading3"/>
        <w:rPr>
          <w:rFonts w:eastAsia="Cambria"/>
        </w:rPr>
      </w:pPr>
      <w:bookmarkStart w:id="131" w:name="_Toc25227384"/>
      <w:r w:rsidRPr="00605AD4">
        <w:rPr>
          <w:rFonts w:eastAsia="Cambria"/>
        </w:rPr>
        <w:lastRenderedPageBreak/>
        <w:t xml:space="preserve">First </w:t>
      </w:r>
      <w:r w:rsidR="002E1651" w:rsidRPr="00605AD4">
        <w:rPr>
          <w:rFonts w:eastAsia="Cambria"/>
        </w:rPr>
        <w:t>round benefit-risk assessment</w:t>
      </w:r>
      <w:bookmarkEnd w:id="131"/>
    </w:p>
    <w:p w14:paraId="08A4AB0F" w14:textId="77777777" w:rsidR="00605AD4" w:rsidRPr="007C49E8" w:rsidRDefault="00605AD4" w:rsidP="007C49E8">
      <w:pPr>
        <w:pStyle w:val="Heading4"/>
      </w:pPr>
      <w:r w:rsidRPr="007C49E8">
        <w:t>First round assessment of benefits</w:t>
      </w:r>
      <w:r w:rsidR="00E75477">
        <w:t xml:space="preserve"> and risks</w:t>
      </w:r>
    </w:p>
    <w:p w14:paraId="30430B2F" w14:textId="3F1EBA9E" w:rsidR="002005CD" w:rsidRPr="00CC634B" w:rsidRDefault="002005CD" w:rsidP="007C49E8">
      <w:pPr>
        <w:pStyle w:val="Heading5"/>
      </w:pPr>
      <w:r>
        <w:t xml:space="preserve">Adult </w:t>
      </w:r>
      <w:r w:rsidR="004101C8">
        <w:t>i</w:t>
      </w:r>
      <w:r>
        <w:t>ndication</w:t>
      </w:r>
    </w:p>
    <w:p w14:paraId="1710CE69" w14:textId="77777777" w:rsidR="002005CD" w:rsidRDefault="002005CD" w:rsidP="007C49E8">
      <w:pPr>
        <w:pStyle w:val="TableTitle"/>
      </w:pPr>
      <w:bookmarkStart w:id="132" w:name="_Ref15898660"/>
      <w:bookmarkStart w:id="133" w:name="_Toc522224037"/>
      <w:bookmarkStart w:id="134" w:name="_Hlk506368431"/>
      <w:r>
        <w:t xml:space="preserve">Table </w:t>
      </w:r>
      <w:r>
        <w:rPr>
          <w:noProof/>
        </w:rPr>
        <w:fldChar w:fldCharType="begin"/>
      </w:r>
      <w:r>
        <w:rPr>
          <w:noProof/>
        </w:rPr>
        <w:instrText xml:space="preserve"> SEQ Table \* ARABIC </w:instrText>
      </w:r>
      <w:r>
        <w:rPr>
          <w:noProof/>
        </w:rPr>
        <w:fldChar w:fldCharType="separate"/>
      </w:r>
      <w:r w:rsidR="00126A5E">
        <w:rPr>
          <w:noProof/>
        </w:rPr>
        <w:t>15</w:t>
      </w:r>
      <w:r>
        <w:rPr>
          <w:noProof/>
        </w:rPr>
        <w:fldChar w:fldCharType="end"/>
      </w:r>
      <w:bookmarkEnd w:id="132"/>
      <w:r w:rsidR="00E75477">
        <w:rPr>
          <w:noProof/>
        </w:rPr>
        <w:t>:</w:t>
      </w:r>
      <w:r>
        <w:t xml:space="preserve"> </w:t>
      </w:r>
      <w:proofErr w:type="spellStart"/>
      <w:r>
        <w:t>Mepolizumab</w:t>
      </w:r>
      <w:proofErr w:type="spellEnd"/>
      <w:r>
        <w:t xml:space="preserve"> </w:t>
      </w:r>
      <w:r w:rsidR="00E75477">
        <w:t>use in a</w:t>
      </w:r>
      <w:r>
        <w:t>dults</w:t>
      </w:r>
      <w:bookmarkEnd w:id="133"/>
      <w:r w:rsidR="00E75477">
        <w:t>, favourable effects</w:t>
      </w:r>
    </w:p>
    <w:p w14:paraId="7ACB5ECB" w14:textId="77777777" w:rsidR="00E75477" w:rsidRDefault="00E75477" w:rsidP="007C49E8">
      <w:pPr>
        <w:pStyle w:val="TableTitle"/>
      </w:pPr>
      <w:r>
        <w:rPr>
          <w:noProof/>
          <w:lang w:eastAsia="en-AU"/>
        </w:rPr>
        <w:drawing>
          <wp:inline distT="0" distB="0" distL="0" distR="0" wp14:anchorId="706DDF51" wp14:editId="421D1E89">
            <wp:extent cx="5400675" cy="7553325"/>
            <wp:effectExtent l="0" t="0" r="9525" b="9525"/>
            <wp:docPr id="35" name="Picture 35" descr="Mepolizumab use in adults, favourable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675" cy="7553325"/>
                    </a:xfrm>
                    <a:prstGeom prst="rect">
                      <a:avLst/>
                    </a:prstGeom>
                  </pic:spPr>
                </pic:pic>
              </a:graphicData>
            </a:graphic>
          </wp:inline>
        </w:drawing>
      </w:r>
    </w:p>
    <w:p w14:paraId="67008AFA" w14:textId="77777777" w:rsidR="00681F6C" w:rsidRDefault="00681F6C" w:rsidP="00681F6C"/>
    <w:p w14:paraId="1AE09521" w14:textId="77777777" w:rsidR="00E75477" w:rsidRDefault="00E75477" w:rsidP="00E75477">
      <w:pPr>
        <w:pStyle w:val="TableTitle"/>
      </w:pPr>
      <w:bookmarkStart w:id="135" w:name="_Ref15898678"/>
      <w:r>
        <w:lastRenderedPageBreak/>
        <w:t xml:space="preserve">Table </w:t>
      </w:r>
      <w:r>
        <w:rPr>
          <w:noProof/>
        </w:rPr>
        <w:fldChar w:fldCharType="begin"/>
      </w:r>
      <w:r>
        <w:rPr>
          <w:noProof/>
        </w:rPr>
        <w:instrText xml:space="preserve"> SEQ Table \* ARABIC </w:instrText>
      </w:r>
      <w:r>
        <w:rPr>
          <w:noProof/>
        </w:rPr>
        <w:fldChar w:fldCharType="separate"/>
      </w:r>
      <w:r w:rsidR="00126A5E">
        <w:rPr>
          <w:noProof/>
        </w:rPr>
        <w:t>16</w:t>
      </w:r>
      <w:r>
        <w:rPr>
          <w:noProof/>
        </w:rPr>
        <w:fldChar w:fldCharType="end"/>
      </w:r>
      <w:bookmarkEnd w:id="135"/>
      <w:r>
        <w:t xml:space="preserve">: </w:t>
      </w:r>
      <w:proofErr w:type="spellStart"/>
      <w:r>
        <w:t>Mepolizumab</w:t>
      </w:r>
      <w:proofErr w:type="spellEnd"/>
      <w:r>
        <w:t xml:space="preserve"> use in adults, unfavourable effects</w:t>
      </w:r>
    </w:p>
    <w:p w14:paraId="34C5D394" w14:textId="77777777" w:rsidR="00E75477" w:rsidRDefault="00E75477" w:rsidP="00E75477">
      <w:r>
        <w:rPr>
          <w:noProof/>
          <w:lang w:eastAsia="en-AU"/>
        </w:rPr>
        <w:drawing>
          <wp:inline distT="0" distB="0" distL="0" distR="0" wp14:anchorId="72294E33" wp14:editId="35A9F1F7">
            <wp:extent cx="5444719" cy="3050439"/>
            <wp:effectExtent l="0" t="0" r="3810" b="0"/>
            <wp:docPr id="37" name="Picture 37" descr="Mepolizumab use in adults, unfavourable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46977" cy="3051704"/>
                    </a:xfrm>
                    <a:prstGeom prst="rect">
                      <a:avLst/>
                    </a:prstGeom>
                  </pic:spPr>
                </pic:pic>
              </a:graphicData>
            </a:graphic>
          </wp:inline>
        </w:drawing>
      </w:r>
    </w:p>
    <w:bookmarkEnd w:id="134"/>
    <w:p w14:paraId="24529E46" w14:textId="77777777" w:rsidR="00624472" w:rsidRDefault="002005CD" w:rsidP="00E75477">
      <w:r>
        <w:t xml:space="preserve">The main evidence for benefit-risk comes from the efficacy safety study, </w:t>
      </w:r>
      <w:r w:rsidR="00E75477">
        <w:t>Stud</w:t>
      </w:r>
      <w:r w:rsidR="002B3D99">
        <w:t>y </w:t>
      </w:r>
      <w:r>
        <w:t xml:space="preserve">MEA115921. In this study, treatment with </w:t>
      </w:r>
      <w:proofErr w:type="spellStart"/>
      <w:r>
        <w:t>mepolizumab</w:t>
      </w:r>
      <w:proofErr w:type="spellEnd"/>
      <w:r>
        <w:t xml:space="preserve"> in adult patients with relapsed or refractory EGPA who were receiving ≥ 7.5</w:t>
      </w:r>
      <w:r w:rsidR="00E75477">
        <w:t xml:space="preserve"> </w:t>
      </w:r>
      <w:r>
        <w:t>mg daily of prednisolone equivalent was associated with a substantial and clinically meaningful benefit with greater duration of remission, reduced relapse rate and higher proportion of patients achieving a meaningful and sustained reduction in OCS dose. Caveats to these positive results are the lack of response in almost half of the patients (47% failed to achieve any duration of remission); the lack of ef</w:t>
      </w:r>
      <w:r w:rsidR="00E75477">
        <w:t xml:space="preserve">ficacy in the pre-specified sub </w:t>
      </w:r>
      <w:r>
        <w:t>group of patients with baseline eosinophil count &lt;</w:t>
      </w:r>
      <w:r w:rsidR="00E75477">
        <w:t xml:space="preserve"> </w:t>
      </w:r>
      <w:r>
        <w:t xml:space="preserve">150 cells/µL; possible rebound phenomenon after cessation of </w:t>
      </w:r>
      <w:proofErr w:type="spellStart"/>
      <w:r>
        <w:t>mepolizumab</w:t>
      </w:r>
      <w:proofErr w:type="spellEnd"/>
      <w:r w:rsidR="00624472">
        <w:t>.</w:t>
      </w:r>
    </w:p>
    <w:p w14:paraId="108E9E2D" w14:textId="77777777" w:rsidR="002005CD" w:rsidRDefault="002005CD" w:rsidP="00E75477">
      <w:pPr>
        <w:rPr>
          <w:rFonts w:asciiTheme="minorHAnsi" w:eastAsia="Times New Roman" w:hAnsiTheme="minorHAnsi" w:cstheme="minorHAnsi"/>
        </w:rPr>
      </w:pPr>
      <w:r w:rsidRPr="004B7A0C">
        <w:t xml:space="preserve">Review of safety results from Study MEA115921 found that </w:t>
      </w:r>
      <w:proofErr w:type="spellStart"/>
      <w:r w:rsidRPr="004B7A0C">
        <w:t>mepolizumab</w:t>
      </w:r>
      <w:proofErr w:type="spellEnd"/>
      <w:r w:rsidRPr="004B7A0C">
        <w:t xml:space="preserve"> was well tolerated in patients with EGPA, with an adverse event profile that was largely comparable to placebo and characterised by </w:t>
      </w:r>
      <w:r w:rsidR="00E75477">
        <w:rPr>
          <w:rFonts w:asciiTheme="minorHAnsi" w:eastAsia="Times New Roman" w:hAnsiTheme="minorHAnsi" w:cstheme="minorHAnsi"/>
        </w:rPr>
        <w:t>non-</w:t>
      </w:r>
      <w:r w:rsidRPr="004B7A0C">
        <w:rPr>
          <w:rFonts w:asciiTheme="minorHAnsi" w:eastAsia="Times New Roman" w:hAnsiTheme="minorHAnsi" w:cstheme="minorHAnsi"/>
        </w:rPr>
        <w:t>serious adverse reactions (headache, arthralgia, sinusitis).</w:t>
      </w:r>
      <w:r>
        <w:rPr>
          <w:rFonts w:asciiTheme="minorHAnsi" w:eastAsia="Times New Roman" w:hAnsiTheme="minorHAnsi" w:cstheme="minorHAnsi"/>
        </w:rPr>
        <w:t xml:space="preserve"> Comparison of reported AE rates to those reported in the asthma studies found </w:t>
      </w:r>
      <w:r w:rsidR="00E75477">
        <w:rPr>
          <w:rFonts w:asciiTheme="minorHAnsi" w:eastAsia="Times New Roman" w:hAnsiTheme="minorHAnsi" w:cstheme="minorHAnsi"/>
        </w:rPr>
        <w:t xml:space="preserve">higher rates in EGPA patients; this may indicate dose </w:t>
      </w:r>
      <w:r>
        <w:rPr>
          <w:rFonts w:asciiTheme="minorHAnsi" w:eastAsia="Times New Roman" w:hAnsiTheme="minorHAnsi" w:cstheme="minorHAnsi"/>
        </w:rPr>
        <w:t>dependency for some AEs (</w:t>
      </w:r>
      <w:proofErr w:type="spellStart"/>
      <w:r>
        <w:rPr>
          <w:rFonts w:asciiTheme="minorHAnsi" w:eastAsia="Times New Roman" w:hAnsiTheme="minorHAnsi" w:cstheme="minorHAnsi"/>
        </w:rPr>
        <w:t>mepolizumab</w:t>
      </w:r>
      <w:proofErr w:type="spellEnd"/>
      <w:r>
        <w:rPr>
          <w:rFonts w:asciiTheme="minorHAnsi" w:eastAsia="Times New Roman" w:hAnsiTheme="minorHAnsi" w:cstheme="minorHAnsi"/>
        </w:rPr>
        <w:t xml:space="preserve"> dose 300</w:t>
      </w:r>
      <w:r w:rsidR="00E75477">
        <w:rPr>
          <w:rFonts w:asciiTheme="minorHAnsi" w:eastAsia="Times New Roman" w:hAnsiTheme="minorHAnsi" w:cstheme="minorHAnsi"/>
        </w:rPr>
        <w:t xml:space="preserve"> </w:t>
      </w:r>
      <w:r>
        <w:rPr>
          <w:rFonts w:asciiTheme="minorHAnsi" w:eastAsia="Times New Roman" w:hAnsiTheme="minorHAnsi" w:cstheme="minorHAnsi"/>
        </w:rPr>
        <w:t>mg SC monthly in the EGPA study compared to 75</w:t>
      </w:r>
      <w:r w:rsidR="00E75477">
        <w:rPr>
          <w:rFonts w:asciiTheme="minorHAnsi" w:eastAsia="Times New Roman" w:hAnsiTheme="minorHAnsi" w:cstheme="minorHAnsi"/>
        </w:rPr>
        <w:t xml:space="preserve"> </w:t>
      </w:r>
      <w:r>
        <w:rPr>
          <w:rFonts w:asciiTheme="minorHAnsi" w:eastAsia="Times New Roman" w:hAnsiTheme="minorHAnsi" w:cstheme="minorHAnsi"/>
        </w:rPr>
        <w:t>mg IV/100</w:t>
      </w:r>
      <w:r w:rsidR="00E75477">
        <w:rPr>
          <w:rFonts w:asciiTheme="minorHAnsi" w:eastAsia="Times New Roman" w:hAnsiTheme="minorHAnsi" w:cstheme="minorHAnsi"/>
        </w:rPr>
        <w:t xml:space="preserve"> </w:t>
      </w:r>
      <w:r>
        <w:rPr>
          <w:rFonts w:asciiTheme="minorHAnsi" w:eastAsia="Times New Roman" w:hAnsiTheme="minorHAnsi" w:cstheme="minorHAnsi"/>
        </w:rPr>
        <w:t>mg SC monthly in asthma).</w:t>
      </w:r>
    </w:p>
    <w:p w14:paraId="4A56E768" w14:textId="77777777" w:rsidR="002005CD" w:rsidRDefault="002005CD" w:rsidP="00E75477">
      <w:r>
        <w:t>Review of other clinical study reports included in the dossier for other eosinophilic conditions (nasal polyposis, severe asthma) did not identify any new safety concerns.</w:t>
      </w:r>
    </w:p>
    <w:p w14:paraId="02F8706E" w14:textId="77777777" w:rsidR="002005CD" w:rsidRPr="004B7A0C" w:rsidRDefault="00E75477" w:rsidP="00E75477">
      <w:r>
        <w:t xml:space="preserve">Review of long </w:t>
      </w:r>
      <w:r w:rsidR="002005CD">
        <w:t>term safety as reported in the HES Compassio</w:t>
      </w:r>
      <w:r>
        <w:t>nate Use Programme identified T </w:t>
      </w:r>
      <w:r w:rsidR="002005CD">
        <w:t xml:space="preserve">cell lymphoma and neoplasms as possible </w:t>
      </w:r>
      <w:r>
        <w:t xml:space="preserve">safety concerns with long </w:t>
      </w:r>
      <w:r w:rsidR="002005CD">
        <w:t>term use.</w:t>
      </w:r>
    </w:p>
    <w:p w14:paraId="0FFDD1CE" w14:textId="77777777" w:rsidR="002005CD" w:rsidRPr="00E75477" w:rsidRDefault="002005CD" w:rsidP="00E75477">
      <w:pPr>
        <w:pStyle w:val="Heading5"/>
      </w:pPr>
      <w:bookmarkStart w:id="136" w:name="_Toc236802596"/>
      <w:bookmarkStart w:id="137" w:name="_Toc241374334"/>
      <w:bookmarkStart w:id="138" w:name="_Ref272160964"/>
      <w:bookmarkStart w:id="139" w:name="_Toc272414694"/>
      <w:bookmarkStart w:id="140" w:name="_Toc290888558"/>
      <w:bookmarkStart w:id="141" w:name="_Toc416353773"/>
      <w:bookmarkStart w:id="142" w:name="_Toc421005315"/>
      <w:bookmarkStart w:id="143" w:name="_Toc432079186"/>
      <w:bookmarkStart w:id="144" w:name="_Toc432080759"/>
      <w:r w:rsidRPr="00E75477">
        <w:t>Paediatric indication</w:t>
      </w:r>
    </w:p>
    <w:p w14:paraId="176674E7" w14:textId="77777777" w:rsidR="002005CD" w:rsidRDefault="002005CD" w:rsidP="00E75477">
      <w:proofErr w:type="spellStart"/>
      <w:r>
        <w:t>Mepolizumab</w:t>
      </w:r>
      <w:proofErr w:type="spellEnd"/>
      <w:r>
        <w:t xml:space="preserve"> has not been investigated in the treatment of children or adolescents with EGPA. There are no clinical data upon which an assessment of benefit and risk in this population can be made.</w:t>
      </w:r>
    </w:p>
    <w:p w14:paraId="509F7AB7" w14:textId="77777777" w:rsidR="002005CD" w:rsidRDefault="002005CD" w:rsidP="00E75477">
      <w:r>
        <w:t>The sponsor has sought to demonstrate safety and efficacy using a full paediatric extrapolation model that was apparently developed in consultation with the EMA. The use of such a model for regulatory purposes was described as novel and has not previously been used to support an application to the TGA for use of a prescription medicine in children. Applications that were made to the FDA and to Health Canada for the EGPA indication did not include a paediatric indication.</w:t>
      </w:r>
    </w:p>
    <w:p w14:paraId="11338C2F" w14:textId="77777777" w:rsidR="002005CD" w:rsidRDefault="002005CD" w:rsidP="00E75477">
      <w:r>
        <w:lastRenderedPageBreak/>
        <w:t xml:space="preserve">EGPA in children is rare. From published reports, it may be a more severe condition compared to adults, with higher cardiac involvement and higher mortality. Due to the paucity of information, treatment is extrapolated from the treatment of adults with EGPA and largely based on </w:t>
      </w:r>
      <w:r w:rsidR="00E75477">
        <w:t>OCS</w:t>
      </w:r>
      <w:r>
        <w:t>, with prolonged courses required. Other immunosuppressive agents may also be used. There is a considerable unmet need for this population, given the consequences of prolonged corticosteroid use, including growth retardation. A randomised placebo controlled clinical trial of any specific treatment in this population would be impractical, given the rarity of the condition.</w:t>
      </w:r>
    </w:p>
    <w:p w14:paraId="0195A86A" w14:textId="77777777" w:rsidR="002005CD" w:rsidRDefault="002005CD" w:rsidP="00E75477">
      <w:r>
        <w:t xml:space="preserve">Studies conducted to date of </w:t>
      </w:r>
      <w:proofErr w:type="spellStart"/>
      <w:r>
        <w:t>mepolizumab</w:t>
      </w:r>
      <w:proofErr w:type="spellEnd"/>
      <w:r>
        <w:t xml:space="preserve"> in subjects aged &lt;</w:t>
      </w:r>
      <w:r w:rsidR="00E75477">
        <w:t xml:space="preserve"> </w:t>
      </w:r>
      <w:r>
        <w:t>17 years with severe asthma or eosinophilic oesophagitis have not been designed to demonstrate efficacy and provide limited safety information due to the small numbers and brief duration of treatment. The evaluator is particularly concerned regarding potential adverse effects with prolonged use given the lack of knowledge regarding the roles of IL-5 and eosinophils in the developing human and given the high incidence of neoplasm (benign and malignant) in patients aged &lt;</w:t>
      </w:r>
      <w:r w:rsidR="00E75477">
        <w:t xml:space="preserve"> </w:t>
      </w:r>
      <w:r>
        <w:t>17 years in the HES Compassionate Use Programme.</w:t>
      </w:r>
    </w:p>
    <w:p w14:paraId="656AACF8" w14:textId="77777777" w:rsidR="002005CD" w:rsidRDefault="002005CD" w:rsidP="00E75477">
      <w:r>
        <w:t xml:space="preserve">The evaluator does not find the paediatric extrapolation report to be convincing given that it is based upon layers of pharmacology modelling reports and population PK analyses, each with their own underlying assumptions. The evaluator accepts that it is not feasible to demonstrate efficacy and safety in the paediatric EGPA population but does not consider that pharmacology modelling can replace the basic requirement that efficacy and safety of </w:t>
      </w:r>
      <w:proofErr w:type="spellStart"/>
      <w:r>
        <w:t>mepolizumab</w:t>
      </w:r>
      <w:proofErr w:type="spellEnd"/>
      <w:r>
        <w:t xml:space="preserve"> be demonstrated in some paediatric population.</w:t>
      </w:r>
    </w:p>
    <w:p w14:paraId="487A845B" w14:textId="77777777" w:rsidR="00500337" w:rsidRPr="00500337" w:rsidRDefault="002005CD" w:rsidP="00500337">
      <w:r>
        <w:t>The evaluator is also concerned that the sponsor has not proposed any additional risk management activities in the paediatric population, in the event that this indication is approved.</w:t>
      </w:r>
      <w:bookmarkEnd w:id="136"/>
      <w:bookmarkEnd w:id="137"/>
      <w:bookmarkEnd w:id="138"/>
      <w:bookmarkEnd w:id="139"/>
      <w:bookmarkEnd w:id="140"/>
      <w:bookmarkEnd w:id="141"/>
      <w:bookmarkEnd w:id="142"/>
      <w:bookmarkEnd w:id="143"/>
      <w:bookmarkEnd w:id="144"/>
    </w:p>
    <w:p w14:paraId="1F346955" w14:textId="77777777" w:rsidR="00605AD4" w:rsidRPr="00E75477" w:rsidRDefault="00605AD4" w:rsidP="00E75477">
      <w:pPr>
        <w:pStyle w:val="Heading4"/>
      </w:pPr>
      <w:r w:rsidRPr="00E75477">
        <w:t>First round assessment of benefit-risk balance</w:t>
      </w:r>
    </w:p>
    <w:p w14:paraId="38B9A64A" w14:textId="77777777" w:rsidR="002005CD" w:rsidRDefault="002005CD" w:rsidP="00E75477">
      <w:pPr>
        <w:pStyle w:val="Heading5"/>
      </w:pPr>
      <w:r>
        <w:t>Adult indication</w:t>
      </w:r>
    </w:p>
    <w:p w14:paraId="452D3881" w14:textId="77777777" w:rsidR="002005CD" w:rsidRDefault="002005CD" w:rsidP="00E75477">
      <w:pPr>
        <w:rPr>
          <w:lang w:eastAsia="ja-JP"/>
        </w:rPr>
      </w:pPr>
      <w:r>
        <w:rPr>
          <w:lang w:eastAsia="ja-JP"/>
        </w:rPr>
        <w:t xml:space="preserve">The benefit-risk balance favours </w:t>
      </w:r>
      <w:proofErr w:type="spellStart"/>
      <w:r>
        <w:rPr>
          <w:lang w:eastAsia="ja-JP"/>
        </w:rPr>
        <w:t>mepol</w:t>
      </w:r>
      <w:r w:rsidR="00E75477">
        <w:rPr>
          <w:lang w:eastAsia="ja-JP"/>
        </w:rPr>
        <w:t>izumab</w:t>
      </w:r>
      <w:proofErr w:type="spellEnd"/>
      <w:r w:rsidR="00E75477">
        <w:rPr>
          <w:lang w:eastAsia="ja-JP"/>
        </w:rPr>
        <w:t xml:space="preserve"> for short </w:t>
      </w:r>
      <w:r>
        <w:rPr>
          <w:lang w:eastAsia="ja-JP"/>
        </w:rPr>
        <w:t xml:space="preserve">term use, although it is recognised that almost half of the patients treated with </w:t>
      </w:r>
      <w:proofErr w:type="spellStart"/>
      <w:r>
        <w:rPr>
          <w:lang w:eastAsia="ja-JP"/>
        </w:rPr>
        <w:t>mepolizumab</w:t>
      </w:r>
      <w:proofErr w:type="spellEnd"/>
      <w:r>
        <w:rPr>
          <w:lang w:eastAsia="ja-JP"/>
        </w:rPr>
        <w:t xml:space="preserve"> may not have any benefit. There is no biomarker that identifies these non-responders, although a baseline eosinophil count &lt;</w:t>
      </w:r>
      <w:r w:rsidR="00E75477">
        <w:rPr>
          <w:lang w:eastAsia="ja-JP"/>
        </w:rPr>
        <w:t> </w:t>
      </w:r>
      <w:r>
        <w:rPr>
          <w:lang w:eastAsia="ja-JP"/>
        </w:rPr>
        <w:t>150</w:t>
      </w:r>
      <w:r w:rsidR="00E75477">
        <w:rPr>
          <w:lang w:eastAsia="ja-JP"/>
        </w:rPr>
        <w:t> </w:t>
      </w:r>
      <w:r>
        <w:rPr>
          <w:lang w:eastAsia="ja-JP"/>
        </w:rPr>
        <w:t>cells/µL provides some indication. It may, therefore, be appropriate to include a baseline blood eosinophil level in the indication.</w:t>
      </w:r>
    </w:p>
    <w:p w14:paraId="72DD7B9C" w14:textId="77777777" w:rsidR="002005CD" w:rsidRDefault="002005CD" w:rsidP="00E75477">
      <w:pPr>
        <w:rPr>
          <w:lang w:eastAsia="ja-JP"/>
        </w:rPr>
      </w:pPr>
      <w:r>
        <w:rPr>
          <w:lang w:eastAsia="ja-JP"/>
        </w:rPr>
        <w:t>The proposed use is indefinite and the optimum duration of treatment is unknown. Efficacy with treatment duration longer than 13 months has n</w:t>
      </w:r>
      <w:r w:rsidR="00E75477">
        <w:rPr>
          <w:lang w:eastAsia="ja-JP"/>
        </w:rPr>
        <w:t xml:space="preserve">ot been demonstrated. Long </w:t>
      </w:r>
      <w:r>
        <w:rPr>
          <w:lang w:eastAsia="ja-JP"/>
        </w:rPr>
        <w:t xml:space="preserve">term use of </w:t>
      </w:r>
      <w:proofErr w:type="spellStart"/>
      <w:r>
        <w:rPr>
          <w:lang w:eastAsia="ja-JP"/>
        </w:rPr>
        <w:t>mepolizumab</w:t>
      </w:r>
      <w:proofErr w:type="spellEnd"/>
      <w:r>
        <w:rPr>
          <w:lang w:eastAsia="ja-JP"/>
        </w:rPr>
        <w:t xml:space="preserve"> in another hyper-eosinophilic condition may be associated an increased risk of lymphoma and </w:t>
      </w:r>
      <w:r w:rsidR="00E75477">
        <w:rPr>
          <w:lang w:eastAsia="ja-JP"/>
        </w:rPr>
        <w:t xml:space="preserve">neoplasm. Use of another IL-5 </w:t>
      </w:r>
      <w:proofErr w:type="spellStart"/>
      <w:r w:rsidR="00E75477">
        <w:rPr>
          <w:lang w:eastAsia="ja-JP"/>
        </w:rPr>
        <w:t>mA</w:t>
      </w:r>
      <w:r>
        <w:rPr>
          <w:lang w:eastAsia="ja-JP"/>
        </w:rPr>
        <w:t>b</w:t>
      </w:r>
      <w:proofErr w:type="spellEnd"/>
      <w:r>
        <w:rPr>
          <w:lang w:eastAsia="ja-JP"/>
        </w:rPr>
        <w:t xml:space="preserve">, </w:t>
      </w:r>
      <w:proofErr w:type="spellStart"/>
      <w:r>
        <w:rPr>
          <w:lang w:eastAsia="ja-JP"/>
        </w:rPr>
        <w:t>reslizumab</w:t>
      </w:r>
      <w:proofErr w:type="spellEnd"/>
      <w:r>
        <w:rPr>
          <w:lang w:eastAsia="ja-JP"/>
        </w:rPr>
        <w:t>, has also been associated with an increased risk of malignancy. If there was tolerance or an increased ris</w:t>
      </w:r>
      <w:r w:rsidR="00E75477">
        <w:rPr>
          <w:lang w:eastAsia="ja-JP"/>
        </w:rPr>
        <w:t xml:space="preserve">k of malignancy, particularly T cell lymphoma, with long </w:t>
      </w:r>
      <w:r>
        <w:rPr>
          <w:lang w:eastAsia="ja-JP"/>
        </w:rPr>
        <w:t xml:space="preserve">term </w:t>
      </w:r>
      <w:proofErr w:type="spellStart"/>
      <w:r>
        <w:rPr>
          <w:lang w:eastAsia="ja-JP"/>
        </w:rPr>
        <w:t>mepolizumab</w:t>
      </w:r>
      <w:proofErr w:type="spellEnd"/>
      <w:r>
        <w:rPr>
          <w:lang w:eastAsia="ja-JP"/>
        </w:rPr>
        <w:t xml:space="preserve"> tre</w:t>
      </w:r>
      <w:r w:rsidR="00E75477">
        <w:rPr>
          <w:lang w:eastAsia="ja-JP"/>
        </w:rPr>
        <w:t>atment of EGPA then the benefit</w:t>
      </w:r>
      <w:r w:rsidR="00E75477">
        <w:rPr>
          <w:lang w:eastAsia="ja-JP"/>
        </w:rPr>
        <w:noBreakHyphen/>
      </w:r>
      <w:r>
        <w:rPr>
          <w:lang w:eastAsia="ja-JP"/>
        </w:rPr>
        <w:t>risk balance may not be positive. In particular, the development of malignancy may unfavourably change the l</w:t>
      </w:r>
      <w:r w:rsidR="00E75477">
        <w:rPr>
          <w:lang w:eastAsia="ja-JP"/>
        </w:rPr>
        <w:t xml:space="preserve">ong </w:t>
      </w:r>
      <w:r>
        <w:rPr>
          <w:lang w:eastAsia="ja-JP"/>
        </w:rPr>
        <w:t>t</w:t>
      </w:r>
      <w:r w:rsidR="00E75477">
        <w:rPr>
          <w:lang w:eastAsia="ja-JP"/>
        </w:rPr>
        <w:t xml:space="preserve">erm survival, noting that the 5 </w:t>
      </w:r>
      <w:r>
        <w:rPr>
          <w:lang w:eastAsia="ja-JP"/>
        </w:rPr>
        <w:t>year s</w:t>
      </w:r>
      <w:r w:rsidR="00E75477">
        <w:rPr>
          <w:lang w:eastAsia="ja-JP"/>
        </w:rPr>
        <w:t xml:space="preserve">urvival with treated EGPA is 62 to </w:t>
      </w:r>
      <w:r>
        <w:rPr>
          <w:lang w:eastAsia="ja-JP"/>
        </w:rPr>
        <w:t>80%.</w:t>
      </w:r>
    </w:p>
    <w:p w14:paraId="35DC0C34" w14:textId="77777777" w:rsidR="002005CD" w:rsidRDefault="002005CD" w:rsidP="00E75477">
      <w:pPr>
        <w:pStyle w:val="Heading5"/>
      </w:pPr>
      <w:r>
        <w:t>Paediatric indication</w:t>
      </w:r>
    </w:p>
    <w:p w14:paraId="55CCFC88" w14:textId="77777777" w:rsidR="00605AD4" w:rsidRPr="00605AD4" w:rsidRDefault="002005CD" w:rsidP="00E75477">
      <w:pPr>
        <w:rPr>
          <w:lang w:eastAsia="ja-JP"/>
        </w:rPr>
      </w:pPr>
      <w:r>
        <w:t>Due to the lack of relevant data, the evaluator is unable to make an assessment of the benefits or risks of the proposed use in the paediatric population.</w:t>
      </w:r>
    </w:p>
    <w:p w14:paraId="3400DED9" w14:textId="657D8545" w:rsidR="00605AD4" w:rsidRPr="00605AD4" w:rsidRDefault="00605AD4" w:rsidP="00605AD4">
      <w:pPr>
        <w:pStyle w:val="Heading3"/>
        <w:rPr>
          <w:rFonts w:eastAsia="Cambria"/>
        </w:rPr>
      </w:pPr>
      <w:bookmarkStart w:id="145" w:name="_Toc25227385"/>
      <w:r w:rsidRPr="00605AD4">
        <w:rPr>
          <w:rFonts w:eastAsia="Cambria"/>
        </w:rPr>
        <w:lastRenderedPageBreak/>
        <w:t xml:space="preserve">First </w:t>
      </w:r>
      <w:r w:rsidR="00BB389D" w:rsidRPr="00605AD4">
        <w:rPr>
          <w:rFonts w:eastAsia="Cambria"/>
        </w:rPr>
        <w:t>round recommendation regarding authorisation</w:t>
      </w:r>
      <w:bookmarkEnd w:id="145"/>
    </w:p>
    <w:p w14:paraId="207204D3" w14:textId="77777777" w:rsidR="002005CD" w:rsidRDefault="002005CD" w:rsidP="005A0E6D">
      <w:pPr>
        <w:pStyle w:val="Heading4"/>
      </w:pPr>
      <w:bookmarkStart w:id="146" w:name="_Toc522224192"/>
      <w:r>
        <w:t>Adults</w:t>
      </w:r>
      <w:bookmarkEnd w:id="146"/>
    </w:p>
    <w:p w14:paraId="512FCBE6" w14:textId="77777777" w:rsidR="002005CD" w:rsidRDefault="002005CD" w:rsidP="00E75477">
      <w:pPr>
        <w:rPr>
          <w:lang w:eastAsia="ja-JP"/>
        </w:rPr>
      </w:pPr>
      <w:r>
        <w:rPr>
          <w:lang w:eastAsia="ja-JP"/>
        </w:rPr>
        <w:t xml:space="preserve">The evaluator is unable to make a recommendation at this time. Further information regarding long-term efficacy and risks has been requested. Any recommendation that authorisation should be approved would also be dependent on recommendations regarding changes to the PI, CMI and RMP, including changed </w:t>
      </w:r>
      <w:r w:rsidR="00E75477">
        <w:rPr>
          <w:lang w:eastAsia="ja-JP"/>
        </w:rPr>
        <w:t xml:space="preserve">wording of the indication, </w:t>
      </w:r>
      <w:r>
        <w:rPr>
          <w:lang w:eastAsia="ja-JP"/>
        </w:rPr>
        <w:t>being agreed to by the sponsor.</w:t>
      </w:r>
    </w:p>
    <w:p w14:paraId="31AE07B4" w14:textId="77777777" w:rsidR="002005CD" w:rsidRDefault="002005CD" w:rsidP="005A0E6D">
      <w:pPr>
        <w:pStyle w:val="Heading4"/>
      </w:pPr>
      <w:bookmarkStart w:id="147" w:name="_Toc522224193"/>
      <w:r>
        <w:t>Paediatric indication</w:t>
      </w:r>
      <w:bookmarkEnd w:id="147"/>
    </w:p>
    <w:p w14:paraId="7C6A535D" w14:textId="77777777" w:rsidR="002005CD" w:rsidRDefault="002005CD" w:rsidP="000D00B9">
      <w:pPr>
        <w:rPr>
          <w:lang w:eastAsia="ja-JP"/>
        </w:rPr>
      </w:pPr>
      <w:r>
        <w:rPr>
          <w:lang w:eastAsia="ja-JP"/>
        </w:rPr>
        <w:t xml:space="preserve">The evaluator is unable to recommend approval of the use of </w:t>
      </w:r>
      <w:proofErr w:type="spellStart"/>
      <w:r>
        <w:rPr>
          <w:lang w:eastAsia="ja-JP"/>
        </w:rPr>
        <w:t>mepolizumab</w:t>
      </w:r>
      <w:proofErr w:type="spellEnd"/>
      <w:r>
        <w:rPr>
          <w:lang w:eastAsia="ja-JP"/>
        </w:rPr>
        <w:t xml:space="preserve"> for EGPA in children or adolescents (aged 6 to 17 years).</w:t>
      </w:r>
    </w:p>
    <w:p w14:paraId="160D01DC" w14:textId="77777777" w:rsidR="00605AD4" w:rsidRDefault="002005CD" w:rsidP="000D00B9">
      <w:pPr>
        <w:rPr>
          <w:lang w:eastAsia="ja-JP"/>
        </w:rPr>
      </w:pPr>
      <w:r>
        <w:rPr>
          <w:lang w:eastAsia="ja-JP"/>
        </w:rPr>
        <w:t xml:space="preserve">The evaluator notes that the indication of severe asthma in adolescents was approved by the TGA in the absence of evidence of efficacy and safety. A similar argument of unmet need and the benefit of reduction in </w:t>
      </w:r>
      <w:r w:rsidR="00E75477">
        <w:rPr>
          <w:lang w:eastAsia="ja-JP"/>
        </w:rPr>
        <w:t>OCS</w:t>
      </w:r>
      <w:r>
        <w:rPr>
          <w:lang w:eastAsia="ja-JP"/>
        </w:rPr>
        <w:t xml:space="preserve"> dose could be made for this EGPA indication, although there are more uncertainties regarding potential risks in this younger age group. If the TGA did decide to approve the use of </w:t>
      </w:r>
      <w:proofErr w:type="spellStart"/>
      <w:r>
        <w:rPr>
          <w:lang w:eastAsia="ja-JP"/>
        </w:rPr>
        <w:t>mepolizumab</w:t>
      </w:r>
      <w:proofErr w:type="spellEnd"/>
      <w:r>
        <w:rPr>
          <w:lang w:eastAsia="ja-JP"/>
        </w:rPr>
        <w:t xml:space="preserve"> in patients aged 6 to 17 years, the evaluator is of the opinion that a reliance on routine pharmacovigilance to monitor safety in this population would be unacceptable and recommends that a registry of all use in this age group be required of the sponsor, with analyses of this database provided regularly to the TGA</w:t>
      </w:r>
      <w:r w:rsidR="000D00B9">
        <w:rPr>
          <w:lang w:eastAsia="ja-JP"/>
        </w:rPr>
        <w:t>.</w:t>
      </w:r>
    </w:p>
    <w:p w14:paraId="0C0D1E21" w14:textId="38BD792F" w:rsidR="00605AD4" w:rsidRPr="009D1CAA" w:rsidRDefault="002F5122" w:rsidP="00605AD4">
      <w:pPr>
        <w:pStyle w:val="Heading3"/>
        <w:rPr>
          <w:rFonts w:eastAsia="Cambria"/>
        </w:rPr>
      </w:pPr>
      <w:bookmarkStart w:id="148" w:name="_Toc25227386"/>
      <w:r w:rsidRPr="009D1CAA">
        <w:t xml:space="preserve">Clinical </w:t>
      </w:r>
      <w:r w:rsidR="00BB389D" w:rsidRPr="009D1CAA">
        <w:t xml:space="preserve">questions and </w:t>
      </w:r>
      <w:r w:rsidR="00BB389D" w:rsidRPr="009D1CAA">
        <w:rPr>
          <w:rFonts w:eastAsia="Cambria"/>
        </w:rPr>
        <w:t>second round evaluation</w:t>
      </w:r>
      <w:bookmarkEnd w:id="148"/>
    </w:p>
    <w:p w14:paraId="6E499D38" w14:textId="77777777" w:rsidR="002005CD" w:rsidRPr="009D1CAA" w:rsidRDefault="002005CD" w:rsidP="009D1CAA">
      <w:pPr>
        <w:pStyle w:val="Heading4"/>
      </w:pPr>
      <w:bookmarkStart w:id="149" w:name="_Hlk521138433"/>
      <w:r w:rsidRPr="009D1CAA">
        <w:t>Regulatory status</w:t>
      </w:r>
    </w:p>
    <w:p w14:paraId="2600BBDB" w14:textId="359EA83A" w:rsidR="00894519" w:rsidRDefault="00894519" w:rsidP="00BB389D">
      <w:pPr>
        <w:pStyle w:val="Heading5"/>
      </w:pPr>
      <w:r>
        <w:t>Question 1</w:t>
      </w:r>
      <w:r w:rsidR="00326788">
        <w:t>: [Information redacted]</w:t>
      </w:r>
    </w:p>
    <w:p w14:paraId="0AEE5087" w14:textId="422068BC" w:rsidR="00894519" w:rsidRDefault="00894519" w:rsidP="00881E4F">
      <w:r>
        <w:t>[Information redacted]</w:t>
      </w:r>
    </w:p>
    <w:p w14:paraId="705EBBB3" w14:textId="3F024941" w:rsidR="00894519" w:rsidRDefault="00894519" w:rsidP="00BB389D">
      <w:pPr>
        <w:pStyle w:val="Heading5"/>
      </w:pPr>
      <w:r>
        <w:t>Question 2</w:t>
      </w:r>
      <w:r w:rsidR="00326788">
        <w:t>: [Information redacted]</w:t>
      </w:r>
    </w:p>
    <w:p w14:paraId="7191FF8A" w14:textId="792F7BAA" w:rsidR="00894519" w:rsidRPr="009D1CAA" w:rsidRDefault="00894519" w:rsidP="00881E4F">
      <w:pPr>
        <w:rPr>
          <w:lang w:eastAsia="ja-JP"/>
        </w:rPr>
      </w:pPr>
      <w:r>
        <w:t>[Information redacted]</w:t>
      </w:r>
    </w:p>
    <w:p w14:paraId="00AA0D03" w14:textId="77777777" w:rsidR="002005CD" w:rsidRDefault="002005CD" w:rsidP="002005CD">
      <w:pPr>
        <w:pStyle w:val="Heading4"/>
        <w:numPr>
          <w:ilvl w:val="2"/>
          <w:numId w:val="0"/>
        </w:numPr>
        <w:tabs>
          <w:tab w:val="num" w:pos="1134"/>
        </w:tabs>
        <w:adjustRightInd w:val="0"/>
        <w:snapToGrid w:val="0"/>
        <w:spacing w:before="120" w:after="120"/>
        <w:ind w:left="1134" w:hanging="964"/>
      </w:pPr>
      <w:bookmarkStart w:id="150" w:name="_Toc272414702"/>
      <w:bookmarkStart w:id="151" w:name="_Toc290888568"/>
      <w:bookmarkStart w:id="152" w:name="_Toc416353784"/>
      <w:bookmarkStart w:id="153" w:name="_Toc421005324"/>
      <w:bookmarkStart w:id="154" w:name="_Toc432079195"/>
      <w:bookmarkStart w:id="155" w:name="_Toc432080768"/>
      <w:r w:rsidRPr="00E01445">
        <w:t>Pharmacokinetics</w:t>
      </w:r>
      <w:bookmarkEnd w:id="150"/>
      <w:bookmarkEnd w:id="151"/>
      <w:bookmarkEnd w:id="152"/>
      <w:bookmarkEnd w:id="153"/>
      <w:bookmarkEnd w:id="154"/>
      <w:bookmarkEnd w:id="155"/>
    </w:p>
    <w:p w14:paraId="16C1EB42" w14:textId="77777777" w:rsidR="002005CD" w:rsidRPr="006850B7" w:rsidRDefault="002005CD" w:rsidP="0024077F">
      <w:pPr>
        <w:pStyle w:val="Heading5"/>
      </w:pPr>
      <w:bookmarkStart w:id="156" w:name="_Ref503474276"/>
      <w:bookmarkStart w:id="157" w:name="_Toc272414703"/>
      <w:bookmarkStart w:id="158" w:name="_Toc290888569"/>
      <w:bookmarkStart w:id="159" w:name="_Toc416353785"/>
      <w:bookmarkStart w:id="160" w:name="_Toc421005325"/>
      <w:bookmarkStart w:id="161" w:name="_Toc432079196"/>
      <w:bookmarkStart w:id="162" w:name="_Toc432080769"/>
      <w:r w:rsidRPr="006850B7">
        <w:t>Question</w:t>
      </w:r>
      <w:r w:rsidR="0024077F" w:rsidRPr="006850B7">
        <w:t xml:space="preserve"> 3</w:t>
      </w:r>
      <w:r w:rsidRPr="006850B7">
        <w:t>: PK in patients with EGPA</w:t>
      </w:r>
      <w:bookmarkEnd w:id="156"/>
    </w:p>
    <w:p w14:paraId="286AFB2D" w14:textId="77777777" w:rsidR="002005CD" w:rsidRPr="006850B7" w:rsidRDefault="002005CD" w:rsidP="0024077F">
      <w:pPr>
        <w:rPr>
          <w:rFonts w:eastAsia="Times New Roman"/>
          <w:b/>
          <w:i/>
        </w:rPr>
      </w:pPr>
      <w:r w:rsidRPr="006850B7">
        <w:rPr>
          <w:b/>
          <w:i/>
        </w:rPr>
        <w:t>The sponsor has proposed that the following statement be added to the PI:</w:t>
      </w:r>
    </w:p>
    <w:p w14:paraId="2B32B52B" w14:textId="77777777" w:rsidR="00624472" w:rsidRPr="006850B7" w:rsidRDefault="002005CD" w:rsidP="0024077F">
      <w:pPr>
        <w:ind w:left="720"/>
        <w:rPr>
          <w:b/>
          <w:i/>
          <w:lang w:eastAsia="ja-JP"/>
        </w:rPr>
      </w:pPr>
      <w:proofErr w:type="spellStart"/>
      <w:r w:rsidRPr="006850B7">
        <w:rPr>
          <w:b/>
          <w:i/>
        </w:rPr>
        <w:t>Mepolizumab</w:t>
      </w:r>
      <w:proofErr w:type="spellEnd"/>
      <w:r w:rsidRPr="006850B7">
        <w:rPr>
          <w:b/>
          <w:i/>
        </w:rPr>
        <w:t xml:space="preserve"> pharmacokinetics were consistent in subjects with asthma EGPA (sic). The exposure at 300 mg in subjects with EGPA was approximately three times that observed at 100 mg in subjects with severe asthma</w:t>
      </w:r>
      <w:r w:rsidR="00624472" w:rsidRPr="006850B7">
        <w:rPr>
          <w:b/>
          <w:i/>
          <w:lang w:eastAsia="ja-JP"/>
        </w:rPr>
        <w:t>.</w:t>
      </w:r>
    </w:p>
    <w:p w14:paraId="535CFD36" w14:textId="77777777" w:rsidR="002005CD" w:rsidRPr="006850B7" w:rsidRDefault="002005CD" w:rsidP="0024077F">
      <w:pPr>
        <w:rPr>
          <w:b/>
          <w:i/>
        </w:rPr>
      </w:pPr>
      <w:r w:rsidRPr="006850B7">
        <w:rPr>
          <w:b/>
          <w:i/>
        </w:rPr>
        <w:t xml:space="preserve">On the basis of the analysis of goodness of fit of the population PK model against the observed PK variables shown in the </w:t>
      </w:r>
      <w:r w:rsidR="006850B7">
        <w:rPr>
          <w:b/>
          <w:i/>
        </w:rPr>
        <w:t>clinical study report</w:t>
      </w:r>
      <w:r w:rsidR="002B3D99">
        <w:rPr>
          <w:b/>
          <w:i/>
        </w:rPr>
        <w:t xml:space="preserve"> for Study MEA</w:t>
      </w:r>
      <w:r w:rsidRPr="006850B7">
        <w:rPr>
          <w:b/>
          <w:i/>
        </w:rPr>
        <w:t>1159</w:t>
      </w:r>
      <w:r w:rsidR="006850B7">
        <w:rPr>
          <w:b/>
          <w:i/>
        </w:rPr>
        <w:t xml:space="preserve">21, the evaluator accepts that population </w:t>
      </w:r>
      <w:r w:rsidRPr="006850B7">
        <w:rPr>
          <w:b/>
          <w:i/>
        </w:rPr>
        <w:t xml:space="preserve">PK model developed in patients with eosinophilic conditions accurately predicted the PK in patients with EGPA and that this would suggest that the PK of </w:t>
      </w:r>
      <w:proofErr w:type="spellStart"/>
      <w:r w:rsidRPr="006850B7">
        <w:rPr>
          <w:b/>
          <w:i/>
        </w:rPr>
        <w:t>mepolizumab</w:t>
      </w:r>
      <w:proofErr w:type="spellEnd"/>
      <w:r w:rsidRPr="006850B7">
        <w:rPr>
          <w:b/>
          <w:i/>
        </w:rPr>
        <w:t xml:space="preserve"> is similar in the two patient groups. However, the evaluator is concerned that the proposed wording suggests a higher level of certainty than can be possible given the sparse sampling in Study MEA115921 and proposes alternate wording with:</w:t>
      </w:r>
    </w:p>
    <w:p w14:paraId="316AE6DC" w14:textId="77777777" w:rsidR="00624472" w:rsidRPr="006850B7" w:rsidRDefault="006850B7" w:rsidP="0024077F">
      <w:pPr>
        <w:ind w:left="720"/>
        <w:rPr>
          <w:b/>
          <w:i/>
        </w:rPr>
      </w:pPr>
      <w:r>
        <w:rPr>
          <w:b/>
          <w:i/>
        </w:rPr>
        <w:t>A p</w:t>
      </w:r>
      <w:r w:rsidR="002005CD" w:rsidRPr="006850B7">
        <w:rPr>
          <w:b/>
          <w:i/>
        </w:rPr>
        <w:t xml:space="preserve">opulation PK analysis using sparse PK sampling suggests that </w:t>
      </w:r>
      <w:proofErr w:type="spellStart"/>
      <w:r w:rsidR="002005CD" w:rsidRPr="006850B7">
        <w:rPr>
          <w:b/>
          <w:i/>
        </w:rPr>
        <w:t>mepolizumab</w:t>
      </w:r>
      <w:proofErr w:type="spellEnd"/>
      <w:r w:rsidR="002005CD" w:rsidRPr="006850B7">
        <w:rPr>
          <w:b/>
          <w:i/>
        </w:rPr>
        <w:t xml:space="preserve"> pharmacokinetics in subjects with EGPA were consistent with the PK in subjects with other eosinophilic conditions, including asthma</w:t>
      </w:r>
      <w:r w:rsidR="00624472" w:rsidRPr="006850B7">
        <w:rPr>
          <w:b/>
          <w:i/>
        </w:rPr>
        <w:t>.</w:t>
      </w:r>
    </w:p>
    <w:p w14:paraId="6D2746CF" w14:textId="77777777" w:rsidR="00624472" w:rsidRPr="006850B7" w:rsidRDefault="002005CD" w:rsidP="0024077F">
      <w:pPr>
        <w:rPr>
          <w:b/>
          <w:i/>
        </w:rPr>
      </w:pPr>
      <w:r w:rsidRPr="006850B7">
        <w:rPr>
          <w:b/>
          <w:i/>
        </w:rPr>
        <w:lastRenderedPageBreak/>
        <w:t>However, the evaluator could no</w:t>
      </w:r>
      <w:r w:rsidR="006850B7">
        <w:rPr>
          <w:b/>
          <w:i/>
        </w:rPr>
        <w:t>t locate any analysis in the clinical study report for Study MEA115921 or the clinical o</w:t>
      </w:r>
      <w:r w:rsidRPr="006850B7">
        <w:rPr>
          <w:b/>
          <w:i/>
        </w:rPr>
        <w:t>verview that compared exposure in subjects with EGPA to exposure in subjects with asthma</w:t>
      </w:r>
      <w:r w:rsidR="00624472" w:rsidRPr="006850B7">
        <w:rPr>
          <w:b/>
          <w:i/>
        </w:rPr>
        <w:t>.</w:t>
      </w:r>
    </w:p>
    <w:p w14:paraId="16D45894" w14:textId="77777777" w:rsidR="002005CD" w:rsidRPr="0024077F" w:rsidRDefault="002005CD" w:rsidP="0024077F">
      <w:pPr>
        <w:rPr>
          <w:b/>
          <w:i/>
        </w:rPr>
      </w:pPr>
      <w:r w:rsidRPr="006850B7">
        <w:rPr>
          <w:b/>
          <w:i/>
        </w:rPr>
        <w:t>The sponsor is asked to comment of the evaluator’s proposed statement and to provide the analysis(</w:t>
      </w:r>
      <w:proofErr w:type="spellStart"/>
      <w:r w:rsidRPr="006850B7">
        <w:rPr>
          <w:b/>
          <w:i/>
        </w:rPr>
        <w:t>es</w:t>
      </w:r>
      <w:proofErr w:type="spellEnd"/>
      <w:r w:rsidRPr="006850B7">
        <w:rPr>
          <w:b/>
          <w:i/>
        </w:rPr>
        <w:t xml:space="preserve">) that indicates that </w:t>
      </w:r>
      <w:r w:rsidR="00126A5E">
        <w:rPr>
          <w:b/>
          <w:i/>
        </w:rPr>
        <w:t>‘</w:t>
      </w:r>
      <w:r w:rsidRPr="006850B7">
        <w:rPr>
          <w:b/>
          <w:i/>
        </w:rPr>
        <w:t>the exposure at 300 mg in subjects with EGPA was approximately three times that observed at 100 mg in subjects with severe asthma</w:t>
      </w:r>
      <w:r w:rsidR="00126A5E">
        <w:rPr>
          <w:b/>
          <w:i/>
        </w:rPr>
        <w:t>’</w:t>
      </w:r>
      <w:r w:rsidRPr="006850B7">
        <w:rPr>
          <w:b/>
          <w:i/>
        </w:rPr>
        <w:t>.</w:t>
      </w:r>
    </w:p>
    <w:p w14:paraId="6B56F676" w14:textId="77777777" w:rsidR="0024077F" w:rsidRDefault="0024077F" w:rsidP="0024077F">
      <w:pPr>
        <w:pStyle w:val="Heading6"/>
      </w:pPr>
      <w:r>
        <w:t>Sponsor’s response</w:t>
      </w:r>
    </w:p>
    <w:p w14:paraId="0239FEC3" w14:textId="77777777" w:rsidR="0024077F" w:rsidRDefault="0024077F" w:rsidP="006850B7">
      <w:pPr>
        <w:rPr>
          <w:lang w:eastAsia="ja-JP"/>
        </w:rPr>
      </w:pPr>
      <w:r w:rsidRPr="00E31F5E">
        <w:rPr>
          <w:lang w:eastAsia="ja-JP"/>
        </w:rPr>
        <w:t>The sponsor’s response acknowledged that sparse sampling was used in the EGPA study but argued that</w:t>
      </w:r>
      <w:r>
        <w:rPr>
          <w:lang w:eastAsia="ja-JP"/>
        </w:rPr>
        <w:t>:</w:t>
      </w:r>
    </w:p>
    <w:p w14:paraId="05EF35EA" w14:textId="77777777" w:rsidR="0024077F" w:rsidRPr="00E31F5E" w:rsidRDefault="0024077F" w:rsidP="0024077F">
      <w:pPr>
        <w:pStyle w:val="ListBullet"/>
      </w:pPr>
      <w:r>
        <w:rPr>
          <w:lang w:eastAsia="ja-JP"/>
        </w:rPr>
        <w:t>T</w:t>
      </w:r>
      <w:r w:rsidRPr="00E31F5E">
        <w:rPr>
          <w:lang w:eastAsia="ja-JP"/>
        </w:rPr>
        <w:t xml:space="preserve">he samples were </w:t>
      </w:r>
      <w:r w:rsidRPr="00E31F5E">
        <w:t>collected at carefull</w:t>
      </w:r>
      <w:r w:rsidR="006850B7">
        <w:t xml:space="preserve">y selected time </w:t>
      </w:r>
      <w:r w:rsidRPr="00E31F5E">
        <w:t xml:space="preserve">points around </w:t>
      </w:r>
      <w:proofErr w:type="spellStart"/>
      <w:r w:rsidRPr="00E31F5E">
        <w:t>C</w:t>
      </w:r>
      <w:r w:rsidRPr="006850B7">
        <w:rPr>
          <w:vertAlign w:val="subscript"/>
        </w:rPr>
        <w:t>max</w:t>
      </w:r>
      <w:proofErr w:type="spellEnd"/>
      <w:r w:rsidRPr="00E31F5E">
        <w:t xml:space="preserve"> and at trough, both af</w:t>
      </w:r>
      <w:r w:rsidR="006850B7">
        <w:t xml:space="preserve">ter a single dose and at steady </w:t>
      </w:r>
      <w:r w:rsidRPr="00E31F5E">
        <w:t>state</w:t>
      </w:r>
      <w:r w:rsidR="006850B7">
        <w:t>.</w:t>
      </w:r>
    </w:p>
    <w:p w14:paraId="44F418E4" w14:textId="77777777" w:rsidR="0024077F" w:rsidRDefault="0024077F" w:rsidP="0024077F">
      <w:pPr>
        <w:pStyle w:val="ListBullet"/>
        <w:rPr>
          <w:lang w:eastAsia="ja-JP"/>
        </w:rPr>
      </w:pPr>
      <w:r>
        <w:rPr>
          <w:lang w:eastAsia="ja-JP"/>
        </w:rPr>
        <w:t>T</w:t>
      </w:r>
      <w:r w:rsidRPr="00E31F5E">
        <w:rPr>
          <w:lang w:eastAsia="ja-JP"/>
        </w:rPr>
        <w:t>he model found that the predicted and observed concentrations were comparable at the 5% significance level</w:t>
      </w:r>
      <w:r w:rsidR="006850B7">
        <w:rPr>
          <w:lang w:eastAsia="ja-JP"/>
        </w:rPr>
        <w:t>.</w:t>
      </w:r>
    </w:p>
    <w:p w14:paraId="636BCD37" w14:textId="77777777" w:rsidR="0024077F" w:rsidRPr="0024077F" w:rsidRDefault="0024077F" w:rsidP="006850B7">
      <w:pPr>
        <w:rPr>
          <w:rFonts w:eastAsia="TimesNewRoman,Italic" w:cs="TimesNewRoman,Italic"/>
          <w:iCs/>
        </w:rPr>
      </w:pPr>
      <w:r w:rsidRPr="00E31F5E">
        <w:rPr>
          <w:lang w:eastAsia="ja-JP"/>
        </w:rPr>
        <w:t xml:space="preserve">The sponsor </w:t>
      </w:r>
      <w:r>
        <w:rPr>
          <w:lang w:eastAsia="ja-JP"/>
        </w:rPr>
        <w:t>referred to two</w:t>
      </w:r>
      <w:r w:rsidRPr="00E31F5E">
        <w:rPr>
          <w:lang w:eastAsia="ja-JP"/>
        </w:rPr>
        <w:t xml:space="preserve"> tables of mean observed plasma concentration</w:t>
      </w:r>
      <w:r>
        <w:rPr>
          <w:lang w:eastAsia="ja-JP"/>
        </w:rPr>
        <w:t>s</w:t>
      </w:r>
      <w:r w:rsidR="006850B7">
        <w:rPr>
          <w:lang w:eastAsia="ja-JP"/>
        </w:rPr>
        <w:t xml:space="preserve">, </w:t>
      </w:r>
      <w:r w:rsidRPr="00E31F5E">
        <w:rPr>
          <w:lang w:eastAsia="ja-JP"/>
        </w:rPr>
        <w:t xml:space="preserve">one from </w:t>
      </w:r>
      <w:r w:rsidR="006850B7">
        <w:t>S</w:t>
      </w:r>
      <w:r w:rsidRPr="00E31F5E">
        <w:t>tudy MEA115588 conducted in subjects with severe as</w:t>
      </w:r>
      <w:r w:rsidR="006850B7">
        <w:t>thma at 100 mg SC and one from S</w:t>
      </w:r>
      <w:r w:rsidRPr="00E31F5E">
        <w:t>tudy MEA115921 conducted in subjects with EGPA at 300 mg SC</w:t>
      </w:r>
      <w:r w:rsidR="006850B7">
        <w:t xml:space="preserve">, </w:t>
      </w:r>
      <w:r w:rsidRPr="00E31F5E">
        <w:t xml:space="preserve">to support the statement that </w:t>
      </w:r>
      <w:r w:rsidR="00126A5E">
        <w:t>‘</w:t>
      </w:r>
      <w:r w:rsidRPr="0024077F">
        <w:rPr>
          <w:rFonts w:eastAsia="TimesNewRoman,Italic" w:cs="TimesNewRoman,Italic"/>
          <w:iCs/>
        </w:rPr>
        <w:t>the exposure at 300 mg in subjects with EGPA was approximately three times that observed at 100 mg in subjects with severe asthma</w:t>
      </w:r>
      <w:r w:rsidR="00126A5E">
        <w:rPr>
          <w:rFonts w:eastAsia="TimesNewRoman,Italic" w:cs="TimesNewRoman,Italic"/>
          <w:iCs/>
        </w:rPr>
        <w:t>’</w:t>
      </w:r>
      <w:r>
        <w:rPr>
          <w:rFonts w:eastAsia="TimesNewRoman,Italic" w:cs="TimesNewRoman,Italic"/>
          <w:i/>
          <w:iCs/>
        </w:rPr>
        <w:t>.</w:t>
      </w:r>
    </w:p>
    <w:p w14:paraId="39ACA533" w14:textId="77777777" w:rsidR="0024077F" w:rsidRDefault="0024077F" w:rsidP="006850B7">
      <w:pPr>
        <w:rPr>
          <w:lang w:eastAsia="ja-JP"/>
        </w:rPr>
      </w:pPr>
      <w:r>
        <w:rPr>
          <w:lang w:eastAsia="ja-JP"/>
        </w:rPr>
        <w:t xml:space="preserve">The relevant sections </w:t>
      </w:r>
      <w:r w:rsidR="006850B7">
        <w:rPr>
          <w:lang w:eastAsia="ja-JP"/>
        </w:rPr>
        <w:t xml:space="preserve">of these tables are shown below in </w:t>
      </w:r>
      <w:r w:rsidR="00B45264">
        <w:rPr>
          <w:lang w:eastAsia="ja-JP"/>
        </w:rPr>
        <w:fldChar w:fldCharType="begin"/>
      </w:r>
      <w:r w:rsidR="00B45264">
        <w:rPr>
          <w:lang w:eastAsia="ja-JP"/>
        </w:rPr>
        <w:instrText xml:space="preserve"> REF _Ref15974395 \h </w:instrText>
      </w:r>
      <w:r w:rsidR="00B45264">
        <w:rPr>
          <w:lang w:eastAsia="ja-JP"/>
        </w:rPr>
      </w:r>
      <w:r w:rsidR="00B45264">
        <w:rPr>
          <w:lang w:eastAsia="ja-JP"/>
        </w:rPr>
        <w:fldChar w:fldCharType="separate"/>
      </w:r>
      <w:r w:rsidR="00126A5E">
        <w:t xml:space="preserve">Table </w:t>
      </w:r>
      <w:r w:rsidR="00126A5E">
        <w:rPr>
          <w:noProof/>
        </w:rPr>
        <w:t>17</w:t>
      </w:r>
      <w:r w:rsidR="00B45264">
        <w:rPr>
          <w:lang w:eastAsia="ja-JP"/>
        </w:rPr>
        <w:fldChar w:fldCharType="end"/>
      </w:r>
      <w:r w:rsidR="006850B7">
        <w:rPr>
          <w:lang w:eastAsia="ja-JP"/>
        </w:rPr>
        <w:t>and</w:t>
      </w:r>
      <w:r w:rsidR="00B45264">
        <w:rPr>
          <w:lang w:eastAsia="ja-JP"/>
        </w:rPr>
        <w:t xml:space="preserve"> </w:t>
      </w:r>
      <w:r w:rsidR="00B45264">
        <w:rPr>
          <w:lang w:eastAsia="ja-JP"/>
        </w:rPr>
        <w:fldChar w:fldCharType="begin"/>
      </w:r>
      <w:r w:rsidR="00B45264">
        <w:rPr>
          <w:lang w:eastAsia="ja-JP"/>
        </w:rPr>
        <w:instrText xml:space="preserve"> REF _Ref15974404 \h </w:instrText>
      </w:r>
      <w:r w:rsidR="00B45264">
        <w:rPr>
          <w:lang w:eastAsia="ja-JP"/>
        </w:rPr>
      </w:r>
      <w:r w:rsidR="00B45264">
        <w:rPr>
          <w:lang w:eastAsia="ja-JP"/>
        </w:rPr>
        <w:fldChar w:fldCharType="separate"/>
      </w:r>
      <w:r w:rsidR="00126A5E">
        <w:t xml:space="preserve">Table </w:t>
      </w:r>
      <w:r w:rsidR="00126A5E">
        <w:rPr>
          <w:noProof/>
        </w:rPr>
        <w:t>18</w:t>
      </w:r>
      <w:r w:rsidR="00B45264">
        <w:rPr>
          <w:lang w:eastAsia="ja-JP"/>
        </w:rPr>
        <w:fldChar w:fldCharType="end"/>
      </w:r>
      <w:r w:rsidR="006850B7">
        <w:rPr>
          <w:lang w:eastAsia="ja-JP"/>
        </w:rPr>
        <w:t>.</w:t>
      </w:r>
    </w:p>
    <w:p w14:paraId="2F4A76C9" w14:textId="77777777" w:rsidR="006850B7" w:rsidRDefault="006850B7" w:rsidP="006850B7">
      <w:pPr>
        <w:pStyle w:val="TableTitle"/>
        <w:rPr>
          <w:lang w:eastAsia="ja-JP"/>
        </w:rPr>
      </w:pPr>
      <w:bookmarkStart w:id="163" w:name="_Ref15974395"/>
      <w:r>
        <w:t xml:space="preserve">Table </w:t>
      </w:r>
      <w:r w:rsidR="00C33647">
        <w:rPr>
          <w:noProof/>
        </w:rPr>
        <w:fldChar w:fldCharType="begin"/>
      </w:r>
      <w:r w:rsidR="00C33647">
        <w:rPr>
          <w:noProof/>
        </w:rPr>
        <w:instrText xml:space="preserve"> SEQ Table \* ARABIC </w:instrText>
      </w:r>
      <w:r w:rsidR="00C33647">
        <w:rPr>
          <w:noProof/>
        </w:rPr>
        <w:fldChar w:fldCharType="separate"/>
      </w:r>
      <w:r w:rsidR="00126A5E">
        <w:rPr>
          <w:noProof/>
        </w:rPr>
        <w:t>17</w:t>
      </w:r>
      <w:r w:rsidR="00C33647">
        <w:rPr>
          <w:noProof/>
        </w:rPr>
        <w:fldChar w:fldCharType="end"/>
      </w:r>
      <w:bookmarkEnd w:id="163"/>
      <w:r>
        <w:rPr>
          <w:lang w:eastAsia="ja-JP"/>
        </w:rPr>
        <w:t xml:space="preserve">: Study MEA115588 summary of plasma </w:t>
      </w:r>
      <w:proofErr w:type="spellStart"/>
      <w:r>
        <w:rPr>
          <w:lang w:eastAsia="ja-JP"/>
        </w:rPr>
        <w:t>mepolizumab</w:t>
      </w:r>
      <w:proofErr w:type="spellEnd"/>
      <w:r>
        <w:rPr>
          <w:lang w:eastAsia="ja-JP"/>
        </w:rPr>
        <w:t xml:space="preserve"> pharmacokinetic concentration time data (observed and predicted)</w:t>
      </w:r>
    </w:p>
    <w:p w14:paraId="56BBCE04" w14:textId="77777777" w:rsidR="006850B7" w:rsidRPr="00C86C73" w:rsidRDefault="00B45264" w:rsidP="0024077F">
      <w:pPr>
        <w:autoSpaceDE w:val="0"/>
        <w:autoSpaceDN w:val="0"/>
        <w:adjustRightInd w:val="0"/>
        <w:spacing w:before="0" w:after="0" w:line="240" w:lineRule="auto"/>
      </w:pPr>
      <w:r>
        <w:rPr>
          <w:noProof/>
          <w:lang w:eastAsia="en-AU"/>
        </w:rPr>
        <w:drawing>
          <wp:inline distT="0" distB="0" distL="0" distR="0" wp14:anchorId="53B458E3" wp14:editId="48C2D33B">
            <wp:extent cx="5400040" cy="1339048"/>
            <wp:effectExtent l="0" t="0" r="0" b="0"/>
            <wp:docPr id="5" name="Picture 5" descr="Study MEA115588 summary of plasma mepolizumab pharmacokinetic concentration time data (observed and predi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1339048"/>
                    </a:xfrm>
                    <a:prstGeom prst="rect">
                      <a:avLst/>
                    </a:prstGeom>
                  </pic:spPr>
                </pic:pic>
              </a:graphicData>
            </a:graphic>
          </wp:inline>
        </w:drawing>
      </w:r>
    </w:p>
    <w:p w14:paraId="629FDC82" w14:textId="77777777" w:rsidR="0024077F" w:rsidRDefault="00B45264" w:rsidP="00B45264">
      <w:pPr>
        <w:pStyle w:val="TableTitle"/>
        <w:rPr>
          <w:rFonts w:asciiTheme="minorHAnsi" w:hAnsiTheme="minorHAnsi"/>
          <w:lang w:eastAsia="ja-JP"/>
        </w:rPr>
      </w:pPr>
      <w:bookmarkStart w:id="164" w:name="_Ref15974404"/>
      <w:r>
        <w:t xml:space="preserve">Table </w:t>
      </w:r>
      <w:r w:rsidR="00C33647">
        <w:rPr>
          <w:noProof/>
        </w:rPr>
        <w:fldChar w:fldCharType="begin"/>
      </w:r>
      <w:r w:rsidR="00C33647">
        <w:rPr>
          <w:noProof/>
        </w:rPr>
        <w:instrText xml:space="preserve"> SEQ Table \* ARABIC </w:instrText>
      </w:r>
      <w:r w:rsidR="00C33647">
        <w:rPr>
          <w:noProof/>
        </w:rPr>
        <w:fldChar w:fldCharType="separate"/>
      </w:r>
      <w:r w:rsidR="00126A5E">
        <w:rPr>
          <w:noProof/>
        </w:rPr>
        <w:t>18</w:t>
      </w:r>
      <w:r w:rsidR="00C33647">
        <w:rPr>
          <w:noProof/>
        </w:rPr>
        <w:fldChar w:fldCharType="end"/>
      </w:r>
      <w:bookmarkEnd w:id="164"/>
      <w:r>
        <w:rPr>
          <w:rFonts w:asciiTheme="minorHAnsi" w:hAnsiTheme="minorHAnsi"/>
          <w:lang w:eastAsia="ja-JP"/>
        </w:rPr>
        <w:t xml:space="preserve">: Study MEA115921 </w:t>
      </w:r>
      <w:r>
        <w:rPr>
          <w:lang w:eastAsia="ja-JP"/>
        </w:rPr>
        <w:t xml:space="preserve">summary of plasma </w:t>
      </w:r>
      <w:proofErr w:type="spellStart"/>
      <w:r>
        <w:rPr>
          <w:lang w:eastAsia="ja-JP"/>
        </w:rPr>
        <w:t>mepolizumab</w:t>
      </w:r>
      <w:proofErr w:type="spellEnd"/>
      <w:r>
        <w:rPr>
          <w:lang w:eastAsia="ja-JP"/>
        </w:rPr>
        <w:t xml:space="preserve"> pharmacokinetic concentration time data (observed and predicted)</w:t>
      </w:r>
    </w:p>
    <w:p w14:paraId="29DB560C" w14:textId="77777777" w:rsidR="0024077F" w:rsidRPr="0024077F" w:rsidRDefault="00B45264" w:rsidP="0024077F">
      <w:pPr>
        <w:autoSpaceDE w:val="0"/>
        <w:autoSpaceDN w:val="0"/>
        <w:adjustRightInd w:val="0"/>
        <w:spacing w:before="0" w:after="0" w:line="240" w:lineRule="auto"/>
        <w:rPr>
          <w:rFonts w:asciiTheme="minorHAnsi" w:hAnsiTheme="minorHAnsi"/>
          <w:lang w:eastAsia="ja-JP"/>
        </w:rPr>
      </w:pPr>
      <w:r>
        <w:rPr>
          <w:noProof/>
          <w:lang w:eastAsia="en-AU"/>
        </w:rPr>
        <w:drawing>
          <wp:inline distT="0" distB="0" distL="0" distR="0" wp14:anchorId="752E654F" wp14:editId="0FF1709A">
            <wp:extent cx="5400040" cy="1345972"/>
            <wp:effectExtent l="0" t="0" r="0" b="6985"/>
            <wp:docPr id="7" name="Picture 7" descr="Study MEA115921 summary of plasma mepolizumab pharmacokinetic concentration time data (observed and predi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1345972"/>
                    </a:xfrm>
                    <a:prstGeom prst="rect">
                      <a:avLst/>
                    </a:prstGeom>
                  </pic:spPr>
                </pic:pic>
              </a:graphicData>
            </a:graphic>
          </wp:inline>
        </w:drawing>
      </w:r>
    </w:p>
    <w:p w14:paraId="5E80D6A3" w14:textId="77777777" w:rsidR="0024077F" w:rsidRDefault="0024077F" w:rsidP="0024077F">
      <w:pPr>
        <w:pStyle w:val="Heading6"/>
      </w:pPr>
      <w:r>
        <w:t>Evaluation of response</w:t>
      </w:r>
    </w:p>
    <w:p w14:paraId="0FB7019C" w14:textId="77777777" w:rsidR="0024077F" w:rsidRDefault="0024077F" w:rsidP="0024077F">
      <w:r w:rsidRPr="00261658">
        <w:t>As noted in the question, t</w:t>
      </w:r>
      <w:r w:rsidR="00B45264">
        <w:t xml:space="preserve">he evaluator accepted that the population </w:t>
      </w:r>
      <w:r w:rsidRPr="00261658">
        <w:t xml:space="preserve">PK model developed in patients with eosinophilic conditions accurately predicted the PK in </w:t>
      </w:r>
      <w:r>
        <w:t xml:space="preserve">adult </w:t>
      </w:r>
      <w:r w:rsidRPr="00261658">
        <w:t xml:space="preserve">patients with EGPA. </w:t>
      </w:r>
      <w:r>
        <w:t>The evaluator does not consider that the two tables of observed plasma concentration in Studies MEA115588 and MEA115921 are adequate to support the sponsor’s proposed statement regarding relative exposure.</w:t>
      </w:r>
    </w:p>
    <w:p w14:paraId="7AC581B4" w14:textId="77777777" w:rsidR="0024077F" w:rsidRPr="00261658" w:rsidRDefault="0024077F" w:rsidP="0024077F">
      <w:r>
        <w:lastRenderedPageBreak/>
        <w:t>The evaluator remains of the opinion that the source and limits of information should be explicit in the PI and recommends the following wording:</w:t>
      </w:r>
    </w:p>
    <w:p w14:paraId="060DD3E6" w14:textId="77777777" w:rsidR="0024077F" w:rsidRDefault="0024077F" w:rsidP="00B45264">
      <w:pPr>
        <w:ind w:left="720"/>
      </w:pPr>
      <w:r>
        <w:t xml:space="preserve">A Population PK analysis using sparse PK sampling </w:t>
      </w:r>
      <w:r w:rsidRPr="00795987">
        <w:t>suggests</w:t>
      </w:r>
      <w:r>
        <w:t xml:space="preserve"> that </w:t>
      </w:r>
      <w:proofErr w:type="spellStart"/>
      <w:r>
        <w:t>mepolizumab</w:t>
      </w:r>
      <w:proofErr w:type="spellEnd"/>
      <w:r>
        <w:t xml:space="preserve"> pharmacokinetics in subjects with EGPA were consistent with the PK in subjects with other eosinophilic conditions, including asthma. </w:t>
      </w:r>
      <w:r w:rsidRPr="0024077F">
        <w:rPr>
          <w:b/>
        </w:rPr>
        <w:t xml:space="preserve">The mean plasma concentration </w:t>
      </w:r>
      <w:r w:rsidRPr="00261658">
        <w:rPr>
          <w:strike/>
        </w:rPr>
        <w:t>the exposure</w:t>
      </w:r>
      <w:r>
        <w:t xml:space="preserve"> at 300 mg in subjects with EGPA was approximately </w:t>
      </w:r>
      <w:r w:rsidRPr="0024077F">
        <w:rPr>
          <w:b/>
        </w:rPr>
        <w:t>two to</w:t>
      </w:r>
      <w:r w:rsidRPr="0024077F">
        <w:t xml:space="preserve"> </w:t>
      </w:r>
      <w:r>
        <w:t>three times that observed at 100 mg in subjects with severe asthma.</w:t>
      </w:r>
    </w:p>
    <w:p w14:paraId="5B86DB9F" w14:textId="77777777" w:rsidR="002005CD" w:rsidRPr="0024077F" w:rsidRDefault="002005CD" w:rsidP="0024077F">
      <w:pPr>
        <w:pStyle w:val="Heading5"/>
      </w:pPr>
      <w:r w:rsidRPr="0024077F">
        <w:t>Question</w:t>
      </w:r>
      <w:r w:rsidR="0024077F" w:rsidRPr="0024077F">
        <w:t xml:space="preserve"> 4: E</w:t>
      </w:r>
      <w:r w:rsidRPr="0024077F">
        <w:t xml:space="preserve">ffect of the developing human immune system on the PK of </w:t>
      </w:r>
      <w:proofErr w:type="spellStart"/>
      <w:r w:rsidRPr="0024077F">
        <w:t>mepolizumab</w:t>
      </w:r>
      <w:proofErr w:type="spellEnd"/>
    </w:p>
    <w:p w14:paraId="5FA43E06" w14:textId="77777777" w:rsidR="002005CD" w:rsidRPr="00F45E39" w:rsidRDefault="002005CD" w:rsidP="002005CD">
      <w:pPr>
        <w:rPr>
          <w:b/>
          <w:i/>
          <w:lang w:eastAsia="ja-JP"/>
        </w:rPr>
      </w:pPr>
      <w:r w:rsidRPr="00F45E39">
        <w:rPr>
          <w:b/>
          <w:i/>
          <w:lang w:eastAsia="ja-JP"/>
        </w:rPr>
        <w:t xml:space="preserve">The sponsor has proposed use in children as young as six years old. The immune system in this age group is rapidly evolving in response to multiple foreign challenges, including vaccination and infection. The sponsor is asked to comment on the PK of </w:t>
      </w:r>
      <w:proofErr w:type="spellStart"/>
      <w:r w:rsidRPr="00F45E39">
        <w:rPr>
          <w:b/>
          <w:i/>
          <w:lang w:eastAsia="ja-JP"/>
        </w:rPr>
        <w:t>mepolizumab</w:t>
      </w:r>
      <w:proofErr w:type="spellEnd"/>
      <w:r w:rsidRPr="00F45E39">
        <w:rPr>
          <w:b/>
          <w:i/>
          <w:lang w:eastAsia="ja-JP"/>
        </w:rPr>
        <w:t xml:space="preserve"> in the context of an emerging immune system.</w:t>
      </w:r>
    </w:p>
    <w:p w14:paraId="3AEC4F29" w14:textId="77777777" w:rsidR="0024077F" w:rsidRDefault="0024077F" w:rsidP="0024077F">
      <w:pPr>
        <w:pStyle w:val="Heading6"/>
        <w:rPr>
          <w:lang w:eastAsia="ja-JP"/>
        </w:rPr>
      </w:pPr>
      <w:r>
        <w:rPr>
          <w:lang w:eastAsia="ja-JP"/>
        </w:rPr>
        <w:t>Sponsor’s response</w:t>
      </w:r>
    </w:p>
    <w:p w14:paraId="16A5AFB7" w14:textId="77777777" w:rsidR="0024077F" w:rsidRDefault="0024077F" w:rsidP="0024077F">
      <w:r w:rsidRPr="00CE7F33">
        <w:rPr>
          <w:lang w:eastAsia="ja-JP"/>
        </w:rPr>
        <w:t xml:space="preserve">The sponsor referred to Study MEE103219, </w:t>
      </w:r>
      <w:r w:rsidRPr="00CE7F33">
        <w:t xml:space="preserve">a paediatric study conducted in subjects 2 to 17 years old with eosinophilic oesophagitis who received 3 doses of </w:t>
      </w:r>
      <w:r w:rsidR="00B45264">
        <w:t>IV</w:t>
      </w:r>
      <w:r w:rsidRPr="00CE7F33">
        <w:t xml:space="preserve"> </w:t>
      </w:r>
      <w:proofErr w:type="spellStart"/>
      <w:r w:rsidRPr="00CE7F33">
        <w:t>mepolizumab</w:t>
      </w:r>
      <w:proofErr w:type="spellEnd"/>
      <w:r w:rsidRPr="00CE7F33">
        <w:t xml:space="preserve">, and to the analysis provided in the pharmacology modelling report, </w:t>
      </w:r>
      <w:r w:rsidR="00B45264">
        <w:t>sponsor</w:t>
      </w:r>
      <w:r w:rsidRPr="00CE7F33">
        <w:t xml:space="preserve"> Document Number 2014N210473_00 report. The sponsor argues that these demonstrate that, after adjusting for bodyweight only, adult </w:t>
      </w:r>
      <w:r w:rsidR="00B45264">
        <w:t>IV</w:t>
      </w:r>
      <w:r w:rsidRPr="00CE7F33">
        <w:t xml:space="preserve"> </w:t>
      </w:r>
      <w:proofErr w:type="spellStart"/>
      <w:r w:rsidRPr="00CE7F33">
        <w:t>mepolizumab</w:t>
      </w:r>
      <w:proofErr w:type="spellEnd"/>
      <w:r w:rsidRPr="00CE7F33">
        <w:t xml:space="preserve"> pharmacokinetics is predictive of paediatric pharmacokinetics and that </w:t>
      </w:r>
      <w:r w:rsidR="00126A5E">
        <w:t>‘</w:t>
      </w:r>
      <w:r w:rsidRPr="00B45264">
        <w:t xml:space="preserve">By implication, this data shows that across the age range 2 to 17 years, the paediatric immune system has no notable impact on the pharmacokinetics of </w:t>
      </w:r>
      <w:proofErr w:type="spellStart"/>
      <w:r w:rsidRPr="00B45264">
        <w:t>mepolizumab</w:t>
      </w:r>
      <w:proofErr w:type="spellEnd"/>
      <w:r w:rsidRPr="00B45264">
        <w:t>.</w:t>
      </w:r>
      <w:r w:rsidR="00126A5E">
        <w:t>’</w:t>
      </w:r>
      <w:r w:rsidRPr="00CE7F33">
        <w:t xml:space="preserve"> The sponsor acknowledged that </w:t>
      </w:r>
      <w:r w:rsidR="00B45264">
        <w:t>the exposure in the paediatric S</w:t>
      </w:r>
      <w:r w:rsidRPr="00CE7F33">
        <w:t xml:space="preserve">tudy 200363, investigating </w:t>
      </w:r>
      <w:r w:rsidR="00B45264">
        <w:t>SC</w:t>
      </w:r>
      <w:r w:rsidRPr="00CE7F33">
        <w:t xml:space="preserve"> </w:t>
      </w:r>
      <w:proofErr w:type="spellStart"/>
      <w:r w:rsidRPr="00CE7F33">
        <w:t>mepolizumab</w:t>
      </w:r>
      <w:proofErr w:type="spellEnd"/>
      <w:r w:rsidRPr="00CE7F33">
        <w:t xml:space="preserve"> in subjects 6 to 11 years old with severe eosinophilic asthma was higher than anticipated, but argued that was explained by higher absolute bioavailability in this younger age group, rather than developmental changes in the immune system.</w:t>
      </w:r>
    </w:p>
    <w:p w14:paraId="6D52AE75" w14:textId="77777777" w:rsidR="0024077F" w:rsidRDefault="0024077F" w:rsidP="0024077F">
      <w:pPr>
        <w:pStyle w:val="Heading6"/>
        <w:rPr>
          <w:lang w:eastAsia="ja-JP"/>
        </w:rPr>
      </w:pPr>
      <w:r>
        <w:rPr>
          <w:lang w:eastAsia="ja-JP"/>
        </w:rPr>
        <w:t>Evaluation of response</w:t>
      </w:r>
    </w:p>
    <w:p w14:paraId="17FBBA70" w14:textId="77777777" w:rsidR="0024077F" w:rsidRPr="0024077F" w:rsidRDefault="0024077F" w:rsidP="0024077F">
      <w:r w:rsidRPr="00B9523F">
        <w:t xml:space="preserve">Study MEE103219 and the </w:t>
      </w:r>
      <w:r w:rsidRPr="00B9523F">
        <w:rPr>
          <w:rFonts w:eastAsia="TimesNewRoman" w:cs="TimesNewRoman"/>
        </w:rPr>
        <w:t>2014N210473_00 report</w:t>
      </w:r>
      <w:r w:rsidRPr="00B9523F">
        <w:t xml:space="preserve"> have been evaluated in </w:t>
      </w:r>
      <w:r w:rsidR="006850B7">
        <w:t>the clinical evaluation report</w:t>
      </w:r>
      <w:r w:rsidRPr="00B9523F">
        <w:t xml:space="preserve">. The evaluator does not agree that these analyses have adequately demonstrated that adult </w:t>
      </w:r>
      <w:proofErr w:type="spellStart"/>
      <w:r w:rsidRPr="00B9523F">
        <w:t>mepolizumab</w:t>
      </w:r>
      <w:proofErr w:type="spellEnd"/>
      <w:r w:rsidRPr="00B9523F">
        <w:t xml:space="preserve"> IV PK predicts paediatric eosinophilic oesophagitis exposure. </w:t>
      </w:r>
      <w:r>
        <w:t xml:space="preserve">The failure of the PK model to accurately predict exposure in the paediatric study, </w:t>
      </w:r>
      <w:r w:rsidR="00B45264">
        <w:t xml:space="preserve">Study </w:t>
      </w:r>
      <w:r>
        <w:t>200363, supports the evaluator’s concerns that adult PK do not accurately predict paediatric PK. The evaluator speculates that a difference in paediatric and adult PK may reflect differences in the maturity of the immune system.</w:t>
      </w:r>
    </w:p>
    <w:p w14:paraId="2F2C1EF3" w14:textId="77777777" w:rsidR="002005CD" w:rsidRPr="00E01445" w:rsidRDefault="002005CD" w:rsidP="002005CD">
      <w:pPr>
        <w:pStyle w:val="Heading4"/>
        <w:numPr>
          <w:ilvl w:val="2"/>
          <w:numId w:val="0"/>
        </w:numPr>
        <w:tabs>
          <w:tab w:val="num" w:pos="1134"/>
        </w:tabs>
        <w:adjustRightInd w:val="0"/>
        <w:snapToGrid w:val="0"/>
        <w:spacing w:before="120" w:after="120"/>
        <w:ind w:left="1134" w:hanging="964"/>
      </w:pPr>
      <w:r w:rsidRPr="00E01445">
        <w:t>Pharmacodynamics</w:t>
      </w:r>
      <w:bookmarkEnd w:id="157"/>
      <w:bookmarkEnd w:id="158"/>
      <w:bookmarkEnd w:id="159"/>
      <w:bookmarkEnd w:id="160"/>
      <w:bookmarkEnd w:id="161"/>
      <w:bookmarkEnd w:id="162"/>
    </w:p>
    <w:p w14:paraId="4AAC15F6" w14:textId="77777777" w:rsidR="002005CD" w:rsidRPr="0024077F" w:rsidRDefault="002005CD" w:rsidP="0024077F">
      <w:pPr>
        <w:pStyle w:val="Heading5"/>
      </w:pPr>
      <w:bookmarkStart w:id="165" w:name="_Toc272414704"/>
      <w:bookmarkStart w:id="166" w:name="_Toc290888570"/>
      <w:bookmarkStart w:id="167" w:name="_Toc416353786"/>
      <w:bookmarkStart w:id="168" w:name="_Toc421005326"/>
      <w:bookmarkStart w:id="169" w:name="_Toc432079197"/>
      <w:bookmarkStart w:id="170" w:name="_Toc432080770"/>
      <w:r w:rsidRPr="0024077F">
        <w:t>Question</w:t>
      </w:r>
      <w:r w:rsidR="0024077F" w:rsidRPr="0024077F">
        <w:t xml:space="preserve"> 5: U</w:t>
      </w:r>
      <w:r w:rsidRPr="0024077F">
        <w:t>se of blood eosinophil level as a marker of PK/PD response</w:t>
      </w:r>
    </w:p>
    <w:p w14:paraId="46D3555C" w14:textId="77777777" w:rsidR="002005CD" w:rsidRPr="00F45E39" w:rsidRDefault="002005CD" w:rsidP="002005CD">
      <w:pPr>
        <w:rPr>
          <w:b/>
          <w:i/>
          <w:lang w:eastAsia="ja-JP"/>
        </w:rPr>
      </w:pPr>
      <w:r w:rsidRPr="00F45E39">
        <w:rPr>
          <w:b/>
          <w:i/>
          <w:lang w:eastAsia="ja-JP"/>
        </w:rPr>
        <w:t xml:space="preserve">Dose ranging studies indicate that there is ceiling effect of </w:t>
      </w:r>
      <w:proofErr w:type="spellStart"/>
      <w:r w:rsidRPr="00F45E39">
        <w:rPr>
          <w:b/>
          <w:i/>
          <w:lang w:eastAsia="ja-JP"/>
        </w:rPr>
        <w:t>mepolizumab</w:t>
      </w:r>
      <w:proofErr w:type="spellEnd"/>
      <w:r w:rsidRPr="00F45E39">
        <w:rPr>
          <w:b/>
          <w:i/>
          <w:lang w:eastAsia="ja-JP"/>
        </w:rPr>
        <w:t xml:space="preserve"> on blood eosinophil level, with no further reduction seen despite increasing doses. Given this, the sponsor is asked to provide the rationale for the use of blood eosinophil level as a marker of PK-PD response.</w:t>
      </w:r>
    </w:p>
    <w:p w14:paraId="347E7FD7" w14:textId="77777777" w:rsidR="0024077F" w:rsidRDefault="0024077F" w:rsidP="0024077F">
      <w:pPr>
        <w:pStyle w:val="Heading6"/>
        <w:rPr>
          <w:lang w:eastAsia="ja-JP"/>
        </w:rPr>
      </w:pPr>
      <w:r>
        <w:rPr>
          <w:lang w:eastAsia="ja-JP"/>
        </w:rPr>
        <w:t>Sponsor’s response</w:t>
      </w:r>
    </w:p>
    <w:p w14:paraId="73FB37A4" w14:textId="77777777" w:rsidR="0024077F" w:rsidRPr="00F45E39" w:rsidRDefault="00F45E39" w:rsidP="00F45E39">
      <w:pPr>
        <w:rPr>
          <w:rFonts w:eastAsia="TimesNewRoman" w:cs="TimesNewRoman"/>
        </w:rPr>
      </w:pPr>
      <w:r w:rsidRPr="00F45E39">
        <w:t xml:space="preserve">The sponsor described the analyses from the asthma studies that purport to demonstrate dose dependent reduction in blood eosinophil count by </w:t>
      </w:r>
      <w:proofErr w:type="spellStart"/>
      <w:r w:rsidRPr="00F45E39">
        <w:t>mepolizumab</w:t>
      </w:r>
      <w:proofErr w:type="spellEnd"/>
      <w:r w:rsidRPr="00F45E39">
        <w:t xml:space="preserve">. The response states that </w:t>
      </w:r>
      <w:r w:rsidR="00126A5E">
        <w:t>‘</w:t>
      </w:r>
      <w:r w:rsidR="00B45264">
        <w:rPr>
          <w:rFonts w:eastAsia="TimesNewRoman" w:cs="TimesNewRoman"/>
        </w:rPr>
        <w:t>In this study (S</w:t>
      </w:r>
      <w:r w:rsidRPr="00F45E39">
        <w:rPr>
          <w:rFonts w:eastAsia="TimesNewRoman" w:cs="TimesNewRoman"/>
        </w:rPr>
        <w:t>tudy MEA114092) 11 mg and approximately 100 mg SC (corresponding to 75 mg IV) were identified as the doses inducing 50% (ID</w:t>
      </w:r>
      <w:r w:rsidRPr="00B45264">
        <w:rPr>
          <w:rFonts w:eastAsia="TimesNewRoman" w:cs="TimesNewRoman"/>
          <w:vertAlign w:val="subscript"/>
        </w:rPr>
        <w:t>50</w:t>
      </w:r>
      <w:r w:rsidRPr="00F45E39">
        <w:rPr>
          <w:rFonts w:eastAsia="TimesNewRoman" w:cs="TimesNewRoman"/>
        </w:rPr>
        <w:t>) and 90% (ID</w:t>
      </w:r>
      <w:r w:rsidRPr="00B45264">
        <w:rPr>
          <w:rFonts w:eastAsia="TimesNewRoman" w:cs="TimesNewRoman"/>
          <w:vertAlign w:val="subscript"/>
        </w:rPr>
        <w:t>90</w:t>
      </w:r>
      <w:r w:rsidRPr="00F45E39">
        <w:rPr>
          <w:rFonts w:eastAsia="TimesNewRoman" w:cs="TimesNewRoman"/>
        </w:rPr>
        <w:t>) of the maximum inhibitory effect, respectively.</w:t>
      </w:r>
      <w:r w:rsidR="00126A5E">
        <w:rPr>
          <w:rFonts w:eastAsia="TimesNewRoman" w:cs="TimesNewRoman"/>
        </w:rPr>
        <w:t>’</w:t>
      </w:r>
      <w:r w:rsidRPr="00F45E39">
        <w:rPr>
          <w:rFonts w:eastAsia="TimesNewRoman" w:cs="TimesNewRoman"/>
        </w:rPr>
        <w:t xml:space="preserve"> The response acknowledges that, in Study MEA112997, </w:t>
      </w:r>
      <w:r w:rsidR="00126A5E">
        <w:rPr>
          <w:rFonts w:eastAsia="TimesNewRoman" w:cs="TimesNewRoman"/>
        </w:rPr>
        <w:t>‘</w:t>
      </w:r>
      <w:r w:rsidRPr="00F45E39">
        <w:rPr>
          <w:rFonts w:eastAsia="TimesNewRoman" w:cs="TimesNewRoman"/>
        </w:rPr>
        <w:t>no direct relationship between blood eosinophil reduction and efficacy was shown</w:t>
      </w:r>
      <w:r w:rsidR="00126A5E">
        <w:rPr>
          <w:rFonts w:eastAsia="TimesNewRoman" w:cs="TimesNewRoman"/>
        </w:rPr>
        <w:t>’</w:t>
      </w:r>
      <w:r w:rsidRPr="00F45E39">
        <w:rPr>
          <w:rFonts w:eastAsia="TimesNewRoman" w:cs="TimesNewRoman"/>
        </w:rPr>
        <w:t>.</w:t>
      </w:r>
    </w:p>
    <w:p w14:paraId="079274EF" w14:textId="77777777" w:rsidR="0024077F" w:rsidRDefault="0024077F" w:rsidP="0024077F">
      <w:pPr>
        <w:pStyle w:val="Heading6"/>
        <w:rPr>
          <w:lang w:eastAsia="ja-JP"/>
        </w:rPr>
      </w:pPr>
      <w:r>
        <w:rPr>
          <w:lang w:eastAsia="ja-JP"/>
        </w:rPr>
        <w:lastRenderedPageBreak/>
        <w:t>Evaluation of response</w:t>
      </w:r>
    </w:p>
    <w:p w14:paraId="189CAD19" w14:textId="77777777" w:rsidR="00F45E39" w:rsidRDefault="00F45E39" w:rsidP="00F45E39">
      <w:pPr>
        <w:rPr>
          <w:lang w:eastAsia="ja-JP"/>
        </w:rPr>
      </w:pPr>
      <w:r>
        <w:rPr>
          <w:lang w:eastAsia="ja-JP"/>
        </w:rPr>
        <w:t>Despite the lack of any demonstrated relationship between the reduction in blood eosinophil count and efficacy, the PK/PD analyses provided by the sponsor use reduction in eosinophil count as the PD measure. The evaluator is of the opinion that the blood eosinophil count has no demonstrated utility as a marker of PK/PD response for the following reasons:</w:t>
      </w:r>
    </w:p>
    <w:p w14:paraId="4DA95B5E" w14:textId="77777777" w:rsidR="00F45E39" w:rsidRDefault="00F45E39" w:rsidP="00F45E39">
      <w:pPr>
        <w:pStyle w:val="ListBullet"/>
        <w:rPr>
          <w:lang w:eastAsia="ja-JP"/>
        </w:rPr>
      </w:pPr>
      <w:r>
        <w:rPr>
          <w:lang w:eastAsia="ja-JP"/>
        </w:rPr>
        <w:t>No relationship between a reduction in blood eosinophil count and efficacy has been demonstrated.</w:t>
      </w:r>
    </w:p>
    <w:p w14:paraId="75230355" w14:textId="77777777" w:rsidR="00F45E39" w:rsidRDefault="00F45E39" w:rsidP="00F45E39">
      <w:pPr>
        <w:pStyle w:val="ListBullet"/>
        <w:rPr>
          <w:lang w:eastAsia="ja-JP"/>
        </w:rPr>
      </w:pPr>
      <w:r>
        <w:rPr>
          <w:lang w:eastAsia="ja-JP"/>
        </w:rPr>
        <w:t>No relationship between a reduction in blood eosinophil count and tissue eosinophilia has been demonstrated.</w:t>
      </w:r>
    </w:p>
    <w:p w14:paraId="5B43BA14" w14:textId="77777777" w:rsidR="00F45E39" w:rsidRDefault="00F45E39" w:rsidP="00F45E39">
      <w:pPr>
        <w:pStyle w:val="ListBullet"/>
        <w:rPr>
          <w:lang w:eastAsia="ja-JP"/>
        </w:rPr>
      </w:pPr>
      <w:r>
        <w:rPr>
          <w:lang w:eastAsia="ja-JP"/>
        </w:rPr>
        <w:t xml:space="preserve">The mechanism of action of </w:t>
      </w:r>
      <w:proofErr w:type="spellStart"/>
      <w:r>
        <w:rPr>
          <w:lang w:eastAsia="ja-JP"/>
        </w:rPr>
        <w:t>mepolizumab</w:t>
      </w:r>
      <w:proofErr w:type="spellEnd"/>
      <w:r>
        <w:rPr>
          <w:lang w:eastAsia="ja-JP"/>
        </w:rPr>
        <w:t xml:space="preserve"> in EGPA has not been fully elucidated (see sponsor’s response to </w:t>
      </w:r>
      <w:r w:rsidR="00B45264">
        <w:rPr>
          <w:lang w:eastAsia="ja-JP"/>
        </w:rPr>
        <w:t>next question,</w:t>
      </w:r>
      <w:r>
        <w:rPr>
          <w:lang w:eastAsia="ja-JP"/>
        </w:rPr>
        <w:t xml:space="preserve"> below) and the dependence of this mechanism of action on a reduction in blood eosinophil count is unknown.</w:t>
      </w:r>
    </w:p>
    <w:p w14:paraId="5046882D" w14:textId="77777777" w:rsidR="00F45E39" w:rsidRPr="00F45E39" w:rsidRDefault="00F45E39" w:rsidP="00F45E39">
      <w:pPr>
        <w:rPr>
          <w:lang w:eastAsia="ja-JP"/>
        </w:rPr>
      </w:pPr>
      <w:r>
        <w:rPr>
          <w:lang w:eastAsia="ja-JP"/>
        </w:rPr>
        <w:t xml:space="preserve">The sponsor did not directly address the ceiling effect seen at higher </w:t>
      </w:r>
      <w:proofErr w:type="spellStart"/>
      <w:r>
        <w:rPr>
          <w:lang w:eastAsia="ja-JP"/>
        </w:rPr>
        <w:t>mepolizumab</w:t>
      </w:r>
      <w:proofErr w:type="spellEnd"/>
      <w:r>
        <w:rPr>
          <w:lang w:eastAsia="ja-JP"/>
        </w:rPr>
        <w:t xml:space="preserve"> doses, although the identification of 100</w:t>
      </w:r>
      <w:r w:rsidR="00B45264">
        <w:rPr>
          <w:lang w:eastAsia="ja-JP"/>
        </w:rPr>
        <w:t xml:space="preserve"> </w:t>
      </w:r>
      <w:r>
        <w:rPr>
          <w:lang w:eastAsia="ja-JP"/>
        </w:rPr>
        <w:t>mg SC as the ID</w:t>
      </w:r>
      <w:r w:rsidRPr="00B45264">
        <w:rPr>
          <w:vertAlign w:val="subscript"/>
          <w:lang w:eastAsia="ja-JP"/>
        </w:rPr>
        <w:t>90</w:t>
      </w:r>
      <w:r>
        <w:rPr>
          <w:lang w:eastAsia="ja-JP"/>
        </w:rPr>
        <w:t xml:space="preserve"> dose would indicate that no further reduction would be seen at higher doses. This is relevant to dose selection as this suggests that the higher dose chosen for EGPA may not result in a greater reduction in blood eosinophil count. This, together with the lack of any demonstrable relationship between a reduction in blood eosinophil count and efficacy, casts doubt on the rational for the higher dose used in EGPA.</w:t>
      </w:r>
    </w:p>
    <w:p w14:paraId="3CE30A4D" w14:textId="77777777" w:rsidR="002005CD" w:rsidRPr="00F45E39" w:rsidRDefault="002005CD" w:rsidP="00F45E39">
      <w:pPr>
        <w:pStyle w:val="Heading5"/>
      </w:pPr>
      <w:bookmarkStart w:id="171" w:name="_Ref508377456"/>
      <w:r w:rsidRPr="00F45E39">
        <w:t>Question</w:t>
      </w:r>
      <w:r w:rsidR="00F45E39" w:rsidRPr="00F45E39">
        <w:t xml:space="preserve"> 6: C</w:t>
      </w:r>
      <w:r w:rsidRPr="00F45E39">
        <w:t>hanges in blood eosinophil level and efficacy</w:t>
      </w:r>
      <w:bookmarkEnd w:id="171"/>
    </w:p>
    <w:p w14:paraId="6D0F11A6" w14:textId="77777777" w:rsidR="002005CD" w:rsidRPr="00F45E39" w:rsidRDefault="002005CD" w:rsidP="00F45E39">
      <w:pPr>
        <w:rPr>
          <w:b/>
          <w:i/>
          <w:lang w:eastAsia="ja-JP"/>
        </w:rPr>
      </w:pPr>
      <w:r w:rsidRPr="00F45E39">
        <w:rPr>
          <w:b/>
          <w:i/>
          <w:lang w:eastAsia="ja-JP"/>
        </w:rPr>
        <w:t xml:space="preserve">A decrease in the geometric mean blood eosinophil level in patients receiving </w:t>
      </w:r>
      <w:proofErr w:type="spellStart"/>
      <w:r w:rsidRPr="00F45E39">
        <w:rPr>
          <w:b/>
          <w:i/>
          <w:lang w:eastAsia="ja-JP"/>
        </w:rPr>
        <w:t>mepolizumab</w:t>
      </w:r>
      <w:proofErr w:type="spellEnd"/>
      <w:r w:rsidRPr="00F45E39">
        <w:rPr>
          <w:b/>
          <w:i/>
          <w:lang w:eastAsia="ja-JP"/>
        </w:rPr>
        <w:t xml:space="preserve"> was demonstrated in Study MEA115921. However, the plot of indivi</w:t>
      </w:r>
      <w:r w:rsidR="00F45E39" w:rsidRPr="00F45E39">
        <w:rPr>
          <w:b/>
          <w:i/>
          <w:lang w:eastAsia="ja-JP"/>
        </w:rPr>
        <w:t>dual results shows a wide range</w:t>
      </w:r>
      <w:r w:rsidRPr="00F45E39">
        <w:rPr>
          <w:b/>
          <w:i/>
          <w:lang w:eastAsia="ja-JP"/>
        </w:rPr>
        <w:t xml:space="preserve"> and it is not clear whether there was a reduction in blood eosinophil level in all patients who received </w:t>
      </w:r>
      <w:proofErr w:type="spellStart"/>
      <w:r w:rsidRPr="00F45E39">
        <w:rPr>
          <w:b/>
          <w:i/>
          <w:lang w:eastAsia="ja-JP"/>
        </w:rPr>
        <w:t>mepolizumab</w:t>
      </w:r>
      <w:proofErr w:type="spellEnd"/>
      <w:r w:rsidRPr="00F45E39">
        <w:rPr>
          <w:b/>
          <w:i/>
          <w:lang w:eastAsia="ja-JP"/>
        </w:rPr>
        <w:t>.</w:t>
      </w:r>
    </w:p>
    <w:p w14:paraId="7624F9CC" w14:textId="77777777" w:rsidR="002005CD" w:rsidRPr="00F45E39" w:rsidRDefault="002005CD" w:rsidP="00F45E39">
      <w:pPr>
        <w:rPr>
          <w:b/>
          <w:i/>
          <w:lang w:eastAsia="ja-JP"/>
        </w:rPr>
      </w:pPr>
      <w:r w:rsidRPr="00F45E39">
        <w:rPr>
          <w:b/>
          <w:i/>
          <w:lang w:eastAsia="ja-JP"/>
        </w:rPr>
        <w:t>The sponsor is asked to:</w:t>
      </w:r>
    </w:p>
    <w:p w14:paraId="039007EA" w14:textId="77777777" w:rsidR="002005CD" w:rsidRPr="00F45E39" w:rsidRDefault="00F45E39" w:rsidP="00A51C94">
      <w:pPr>
        <w:pStyle w:val="Numberbullet0"/>
        <w:numPr>
          <w:ilvl w:val="0"/>
          <w:numId w:val="35"/>
        </w:numPr>
        <w:rPr>
          <w:b/>
          <w:i/>
          <w:lang w:eastAsia="ja-JP"/>
        </w:rPr>
      </w:pPr>
      <w:r w:rsidRPr="00F45E39">
        <w:rPr>
          <w:b/>
          <w:i/>
          <w:lang w:eastAsia="ja-JP"/>
        </w:rPr>
        <w:t>P</w:t>
      </w:r>
      <w:r w:rsidR="002005CD" w:rsidRPr="00F45E39">
        <w:rPr>
          <w:b/>
          <w:i/>
          <w:lang w:eastAsia="ja-JP"/>
        </w:rPr>
        <w:t>rovide the number (%) of patients in</w:t>
      </w:r>
      <w:r w:rsidR="002B3D99">
        <w:rPr>
          <w:b/>
          <w:i/>
          <w:lang w:eastAsia="ja-JP"/>
        </w:rPr>
        <w:t xml:space="preserve"> the </w:t>
      </w:r>
      <w:proofErr w:type="spellStart"/>
      <w:r w:rsidR="002B3D99">
        <w:rPr>
          <w:b/>
          <w:i/>
          <w:lang w:eastAsia="ja-JP"/>
        </w:rPr>
        <w:t>mepolizumab</w:t>
      </w:r>
      <w:proofErr w:type="spellEnd"/>
      <w:r w:rsidR="002B3D99">
        <w:rPr>
          <w:b/>
          <w:i/>
          <w:lang w:eastAsia="ja-JP"/>
        </w:rPr>
        <w:t xml:space="preserve"> group in Study </w:t>
      </w:r>
      <w:r w:rsidR="002005CD" w:rsidRPr="00F45E39">
        <w:rPr>
          <w:b/>
          <w:i/>
          <w:lang w:eastAsia="ja-JP"/>
        </w:rPr>
        <w:t>MEA115921 in whom there was no reduction in blood eosinophil level below baseline during the treatment period</w:t>
      </w:r>
      <w:r w:rsidRPr="00F45E39">
        <w:rPr>
          <w:b/>
          <w:i/>
          <w:lang w:eastAsia="ja-JP"/>
        </w:rPr>
        <w:t>.</w:t>
      </w:r>
    </w:p>
    <w:p w14:paraId="478C58C6" w14:textId="77777777" w:rsidR="002005CD" w:rsidRPr="00F45E39" w:rsidRDefault="00F45E39" w:rsidP="00A51C94">
      <w:pPr>
        <w:pStyle w:val="Numberbullet0"/>
        <w:numPr>
          <w:ilvl w:val="0"/>
          <w:numId w:val="35"/>
        </w:numPr>
        <w:rPr>
          <w:b/>
          <w:i/>
          <w:lang w:eastAsia="ja-JP"/>
        </w:rPr>
      </w:pPr>
      <w:r w:rsidRPr="00F45E39">
        <w:rPr>
          <w:b/>
          <w:i/>
          <w:lang w:eastAsia="ja-JP"/>
        </w:rPr>
        <w:t>C</w:t>
      </w:r>
      <w:r w:rsidR="002005CD" w:rsidRPr="00F45E39">
        <w:rPr>
          <w:b/>
          <w:i/>
          <w:lang w:eastAsia="ja-JP"/>
        </w:rPr>
        <w:t>omment on whether there is any indication of lesser efficacy in patients in whom there was no reduction in blood eosinophil level below baseline</w:t>
      </w:r>
      <w:r w:rsidRPr="00F45E39">
        <w:rPr>
          <w:b/>
          <w:i/>
          <w:lang w:eastAsia="ja-JP"/>
        </w:rPr>
        <w:t>.</w:t>
      </w:r>
    </w:p>
    <w:p w14:paraId="6E3689AE" w14:textId="77777777" w:rsidR="002005CD" w:rsidRPr="00F45E39" w:rsidRDefault="00F45E39" w:rsidP="00A51C94">
      <w:pPr>
        <w:pStyle w:val="Numberbullet0"/>
        <w:numPr>
          <w:ilvl w:val="0"/>
          <w:numId w:val="35"/>
        </w:numPr>
        <w:rPr>
          <w:b/>
          <w:i/>
          <w:lang w:eastAsia="ja-JP"/>
        </w:rPr>
      </w:pPr>
      <w:r w:rsidRPr="00F45E39">
        <w:rPr>
          <w:b/>
          <w:i/>
          <w:lang w:eastAsia="ja-JP"/>
        </w:rPr>
        <w:t>C</w:t>
      </w:r>
      <w:r w:rsidR="002005CD" w:rsidRPr="00F45E39">
        <w:rPr>
          <w:b/>
          <w:i/>
          <w:lang w:eastAsia="ja-JP"/>
        </w:rPr>
        <w:t>omment on whether the purported mechanism for efficacy is through a reduction in blood eosinophil level or if other mechanism(s) may be involved</w:t>
      </w:r>
      <w:r w:rsidRPr="00F45E39">
        <w:rPr>
          <w:b/>
          <w:i/>
          <w:lang w:eastAsia="ja-JP"/>
        </w:rPr>
        <w:t>.</w:t>
      </w:r>
    </w:p>
    <w:p w14:paraId="3D4CCBAD" w14:textId="77777777" w:rsidR="00F45E39" w:rsidRDefault="00F45E39" w:rsidP="00F45E39">
      <w:pPr>
        <w:pStyle w:val="Heading6"/>
        <w:rPr>
          <w:lang w:eastAsia="ja-JP"/>
        </w:rPr>
      </w:pPr>
      <w:r>
        <w:rPr>
          <w:lang w:eastAsia="ja-JP"/>
        </w:rPr>
        <w:t>Sponsor’s response</w:t>
      </w:r>
    </w:p>
    <w:p w14:paraId="462E823D" w14:textId="77777777" w:rsidR="00F45E39" w:rsidRPr="005A0CEC" w:rsidRDefault="00F45E39" w:rsidP="00F45E39">
      <w:pPr>
        <w:rPr>
          <w:lang w:eastAsia="ja-JP"/>
        </w:rPr>
      </w:pPr>
      <w:r w:rsidRPr="005A0CEC">
        <w:rPr>
          <w:lang w:eastAsia="ja-JP"/>
        </w:rPr>
        <w:t xml:space="preserve">The sponsor reported that there was only one patient in the </w:t>
      </w:r>
      <w:proofErr w:type="spellStart"/>
      <w:r w:rsidRPr="005A0CEC">
        <w:rPr>
          <w:lang w:eastAsia="ja-JP"/>
        </w:rPr>
        <w:t>mepolizumab</w:t>
      </w:r>
      <w:proofErr w:type="spellEnd"/>
      <w:r w:rsidRPr="005A0CEC">
        <w:rPr>
          <w:lang w:eastAsia="ja-JP"/>
        </w:rPr>
        <w:t xml:space="preserve"> group in whom there was no reduction </w:t>
      </w:r>
      <w:r w:rsidR="00126A5E">
        <w:rPr>
          <w:lang w:eastAsia="ja-JP"/>
        </w:rPr>
        <w:t>from Baseline</w:t>
      </w:r>
      <w:r w:rsidRPr="005A0CEC">
        <w:rPr>
          <w:lang w:eastAsia="ja-JP"/>
        </w:rPr>
        <w:t xml:space="preserve"> in blood eosinophil count and noted that this patient was receiving prednisolone 20</w:t>
      </w:r>
      <w:r w:rsidR="00B45264">
        <w:rPr>
          <w:lang w:eastAsia="ja-JP"/>
        </w:rPr>
        <w:t xml:space="preserve"> </w:t>
      </w:r>
      <w:r w:rsidRPr="005A0CEC">
        <w:rPr>
          <w:lang w:eastAsia="ja-JP"/>
        </w:rPr>
        <w:t xml:space="preserve">mg daily and had a very low baseline blood eosinophil count (10 cells/µL). </w:t>
      </w:r>
      <w:r w:rsidRPr="005A0CEC">
        <w:rPr>
          <w:rFonts w:eastAsia="TimesNewRoman" w:cs="TimesNewRoman"/>
        </w:rPr>
        <w:t>The patient did not achieve remission (defined as BVAS</w:t>
      </w:r>
      <w:r w:rsidR="00B45264">
        <w:rPr>
          <w:rFonts w:eastAsia="TimesNewRoman" w:cs="TimesNewRoman"/>
        </w:rPr>
        <w:t xml:space="preserve"> </w:t>
      </w:r>
      <w:r w:rsidRPr="005A0CEC">
        <w:rPr>
          <w:rFonts w:eastAsia="TimesNewRoman" w:cs="TimesNewRoman"/>
        </w:rPr>
        <w:t>=</w:t>
      </w:r>
      <w:r w:rsidR="00B45264">
        <w:rPr>
          <w:rFonts w:eastAsia="TimesNewRoman" w:cs="TimesNewRoman"/>
        </w:rPr>
        <w:t xml:space="preserve"> 0 and prednisolone/</w:t>
      </w:r>
      <w:r w:rsidRPr="005A0CEC">
        <w:rPr>
          <w:rFonts w:eastAsia="TimesNewRoman" w:cs="TimesNewRoman"/>
        </w:rPr>
        <w:t>prednisone dose ≤ 4mg/day) and experienced 3 relapses during the study treatment period. However, the patient was reported to progressively reduce their OCS dose to an</w:t>
      </w:r>
      <w:r>
        <w:rPr>
          <w:rFonts w:eastAsia="TimesNewRoman" w:cs="TimesNewRoman"/>
        </w:rPr>
        <w:t xml:space="preserve"> average dose of 9.1</w:t>
      </w:r>
      <w:r w:rsidR="00B45264">
        <w:rPr>
          <w:rFonts w:eastAsia="TimesNewRoman" w:cs="TimesNewRoman"/>
        </w:rPr>
        <w:t xml:space="preserve"> </w:t>
      </w:r>
      <w:r>
        <w:rPr>
          <w:rFonts w:eastAsia="TimesNewRoman" w:cs="TimesNewRoman"/>
        </w:rPr>
        <w:t>mg between W</w:t>
      </w:r>
      <w:r w:rsidRPr="005A0CEC">
        <w:rPr>
          <w:rFonts w:eastAsia="TimesNewRoman" w:cs="TimesNewRoman"/>
        </w:rPr>
        <w:t>eeks 48 to 52.</w:t>
      </w:r>
    </w:p>
    <w:p w14:paraId="01474890" w14:textId="77777777" w:rsidR="00F45E39" w:rsidRDefault="00F45E39" w:rsidP="00F45E39">
      <w:pPr>
        <w:rPr>
          <w:lang w:eastAsia="ja-JP"/>
        </w:rPr>
      </w:pPr>
      <w:r w:rsidRPr="005A0CEC">
        <w:rPr>
          <w:lang w:eastAsia="ja-JP"/>
        </w:rPr>
        <w:t xml:space="preserve">The sponsor noted </w:t>
      </w:r>
      <w:r w:rsidRPr="00F45E39">
        <w:rPr>
          <w:lang w:eastAsia="ja-JP"/>
        </w:rPr>
        <w:t xml:space="preserve">that </w:t>
      </w:r>
      <w:r w:rsidR="00126A5E">
        <w:rPr>
          <w:lang w:eastAsia="ja-JP"/>
        </w:rPr>
        <w:t>‘</w:t>
      </w:r>
      <w:r w:rsidRPr="00F45E39">
        <w:rPr>
          <w:rFonts w:eastAsia="TimesNewRoman" w:cs="TimesNewRoman"/>
        </w:rPr>
        <w:t xml:space="preserve">the precise mechanism of </w:t>
      </w:r>
      <w:proofErr w:type="spellStart"/>
      <w:r w:rsidRPr="00F45E39">
        <w:rPr>
          <w:rFonts w:eastAsia="TimesNewRoman" w:cs="TimesNewRoman"/>
        </w:rPr>
        <w:t>mepolizumab</w:t>
      </w:r>
      <w:proofErr w:type="spellEnd"/>
      <w:r w:rsidRPr="00F45E39">
        <w:rPr>
          <w:rFonts w:eastAsia="TimesNewRoman" w:cs="TimesNewRoman"/>
        </w:rPr>
        <w:t xml:space="preserve"> action in EGPA has not been definitively established. It remains unclear whether other mechanisms may be involved</w:t>
      </w:r>
      <w:r w:rsidR="00126A5E">
        <w:rPr>
          <w:rFonts w:eastAsia="TimesNewRoman" w:cs="TimesNewRoman"/>
        </w:rPr>
        <w:t>’</w:t>
      </w:r>
      <w:r w:rsidRPr="00F45E39">
        <w:rPr>
          <w:rFonts w:eastAsia="TimesNewRoman" w:cs="TimesNewRoman"/>
        </w:rPr>
        <w:t>.</w:t>
      </w:r>
    </w:p>
    <w:p w14:paraId="26B76D18" w14:textId="77777777" w:rsidR="00F45E39" w:rsidRDefault="00F45E39" w:rsidP="00C86C73">
      <w:pPr>
        <w:pStyle w:val="Heading6"/>
        <w:pageBreakBefore/>
        <w:rPr>
          <w:lang w:eastAsia="ja-JP"/>
        </w:rPr>
      </w:pPr>
      <w:r>
        <w:rPr>
          <w:lang w:eastAsia="ja-JP"/>
        </w:rPr>
        <w:lastRenderedPageBreak/>
        <w:t>Evaluation of response</w:t>
      </w:r>
    </w:p>
    <w:p w14:paraId="65E0EEB6" w14:textId="77777777" w:rsidR="00F45E39" w:rsidRDefault="00F45E39" w:rsidP="00F45E39">
      <w:pPr>
        <w:rPr>
          <w:lang w:eastAsia="ja-JP"/>
        </w:rPr>
      </w:pPr>
      <w:r>
        <w:rPr>
          <w:lang w:eastAsia="ja-JP"/>
        </w:rPr>
        <w:t>The evaluator agrees that:</w:t>
      </w:r>
    </w:p>
    <w:p w14:paraId="01329BEB" w14:textId="77777777" w:rsidR="00F45E39" w:rsidRDefault="00F45E39" w:rsidP="00F45E39">
      <w:pPr>
        <w:pStyle w:val="ListBullet"/>
        <w:rPr>
          <w:lang w:eastAsia="ja-JP"/>
        </w:rPr>
      </w:pPr>
      <w:r>
        <w:rPr>
          <w:lang w:eastAsia="ja-JP"/>
        </w:rPr>
        <w:t xml:space="preserve">There is insufficient data to enable any assessment of efficacy in patients in whom </w:t>
      </w:r>
      <w:proofErr w:type="spellStart"/>
      <w:r>
        <w:rPr>
          <w:lang w:eastAsia="ja-JP"/>
        </w:rPr>
        <w:t>mepolizumab</w:t>
      </w:r>
      <w:proofErr w:type="spellEnd"/>
      <w:r>
        <w:rPr>
          <w:lang w:eastAsia="ja-JP"/>
        </w:rPr>
        <w:t xml:space="preserve"> treatment does not result in a reduction in blood eosinophil count.</w:t>
      </w:r>
    </w:p>
    <w:p w14:paraId="0D942F6F" w14:textId="77777777" w:rsidR="00F45E39" w:rsidRDefault="00F45E39" w:rsidP="00F45E39">
      <w:pPr>
        <w:pStyle w:val="ListBullet"/>
        <w:rPr>
          <w:lang w:eastAsia="ja-JP"/>
        </w:rPr>
      </w:pPr>
      <w:r>
        <w:rPr>
          <w:lang w:eastAsia="ja-JP"/>
        </w:rPr>
        <w:t xml:space="preserve">That the mechanism of action of </w:t>
      </w:r>
      <w:proofErr w:type="spellStart"/>
      <w:r>
        <w:rPr>
          <w:lang w:eastAsia="ja-JP"/>
        </w:rPr>
        <w:t>mepolizumab</w:t>
      </w:r>
      <w:proofErr w:type="spellEnd"/>
      <w:r>
        <w:rPr>
          <w:lang w:eastAsia="ja-JP"/>
        </w:rPr>
        <w:t xml:space="preserve"> in EGPA has not been elucidated.</w:t>
      </w:r>
    </w:p>
    <w:p w14:paraId="08EC7D7C" w14:textId="77777777" w:rsidR="00F45E39" w:rsidRDefault="00F45E39" w:rsidP="00F45E39">
      <w:pPr>
        <w:rPr>
          <w:rFonts w:asciiTheme="minorHAnsi" w:hAnsiTheme="minorHAnsi"/>
        </w:rPr>
      </w:pPr>
      <w:r>
        <w:rPr>
          <w:lang w:eastAsia="ja-JP"/>
        </w:rPr>
        <w:t>The sponsor provided no discussion of other potential mechanisms of action. The evaluator notes</w:t>
      </w:r>
      <w:r w:rsidR="00B45264">
        <w:rPr>
          <w:lang w:eastAsia="ja-JP"/>
        </w:rPr>
        <w:t xml:space="preserve"> that the EMA’s Protocol Advice</w:t>
      </w:r>
      <w:r>
        <w:t xml:space="preserve"> discussed </w:t>
      </w:r>
      <w:r>
        <w:rPr>
          <w:rFonts w:asciiTheme="minorHAnsi" w:hAnsiTheme="minorHAnsi"/>
        </w:rPr>
        <w:t xml:space="preserve">accumulation and activation of eosinophils in target tissues in EGPA with this thought to involve pathways other than that IL-5 induced increase in blood eosinophils, with chemokine </w:t>
      </w:r>
      <w:r w:rsidRPr="00985DA6">
        <w:rPr>
          <w:rFonts w:asciiTheme="minorHAnsi" w:hAnsiTheme="minorHAnsi"/>
        </w:rPr>
        <w:t>eotaxine-3</w:t>
      </w:r>
      <w:r>
        <w:rPr>
          <w:rFonts w:asciiTheme="minorHAnsi" w:hAnsiTheme="minorHAnsi"/>
        </w:rPr>
        <w:t>, produced by epithelial and endothelial cells,</w:t>
      </w:r>
      <w:r w:rsidRPr="00985DA6">
        <w:rPr>
          <w:rFonts w:asciiTheme="minorHAnsi" w:hAnsiTheme="minorHAnsi"/>
        </w:rPr>
        <w:t xml:space="preserve"> and T</w:t>
      </w:r>
      <w:r>
        <w:rPr>
          <w:rFonts w:asciiTheme="minorHAnsi" w:hAnsiTheme="minorHAnsi"/>
        </w:rPr>
        <w:t>h</w:t>
      </w:r>
      <w:r w:rsidRPr="00985DA6">
        <w:rPr>
          <w:rFonts w:asciiTheme="minorHAnsi" w:hAnsiTheme="minorHAnsi"/>
        </w:rPr>
        <w:t>-1-</w:t>
      </w:r>
      <w:r>
        <w:rPr>
          <w:rFonts w:asciiTheme="minorHAnsi" w:hAnsiTheme="minorHAnsi"/>
        </w:rPr>
        <w:t>mediated humoral</w:t>
      </w:r>
      <w:r w:rsidRPr="00985DA6">
        <w:rPr>
          <w:rFonts w:asciiTheme="minorHAnsi" w:hAnsiTheme="minorHAnsi"/>
        </w:rPr>
        <w:t xml:space="preserve"> response</w:t>
      </w:r>
      <w:r>
        <w:rPr>
          <w:rFonts w:asciiTheme="minorHAnsi" w:hAnsiTheme="minorHAnsi"/>
        </w:rPr>
        <w:t xml:space="preserve"> as possible contributors. The cited articles</w:t>
      </w:r>
      <w:r w:rsidR="00B45264">
        <w:rPr>
          <w:rStyle w:val="FootnoteReference"/>
          <w:rFonts w:asciiTheme="minorHAnsi" w:hAnsiTheme="minorHAnsi"/>
        </w:rPr>
        <w:footnoteReference w:id="48"/>
      </w:r>
      <w:r w:rsidR="00B45264">
        <w:rPr>
          <w:rStyle w:val="FootnoteReference"/>
          <w:rFonts w:asciiTheme="minorHAnsi" w:hAnsiTheme="minorHAnsi"/>
        </w:rPr>
        <w:footnoteReference w:id="49"/>
      </w:r>
      <w:r>
        <w:rPr>
          <w:rFonts w:asciiTheme="minorHAnsi" w:hAnsiTheme="minorHAnsi"/>
        </w:rPr>
        <w:t xml:space="preserve"> suggest that serum eotaxin-3 may be an alternative marker of disease activity, with a closer relationship to tissue involvement and steroid response. The ar</w:t>
      </w:r>
      <w:r w:rsidR="00B45264">
        <w:rPr>
          <w:rFonts w:asciiTheme="minorHAnsi" w:hAnsiTheme="minorHAnsi"/>
        </w:rPr>
        <w:t xml:space="preserve">ticles also speculate that ANCA positive and ANCA </w:t>
      </w:r>
      <w:r>
        <w:rPr>
          <w:rFonts w:asciiTheme="minorHAnsi" w:hAnsiTheme="minorHAnsi"/>
        </w:rPr>
        <w:t>negative may represent two forms of the disease.</w:t>
      </w:r>
    </w:p>
    <w:p w14:paraId="7396B9F3" w14:textId="77777777" w:rsidR="002005CD" w:rsidRDefault="002005CD" w:rsidP="002005CD">
      <w:pPr>
        <w:pStyle w:val="Heading4"/>
        <w:numPr>
          <w:ilvl w:val="2"/>
          <w:numId w:val="0"/>
        </w:numPr>
        <w:tabs>
          <w:tab w:val="num" w:pos="1134"/>
        </w:tabs>
        <w:adjustRightInd w:val="0"/>
        <w:snapToGrid w:val="0"/>
        <w:spacing w:before="120" w:after="120"/>
        <w:ind w:left="1134" w:hanging="964"/>
      </w:pPr>
      <w:r w:rsidRPr="00E01445">
        <w:t>Efficacy</w:t>
      </w:r>
      <w:bookmarkEnd w:id="165"/>
      <w:bookmarkEnd w:id="166"/>
      <w:bookmarkEnd w:id="167"/>
      <w:bookmarkEnd w:id="168"/>
      <w:bookmarkEnd w:id="169"/>
      <w:bookmarkEnd w:id="170"/>
      <w:r>
        <w:t xml:space="preserve"> in adults</w:t>
      </w:r>
    </w:p>
    <w:p w14:paraId="786894CD" w14:textId="77777777" w:rsidR="002005CD" w:rsidRPr="00F45E39" w:rsidRDefault="002005CD" w:rsidP="00F45E39">
      <w:pPr>
        <w:pStyle w:val="Heading5"/>
      </w:pPr>
      <w:bookmarkStart w:id="172" w:name="_Ref504056344"/>
      <w:r w:rsidRPr="00F45E39">
        <w:t>Question</w:t>
      </w:r>
      <w:r w:rsidR="00F45E39" w:rsidRPr="00F45E39">
        <w:t xml:space="preserve"> 7</w:t>
      </w:r>
      <w:r w:rsidRPr="00F45E39">
        <w:t>: Baseline eosinophil level in participants in Study MEA115921</w:t>
      </w:r>
      <w:bookmarkEnd w:id="172"/>
      <w:r w:rsidRPr="00F45E39">
        <w:t xml:space="preserve"> and the inclusion criteria</w:t>
      </w:r>
    </w:p>
    <w:p w14:paraId="5F2165E5" w14:textId="77777777" w:rsidR="002005CD" w:rsidRPr="00F45E39" w:rsidRDefault="002005CD" w:rsidP="00F45E39">
      <w:pPr>
        <w:rPr>
          <w:b/>
          <w:i/>
          <w:lang w:eastAsia="ja-JP"/>
        </w:rPr>
      </w:pPr>
      <w:r w:rsidRPr="00F45E39">
        <w:rPr>
          <w:b/>
          <w:i/>
          <w:lang w:eastAsia="ja-JP"/>
        </w:rPr>
        <w:t xml:space="preserve">The definition of EGPA used in the inclusion criteria for the study included eosinophilia with </w:t>
      </w:r>
      <w:r w:rsidR="00126A5E">
        <w:rPr>
          <w:b/>
          <w:i/>
          <w:lang w:eastAsia="ja-JP"/>
        </w:rPr>
        <w:t>‘</w:t>
      </w:r>
      <w:r w:rsidRPr="00F45E39">
        <w:rPr>
          <w:rFonts w:asciiTheme="minorHAnsi" w:eastAsia="OTNEJMQuadraat" w:hAnsiTheme="minorHAnsi" w:cs="OTNEJMQuadraat"/>
          <w:b/>
          <w:i/>
        </w:rPr>
        <w:t>a blood eosinophil level of 10% or an absolute eosinophil count of more than 1000 cells per cubic mm</w:t>
      </w:r>
      <w:r w:rsidR="00126A5E">
        <w:rPr>
          <w:b/>
          <w:i/>
          <w:lang w:eastAsia="ja-JP"/>
        </w:rPr>
        <w:t>’</w:t>
      </w:r>
      <w:r w:rsidRPr="00F45E39">
        <w:rPr>
          <w:b/>
          <w:i/>
          <w:lang w:eastAsia="ja-JP"/>
        </w:rPr>
        <w:t>. This appears to have been based on an historical eosinophil level as, according to the subgroup analysis, 57 participants were reported to have baseline eosinophil level &lt;</w:t>
      </w:r>
      <w:r w:rsidR="00B45264">
        <w:rPr>
          <w:b/>
          <w:i/>
          <w:lang w:eastAsia="ja-JP"/>
        </w:rPr>
        <w:t xml:space="preserve"> </w:t>
      </w:r>
      <w:r w:rsidRPr="00F45E39">
        <w:rPr>
          <w:b/>
          <w:i/>
          <w:lang w:eastAsia="ja-JP"/>
        </w:rPr>
        <w:t>150 cells/µL.</w:t>
      </w:r>
    </w:p>
    <w:p w14:paraId="1F4EF1E9" w14:textId="77777777" w:rsidR="002005CD" w:rsidRPr="00F45E39" w:rsidRDefault="002005CD" w:rsidP="00F45E39">
      <w:pPr>
        <w:rPr>
          <w:b/>
          <w:i/>
        </w:rPr>
      </w:pPr>
      <w:r w:rsidRPr="00F45E39">
        <w:rPr>
          <w:b/>
          <w:i/>
          <w:lang w:eastAsia="ja-JP"/>
        </w:rPr>
        <w:t xml:space="preserve">The sponsor is asked to confirm if the inclusion criteria of </w:t>
      </w:r>
      <w:r w:rsidR="00126A5E">
        <w:rPr>
          <w:b/>
          <w:i/>
          <w:lang w:eastAsia="ja-JP"/>
        </w:rPr>
        <w:t>‘</w:t>
      </w:r>
      <w:r w:rsidRPr="00F45E39">
        <w:rPr>
          <w:rFonts w:asciiTheme="minorHAnsi" w:eastAsia="OTNEJMQuadraat" w:hAnsiTheme="minorHAnsi" w:cs="OTNEJMQuadraat"/>
          <w:b/>
          <w:i/>
        </w:rPr>
        <w:t>blood eosinophil level of 10% or an absolute eosinophil count of more than 1000 cells per cubic mm</w:t>
      </w:r>
      <w:r w:rsidR="00126A5E">
        <w:rPr>
          <w:b/>
          <w:i/>
          <w:lang w:eastAsia="ja-JP"/>
        </w:rPr>
        <w:t>’</w:t>
      </w:r>
      <w:r w:rsidRPr="00F45E39">
        <w:rPr>
          <w:b/>
          <w:i/>
          <w:lang w:eastAsia="ja-JP"/>
        </w:rPr>
        <w:t xml:space="preserve"> was based on historical results and that </w:t>
      </w:r>
      <w:r w:rsidRPr="00F45E39">
        <w:rPr>
          <w:b/>
          <w:i/>
        </w:rPr>
        <w:t>all participants had met this inclusion criteria.</w:t>
      </w:r>
    </w:p>
    <w:p w14:paraId="32A34AD1" w14:textId="77777777" w:rsidR="00F45E39" w:rsidRDefault="00F45E39" w:rsidP="00F45E39">
      <w:pPr>
        <w:pStyle w:val="Heading6"/>
      </w:pPr>
      <w:r>
        <w:t>Sponsor’s response</w:t>
      </w:r>
    </w:p>
    <w:p w14:paraId="3D79FF3B" w14:textId="77777777" w:rsidR="00F45E39" w:rsidRPr="00F45E39" w:rsidRDefault="00F45E39" w:rsidP="00F45E39">
      <w:pPr>
        <w:rPr>
          <w:lang w:eastAsia="ja-JP"/>
        </w:rPr>
      </w:pPr>
      <w:r w:rsidRPr="007B420A">
        <w:rPr>
          <w:lang w:eastAsia="ja-JP"/>
        </w:rPr>
        <w:t xml:space="preserve">This was confirmed by the sponsor who further stated that </w:t>
      </w:r>
      <w:r w:rsidR="00126A5E">
        <w:rPr>
          <w:lang w:eastAsia="ja-JP"/>
        </w:rPr>
        <w:t>‘</w:t>
      </w:r>
      <w:r w:rsidRPr="007B420A">
        <w:t>There was no threshold eosinophil level requi</w:t>
      </w:r>
      <w:r w:rsidR="00B45264">
        <w:t>red at the screening or randomis</w:t>
      </w:r>
      <w:r w:rsidRPr="007B420A">
        <w:t>ation visit.</w:t>
      </w:r>
      <w:r w:rsidR="00126A5E">
        <w:t>’</w:t>
      </w:r>
    </w:p>
    <w:p w14:paraId="0C4142F8" w14:textId="77777777" w:rsidR="00F45E39" w:rsidRDefault="00F45E39" w:rsidP="00F45E39">
      <w:pPr>
        <w:pStyle w:val="Heading6"/>
      </w:pPr>
      <w:r>
        <w:t>Evaluation of response</w:t>
      </w:r>
    </w:p>
    <w:p w14:paraId="3EB2D0FA" w14:textId="77777777" w:rsidR="00F45E39" w:rsidRPr="00F45E39" w:rsidRDefault="00F45E39" w:rsidP="00F45E39">
      <w:r>
        <w:t>Noted.</w:t>
      </w:r>
    </w:p>
    <w:p w14:paraId="6D07D917" w14:textId="7D34C678" w:rsidR="002005CD" w:rsidRPr="00F45E39" w:rsidRDefault="002005CD" w:rsidP="00F45E39">
      <w:pPr>
        <w:pStyle w:val="Heading5"/>
      </w:pPr>
      <w:bookmarkStart w:id="173" w:name="_Ref506049624"/>
      <w:r w:rsidRPr="00F45E39">
        <w:t>Question</w:t>
      </w:r>
      <w:r w:rsidR="00F45E39" w:rsidRPr="00F45E39">
        <w:t xml:space="preserve"> 8</w:t>
      </w:r>
      <w:r w:rsidRPr="00F45E39">
        <w:t xml:space="preserve">: Baseline </w:t>
      </w:r>
      <w:r w:rsidR="00C86C73">
        <w:t>e</w:t>
      </w:r>
      <w:r w:rsidRPr="00F45E39">
        <w:t>osinophil count in Study MEA115921 and efficacy</w:t>
      </w:r>
      <w:bookmarkEnd w:id="173"/>
    </w:p>
    <w:p w14:paraId="61203220" w14:textId="77777777" w:rsidR="00624472" w:rsidRDefault="002005CD" w:rsidP="00F45E39">
      <w:r w:rsidRPr="00A74B8E">
        <w:rPr>
          <w:lang w:eastAsia="ja-JP"/>
        </w:rPr>
        <w:t xml:space="preserve">The evaluator is concerned by the lack of efficacy in patients with baseline eosinophil count &lt; </w:t>
      </w:r>
      <w:r w:rsidRPr="00A74B8E">
        <w:rPr>
          <w:rFonts w:asciiTheme="minorHAnsi" w:hAnsiTheme="minorHAnsi"/>
        </w:rPr>
        <w:t xml:space="preserve">150 </w:t>
      </w:r>
      <w:r w:rsidRPr="00A74B8E">
        <w:t>cells/</w:t>
      </w:r>
      <w:proofErr w:type="spellStart"/>
      <w:r w:rsidRPr="00A74B8E">
        <w:t>uL</w:t>
      </w:r>
      <w:proofErr w:type="spellEnd"/>
      <w:r w:rsidRPr="00A74B8E">
        <w:t xml:space="preserve"> and is not convinced by the sponsor’s speculation that this may be due to the number of these patients who were also receiving baseline OCS dose &gt;</w:t>
      </w:r>
      <w:r w:rsidR="00B45264">
        <w:t xml:space="preserve"> </w:t>
      </w:r>
      <w:r w:rsidRPr="00A74B8E">
        <w:t>20</w:t>
      </w:r>
      <w:r w:rsidR="00B45264">
        <w:t xml:space="preserve"> mg as this was only 15 out of </w:t>
      </w:r>
      <w:r w:rsidRPr="00A74B8E">
        <w:t xml:space="preserve">57 (26%) of the patients </w:t>
      </w:r>
      <w:r w:rsidRPr="00A74B8E">
        <w:rPr>
          <w:lang w:eastAsia="ja-JP"/>
        </w:rPr>
        <w:t>with baseline eos</w:t>
      </w:r>
      <w:r w:rsidR="00B45264">
        <w:rPr>
          <w:lang w:eastAsia="ja-JP"/>
        </w:rPr>
        <w:t>inophil count &lt; </w:t>
      </w:r>
      <w:r w:rsidR="00B45264">
        <w:rPr>
          <w:rFonts w:asciiTheme="minorHAnsi" w:hAnsiTheme="minorHAnsi"/>
        </w:rPr>
        <w:t>150 </w:t>
      </w:r>
      <w:r w:rsidRPr="00A74B8E">
        <w:t>cells/</w:t>
      </w:r>
      <w:proofErr w:type="spellStart"/>
      <w:r w:rsidRPr="00A74B8E">
        <w:t>uL</w:t>
      </w:r>
      <w:proofErr w:type="spellEnd"/>
      <w:r w:rsidRPr="00A74B8E">
        <w:t xml:space="preserve">. The evaluator is of the opinion that this lack of efficacy is important information for clinicians and patients and is concerned that this information is not included in the draft PI. The evaluator recommends that this information be added to the PI. This may be through re-wording the indication to include patients with </w:t>
      </w:r>
      <w:r w:rsidRPr="00A74B8E">
        <w:rPr>
          <w:lang w:eastAsia="ja-JP"/>
        </w:rPr>
        <w:t xml:space="preserve">baseline eosinophil count ≥ </w:t>
      </w:r>
      <w:r w:rsidRPr="00A74B8E">
        <w:rPr>
          <w:rFonts w:asciiTheme="minorHAnsi" w:hAnsiTheme="minorHAnsi"/>
        </w:rPr>
        <w:t xml:space="preserve">150 </w:t>
      </w:r>
      <w:r w:rsidRPr="00A74B8E">
        <w:t>cells/</w:t>
      </w:r>
      <w:proofErr w:type="spellStart"/>
      <w:r w:rsidRPr="00A74B8E">
        <w:t>uL</w:t>
      </w:r>
      <w:proofErr w:type="spellEnd"/>
      <w:r w:rsidRPr="00A74B8E">
        <w:t xml:space="preserve"> together with an explanatory statement in the Clinical Trials s</w:t>
      </w:r>
      <w:r w:rsidR="00B45264">
        <w:t xml:space="preserve">ection that a pre-specified sub </w:t>
      </w:r>
      <w:r w:rsidRPr="00A74B8E">
        <w:t xml:space="preserve">group analysis found no evidence of benefit in patients with </w:t>
      </w:r>
      <w:r w:rsidRPr="00A74B8E">
        <w:rPr>
          <w:lang w:eastAsia="ja-JP"/>
        </w:rPr>
        <w:t xml:space="preserve">baseline eosinophil count &lt; </w:t>
      </w:r>
      <w:r w:rsidRPr="00A74B8E">
        <w:rPr>
          <w:rFonts w:asciiTheme="minorHAnsi" w:hAnsiTheme="minorHAnsi"/>
        </w:rPr>
        <w:t xml:space="preserve">150 </w:t>
      </w:r>
      <w:r w:rsidRPr="00A74B8E">
        <w:t>cells/</w:t>
      </w:r>
      <w:proofErr w:type="spellStart"/>
      <w:r w:rsidRPr="00A74B8E">
        <w:t>uL</w:t>
      </w:r>
      <w:proofErr w:type="spellEnd"/>
      <w:r w:rsidR="00624472">
        <w:t>.</w:t>
      </w:r>
    </w:p>
    <w:p w14:paraId="2B2FEFAF" w14:textId="77777777" w:rsidR="002005CD" w:rsidRDefault="002005CD" w:rsidP="00F45E39">
      <w:pPr>
        <w:ind w:left="720"/>
        <w:rPr>
          <w:highlight w:val="green"/>
        </w:rPr>
      </w:pPr>
      <w:proofErr w:type="spellStart"/>
      <w:r w:rsidRPr="00790F8D">
        <w:rPr>
          <w:i/>
        </w:rPr>
        <w:lastRenderedPageBreak/>
        <w:t>Nucala</w:t>
      </w:r>
      <w:proofErr w:type="spellEnd"/>
      <w:r w:rsidRPr="00790F8D">
        <w:rPr>
          <w:i/>
        </w:rPr>
        <w:t xml:space="preserve"> is indicated as an add-on treatment for </w:t>
      </w:r>
      <w:r>
        <w:rPr>
          <w:i/>
        </w:rPr>
        <w:t xml:space="preserve">severe </w:t>
      </w:r>
      <w:r w:rsidRPr="00D25369">
        <w:rPr>
          <w:i/>
        </w:rPr>
        <w:t xml:space="preserve">relapsing or refractory Eosinophilic Granulomatosis with </w:t>
      </w:r>
      <w:proofErr w:type="spellStart"/>
      <w:r w:rsidRPr="00D25369">
        <w:rPr>
          <w:i/>
        </w:rPr>
        <w:t>Polyangiitis</w:t>
      </w:r>
      <w:proofErr w:type="spellEnd"/>
      <w:r w:rsidRPr="00D25369">
        <w:rPr>
          <w:i/>
        </w:rPr>
        <w:t xml:space="preserve"> (EGPA)</w:t>
      </w:r>
      <w:r>
        <w:rPr>
          <w:i/>
        </w:rPr>
        <w:t xml:space="preserve"> with </w:t>
      </w:r>
      <w:r w:rsidRPr="00790F8D">
        <w:rPr>
          <w:i/>
        </w:rPr>
        <w:t xml:space="preserve">a blood eosinophil count </w:t>
      </w:r>
      <w:r>
        <w:rPr>
          <w:i/>
        </w:rPr>
        <w:t xml:space="preserve">≥ </w:t>
      </w:r>
      <w:r w:rsidRPr="00790F8D">
        <w:rPr>
          <w:i/>
        </w:rPr>
        <w:t>150 cells/</w:t>
      </w:r>
      <w:r>
        <w:rPr>
          <w:i/>
        </w:rPr>
        <w:t>µ</w:t>
      </w:r>
      <w:r w:rsidRPr="00790F8D">
        <w:rPr>
          <w:i/>
        </w:rPr>
        <w:t>L at initiation of treatment</w:t>
      </w:r>
      <w:r>
        <w:rPr>
          <w:i/>
        </w:rPr>
        <w:t xml:space="preserve"> (CLINICAL TRIALS)</w:t>
      </w:r>
    </w:p>
    <w:p w14:paraId="690AE24A" w14:textId="77777777" w:rsidR="00624472" w:rsidRDefault="002005CD" w:rsidP="00F45E39">
      <w:r w:rsidRPr="002A7A46">
        <w:t>The sponsor is asked to comment</w:t>
      </w:r>
      <w:r w:rsidR="00624472">
        <w:t>.</w:t>
      </w:r>
    </w:p>
    <w:p w14:paraId="6198294A" w14:textId="77777777" w:rsidR="002005CD" w:rsidRDefault="00F45E39" w:rsidP="00F45E39">
      <w:pPr>
        <w:pStyle w:val="Heading6"/>
        <w:rPr>
          <w:lang w:eastAsia="ja-JP"/>
        </w:rPr>
      </w:pPr>
      <w:r>
        <w:rPr>
          <w:lang w:eastAsia="ja-JP"/>
        </w:rPr>
        <w:t>Sponsor’s response</w:t>
      </w:r>
    </w:p>
    <w:p w14:paraId="2574F81E" w14:textId="77777777" w:rsidR="00F45E39" w:rsidRPr="00F45E39" w:rsidRDefault="00F45E39" w:rsidP="00F45E39">
      <w:pPr>
        <w:rPr>
          <w:lang w:eastAsia="ja-JP"/>
        </w:rPr>
      </w:pPr>
      <w:r w:rsidRPr="005E6858">
        <w:rPr>
          <w:lang w:eastAsia="ja-JP"/>
        </w:rPr>
        <w:t>The sponsor confirmed that t</w:t>
      </w:r>
      <w:r w:rsidRPr="005E6858">
        <w:t xml:space="preserve">here was a greater accrued time in remission in the </w:t>
      </w:r>
      <w:proofErr w:type="spellStart"/>
      <w:r w:rsidRPr="005E6858">
        <w:t>mepolizumab</w:t>
      </w:r>
      <w:proofErr w:type="spellEnd"/>
      <w:r w:rsidRPr="005E6858">
        <w:t xml:space="preserve"> group compared with placebo, in subjects with a baseline blood eosin</w:t>
      </w:r>
      <w:r w:rsidR="00B45264">
        <w:t xml:space="preserve">ophil count </w:t>
      </w:r>
      <w:r w:rsidRPr="005E6858">
        <w:t>≥</w:t>
      </w:r>
      <w:r w:rsidR="00B45264">
        <w:t xml:space="preserve"> </w:t>
      </w:r>
      <w:r w:rsidRPr="005E6858">
        <w:t>150 cells/</w:t>
      </w:r>
      <w:proofErr w:type="spellStart"/>
      <w:r w:rsidRPr="005E6858">
        <w:t>μL</w:t>
      </w:r>
      <w:proofErr w:type="spellEnd"/>
      <w:r w:rsidRPr="005E6858">
        <w:t xml:space="preserve">. However, the sponsor </w:t>
      </w:r>
      <w:r>
        <w:t>argued</w:t>
      </w:r>
      <w:r w:rsidRPr="005E6858">
        <w:t xml:space="preserve"> that the selection of the cut</w:t>
      </w:r>
      <w:r w:rsidR="00B45264">
        <w:t xml:space="preserve"> </w:t>
      </w:r>
      <w:r w:rsidRPr="005E6858">
        <w:t xml:space="preserve">off of </w:t>
      </w:r>
      <w:r w:rsidR="00B45264">
        <w:rPr>
          <w:lang w:eastAsia="ja-JP"/>
        </w:rPr>
        <w:t>150 </w:t>
      </w:r>
      <w:r w:rsidRPr="005E6858">
        <w:rPr>
          <w:lang w:eastAsia="ja-JP"/>
        </w:rPr>
        <w:t xml:space="preserve">cells/µL </w:t>
      </w:r>
      <w:r w:rsidR="00B45264">
        <w:rPr>
          <w:lang w:eastAsia="ja-JP"/>
        </w:rPr>
        <w:t xml:space="preserve">for the sub </w:t>
      </w:r>
      <w:r w:rsidRPr="00F45E39">
        <w:rPr>
          <w:lang w:eastAsia="ja-JP"/>
        </w:rPr>
        <w:t xml:space="preserve">group analysis was </w:t>
      </w:r>
      <w:r w:rsidR="00126A5E">
        <w:rPr>
          <w:lang w:eastAsia="ja-JP"/>
        </w:rPr>
        <w:t>‘</w:t>
      </w:r>
      <w:r w:rsidRPr="00F45E39">
        <w:rPr>
          <w:lang w:eastAsia="ja-JP"/>
        </w:rPr>
        <w:t>arbitrary</w:t>
      </w:r>
      <w:r w:rsidR="00126A5E">
        <w:rPr>
          <w:lang w:eastAsia="ja-JP"/>
        </w:rPr>
        <w:t>’</w:t>
      </w:r>
      <w:r w:rsidRPr="00F45E39">
        <w:rPr>
          <w:lang w:eastAsia="ja-JP"/>
        </w:rPr>
        <w:t xml:space="preserve"> although based on prior studies in severe asthma, and states that </w:t>
      </w:r>
      <w:r w:rsidR="00126A5E">
        <w:rPr>
          <w:lang w:eastAsia="ja-JP"/>
        </w:rPr>
        <w:t>‘</w:t>
      </w:r>
      <w:r w:rsidRPr="00F45E39">
        <w:t xml:space="preserve">Subsequent </w:t>
      </w:r>
      <w:r w:rsidRPr="00F45E39">
        <w:rPr>
          <w:rFonts w:eastAsia="TimesNewRoman,Italic" w:cs="TimesNewRoman,Italic"/>
          <w:iCs/>
        </w:rPr>
        <w:t xml:space="preserve">post hoc </w:t>
      </w:r>
      <w:r w:rsidRPr="00F45E39">
        <w:t xml:space="preserve">modelling work showed increased efficacy with increasing baseline </w:t>
      </w:r>
      <w:r w:rsidR="00B45264" w:rsidRPr="005E6858">
        <w:t>blood eosin</w:t>
      </w:r>
      <w:r w:rsidR="00B45264">
        <w:t>ophil count</w:t>
      </w:r>
      <w:r w:rsidRPr="00F45E39">
        <w:t xml:space="preserve"> on a continuous scale, but did not define a particular subgroup of patients with loss of efficacy based on a threshold </w:t>
      </w:r>
      <w:r w:rsidR="00B45264" w:rsidRPr="005E6858">
        <w:t>blood eosin</w:t>
      </w:r>
      <w:r w:rsidR="00B45264">
        <w:t>ophil count</w:t>
      </w:r>
      <w:r w:rsidRPr="00F45E39">
        <w:t xml:space="preserve"> value.</w:t>
      </w:r>
      <w:r w:rsidR="00126A5E">
        <w:t>’</w:t>
      </w:r>
    </w:p>
    <w:p w14:paraId="135F5085" w14:textId="77777777" w:rsidR="00B45264" w:rsidRDefault="00F45E39" w:rsidP="00F45E39">
      <w:pPr>
        <w:rPr>
          <w:lang w:eastAsia="ja-JP"/>
        </w:rPr>
      </w:pPr>
      <w:r w:rsidRPr="005E6858">
        <w:rPr>
          <w:lang w:eastAsia="ja-JP"/>
        </w:rPr>
        <w:t xml:space="preserve">The sponsor asserted that although an improvement in remission was not demonstrated in the group with </w:t>
      </w:r>
      <w:r w:rsidR="00B45264" w:rsidRPr="005E6858">
        <w:t>blood eosin</w:t>
      </w:r>
      <w:r w:rsidR="00B45264">
        <w:t>ophil count</w:t>
      </w:r>
      <w:r w:rsidRPr="005E6858">
        <w:rPr>
          <w:lang w:eastAsia="ja-JP"/>
        </w:rPr>
        <w:t xml:space="preserve"> &lt;</w:t>
      </w:r>
      <w:r w:rsidR="00B45264">
        <w:rPr>
          <w:lang w:eastAsia="ja-JP"/>
        </w:rPr>
        <w:t xml:space="preserve"> </w:t>
      </w:r>
      <w:r w:rsidRPr="005E6858">
        <w:rPr>
          <w:lang w:eastAsia="ja-JP"/>
        </w:rPr>
        <w:t xml:space="preserve">150 cells/µL, there was evidence of benefit in this group. This evidence of clinical benefit was said to be shown in a post-hoc analysis of a composite end-point </w:t>
      </w:r>
      <w:r w:rsidR="00B45264">
        <w:rPr>
          <w:lang w:eastAsia="ja-JP"/>
        </w:rPr>
        <w:t>of 3 end-points from the study:</w:t>
      </w:r>
    </w:p>
    <w:p w14:paraId="4AA0CBF1" w14:textId="77777777" w:rsidR="00B45264" w:rsidRDefault="00B45264" w:rsidP="00B45264">
      <w:pPr>
        <w:pStyle w:val="Numberbullet0"/>
        <w:numPr>
          <w:ilvl w:val="0"/>
          <w:numId w:val="43"/>
        </w:numPr>
      </w:pPr>
      <w:r>
        <w:t>R</w:t>
      </w:r>
      <w:r w:rsidR="00F45E39" w:rsidRPr="005E6858">
        <w:t>emission at any time during</w:t>
      </w:r>
      <w:r>
        <w:t xml:space="preserve"> the study period (Weeks 1 to 52).</w:t>
      </w:r>
    </w:p>
    <w:p w14:paraId="15BCBD49" w14:textId="77777777" w:rsidR="00B45264" w:rsidRDefault="00B45264" w:rsidP="00B45264">
      <w:pPr>
        <w:pStyle w:val="Numberbullet0"/>
        <w:numPr>
          <w:ilvl w:val="0"/>
          <w:numId w:val="43"/>
        </w:numPr>
      </w:pPr>
      <w:r>
        <w:t>A</w:t>
      </w:r>
      <w:r w:rsidR="00F45E39" w:rsidRPr="005E6858">
        <w:t xml:space="preserve"> ≥</w:t>
      </w:r>
      <w:r>
        <w:t xml:space="preserve"> </w:t>
      </w:r>
      <w:r w:rsidR="00F45E39" w:rsidRPr="005E6858">
        <w:t>50% reduction in average oral glucocortico</w:t>
      </w:r>
      <w:r>
        <w:t>id dose during Weeks 48–52.</w:t>
      </w:r>
    </w:p>
    <w:p w14:paraId="04B6601B" w14:textId="77777777" w:rsidR="00B45264" w:rsidRDefault="00B45264" w:rsidP="00B45264">
      <w:pPr>
        <w:pStyle w:val="Numberbullet0"/>
        <w:numPr>
          <w:ilvl w:val="0"/>
          <w:numId w:val="43"/>
        </w:numPr>
      </w:pPr>
      <w:r>
        <w:t>N</w:t>
      </w:r>
      <w:r w:rsidR="00F45E39" w:rsidRPr="005E6858">
        <w:t>o relapses of EGPA d</w:t>
      </w:r>
      <w:r>
        <w:t xml:space="preserve">uring the study period (Weeks 1 to </w:t>
      </w:r>
      <w:r w:rsidR="00F45E39" w:rsidRPr="005E6858">
        <w:t>52).</w:t>
      </w:r>
    </w:p>
    <w:p w14:paraId="6391A354" w14:textId="77777777" w:rsidR="00F45E39" w:rsidRDefault="00F45E39" w:rsidP="00F45E39">
      <w:r>
        <w:t xml:space="preserve">The results </w:t>
      </w:r>
      <w:r w:rsidR="00B45264">
        <w:t xml:space="preserve">of this analysis are shown in </w:t>
      </w:r>
      <w:r w:rsidR="00B45264">
        <w:fldChar w:fldCharType="begin"/>
      </w:r>
      <w:r w:rsidR="00B45264">
        <w:instrText xml:space="preserve"> REF _Ref15975372 \h </w:instrText>
      </w:r>
      <w:r w:rsidR="00B45264">
        <w:fldChar w:fldCharType="separate"/>
      </w:r>
      <w:r w:rsidR="00126A5E">
        <w:t xml:space="preserve">Table </w:t>
      </w:r>
      <w:r w:rsidR="00126A5E">
        <w:rPr>
          <w:noProof/>
        </w:rPr>
        <w:t>19</w:t>
      </w:r>
      <w:r w:rsidR="00B45264">
        <w:fldChar w:fldCharType="end"/>
      </w:r>
      <w:r>
        <w:t>.</w:t>
      </w:r>
    </w:p>
    <w:p w14:paraId="6533BE35" w14:textId="77777777" w:rsidR="00B45264" w:rsidRDefault="00B45264" w:rsidP="00B45264">
      <w:pPr>
        <w:pStyle w:val="TableTitle"/>
      </w:pPr>
      <w:bookmarkStart w:id="174" w:name="_Ref15975372"/>
      <w:r>
        <w:t xml:space="preserve">Table </w:t>
      </w:r>
      <w:r w:rsidR="00C33647">
        <w:rPr>
          <w:noProof/>
        </w:rPr>
        <w:fldChar w:fldCharType="begin"/>
      </w:r>
      <w:r w:rsidR="00C33647">
        <w:rPr>
          <w:noProof/>
        </w:rPr>
        <w:instrText xml:space="preserve"> SEQ Table \* ARABIC </w:instrText>
      </w:r>
      <w:r w:rsidR="00C33647">
        <w:rPr>
          <w:noProof/>
        </w:rPr>
        <w:fldChar w:fldCharType="separate"/>
      </w:r>
      <w:r w:rsidR="00126A5E">
        <w:rPr>
          <w:noProof/>
        </w:rPr>
        <w:t>19</w:t>
      </w:r>
      <w:r w:rsidR="00C33647">
        <w:rPr>
          <w:noProof/>
        </w:rPr>
        <w:fldChar w:fldCharType="end"/>
      </w:r>
      <w:bookmarkEnd w:id="174"/>
      <w:r>
        <w:t>: Summary of clinical benefit in subgroups of interest (based on remission defined as BVAS = 0 and OCS dose ≤4 mg/day), Study MEA115921, safety population</w:t>
      </w:r>
    </w:p>
    <w:p w14:paraId="0D14D84A" w14:textId="77777777" w:rsidR="00F45E39" w:rsidRDefault="00B45264" w:rsidP="00F45E39">
      <w:pPr>
        <w:rPr>
          <w:rFonts w:eastAsia="TimesNewRoman" w:cs="TimesNewRoman"/>
        </w:rPr>
      </w:pPr>
      <w:r>
        <w:rPr>
          <w:noProof/>
          <w:lang w:eastAsia="en-AU"/>
        </w:rPr>
        <w:drawing>
          <wp:inline distT="0" distB="0" distL="0" distR="0" wp14:anchorId="3C7982D0" wp14:editId="1C9C2840">
            <wp:extent cx="5194998" cy="1960334"/>
            <wp:effectExtent l="0" t="0" r="5715" b="1905"/>
            <wp:docPr id="28" name="Picture 28" descr="Summary of clinical benefit in subgroups of interest (based on remission defined as BVAS = 0 and OCS dose ≤4 mg/day), Study MEA115921,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94085" cy="1959990"/>
                    </a:xfrm>
                    <a:prstGeom prst="rect">
                      <a:avLst/>
                    </a:prstGeom>
                  </pic:spPr>
                </pic:pic>
              </a:graphicData>
            </a:graphic>
          </wp:inline>
        </w:drawing>
      </w:r>
    </w:p>
    <w:p w14:paraId="73BA4AF9" w14:textId="77777777" w:rsidR="00B45264" w:rsidRDefault="00B45264" w:rsidP="00B45264">
      <w:pPr>
        <w:pStyle w:val="TableDescription"/>
      </w:pPr>
      <w:r>
        <w:t>BEC = blood eosinophil counts</w:t>
      </w:r>
    </w:p>
    <w:p w14:paraId="4CDB2639" w14:textId="77777777" w:rsidR="00F45E39" w:rsidRDefault="00F45E39" w:rsidP="00F45E39">
      <w:r>
        <w:t xml:space="preserve">The sponsor has argued against the inclusion of a threshold baseline blood eosinophil level in the indication on the basis that this may prevent patients with more severe disease (as shown by higher OCS dose and lower </w:t>
      </w:r>
      <w:r w:rsidR="00B45264">
        <w:t>blood eosinophil count</w:t>
      </w:r>
      <w:r>
        <w:t xml:space="preserve">) from accessing </w:t>
      </w:r>
      <w:proofErr w:type="spellStart"/>
      <w:r>
        <w:t>mepolizumab</w:t>
      </w:r>
      <w:proofErr w:type="spellEnd"/>
      <w:r>
        <w:t xml:space="preserve"> or that such patients may have their current treatments reduced such that the </w:t>
      </w:r>
      <w:r w:rsidR="00B45264">
        <w:t>blood eosinophil count</w:t>
      </w:r>
      <w:r>
        <w:t xml:space="preserve"> increases so as to qualify for treatment.</w:t>
      </w:r>
    </w:p>
    <w:p w14:paraId="0E56249D" w14:textId="77777777" w:rsidR="00F45E39" w:rsidRDefault="00F45E39" w:rsidP="00F45E39">
      <w:pPr>
        <w:pStyle w:val="Heading6"/>
        <w:rPr>
          <w:lang w:eastAsia="ja-JP"/>
        </w:rPr>
      </w:pPr>
      <w:r>
        <w:rPr>
          <w:lang w:eastAsia="ja-JP"/>
        </w:rPr>
        <w:t>Evaluation of response</w:t>
      </w:r>
    </w:p>
    <w:p w14:paraId="19C74E97" w14:textId="77777777" w:rsidR="00F45E39" w:rsidRPr="00D5722D" w:rsidRDefault="00F45E39" w:rsidP="00F45E39">
      <w:pPr>
        <w:rPr>
          <w:lang w:eastAsia="ja-JP"/>
        </w:rPr>
      </w:pPr>
      <w:r w:rsidRPr="00C36355">
        <w:rPr>
          <w:lang w:eastAsia="ja-JP"/>
        </w:rPr>
        <w:t>The evaluator notes the sponsor’s acknowledgement that t</w:t>
      </w:r>
      <w:r w:rsidR="00B45264">
        <w:t>he threshold blood eosinophil count value of 150 cells/</w:t>
      </w:r>
      <w:proofErr w:type="spellStart"/>
      <w:r w:rsidRPr="00C36355">
        <w:t>μL</w:t>
      </w:r>
      <w:proofErr w:type="spellEnd"/>
      <w:r w:rsidRPr="00C36355">
        <w:t xml:space="preserve"> was based on previous studies in severe asthma patients</w:t>
      </w:r>
      <w:r>
        <w:t xml:space="preserve"> and that this analysis was part of</w:t>
      </w:r>
      <w:r w:rsidR="00B45264">
        <w:t xml:space="preserve"> a pre-specified supportive sub</w:t>
      </w:r>
      <w:r>
        <w:t>group analysis fo</w:t>
      </w:r>
      <w:r w:rsidR="00B45264">
        <w:t>r the primary outcome measures</w:t>
      </w:r>
      <w:r w:rsidRPr="00C36355">
        <w:t xml:space="preserve">. The evaluator </w:t>
      </w:r>
      <w:r w:rsidRPr="00C36355">
        <w:rPr>
          <w:lang w:eastAsia="ja-JP"/>
        </w:rPr>
        <w:t>does not consider that post hoc analyses using arbitrarily selected composite endpoints are sufficient to demonstrate efficacy</w:t>
      </w:r>
      <w:r>
        <w:rPr>
          <w:lang w:eastAsia="ja-JP"/>
        </w:rPr>
        <w:t xml:space="preserve"> or clinical benefit</w:t>
      </w:r>
      <w:r w:rsidRPr="00C36355">
        <w:rPr>
          <w:lang w:eastAsia="ja-JP"/>
        </w:rPr>
        <w:t xml:space="preserve"> in this pre</w:t>
      </w:r>
      <w:r w:rsidR="00B45264">
        <w:rPr>
          <w:lang w:eastAsia="ja-JP"/>
        </w:rPr>
        <w:t>-</w:t>
      </w:r>
      <w:r w:rsidRPr="00C36355">
        <w:rPr>
          <w:lang w:eastAsia="ja-JP"/>
        </w:rPr>
        <w:t>specified subgroup</w:t>
      </w:r>
      <w:r>
        <w:rPr>
          <w:lang w:eastAsia="ja-JP"/>
        </w:rPr>
        <w:t xml:space="preserve"> and recommends that this cut</w:t>
      </w:r>
      <w:r w:rsidR="00B45264">
        <w:rPr>
          <w:lang w:eastAsia="ja-JP"/>
        </w:rPr>
        <w:t xml:space="preserve"> </w:t>
      </w:r>
      <w:r>
        <w:rPr>
          <w:lang w:eastAsia="ja-JP"/>
        </w:rPr>
        <w:t xml:space="preserve">off of 150 </w:t>
      </w:r>
      <w:r w:rsidR="00B45264">
        <w:t>cells/</w:t>
      </w:r>
      <w:proofErr w:type="spellStart"/>
      <w:r>
        <w:t>μL</w:t>
      </w:r>
      <w:proofErr w:type="spellEnd"/>
      <w:r>
        <w:rPr>
          <w:lang w:eastAsia="ja-JP"/>
        </w:rPr>
        <w:t xml:space="preserve"> be </w:t>
      </w:r>
      <w:r>
        <w:rPr>
          <w:lang w:eastAsia="ja-JP"/>
        </w:rPr>
        <w:lastRenderedPageBreak/>
        <w:t>included in the indication</w:t>
      </w:r>
      <w:r w:rsidRPr="00C36355">
        <w:rPr>
          <w:lang w:eastAsia="ja-JP"/>
        </w:rPr>
        <w:t xml:space="preserve">. </w:t>
      </w:r>
      <w:r>
        <w:rPr>
          <w:lang w:eastAsia="ja-JP"/>
        </w:rPr>
        <w:t>The results of the sub-group analysis should also be included in the Clinical Trials description in the PI.</w:t>
      </w:r>
    </w:p>
    <w:p w14:paraId="0E1EA923" w14:textId="77777777" w:rsidR="002005CD" w:rsidRPr="00A51C94" w:rsidRDefault="002005CD" w:rsidP="00A51C94">
      <w:pPr>
        <w:pStyle w:val="Heading5"/>
      </w:pPr>
      <w:bookmarkStart w:id="175" w:name="_Ref504036643"/>
      <w:bookmarkStart w:id="176" w:name="_Toc272414705"/>
      <w:bookmarkStart w:id="177" w:name="_Toc290888571"/>
      <w:bookmarkStart w:id="178" w:name="_Toc416353787"/>
      <w:bookmarkStart w:id="179" w:name="_Toc421005327"/>
      <w:bookmarkStart w:id="180" w:name="_Toc432079198"/>
      <w:bookmarkStart w:id="181" w:name="_Toc432080771"/>
      <w:r w:rsidRPr="00A51C94">
        <w:t>Question</w:t>
      </w:r>
      <w:r w:rsidR="00F45E39" w:rsidRPr="00A51C94">
        <w:t xml:space="preserve"> 9: R</w:t>
      </w:r>
      <w:r w:rsidRPr="00A51C94">
        <w:t xml:space="preserve">ebound effect following cessation of </w:t>
      </w:r>
      <w:proofErr w:type="spellStart"/>
      <w:r w:rsidRPr="00A51C94">
        <w:t>mepolizumab</w:t>
      </w:r>
      <w:proofErr w:type="spellEnd"/>
      <w:r w:rsidRPr="00A51C94">
        <w:t xml:space="preserve"> in patients with EGPA</w:t>
      </w:r>
      <w:bookmarkEnd w:id="175"/>
    </w:p>
    <w:p w14:paraId="494B529F" w14:textId="77777777" w:rsidR="00624472" w:rsidRPr="00A51C94" w:rsidRDefault="002005CD" w:rsidP="00A51C94">
      <w:pPr>
        <w:rPr>
          <w:b/>
          <w:i/>
        </w:rPr>
      </w:pPr>
      <w:r w:rsidRPr="00A51C94">
        <w:rPr>
          <w:b/>
          <w:i/>
        </w:rPr>
        <w:t>The analysis of the number</w:t>
      </w:r>
      <w:r w:rsidR="00A51C94" w:rsidRPr="00A51C94">
        <w:rPr>
          <w:b/>
          <w:i/>
        </w:rPr>
        <w:t xml:space="preserve"> </w:t>
      </w:r>
      <w:r w:rsidRPr="00A51C94">
        <w:rPr>
          <w:b/>
          <w:i/>
        </w:rPr>
        <w:t>(%) of patients in whom relapse was reported in the t</w:t>
      </w:r>
      <w:r w:rsidR="00A51C94" w:rsidRPr="00A51C94">
        <w:rPr>
          <w:b/>
          <w:i/>
        </w:rPr>
        <w:t xml:space="preserve">reatment and follow-up periods </w:t>
      </w:r>
      <w:r w:rsidRPr="00A51C94">
        <w:rPr>
          <w:b/>
          <w:i/>
        </w:rPr>
        <w:t xml:space="preserve">, together with the plots of the proportion of patients remaining in remission during these phases of the study demonstrate a lack of any sustained effect following cessation of </w:t>
      </w:r>
      <w:proofErr w:type="spellStart"/>
      <w:r w:rsidRPr="00A51C94">
        <w:rPr>
          <w:b/>
          <w:i/>
        </w:rPr>
        <w:t>mepolizumab</w:t>
      </w:r>
      <w:proofErr w:type="spellEnd"/>
      <w:r w:rsidRPr="00A51C94">
        <w:rPr>
          <w:b/>
          <w:i/>
        </w:rPr>
        <w:t xml:space="preserve"> treatment, with the relapse rate in the </w:t>
      </w:r>
      <w:proofErr w:type="spellStart"/>
      <w:r w:rsidRPr="00A51C94">
        <w:rPr>
          <w:b/>
          <w:i/>
        </w:rPr>
        <w:t>mepo</w:t>
      </w:r>
      <w:r w:rsidR="00B45264">
        <w:rPr>
          <w:b/>
          <w:i/>
        </w:rPr>
        <w:t>lizumab</w:t>
      </w:r>
      <w:proofErr w:type="spellEnd"/>
      <w:r w:rsidR="00B45264">
        <w:rPr>
          <w:b/>
          <w:i/>
        </w:rPr>
        <w:t xml:space="preserve"> arm increasing between W</w:t>
      </w:r>
      <w:r w:rsidRPr="00A51C94">
        <w:rPr>
          <w:b/>
          <w:i/>
        </w:rPr>
        <w:t xml:space="preserve">eek 48 and 60. A rebound effect following cessation of </w:t>
      </w:r>
      <w:proofErr w:type="spellStart"/>
      <w:r w:rsidRPr="00A51C94">
        <w:rPr>
          <w:b/>
          <w:i/>
        </w:rPr>
        <w:t>mepolizumab</w:t>
      </w:r>
      <w:proofErr w:type="spellEnd"/>
      <w:r w:rsidRPr="00A51C94">
        <w:rPr>
          <w:b/>
          <w:i/>
        </w:rPr>
        <w:t xml:space="preserve"> is also suggested, given that more patients in the </w:t>
      </w:r>
      <w:proofErr w:type="spellStart"/>
      <w:r w:rsidRPr="00A51C94">
        <w:rPr>
          <w:b/>
          <w:i/>
        </w:rPr>
        <w:t>mepolizumab</w:t>
      </w:r>
      <w:proofErr w:type="spellEnd"/>
      <w:r w:rsidRPr="00A51C94">
        <w:rPr>
          <w:b/>
          <w:i/>
        </w:rPr>
        <w:t xml:space="preserve"> arm experienced a relapse during the follow-up period compared to the placebo arm. The evaluator notes that patients could enter the open labe</w:t>
      </w:r>
      <w:r w:rsidR="00B45264">
        <w:rPr>
          <w:b/>
          <w:i/>
        </w:rPr>
        <w:t>l continuation study (MEA116841/</w:t>
      </w:r>
      <w:r w:rsidRPr="00A51C94">
        <w:rPr>
          <w:b/>
          <w:i/>
        </w:rPr>
        <w:t>201607) up to 6 months after completing (or early withdrawal from) Study MEA115921</w:t>
      </w:r>
      <w:r w:rsidR="00624472" w:rsidRPr="00A51C94">
        <w:rPr>
          <w:b/>
          <w:i/>
        </w:rPr>
        <w:t>.</w:t>
      </w:r>
    </w:p>
    <w:p w14:paraId="69AD6C5C" w14:textId="77777777" w:rsidR="002005CD" w:rsidRPr="00A51C94" w:rsidRDefault="002005CD" w:rsidP="00A51C94">
      <w:pPr>
        <w:rPr>
          <w:b/>
          <w:i/>
        </w:rPr>
      </w:pPr>
      <w:r w:rsidRPr="00A51C94">
        <w:rPr>
          <w:b/>
          <w:i/>
        </w:rPr>
        <w:t>The sponsor is asked:</w:t>
      </w:r>
    </w:p>
    <w:p w14:paraId="3D22F404" w14:textId="77777777" w:rsidR="002005CD" w:rsidRPr="00A51C94" w:rsidRDefault="002005CD" w:rsidP="00A51C94">
      <w:pPr>
        <w:pStyle w:val="Numberbullet0"/>
        <w:numPr>
          <w:ilvl w:val="0"/>
          <w:numId w:val="36"/>
        </w:numPr>
        <w:rPr>
          <w:b/>
          <w:i/>
        </w:rPr>
      </w:pPr>
      <w:r w:rsidRPr="00A51C94">
        <w:rPr>
          <w:b/>
          <w:i/>
        </w:rPr>
        <w:t>To provide a breakdown of relapses that occurred during the follow-up period with this showing the number of subjects in each arm who experienced any relapse and the number in each arm in whom any relapse was considered major</w:t>
      </w:r>
    </w:p>
    <w:p w14:paraId="00F81B31" w14:textId="77777777" w:rsidR="002005CD" w:rsidRPr="00A51C94" w:rsidRDefault="002005CD" w:rsidP="00A51C94">
      <w:pPr>
        <w:pStyle w:val="Numberbullet0"/>
        <w:numPr>
          <w:ilvl w:val="0"/>
          <w:numId w:val="36"/>
        </w:numPr>
        <w:rPr>
          <w:b/>
          <w:i/>
        </w:rPr>
      </w:pPr>
      <w:r w:rsidRPr="00A51C94">
        <w:rPr>
          <w:b/>
          <w:i/>
        </w:rPr>
        <w:t xml:space="preserve">To provide an analysis of the relapses reported in patients from the </w:t>
      </w:r>
      <w:proofErr w:type="spellStart"/>
      <w:r w:rsidRPr="00A51C94">
        <w:rPr>
          <w:b/>
          <w:i/>
        </w:rPr>
        <w:t>mepolizumab</w:t>
      </w:r>
      <w:proofErr w:type="spellEnd"/>
      <w:r w:rsidRPr="00A51C94">
        <w:rPr>
          <w:b/>
          <w:i/>
        </w:rPr>
        <w:t xml:space="preserve"> arm compared to the placebo arm for the period between finish</w:t>
      </w:r>
      <w:r w:rsidR="002B3D99">
        <w:rPr>
          <w:b/>
          <w:i/>
        </w:rPr>
        <w:t>ing Study </w:t>
      </w:r>
      <w:r w:rsidRPr="00A51C94">
        <w:rPr>
          <w:b/>
          <w:i/>
        </w:rPr>
        <w:t xml:space="preserve">MEA115921 and entering the </w:t>
      </w:r>
      <w:r w:rsidR="00B45264">
        <w:rPr>
          <w:b/>
          <w:i/>
        </w:rPr>
        <w:t>Long Term Access Programme</w:t>
      </w:r>
      <w:r w:rsidRPr="00A51C94">
        <w:rPr>
          <w:b/>
          <w:i/>
        </w:rPr>
        <w:t xml:space="preserve"> according to time since last dose of </w:t>
      </w:r>
      <w:proofErr w:type="spellStart"/>
      <w:r w:rsidRPr="00A51C94">
        <w:rPr>
          <w:b/>
          <w:i/>
        </w:rPr>
        <w:t>mepolizumab</w:t>
      </w:r>
      <w:proofErr w:type="spellEnd"/>
      <w:r w:rsidRPr="00A51C94">
        <w:rPr>
          <w:b/>
          <w:i/>
        </w:rPr>
        <w:t>. This analysis should include a breakdown according to all relapses and to major relapses per treatment arm during the follow-up period.</w:t>
      </w:r>
    </w:p>
    <w:p w14:paraId="4937E331" w14:textId="77777777" w:rsidR="002005CD" w:rsidRPr="00A51C94" w:rsidRDefault="002005CD" w:rsidP="00A51C94">
      <w:pPr>
        <w:pStyle w:val="Numberbullet0"/>
        <w:numPr>
          <w:ilvl w:val="0"/>
          <w:numId w:val="36"/>
        </w:numPr>
        <w:rPr>
          <w:b/>
          <w:i/>
        </w:rPr>
      </w:pPr>
      <w:r w:rsidRPr="00A51C94">
        <w:rPr>
          <w:b/>
          <w:i/>
        </w:rPr>
        <w:t xml:space="preserve">If any rebound effects, as shown by any measure of increased disease activity, have been reported in any other </w:t>
      </w:r>
      <w:proofErr w:type="spellStart"/>
      <w:r w:rsidRPr="00A51C94">
        <w:rPr>
          <w:b/>
          <w:i/>
        </w:rPr>
        <w:t>mepolizumab</w:t>
      </w:r>
      <w:proofErr w:type="spellEnd"/>
      <w:r w:rsidRPr="00A51C94">
        <w:rPr>
          <w:b/>
          <w:i/>
        </w:rPr>
        <w:t xml:space="preserve"> studies.</w:t>
      </w:r>
    </w:p>
    <w:p w14:paraId="0013B815" w14:textId="77777777" w:rsidR="002005CD" w:rsidRPr="00A51C94" w:rsidRDefault="002005CD" w:rsidP="00A51C94">
      <w:pPr>
        <w:pStyle w:val="Numberbullet0"/>
        <w:numPr>
          <w:ilvl w:val="0"/>
          <w:numId w:val="36"/>
        </w:numPr>
        <w:rPr>
          <w:b/>
          <w:i/>
        </w:rPr>
      </w:pPr>
      <w:r w:rsidRPr="00A51C94">
        <w:rPr>
          <w:b/>
          <w:i/>
        </w:rPr>
        <w:t xml:space="preserve">To comment on whether a statement regarding possible rebound, with worsening of disease following cessation of </w:t>
      </w:r>
      <w:proofErr w:type="spellStart"/>
      <w:r w:rsidRPr="00A51C94">
        <w:rPr>
          <w:b/>
          <w:i/>
        </w:rPr>
        <w:t>mepolizumab</w:t>
      </w:r>
      <w:proofErr w:type="spellEnd"/>
      <w:r w:rsidRPr="00A51C94">
        <w:rPr>
          <w:b/>
          <w:i/>
        </w:rPr>
        <w:t>, should be included as a Precaution in the PI</w:t>
      </w:r>
    </w:p>
    <w:p w14:paraId="0F899E13" w14:textId="77777777" w:rsidR="00A51C94" w:rsidRDefault="00A51C94" w:rsidP="00A51C94">
      <w:pPr>
        <w:pStyle w:val="Heading6"/>
      </w:pPr>
      <w:r>
        <w:t>Sponsors response</w:t>
      </w:r>
    </w:p>
    <w:p w14:paraId="2D820B55" w14:textId="766CD597" w:rsidR="00A51C94" w:rsidRDefault="00A51C94" w:rsidP="00A51C94">
      <w:pPr>
        <w:rPr>
          <w:lang w:eastAsia="ja-JP"/>
        </w:rPr>
      </w:pPr>
      <w:r>
        <w:rPr>
          <w:lang w:eastAsia="ja-JP"/>
        </w:rPr>
        <w:t xml:space="preserve">The sponsor acknowledged that a higher proportion of </w:t>
      </w:r>
      <w:proofErr w:type="spellStart"/>
      <w:r>
        <w:rPr>
          <w:lang w:eastAsia="ja-JP"/>
        </w:rPr>
        <w:t>mepolizumab</w:t>
      </w:r>
      <w:proofErr w:type="spellEnd"/>
      <w:r>
        <w:rPr>
          <w:lang w:eastAsia="ja-JP"/>
        </w:rPr>
        <w:t xml:space="preserve"> patients compared to placebo patients experi</w:t>
      </w:r>
      <w:r w:rsidR="00B45264">
        <w:rPr>
          <w:lang w:eastAsia="ja-JP"/>
        </w:rPr>
        <w:t xml:space="preserve">enced relapse during the follow </w:t>
      </w:r>
      <w:r>
        <w:rPr>
          <w:lang w:eastAsia="ja-JP"/>
        </w:rPr>
        <w:t xml:space="preserve">up period in Study MEA115921. This was attributed to the </w:t>
      </w:r>
      <w:proofErr w:type="spellStart"/>
      <w:r>
        <w:rPr>
          <w:lang w:eastAsia="ja-JP"/>
        </w:rPr>
        <w:t>me</w:t>
      </w:r>
      <w:r w:rsidR="00B45264">
        <w:rPr>
          <w:lang w:eastAsia="ja-JP"/>
        </w:rPr>
        <w:t>polizumab</w:t>
      </w:r>
      <w:proofErr w:type="spellEnd"/>
      <w:r w:rsidR="00B45264">
        <w:rPr>
          <w:lang w:eastAsia="ja-JP"/>
        </w:rPr>
        <w:t xml:space="preserve"> patients being </w:t>
      </w:r>
      <w:r w:rsidR="00126A5E">
        <w:rPr>
          <w:lang w:eastAsia="ja-JP"/>
        </w:rPr>
        <w:t>‘</w:t>
      </w:r>
      <w:r w:rsidR="00B45264">
        <w:rPr>
          <w:lang w:eastAsia="ja-JP"/>
        </w:rPr>
        <w:t xml:space="preserve">under </w:t>
      </w:r>
      <w:r>
        <w:rPr>
          <w:lang w:eastAsia="ja-JP"/>
        </w:rPr>
        <w:t>treated</w:t>
      </w:r>
      <w:r w:rsidR="00126A5E">
        <w:rPr>
          <w:lang w:eastAsia="ja-JP"/>
        </w:rPr>
        <w:t>’</w:t>
      </w:r>
      <w:r>
        <w:rPr>
          <w:lang w:eastAsia="ja-JP"/>
        </w:rPr>
        <w:t xml:space="preserve"> compared to the placebo patients on the basis that the </w:t>
      </w:r>
      <w:proofErr w:type="spellStart"/>
      <w:r>
        <w:rPr>
          <w:lang w:eastAsia="ja-JP"/>
        </w:rPr>
        <w:t>mepolizumab</w:t>
      </w:r>
      <w:proofErr w:type="spellEnd"/>
      <w:r>
        <w:rPr>
          <w:lang w:eastAsia="ja-JP"/>
        </w:rPr>
        <w:t xml:space="preserve"> patients had a lower OCS dose in general during the last 4 weeks of the treatment period </w:t>
      </w:r>
      <w:r w:rsidRPr="00ED05C7">
        <w:rPr>
          <w:rFonts w:asciiTheme="minorHAnsi" w:hAnsiTheme="minorHAnsi"/>
          <w:lang w:eastAsia="ja-JP"/>
        </w:rPr>
        <w:t>and</w:t>
      </w:r>
      <w:r w:rsidRPr="00ED05C7">
        <w:rPr>
          <w:rFonts w:asciiTheme="minorHAnsi" w:eastAsiaTheme="minorHAnsi" w:hAnsiTheme="minorHAnsi" w:cs="Arial"/>
        </w:rPr>
        <w:t xml:space="preserve"> therefore received less </w:t>
      </w:r>
      <w:r w:rsidR="0051271B">
        <w:rPr>
          <w:rFonts w:asciiTheme="minorHAnsi" w:eastAsiaTheme="minorHAnsi" w:hAnsiTheme="minorHAnsi" w:cs="Arial"/>
        </w:rPr>
        <w:t>standard of care</w:t>
      </w:r>
      <w:r w:rsidRPr="00ED05C7">
        <w:rPr>
          <w:rFonts w:asciiTheme="minorHAnsi" w:eastAsiaTheme="minorHAnsi" w:hAnsiTheme="minorHAnsi" w:cs="Arial"/>
        </w:rPr>
        <w:t xml:space="preserve"> treatment (when compared to placebo patients) once </w:t>
      </w:r>
      <w:proofErr w:type="spellStart"/>
      <w:r w:rsidRPr="00ED05C7">
        <w:rPr>
          <w:rFonts w:asciiTheme="minorHAnsi" w:eastAsiaTheme="minorHAnsi" w:hAnsiTheme="minorHAnsi" w:cs="Arial"/>
        </w:rPr>
        <w:t>mepolizumab</w:t>
      </w:r>
      <w:proofErr w:type="spellEnd"/>
      <w:r w:rsidRPr="00ED05C7">
        <w:rPr>
          <w:rFonts w:asciiTheme="minorHAnsi" w:eastAsiaTheme="minorHAnsi" w:hAnsiTheme="minorHAnsi" w:cs="Arial"/>
        </w:rPr>
        <w:t xml:space="preserve"> was discontinued</w:t>
      </w:r>
      <w:r w:rsidRPr="00ED05C7">
        <w:rPr>
          <w:rFonts w:asciiTheme="minorHAnsi" w:hAnsiTheme="minorHAnsi"/>
          <w:lang w:eastAsia="ja-JP"/>
        </w:rPr>
        <w:t>.</w:t>
      </w:r>
      <w:r w:rsidRPr="00ED05C7">
        <w:rPr>
          <w:lang w:eastAsia="ja-JP"/>
        </w:rPr>
        <w:t xml:space="preserve"> </w:t>
      </w:r>
      <w:r>
        <w:rPr>
          <w:lang w:eastAsia="ja-JP"/>
        </w:rPr>
        <w:t xml:space="preserve">According to the sponsor, there was an imbalance of vasculitis relapse that supported this argument of </w:t>
      </w:r>
      <w:r w:rsidR="00126A5E">
        <w:rPr>
          <w:lang w:eastAsia="ja-JP"/>
        </w:rPr>
        <w:t>‘</w:t>
      </w:r>
      <w:r>
        <w:rPr>
          <w:lang w:eastAsia="ja-JP"/>
        </w:rPr>
        <w:t>under treatment</w:t>
      </w:r>
      <w:r w:rsidR="00126A5E">
        <w:rPr>
          <w:lang w:eastAsia="ja-JP"/>
        </w:rPr>
        <w:t>’</w:t>
      </w:r>
      <w:r>
        <w:rPr>
          <w:lang w:eastAsia="ja-JP"/>
        </w:rPr>
        <w:t>.</w:t>
      </w:r>
    </w:p>
    <w:p w14:paraId="70F9877F" w14:textId="77777777" w:rsidR="00A51C94" w:rsidRPr="00C9540E" w:rsidRDefault="00A51C94" w:rsidP="00A51C94">
      <w:r w:rsidRPr="00C9540E">
        <w:t xml:space="preserve">An analysis of the annualised rate of </w:t>
      </w:r>
      <w:r w:rsidR="00B45264">
        <w:t xml:space="preserve">major relapse during the follow </w:t>
      </w:r>
      <w:r w:rsidRPr="00C9540E">
        <w:t xml:space="preserve">up period found that in the </w:t>
      </w:r>
      <w:proofErr w:type="spellStart"/>
      <w:r w:rsidRPr="00C9540E">
        <w:t>mepolizumab</w:t>
      </w:r>
      <w:proofErr w:type="spellEnd"/>
      <w:r w:rsidRPr="00C9540E">
        <w:t xml:space="preserve"> group, the r</w:t>
      </w:r>
      <w:r w:rsidR="00B45264">
        <w:t xml:space="preserve">ate increased during the follow </w:t>
      </w:r>
      <w:r w:rsidRPr="00C9540E">
        <w:t xml:space="preserve">up period, compared to the study treatment period, and </w:t>
      </w:r>
      <w:r w:rsidR="00B45264">
        <w:t xml:space="preserve">the rate ratio of </w:t>
      </w:r>
      <w:proofErr w:type="spellStart"/>
      <w:r w:rsidR="00B45264">
        <w:t>mepolizumab</w:t>
      </w:r>
      <w:proofErr w:type="spellEnd"/>
      <w:r w:rsidR="00B45264">
        <w:t xml:space="preserve"> versus</w:t>
      </w:r>
      <w:r w:rsidRPr="00C9540E">
        <w:t xml:space="preserve"> placebo was 0.92 during the foll</w:t>
      </w:r>
      <w:r w:rsidR="00B45264">
        <w:t>ow up period</w:t>
      </w:r>
      <w:r w:rsidRPr="00C9540E">
        <w:t>.</w:t>
      </w:r>
    </w:p>
    <w:p w14:paraId="2FD0160A" w14:textId="77777777" w:rsidR="00A51C94" w:rsidRPr="00C9540E" w:rsidRDefault="00A51C94" w:rsidP="00A51C94">
      <w:pPr>
        <w:rPr>
          <w:lang w:eastAsia="ja-JP"/>
        </w:rPr>
      </w:pPr>
      <w:r w:rsidRPr="00C9540E">
        <w:rPr>
          <w:lang w:eastAsia="ja-JP"/>
        </w:rPr>
        <w:t xml:space="preserve">The evaluator had asked for an analysis of EGPA relapses during the period of time between patients completing Study </w:t>
      </w:r>
      <w:r w:rsidR="00B45264">
        <w:rPr>
          <w:lang w:eastAsia="ja-JP"/>
        </w:rPr>
        <w:t xml:space="preserve">MEA115921 and entering the long </w:t>
      </w:r>
      <w:r w:rsidRPr="00C9540E">
        <w:rPr>
          <w:lang w:eastAsia="ja-JP"/>
        </w:rPr>
        <w:t>term access programme or compassionate access programme. The sponsor indicated that this was not possible a</w:t>
      </w:r>
      <w:r w:rsidR="00B45264">
        <w:rPr>
          <w:lang w:eastAsia="ja-JP"/>
        </w:rPr>
        <w:t xml:space="preserve">s this data was not collected; </w:t>
      </w:r>
      <w:r w:rsidRPr="00C9540E">
        <w:rPr>
          <w:lang w:eastAsia="ja-JP"/>
        </w:rPr>
        <w:t>data collection in these programmes was limited to safety data only.</w:t>
      </w:r>
    </w:p>
    <w:p w14:paraId="5CEA3DB2" w14:textId="77777777" w:rsidR="00A51C94" w:rsidRPr="00A51C94" w:rsidRDefault="00A51C94" w:rsidP="00A51C94">
      <w:pPr>
        <w:rPr>
          <w:rFonts w:asciiTheme="minorHAnsi" w:hAnsiTheme="minorHAnsi"/>
          <w:lang w:eastAsia="ja-JP"/>
        </w:rPr>
      </w:pPr>
      <w:r w:rsidRPr="00C9540E">
        <w:rPr>
          <w:rFonts w:asciiTheme="minorHAnsi" w:hAnsiTheme="minorHAnsi"/>
          <w:lang w:eastAsia="ja-JP"/>
        </w:rPr>
        <w:t xml:space="preserve">The sponsor stated that </w:t>
      </w:r>
      <w:r w:rsidR="00126A5E">
        <w:rPr>
          <w:rFonts w:asciiTheme="minorHAnsi" w:hAnsiTheme="minorHAnsi"/>
          <w:lang w:eastAsia="ja-JP"/>
        </w:rPr>
        <w:t>‘</w:t>
      </w:r>
      <w:r w:rsidRPr="00A51C94">
        <w:rPr>
          <w:rFonts w:asciiTheme="minorHAnsi" w:hAnsiTheme="minorHAnsi"/>
        </w:rPr>
        <w:t xml:space="preserve">No rebound effect, defined as disease activity higher after cessation of </w:t>
      </w:r>
      <w:proofErr w:type="spellStart"/>
      <w:r w:rsidRPr="00A51C94">
        <w:rPr>
          <w:rFonts w:asciiTheme="minorHAnsi" w:hAnsiTheme="minorHAnsi"/>
        </w:rPr>
        <w:t>mepolizumab</w:t>
      </w:r>
      <w:proofErr w:type="spellEnd"/>
      <w:r w:rsidRPr="00A51C94">
        <w:rPr>
          <w:rFonts w:asciiTheme="minorHAnsi" w:hAnsiTheme="minorHAnsi"/>
        </w:rPr>
        <w:t xml:space="preserve"> treatment than </w:t>
      </w:r>
      <w:r w:rsidR="00126A5E">
        <w:rPr>
          <w:rFonts w:asciiTheme="minorHAnsi" w:hAnsiTheme="minorHAnsi"/>
        </w:rPr>
        <w:t>at Baseline</w:t>
      </w:r>
      <w:r w:rsidRPr="00A51C94">
        <w:rPr>
          <w:rFonts w:asciiTheme="minorHAnsi" w:hAnsiTheme="minorHAnsi"/>
        </w:rPr>
        <w:t xml:space="preserve">, has been observed in any </w:t>
      </w:r>
      <w:proofErr w:type="spellStart"/>
      <w:r w:rsidRPr="00A51C94">
        <w:rPr>
          <w:rFonts w:asciiTheme="minorHAnsi" w:hAnsiTheme="minorHAnsi"/>
        </w:rPr>
        <w:t>mepolizumab</w:t>
      </w:r>
      <w:proofErr w:type="spellEnd"/>
      <w:r w:rsidRPr="00A51C94">
        <w:rPr>
          <w:rFonts w:asciiTheme="minorHAnsi" w:hAnsiTheme="minorHAnsi"/>
        </w:rPr>
        <w:t xml:space="preserve"> program.</w:t>
      </w:r>
      <w:r w:rsidR="00126A5E">
        <w:rPr>
          <w:rFonts w:asciiTheme="minorHAnsi" w:hAnsiTheme="minorHAnsi"/>
        </w:rPr>
        <w:t>’</w:t>
      </w:r>
      <w:r w:rsidRPr="00C9540E">
        <w:rPr>
          <w:rFonts w:asciiTheme="minorHAnsi" w:hAnsiTheme="minorHAnsi"/>
        </w:rPr>
        <w:t xml:space="preserve"> The sponsor </w:t>
      </w:r>
      <w:r>
        <w:rPr>
          <w:rFonts w:asciiTheme="minorHAnsi" w:hAnsiTheme="minorHAnsi"/>
        </w:rPr>
        <w:t>state</w:t>
      </w:r>
      <w:r w:rsidRPr="00C9540E">
        <w:rPr>
          <w:rFonts w:asciiTheme="minorHAnsi" w:hAnsiTheme="minorHAnsi"/>
        </w:rPr>
        <w:t xml:space="preserve">d that during a treatment break of more than 12 </w:t>
      </w:r>
      <w:r w:rsidRPr="00C9540E">
        <w:rPr>
          <w:rFonts w:asciiTheme="minorHAnsi" w:hAnsiTheme="minorHAnsi"/>
        </w:rPr>
        <w:lastRenderedPageBreak/>
        <w:t xml:space="preserve">months between a </w:t>
      </w:r>
      <w:r w:rsidR="00B45264">
        <w:rPr>
          <w:rFonts w:asciiTheme="minorHAnsi" w:eastAsia="TimesNewRoman" w:hAnsiTheme="minorHAnsi" w:cs="TimesNewRoman"/>
        </w:rPr>
        <w:t xml:space="preserve">Phase III placebo </w:t>
      </w:r>
      <w:r w:rsidRPr="00C9540E">
        <w:rPr>
          <w:rFonts w:asciiTheme="minorHAnsi" w:eastAsia="TimesNewRoman" w:hAnsiTheme="minorHAnsi" w:cs="TimesNewRoman"/>
        </w:rPr>
        <w:t>controlled, s</w:t>
      </w:r>
      <w:r w:rsidR="00B45264">
        <w:rPr>
          <w:rFonts w:asciiTheme="minorHAnsi" w:eastAsia="TimesNewRoman" w:hAnsiTheme="minorHAnsi" w:cs="TimesNewRoman"/>
        </w:rPr>
        <w:t xml:space="preserve">evere asthma study and its open </w:t>
      </w:r>
      <w:r w:rsidRPr="00C9540E">
        <w:rPr>
          <w:rFonts w:asciiTheme="minorHAnsi" w:eastAsia="TimesNewRoman" w:hAnsiTheme="minorHAnsi" w:cs="TimesNewRoman"/>
        </w:rPr>
        <w:t>label extension study, there was no increase in asthma exacerbations during the interim period.</w:t>
      </w:r>
    </w:p>
    <w:p w14:paraId="214DBB1F" w14:textId="77777777" w:rsidR="00A51C94" w:rsidRDefault="00A51C94" w:rsidP="00A51C94">
      <w:pPr>
        <w:pStyle w:val="Heading6"/>
      </w:pPr>
      <w:r>
        <w:t>Evaluation of response</w:t>
      </w:r>
    </w:p>
    <w:p w14:paraId="3E10457D" w14:textId="77777777" w:rsidR="00A51C94" w:rsidRDefault="00A51C94" w:rsidP="00A51C94">
      <w:pPr>
        <w:rPr>
          <w:lang w:eastAsia="ja-JP"/>
        </w:rPr>
      </w:pPr>
      <w:r>
        <w:rPr>
          <w:lang w:eastAsia="ja-JP"/>
        </w:rPr>
        <w:t xml:space="preserve">The sponsor has acknowledged the increase in disease activity on cessation of </w:t>
      </w:r>
      <w:proofErr w:type="spellStart"/>
      <w:r>
        <w:rPr>
          <w:lang w:eastAsia="ja-JP"/>
        </w:rPr>
        <w:t>mepolizumab</w:t>
      </w:r>
      <w:proofErr w:type="spellEnd"/>
      <w:r>
        <w:rPr>
          <w:lang w:eastAsia="ja-JP"/>
        </w:rPr>
        <w:t xml:space="preserve"> treatment but has argued that this does not represent a rebound effect, where this is defined as disease activity that is higher than baseline. The sponsor has not presented any analyses comparing disease activity following </w:t>
      </w:r>
      <w:proofErr w:type="spellStart"/>
      <w:r>
        <w:rPr>
          <w:lang w:eastAsia="ja-JP"/>
        </w:rPr>
        <w:t>mepolizumab</w:t>
      </w:r>
      <w:proofErr w:type="spellEnd"/>
      <w:r>
        <w:rPr>
          <w:lang w:eastAsia="ja-JP"/>
        </w:rPr>
        <w:t xml:space="preserve"> cessation to baseline disease activity, although baseline EGPA relapse rate (patient reported) was collected in Study MEA115921.</w:t>
      </w:r>
    </w:p>
    <w:p w14:paraId="1146B337" w14:textId="77777777" w:rsidR="00A51C94" w:rsidRPr="00B45264" w:rsidRDefault="00A51C94" w:rsidP="00A51C94">
      <w:pPr>
        <w:rPr>
          <w:lang w:eastAsia="ja-JP"/>
        </w:rPr>
      </w:pPr>
      <w:r w:rsidRPr="00B45264">
        <w:rPr>
          <w:lang w:eastAsia="ja-JP"/>
        </w:rPr>
        <w:t xml:space="preserve">The analyses presented by the sponsor confirm an increase in disease activity following cessation of </w:t>
      </w:r>
      <w:proofErr w:type="spellStart"/>
      <w:r w:rsidRPr="00B45264">
        <w:rPr>
          <w:lang w:eastAsia="ja-JP"/>
        </w:rPr>
        <w:t>mepolizumab</w:t>
      </w:r>
      <w:proofErr w:type="spellEnd"/>
      <w:r w:rsidRPr="00B45264">
        <w:rPr>
          <w:lang w:eastAsia="ja-JP"/>
        </w:rPr>
        <w:t xml:space="preserve"> and do not exclude that the possibility that this activity is greater than that prior to commencement of </w:t>
      </w:r>
      <w:proofErr w:type="spellStart"/>
      <w:r w:rsidRPr="00B45264">
        <w:rPr>
          <w:lang w:eastAsia="ja-JP"/>
        </w:rPr>
        <w:t>mepolizumab</w:t>
      </w:r>
      <w:proofErr w:type="spellEnd"/>
      <w:r w:rsidRPr="00B45264">
        <w:rPr>
          <w:lang w:eastAsia="ja-JP"/>
        </w:rPr>
        <w:t>.</w:t>
      </w:r>
    </w:p>
    <w:p w14:paraId="6056008C" w14:textId="77777777" w:rsidR="00A51C94" w:rsidRPr="00B45264" w:rsidRDefault="00A51C94" w:rsidP="00A51C94">
      <w:pPr>
        <w:rPr>
          <w:rFonts w:eastAsia="TimesNewRoman" w:cs="TimesNewRoman"/>
        </w:rPr>
      </w:pPr>
      <w:r w:rsidRPr="00B45264">
        <w:rPr>
          <w:lang w:eastAsia="ja-JP"/>
        </w:rPr>
        <w:t xml:space="preserve">The evaluator also notes that the most recent PBRER reports on the completion of the </w:t>
      </w:r>
      <w:r w:rsidRPr="00B45264">
        <w:rPr>
          <w:rFonts w:eastAsia="TimesNewRoman" w:cs="TimesNewRoman"/>
        </w:rPr>
        <w:t>Post Authorisation Safety Study MEA115661, a multi-</w:t>
      </w:r>
      <w:r w:rsidR="00B45264" w:rsidRPr="00B45264">
        <w:rPr>
          <w:rFonts w:eastAsia="TimesNewRoman" w:cs="TimesNewRoman"/>
        </w:rPr>
        <w:t xml:space="preserve">centre, open label, long </w:t>
      </w:r>
      <w:r w:rsidRPr="00B45264">
        <w:rPr>
          <w:rFonts w:eastAsia="TimesNewRoman" w:cs="TimesNewRoman"/>
        </w:rPr>
        <w:t xml:space="preserve">term safety study of </w:t>
      </w:r>
      <w:proofErr w:type="spellStart"/>
      <w:r w:rsidRPr="00B45264">
        <w:rPr>
          <w:rFonts w:eastAsia="TimesNewRoman" w:cs="TimesNewRoman"/>
        </w:rPr>
        <w:t>mepolizumab</w:t>
      </w:r>
      <w:proofErr w:type="spellEnd"/>
      <w:r w:rsidRPr="00B45264">
        <w:rPr>
          <w:rFonts w:eastAsia="TimesNewRoman" w:cs="TimesNewRoman"/>
        </w:rPr>
        <w:t xml:space="preserve"> in asthmatic subjects who participated in the MEA112997 trial. According to the PBRER, there was an increase in disease activity during the interruptio</w:t>
      </w:r>
      <w:r w:rsidR="00B45264" w:rsidRPr="00B45264">
        <w:rPr>
          <w:rFonts w:eastAsia="TimesNewRoman" w:cs="TimesNewRoman"/>
        </w:rPr>
        <w:t xml:space="preserve">n of </w:t>
      </w:r>
      <w:proofErr w:type="spellStart"/>
      <w:r w:rsidR="00B45264" w:rsidRPr="00B45264">
        <w:rPr>
          <w:rFonts w:eastAsia="TimesNewRoman" w:cs="TimesNewRoman"/>
        </w:rPr>
        <w:t>mepolizumab</w:t>
      </w:r>
      <w:proofErr w:type="spellEnd"/>
      <w:r w:rsidR="00B45264" w:rsidRPr="00B45264">
        <w:rPr>
          <w:rFonts w:eastAsia="TimesNewRoman" w:cs="TimesNewRoman"/>
        </w:rPr>
        <w:t xml:space="preserve"> treatment (that is</w:t>
      </w:r>
      <w:r w:rsidRPr="00B45264">
        <w:rPr>
          <w:rFonts w:eastAsia="TimesNewRoman" w:cs="TimesNewRoman"/>
        </w:rPr>
        <w:t xml:space="preserve">, </w:t>
      </w:r>
      <w:r w:rsidR="00B45264" w:rsidRPr="00B45264">
        <w:rPr>
          <w:rFonts w:eastAsia="TimesNewRoman" w:cs="TimesNewRoman"/>
        </w:rPr>
        <w:t xml:space="preserve">the </w:t>
      </w:r>
      <w:r w:rsidRPr="00B45264">
        <w:rPr>
          <w:rFonts w:eastAsia="TimesNewRoman" w:cs="TimesNewRoman"/>
        </w:rPr>
        <w:t xml:space="preserve">gap between MEA112997 and MEA115666). This was described as the interruption </w:t>
      </w:r>
      <w:r w:rsidR="00126A5E">
        <w:rPr>
          <w:rFonts w:eastAsia="TimesNewRoman" w:cs="TimesNewRoman"/>
        </w:rPr>
        <w:t>‘</w:t>
      </w:r>
      <w:r w:rsidRPr="00B45264">
        <w:rPr>
          <w:rFonts w:eastAsia="TimesNewRoman" w:cs="TimesNewRoman"/>
        </w:rPr>
        <w:t>allowed the subject’s disease to revert with increased eosinophils and exacerbations during this period</w:t>
      </w:r>
      <w:r w:rsidR="00126A5E">
        <w:rPr>
          <w:rFonts w:eastAsia="TimesNewRoman" w:cs="TimesNewRoman"/>
        </w:rPr>
        <w:t>’</w:t>
      </w:r>
      <w:r w:rsidRPr="00B45264">
        <w:rPr>
          <w:rFonts w:eastAsia="TimesNewRoman" w:cs="TimesNewRoman"/>
        </w:rPr>
        <w:t xml:space="preserve">. An analysis that compared baseline disease activity to disease activity during the interruption period was not described. The PBRER states that </w:t>
      </w:r>
      <w:r w:rsidR="00126A5E">
        <w:rPr>
          <w:rFonts w:eastAsia="TimesNewRoman" w:cs="TimesNewRoman"/>
        </w:rPr>
        <w:t>‘</w:t>
      </w:r>
      <w:r w:rsidRPr="00B45264">
        <w:rPr>
          <w:rFonts w:eastAsia="ArialNarrow" w:cs="ArialNarrow"/>
        </w:rPr>
        <w:t>There were no verbatim reports of ‘rebound’ of disease</w:t>
      </w:r>
      <w:r w:rsidR="00126A5E">
        <w:rPr>
          <w:rFonts w:eastAsia="ArialNarrow" w:cs="ArialNarrow"/>
        </w:rPr>
        <w:t>’</w:t>
      </w:r>
      <w:r w:rsidRPr="00B45264">
        <w:rPr>
          <w:rFonts w:eastAsia="ArialNarrow" w:cs="ArialNarrow"/>
        </w:rPr>
        <w:t>.</w:t>
      </w:r>
    </w:p>
    <w:p w14:paraId="5E5FE435" w14:textId="77777777" w:rsidR="00A51C94" w:rsidRPr="00B45264" w:rsidRDefault="00A51C94" w:rsidP="00A51C94">
      <w:pPr>
        <w:rPr>
          <w:lang w:eastAsia="ja-JP"/>
        </w:rPr>
      </w:pPr>
      <w:r w:rsidRPr="00B45264">
        <w:rPr>
          <w:lang w:eastAsia="ja-JP"/>
        </w:rPr>
        <w:t xml:space="preserve">The increase in disease activity, with possibility of rebound, on treatment interruption or cessation, is clinically important information that should be included in the PI as it indicates a need for increased vigilance following </w:t>
      </w:r>
      <w:proofErr w:type="spellStart"/>
      <w:r w:rsidRPr="00B45264">
        <w:rPr>
          <w:lang w:eastAsia="ja-JP"/>
        </w:rPr>
        <w:t>mepolizumab</w:t>
      </w:r>
      <w:proofErr w:type="spellEnd"/>
      <w:r w:rsidRPr="00B45264">
        <w:rPr>
          <w:lang w:eastAsia="ja-JP"/>
        </w:rPr>
        <w:t xml:space="preserve"> cessation. This increased vigilance could enable early detection and treatment of relapse, thereby addressing the potential for </w:t>
      </w:r>
      <w:r w:rsidR="00126A5E">
        <w:rPr>
          <w:lang w:eastAsia="ja-JP"/>
        </w:rPr>
        <w:t>‘</w:t>
      </w:r>
      <w:r w:rsidRPr="00B45264">
        <w:rPr>
          <w:lang w:eastAsia="ja-JP"/>
        </w:rPr>
        <w:t>under treatment</w:t>
      </w:r>
      <w:r w:rsidR="00126A5E">
        <w:rPr>
          <w:lang w:eastAsia="ja-JP"/>
        </w:rPr>
        <w:t>’</w:t>
      </w:r>
      <w:r w:rsidRPr="00B45264">
        <w:rPr>
          <w:lang w:eastAsia="ja-JP"/>
        </w:rPr>
        <w:t xml:space="preserve"> raised by the sponsor.</w:t>
      </w:r>
    </w:p>
    <w:p w14:paraId="1FC2ADEE" w14:textId="77777777" w:rsidR="002005CD" w:rsidRPr="00A51C94" w:rsidRDefault="002005CD" w:rsidP="00A51C94">
      <w:pPr>
        <w:pStyle w:val="Heading5"/>
      </w:pPr>
      <w:bookmarkStart w:id="182" w:name="_Ref504060427"/>
      <w:r w:rsidRPr="00A51C94">
        <w:t>Question</w:t>
      </w:r>
      <w:r w:rsidR="00A51C94" w:rsidRPr="00A51C94">
        <w:t xml:space="preserve"> 10</w:t>
      </w:r>
      <w:r w:rsidRPr="00A51C94">
        <w:t>: Efficacy with longer term use</w:t>
      </w:r>
      <w:bookmarkEnd w:id="182"/>
    </w:p>
    <w:p w14:paraId="0A9753CA" w14:textId="77777777" w:rsidR="002005CD" w:rsidRDefault="002005CD" w:rsidP="00A51C94">
      <w:pPr>
        <w:rPr>
          <w:rFonts w:eastAsiaTheme="minorHAnsi"/>
        </w:rPr>
      </w:pPr>
      <w:r>
        <w:rPr>
          <w:lang w:eastAsia="ja-JP"/>
        </w:rPr>
        <w:t xml:space="preserve">The proposed indication and draft PI do not describe a recommended duration of treatment </w:t>
      </w:r>
      <w:r w:rsidR="00B45264">
        <w:rPr>
          <w:lang w:eastAsia="ja-JP"/>
        </w:rPr>
        <w:t xml:space="preserve">with </w:t>
      </w:r>
      <w:proofErr w:type="spellStart"/>
      <w:r w:rsidR="00B45264">
        <w:rPr>
          <w:lang w:eastAsia="ja-JP"/>
        </w:rPr>
        <w:t>mepolizumab</w:t>
      </w:r>
      <w:proofErr w:type="spellEnd"/>
      <w:r w:rsidR="00B45264">
        <w:rPr>
          <w:lang w:eastAsia="ja-JP"/>
        </w:rPr>
        <w:t xml:space="preserve">. For such open </w:t>
      </w:r>
      <w:r>
        <w:rPr>
          <w:lang w:eastAsia="ja-JP"/>
        </w:rPr>
        <w:t xml:space="preserve">ended treatment, some demonstration of efficacy with longer term use is essential. The sponsor is asked to provide an interim </w:t>
      </w:r>
      <w:r>
        <w:t>analysi</w:t>
      </w:r>
      <w:r w:rsidR="00B45264">
        <w:t>s of analysis of efficacy from S</w:t>
      </w:r>
      <w:r>
        <w:t>tudy MEA</w:t>
      </w:r>
      <w:r>
        <w:rPr>
          <w:rFonts w:eastAsiaTheme="minorHAnsi"/>
        </w:rPr>
        <w:t xml:space="preserve">MEA116841/201607 to demonstrate any </w:t>
      </w:r>
      <w:r>
        <w:t>longer</w:t>
      </w:r>
      <w:r w:rsidR="00B45264">
        <w:t xml:space="preserve"> </w:t>
      </w:r>
      <w:r>
        <w:t xml:space="preserve">term benefit and to confirm that </w:t>
      </w:r>
      <w:r>
        <w:rPr>
          <w:rFonts w:eastAsiaTheme="minorHAnsi"/>
        </w:rPr>
        <w:t>tolerance does not develop. The analyses could have a similar form as that used in the interim efficacy analyses for the compassionate access program</w:t>
      </w:r>
      <w:r w:rsidR="00F71739">
        <w:rPr>
          <w:rFonts w:eastAsiaTheme="minorHAnsi"/>
        </w:rPr>
        <w:t>me</w:t>
      </w:r>
      <w:r>
        <w:rPr>
          <w:rFonts w:eastAsiaTheme="minorHAnsi"/>
        </w:rPr>
        <w:t xml:space="preserve"> for HES. An analysis of the occurrence of rebound (increased disease activity following cessation of </w:t>
      </w:r>
      <w:proofErr w:type="spellStart"/>
      <w:r>
        <w:rPr>
          <w:rFonts w:eastAsiaTheme="minorHAnsi"/>
        </w:rPr>
        <w:t>mepolizumab</w:t>
      </w:r>
      <w:proofErr w:type="spellEnd"/>
      <w:r>
        <w:rPr>
          <w:rFonts w:eastAsiaTheme="minorHAnsi"/>
        </w:rPr>
        <w:t>) should be included if possible.</w:t>
      </w:r>
    </w:p>
    <w:p w14:paraId="6A761511" w14:textId="77777777" w:rsidR="00A51C94" w:rsidRDefault="00A51C94" w:rsidP="00A51C94">
      <w:pPr>
        <w:pStyle w:val="Heading6"/>
        <w:rPr>
          <w:rFonts w:eastAsiaTheme="minorHAnsi"/>
        </w:rPr>
      </w:pPr>
      <w:r>
        <w:rPr>
          <w:rFonts w:eastAsiaTheme="minorHAnsi"/>
        </w:rPr>
        <w:t>Sponsor’s response</w:t>
      </w:r>
    </w:p>
    <w:p w14:paraId="4F131F37" w14:textId="77777777" w:rsidR="00A51C94" w:rsidRDefault="00A51C94" w:rsidP="00A51C94">
      <w:pPr>
        <w:rPr>
          <w:rFonts w:eastAsiaTheme="minorHAnsi"/>
        </w:rPr>
      </w:pPr>
      <w:r>
        <w:rPr>
          <w:lang w:eastAsia="ja-JP"/>
        </w:rPr>
        <w:t xml:space="preserve">The sponsor </w:t>
      </w:r>
      <w:r w:rsidR="00B45264">
        <w:rPr>
          <w:lang w:eastAsia="ja-JP"/>
        </w:rPr>
        <w:t xml:space="preserve">stated that efficacy end </w:t>
      </w:r>
      <w:r>
        <w:rPr>
          <w:lang w:eastAsia="ja-JP"/>
        </w:rPr>
        <w:t>points were not collected in these programmes.</w:t>
      </w:r>
    </w:p>
    <w:p w14:paraId="2BA16C5B" w14:textId="77777777" w:rsidR="00A51C94" w:rsidRDefault="00A51C94" w:rsidP="00A51C94">
      <w:pPr>
        <w:pStyle w:val="Heading6"/>
        <w:rPr>
          <w:rFonts w:eastAsiaTheme="minorHAnsi"/>
        </w:rPr>
      </w:pPr>
      <w:r>
        <w:rPr>
          <w:rFonts w:eastAsiaTheme="minorHAnsi"/>
        </w:rPr>
        <w:t>Evaluation of response</w:t>
      </w:r>
    </w:p>
    <w:p w14:paraId="6AC69DB2" w14:textId="77777777" w:rsidR="00A51C94" w:rsidRDefault="00A51C94" w:rsidP="00A51C94">
      <w:pPr>
        <w:rPr>
          <w:lang w:eastAsia="ja-JP"/>
        </w:rPr>
      </w:pPr>
      <w:r>
        <w:rPr>
          <w:lang w:eastAsia="ja-JP"/>
        </w:rPr>
        <w:t>It is unfortunate that the opportunity</w:t>
      </w:r>
      <w:r w:rsidR="00B45264">
        <w:rPr>
          <w:lang w:eastAsia="ja-JP"/>
        </w:rPr>
        <w:t xml:space="preserve"> to collect data regarding long term use in the Long Term</w:t>
      </w:r>
      <w:r w:rsidR="009B6D3F">
        <w:rPr>
          <w:lang w:eastAsia="ja-JP"/>
        </w:rPr>
        <w:t xml:space="preserve"> Access Programme/Compassionate Use Programme</w:t>
      </w:r>
      <w:r>
        <w:rPr>
          <w:lang w:eastAsia="ja-JP"/>
        </w:rPr>
        <w:t xml:space="preserve"> was not used by the sponsor. Data regarding efficacy of </w:t>
      </w:r>
      <w:proofErr w:type="spellStart"/>
      <w:r>
        <w:rPr>
          <w:lang w:eastAsia="ja-JP"/>
        </w:rPr>
        <w:t>mepolizumab</w:t>
      </w:r>
      <w:proofErr w:type="spellEnd"/>
      <w:r>
        <w:rPr>
          <w:lang w:eastAsia="ja-JP"/>
        </w:rPr>
        <w:t xml:space="preserve"> in EGPA is limite</w:t>
      </w:r>
      <w:r w:rsidR="009B6D3F">
        <w:rPr>
          <w:lang w:eastAsia="ja-JP"/>
        </w:rPr>
        <w:t>d to a treatment duration of 12 </w:t>
      </w:r>
      <w:r>
        <w:rPr>
          <w:lang w:eastAsia="ja-JP"/>
        </w:rPr>
        <w:t>months in Study MEA115921 al</w:t>
      </w:r>
      <w:r w:rsidR="009B6D3F">
        <w:rPr>
          <w:lang w:eastAsia="ja-JP"/>
        </w:rPr>
        <w:t xml:space="preserve">though the proposed use is open </w:t>
      </w:r>
      <w:r>
        <w:rPr>
          <w:lang w:eastAsia="ja-JP"/>
        </w:rPr>
        <w:t>ended.</w:t>
      </w:r>
    </w:p>
    <w:p w14:paraId="609CB02C" w14:textId="77777777" w:rsidR="00A51C94" w:rsidRPr="00A51C94" w:rsidRDefault="00A51C94" w:rsidP="00A51C94">
      <w:pPr>
        <w:rPr>
          <w:rFonts w:eastAsia="TimesNewRoman" w:cs="TimesNewRoman"/>
        </w:rPr>
      </w:pPr>
      <w:r>
        <w:rPr>
          <w:lang w:eastAsia="ja-JP"/>
        </w:rPr>
        <w:t>The evaluator notes that the most recent PBRER (provided with the sponsor’s response) included some</w:t>
      </w:r>
      <w:r w:rsidR="009B6D3F">
        <w:rPr>
          <w:lang w:eastAsia="ja-JP"/>
        </w:rPr>
        <w:t xml:space="preserve"> new information regarding long </w:t>
      </w:r>
      <w:r>
        <w:rPr>
          <w:lang w:eastAsia="ja-JP"/>
        </w:rPr>
        <w:t>term efficacy in severe asthma. S</w:t>
      </w:r>
      <w:r w:rsidR="009B6D3F">
        <w:rPr>
          <w:rFonts w:eastAsia="TimesNewRoman" w:cs="TimesNewRoman"/>
        </w:rPr>
        <w:t xml:space="preserve">tudy MEA115666, a multi-centre, open label, long </w:t>
      </w:r>
      <w:r>
        <w:rPr>
          <w:rFonts w:eastAsia="TimesNewRoman" w:cs="TimesNewRoman"/>
        </w:rPr>
        <w:t xml:space="preserve">term safety study of </w:t>
      </w:r>
      <w:proofErr w:type="spellStart"/>
      <w:r>
        <w:rPr>
          <w:rFonts w:eastAsia="TimesNewRoman" w:cs="TimesNewRoman"/>
        </w:rPr>
        <w:t>mepolizumab</w:t>
      </w:r>
      <w:proofErr w:type="spellEnd"/>
      <w:r>
        <w:rPr>
          <w:rFonts w:eastAsia="TimesNewRoman" w:cs="TimesNewRoman"/>
        </w:rPr>
        <w:t xml:space="preserve"> in asthmatic subjects who participated in the MEA112997 was completed during the reporting period. Treatment duration was up to 4.5 years. </w:t>
      </w:r>
      <w:r w:rsidRPr="00A51C94">
        <w:rPr>
          <w:rFonts w:eastAsia="TimesNewRoman" w:cs="TimesNewRoman"/>
        </w:rPr>
        <w:t xml:space="preserve">The study synopsis, provided in the PBRER states that </w:t>
      </w:r>
      <w:r w:rsidR="00126A5E">
        <w:rPr>
          <w:rFonts w:eastAsia="TimesNewRoman" w:cs="TimesNewRoman"/>
        </w:rPr>
        <w:t>‘</w:t>
      </w:r>
      <w:r w:rsidRPr="00A51C94">
        <w:rPr>
          <w:rFonts w:eastAsia="TimesNewRoman" w:cs="TimesNewRoman"/>
        </w:rPr>
        <w:t xml:space="preserve">Improvements in asthma control versus baseline (eosinophil count, exacerbation rate and ACQ-5) were seen at the first time point measured and continued </w:t>
      </w:r>
      <w:r w:rsidRPr="00A51C94">
        <w:rPr>
          <w:rFonts w:eastAsia="TimesNewRoman" w:cs="TimesNewRoman"/>
        </w:rPr>
        <w:lastRenderedPageBreak/>
        <w:t xml:space="preserve">throughout the study, with improvements consistent with that seen in previous </w:t>
      </w:r>
      <w:proofErr w:type="spellStart"/>
      <w:r w:rsidRPr="00A51C94">
        <w:rPr>
          <w:rFonts w:eastAsia="TimesNewRoman" w:cs="TimesNewRoman"/>
        </w:rPr>
        <w:t>mepol</w:t>
      </w:r>
      <w:r w:rsidR="00AA026D">
        <w:rPr>
          <w:rFonts w:eastAsia="TimesNewRoman" w:cs="TimesNewRoman"/>
        </w:rPr>
        <w:t>izumab</w:t>
      </w:r>
      <w:proofErr w:type="spellEnd"/>
      <w:r w:rsidR="00AA026D">
        <w:rPr>
          <w:rFonts w:eastAsia="TimesNewRoman" w:cs="TimesNewRoman"/>
        </w:rPr>
        <w:t xml:space="preserve"> severe asthma studies</w:t>
      </w:r>
      <w:r w:rsidR="00126A5E">
        <w:rPr>
          <w:rFonts w:eastAsia="TimesNewRoman" w:cs="TimesNewRoman"/>
        </w:rPr>
        <w:t>’</w:t>
      </w:r>
      <w:r w:rsidR="00AA026D">
        <w:rPr>
          <w:rFonts w:eastAsia="TimesNewRoman" w:cs="TimesNewRoman"/>
        </w:rPr>
        <w:t xml:space="preserve">, </w:t>
      </w:r>
      <w:r w:rsidRPr="00A51C94">
        <w:rPr>
          <w:rFonts w:eastAsia="TimesNewRoman" w:cs="TimesNewRoman"/>
        </w:rPr>
        <w:t xml:space="preserve">summary of the study synopsis is provided </w:t>
      </w:r>
      <w:r>
        <w:rPr>
          <w:rFonts w:eastAsia="TimesNewRoman" w:cs="TimesNewRoman"/>
        </w:rPr>
        <w:t xml:space="preserve">in the clinical evaluation report. </w:t>
      </w:r>
      <w:r w:rsidRPr="00A51C94">
        <w:rPr>
          <w:rFonts w:eastAsia="TimesNewRoman" w:cs="TimesNewRoman"/>
        </w:rPr>
        <w:t>This information regarding long</w:t>
      </w:r>
      <w:r w:rsidR="00AA026D">
        <w:rPr>
          <w:rFonts w:eastAsia="TimesNewRoman" w:cs="TimesNewRoman"/>
        </w:rPr>
        <w:t xml:space="preserve"> </w:t>
      </w:r>
      <w:r w:rsidRPr="00A51C94">
        <w:rPr>
          <w:rFonts w:eastAsia="TimesNewRoman" w:cs="TimesNewRoman"/>
        </w:rPr>
        <w:t xml:space="preserve">term efficacy is reassuring in that it suggests that tolerance dose not develop over time but should be confirmed by evaluation of the </w:t>
      </w:r>
      <w:r w:rsidR="00AA026D">
        <w:rPr>
          <w:rFonts w:eastAsia="TimesNewRoman" w:cs="TimesNewRoman"/>
        </w:rPr>
        <w:t>clinical study report</w:t>
      </w:r>
      <w:r w:rsidRPr="00A51C94">
        <w:rPr>
          <w:rFonts w:eastAsia="TimesNewRoman" w:cs="TimesNewRoman"/>
        </w:rPr>
        <w:t xml:space="preserve">. It is also </w:t>
      </w:r>
      <w:r w:rsidR="00AA026D">
        <w:rPr>
          <w:rFonts w:eastAsia="TimesNewRoman" w:cs="TimesNewRoman"/>
        </w:rPr>
        <w:t xml:space="preserve">important to remember that long </w:t>
      </w:r>
      <w:r w:rsidRPr="00A51C94">
        <w:rPr>
          <w:rFonts w:eastAsia="TimesNewRoman" w:cs="TimesNewRoman"/>
        </w:rPr>
        <w:t>term effects in asthma may differ from those in EGPA.</w:t>
      </w:r>
    </w:p>
    <w:p w14:paraId="761F6139" w14:textId="77777777" w:rsidR="002005CD" w:rsidRPr="00E01445" w:rsidRDefault="002005CD" w:rsidP="002005CD">
      <w:pPr>
        <w:pStyle w:val="Heading4"/>
        <w:numPr>
          <w:ilvl w:val="2"/>
          <w:numId w:val="0"/>
        </w:numPr>
        <w:tabs>
          <w:tab w:val="num" w:pos="1134"/>
        </w:tabs>
        <w:adjustRightInd w:val="0"/>
        <w:snapToGrid w:val="0"/>
        <w:spacing w:before="120" w:after="120"/>
        <w:ind w:left="1134" w:hanging="964"/>
      </w:pPr>
      <w:r w:rsidRPr="00E01445">
        <w:t>Safety</w:t>
      </w:r>
      <w:bookmarkEnd w:id="176"/>
      <w:bookmarkEnd w:id="177"/>
      <w:bookmarkEnd w:id="178"/>
      <w:bookmarkEnd w:id="179"/>
      <w:bookmarkEnd w:id="180"/>
      <w:bookmarkEnd w:id="181"/>
    </w:p>
    <w:p w14:paraId="2CE1AE5C" w14:textId="77777777" w:rsidR="002005CD" w:rsidRPr="00A51C94" w:rsidRDefault="002005CD" w:rsidP="00A51C94">
      <w:pPr>
        <w:pStyle w:val="Heading5"/>
      </w:pPr>
      <w:bookmarkStart w:id="183" w:name="_Ref504815692"/>
      <w:r w:rsidRPr="00A51C94">
        <w:t>Question</w:t>
      </w:r>
      <w:r w:rsidR="00A51C94" w:rsidRPr="00A51C94">
        <w:t xml:space="preserve"> 11</w:t>
      </w:r>
      <w:r w:rsidRPr="00A51C94">
        <w:t>: Number of subjects requiring hospitalisation (ICU or general ward)</w:t>
      </w:r>
      <w:bookmarkEnd w:id="183"/>
    </w:p>
    <w:p w14:paraId="68EAD390" w14:textId="77777777" w:rsidR="002005CD" w:rsidRPr="00A51C94" w:rsidRDefault="00126A5E" w:rsidP="00A51C94">
      <w:pPr>
        <w:rPr>
          <w:b/>
          <w:i/>
        </w:rPr>
      </w:pPr>
      <w:r>
        <w:rPr>
          <w:b/>
          <w:i/>
          <w:lang w:eastAsia="ja-JP"/>
        </w:rPr>
        <w:t>[A table]</w:t>
      </w:r>
      <w:r w:rsidR="00AA026D">
        <w:rPr>
          <w:b/>
          <w:i/>
          <w:lang w:eastAsia="ja-JP"/>
        </w:rPr>
        <w:t xml:space="preserve"> in the clinical study report</w:t>
      </w:r>
      <w:r w:rsidR="002005CD" w:rsidRPr="00A51C94">
        <w:rPr>
          <w:b/>
          <w:i/>
          <w:lang w:eastAsia="ja-JP"/>
        </w:rPr>
        <w:t xml:space="preserve"> for Study MEA115921 (and the source table, </w:t>
      </w:r>
      <w:r>
        <w:rPr>
          <w:b/>
          <w:i/>
          <w:lang w:eastAsia="ja-JP"/>
        </w:rPr>
        <w:t>[table]</w:t>
      </w:r>
      <w:r w:rsidR="002005CD" w:rsidRPr="00A51C94">
        <w:rPr>
          <w:b/>
          <w:i/>
          <w:lang w:eastAsia="ja-JP"/>
        </w:rPr>
        <w:t xml:space="preserve">) reports the total number of inpatient hospitalisation days (in </w:t>
      </w:r>
      <w:r w:rsidR="00AA026D">
        <w:rPr>
          <w:b/>
          <w:i/>
          <w:lang w:eastAsia="ja-JP"/>
        </w:rPr>
        <w:t>intensive care unit (</w:t>
      </w:r>
      <w:r w:rsidR="002005CD" w:rsidRPr="00A51C94">
        <w:rPr>
          <w:b/>
          <w:i/>
          <w:lang w:eastAsia="ja-JP"/>
        </w:rPr>
        <w:t>ICU</w:t>
      </w:r>
      <w:r w:rsidR="00AA026D">
        <w:rPr>
          <w:b/>
          <w:i/>
          <w:lang w:eastAsia="ja-JP"/>
        </w:rPr>
        <w:t>)</w:t>
      </w:r>
      <w:r w:rsidR="002005CD" w:rsidRPr="00A51C94">
        <w:rPr>
          <w:b/>
          <w:i/>
          <w:lang w:eastAsia="ja-JP"/>
        </w:rPr>
        <w:t xml:space="preserve"> or general ward) for the </w:t>
      </w:r>
      <w:proofErr w:type="spellStart"/>
      <w:r w:rsidR="002005CD" w:rsidRPr="00A51C94">
        <w:rPr>
          <w:b/>
          <w:i/>
          <w:lang w:eastAsia="ja-JP"/>
        </w:rPr>
        <w:t>mepolizumab</w:t>
      </w:r>
      <w:proofErr w:type="spellEnd"/>
      <w:r w:rsidR="002005CD" w:rsidRPr="00A51C94">
        <w:rPr>
          <w:b/>
          <w:i/>
          <w:lang w:eastAsia="ja-JP"/>
        </w:rPr>
        <w:t xml:space="preserve"> group and the placebo group as a measure of health resource utilisation. This table does not show the number of subjects in each arm who required hospitalisation. T</w:t>
      </w:r>
      <w:r w:rsidR="002005CD" w:rsidRPr="00A51C94">
        <w:rPr>
          <w:b/>
          <w:i/>
        </w:rPr>
        <w:t>he number of subjects requiring hospitalisation and number of subjects requiring ICU admission may provide additional safety information. The sponsor is asked to provide the number of subjects requir</w:t>
      </w:r>
      <w:r w:rsidR="00AA026D">
        <w:rPr>
          <w:b/>
          <w:i/>
        </w:rPr>
        <w:t>ing inpatient hospitalisation (</w:t>
      </w:r>
      <w:r w:rsidR="002005CD" w:rsidRPr="00A51C94">
        <w:rPr>
          <w:b/>
          <w:i/>
        </w:rPr>
        <w:t>ICU</w:t>
      </w:r>
      <w:r w:rsidR="00AA026D">
        <w:rPr>
          <w:b/>
          <w:i/>
        </w:rPr>
        <w:t>)</w:t>
      </w:r>
      <w:r w:rsidR="002005CD" w:rsidRPr="00A51C94">
        <w:rPr>
          <w:b/>
          <w:i/>
        </w:rPr>
        <w:t xml:space="preserve"> and the number of subjects requi</w:t>
      </w:r>
      <w:r w:rsidR="00AA026D">
        <w:rPr>
          <w:b/>
          <w:i/>
        </w:rPr>
        <w:t>ring inpatient hospitalisation (</w:t>
      </w:r>
      <w:r w:rsidR="002005CD" w:rsidRPr="00A51C94">
        <w:rPr>
          <w:b/>
          <w:i/>
        </w:rPr>
        <w:t>general ward</w:t>
      </w:r>
      <w:r w:rsidR="00AA026D">
        <w:rPr>
          <w:b/>
          <w:i/>
        </w:rPr>
        <w:t>)</w:t>
      </w:r>
      <w:r w:rsidR="002005CD" w:rsidRPr="00A51C94">
        <w:rPr>
          <w:b/>
          <w:i/>
        </w:rPr>
        <w:t xml:space="preserve"> for the whole of the study period, with this broken down according to treatment arm and according to</w:t>
      </w:r>
      <w:r w:rsidR="00AA026D">
        <w:rPr>
          <w:b/>
          <w:i/>
        </w:rPr>
        <w:t xml:space="preserve"> on-treatment period and follow </w:t>
      </w:r>
      <w:r w:rsidR="002005CD" w:rsidRPr="00A51C94">
        <w:rPr>
          <w:b/>
          <w:i/>
        </w:rPr>
        <w:t>up period.</w:t>
      </w:r>
    </w:p>
    <w:p w14:paraId="13C33AD8" w14:textId="77777777" w:rsidR="00A51C94" w:rsidRDefault="00A51C94" w:rsidP="00A51C94">
      <w:pPr>
        <w:pStyle w:val="Heading6"/>
      </w:pPr>
      <w:r>
        <w:t>Sponsor’s response</w:t>
      </w:r>
    </w:p>
    <w:p w14:paraId="43B529CA" w14:textId="77777777" w:rsidR="00A51C94" w:rsidRDefault="00A51C94" w:rsidP="00A51C94">
      <w:pPr>
        <w:rPr>
          <w:lang w:eastAsia="ja-JP"/>
        </w:rPr>
      </w:pPr>
      <w:r>
        <w:rPr>
          <w:lang w:eastAsia="ja-JP"/>
        </w:rPr>
        <w:t>The fol</w:t>
      </w:r>
      <w:r w:rsidR="00AA026D">
        <w:rPr>
          <w:lang w:eastAsia="ja-JP"/>
        </w:rPr>
        <w:t xml:space="preserve">lowing information was provided, see </w:t>
      </w:r>
      <w:r w:rsidR="00AA026D">
        <w:rPr>
          <w:lang w:eastAsia="ja-JP"/>
        </w:rPr>
        <w:fldChar w:fldCharType="begin"/>
      </w:r>
      <w:r w:rsidR="00AA026D">
        <w:rPr>
          <w:lang w:eastAsia="ja-JP"/>
        </w:rPr>
        <w:instrText xml:space="preserve"> REF _Ref15976317 \h </w:instrText>
      </w:r>
      <w:r w:rsidR="00AA026D">
        <w:rPr>
          <w:lang w:eastAsia="ja-JP"/>
        </w:rPr>
      </w:r>
      <w:r w:rsidR="00AA026D">
        <w:rPr>
          <w:lang w:eastAsia="ja-JP"/>
        </w:rPr>
        <w:fldChar w:fldCharType="separate"/>
      </w:r>
      <w:r w:rsidR="00126A5E">
        <w:t xml:space="preserve">Table </w:t>
      </w:r>
      <w:r w:rsidR="00126A5E">
        <w:rPr>
          <w:noProof/>
        </w:rPr>
        <w:t>20</w:t>
      </w:r>
      <w:r w:rsidR="00AA026D">
        <w:rPr>
          <w:lang w:eastAsia="ja-JP"/>
        </w:rPr>
        <w:fldChar w:fldCharType="end"/>
      </w:r>
      <w:r w:rsidR="00AA026D">
        <w:rPr>
          <w:lang w:eastAsia="ja-JP"/>
        </w:rPr>
        <w:t>.</w:t>
      </w:r>
    </w:p>
    <w:p w14:paraId="18110280" w14:textId="77777777" w:rsidR="00AA026D" w:rsidRDefault="00AA026D" w:rsidP="00AA026D">
      <w:pPr>
        <w:pStyle w:val="TableTitle"/>
        <w:rPr>
          <w:lang w:eastAsia="ja-JP"/>
        </w:rPr>
      </w:pPr>
      <w:bookmarkStart w:id="184" w:name="_Ref15976317"/>
      <w:r>
        <w:t xml:space="preserve">Table </w:t>
      </w:r>
      <w:r w:rsidR="00C33647">
        <w:rPr>
          <w:noProof/>
        </w:rPr>
        <w:fldChar w:fldCharType="begin"/>
      </w:r>
      <w:r w:rsidR="00C33647">
        <w:rPr>
          <w:noProof/>
        </w:rPr>
        <w:instrText xml:space="preserve"> SEQ Table \* ARABIC </w:instrText>
      </w:r>
      <w:r w:rsidR="00C33647">
        <w:rPr>
          <w:noProof/>
        </w:rPr>
        <w:fldChar w:fldCharType="separate"/>
      </w:r>
      <w:r w:rsidR="00126A5E">
        <w:rPr>
          <w:noProof/>
        </w:rPr>
        <w:t>20</w:t>
      </w:r>
      <w:r w:rsidR="00C33647">
        <w:rPr>
          <w:noProof/>
        </w:rPr>
        <w:fldChar w:fldCharType="end"/>
      </w:r>
      <w:bookmarkEnd w:id="184"/>
      <w:r>
        <w:rPr>
          <w:lang w:eastAsia="ja-JP"/>
        </w:rPr>
        <w:t>: Study MEA115921: Number of subjects requiring inpatient hospitalisation (ICU and general ward)</w:t>
      </w:r>
    </w:p>
    <w:p w14:paraId="5F99B35A" w14:textId="77777777" w:rsidR="00A51C94" w:rsidRDefault="00A51C94" w:rsidP="00A51C94">
      <w:pPr>
        <w:rPr>
          <w:lang w:eastAsia="ja-JP"/>
        </w:rPr>
      </w:pPr>
      <w:r>
        <w:rPr>
          <w:noProof/>
          <w:lang w:eastAsia="en-AU"/>
        </w:rPr>
        <w:drawing>
          <wp:inline distT="0" distB="0" distL="0" distR="0" wp14:anchorId="2DC0EC0E" wp14:editId="5D2C8F87">
            <wp:extent cx="5181600" cy="2000651"/>
            <wp:effectExtent l="0" t="0" r="0" b="0"/>
            <wp:docPr id="145" name="Picture 145" descr="Study MEA115921: Number of subjects requiring inpatient hospitalisation (ICU and general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87206" cy="2002815"/>
                    </a:xfrm>
                    <a:prstGeom prst="rect">
                      <a:avLst/>
                    </a:prstGeom>
                  </pic:spPr>
                </pic:pic>
              </a:graphicData>
            </a:graphic>
          </wp:inline>
        </w:drawing>
      </w:r>
    </w:p>
    <w:p w14:paraId="26826F25" w14:textId="77777777" w:rsidR="00A51C94" w:rsidRDefault="00A51C94" w:rsidP="00A51C94">
      <w:pPr>
        <w:pStyle w:val="Heading6"/>
      </w:pPr>
      <w:r>
        <w:t>Evaluation of response</w:t>
      </w:r>
    </w:p>
    <w:p w14:paraId="74EEA40C" w14:textId="77777777" w:rsidR="00A51C94" w:rsidRPr="00A51C94" w:rsidRDefault="00A51C94" w:rsidP="00A51C94">
      <w:pPr>
        <w:rPr>
          <w:lang w:eastAsia="ja-JP"/>
        </w:rPr>
      </w:pPr>
      <w:r>
        <w:rPr>
          <w:lang w:eastAsia="ja-JP"/>
        </w:rPr>
        <w:t xml:space="preserve">Noted. From </w:t>
      </w:r>
      <w:r w:rsidR="00126A5E">
        <w:rPr>
          <w:lang w:eastAsia="ja-JP"/>
        </w:rPr>
        <w:t>[a table]</w:t>
      </w:r>
      <w:r>
        <w:rPr>
          <w:lang w:eastAsia="ja-JP"/>
        </w:rPr>
        <w:t xml:space="preserve"> in the </w:t>
      </w:r>
      <w:r w:rsidR="00AA026D">
        <w:rPr>
          <w:lang w:eastAsia="ja-JP"/>
        </w:rPr>
        <w:t>clinical study report</w:t>
      </w:r>
      <w:r>
        <w:rPr>
          <w:lang w:eastAsia="ja-JP"/>
        </w:rPr>
        <w:t xml:space="preserve"> and the above information, patients admitted to ICU from both the placebo and </w:t>
      </w:r>
      <w:proofErr w:type="spellStart"/>
      <w:r>
        <w:rPr>
          <w:lang w:eastAsia="ja-JP"/>
        </w:rPr>
        <w:t>mepolizumab</w:t>
      </w:r>
      <w:proofErr w:type="spellEnd"/>
      <w:r>
        <w:rPr>
          <w:lang w:eastAsia="ja-JP"/>
        </w:rPr>
        <w:t xml:space="preserve"> arms had a stay that was longer than 2 days and the breakdown of duration of general ward stay was similar in the 2 arms.</w:t>
      </w:r>
    </w:p>
    <w:p w14:paraId="021856C0" w14:textId="77777777" w:rsidR="002005CD" w:rsidRPr="00A51C94" w:rsidRDefault="002005CD" w:rsidP="00A51C94">
      <w:pPr>
        <w:pStyle w:val="Heading5"/>
      </w:pPr>
      <w:bookmarkStart w:id="185" w:name="_Ref504639800"/>
      <w:r w:rsidRPr="00A51C94">
        <w:t>Question</w:t>
      </w:r>
      <w:r w:rsidR="00A51C94" w:rsidRPr="00A51C94">
        <w:t xml:space="preserve"> 12</w:t>
      </w:r>
      <w:r w:rsidRPr="00A51C94">
        <w:t>: Safety with long-term use</w:t>
      </w:r>
      <w:bookmarkEnd w:id="185"/>
    </w:p>
    <w:p w14:paraId="7AC4B6EC" w14:textId="77777777" w:rsidR="002005CD" w:rsidRPr="00AA026D" w:rsidRDefault="002005CD" w:rsidP="002005CD">
      <w:pPr>
        <w:rPr>
          <w:b/>
          <w:i/>
          <w:lang w:eastAsia="ja-JP"/>
        </w:rPr>
      </w:pPr>
      <w:r w:rsidRPr="00AA026D">
        <w:rPr>
          <w:b/>
          <w:i/>
          <w:lang w:eastAsia="ja-JP"/>
        </w:rPr>
        <w:t xml:space="preserve">The proposed indication proposes indefinite use of </w:t>
      </w:r>
      <w:proofErr w:type="spellStart"/>
      <w:r w:rsidRPr="00AA026D">
        <w:rPr>
          <w:b/>
          <w:i/>
          <w:lang w:eastAsia="ja-JP"/>
        </w:rPr>
        <w:t>mepolizumab</w:t>
      </w:r>
      <w:proofErr w:type="spellEnd"/>
      <w:r w:rsidRPr="00AA026D">
        <w:rPr>
          <w:b/>
          <w:i/>
          <w:lang w:eastAsia="ja-JP"/>
        </w:rPr>
        <w:t xml:space="preserve"> in the treatment of EGPA. The safety with indefinite duration of use has not been demonstrated in EGPA patients, with only </w:t>
      </w:r>
      <w:r w:rsidRPr="00AA026D">
        <w:rPr>
          <w:b/>
          <w:i/>
        </w:rPr>
        <w:t xml:space="preserve">17 subjects having been treated </w:t>
      </w:r>
      <w:r w:rsidRPr="00AA026D">
        <w:rPr>
          <w:b/>
          <w:i/>
          <w:lang w:eastAsia="ja-JP"/>
        </w:rPr>
        <w:t xml:space="preserve">with </w:t>
      </w:r>
      <w:proofErr w:type="spellStart"/>
      <w:r w:rsidRPr="00AA026D">
        <w:rPr>
          <w:b/>
          <w:i/>
          <w:lang w:eastAsia="ja-JP"/>
        </w:rPr>
        <w:t>mepolizumab</w:t>
      </w:r>
      <w:proofErr w:type="spellEnd"/>
      <w:r w:rsidRPr="00AA026D">
        <w:rPr>
          <w:b/>
          <w:i/>
          <w:lang w:eastAsia="ja-JP"/>
        </w:rPr>
        <w:t xml:space="preserve"> 300</w:t>
      </w:r>
      <w:r w:rsidR="00AA026D">
        <w:rPr>
          <w:b/>
          <w:i/>
          <w:lang w:eastAsia="ja-JP"/>
        </w:rPr>
        <w:t xml:space="preserve"> </w:t>
      </w:r>
      <w:r w:rsidRPr="00AA026D">
        <w:rPr>
          <w:b/>
          <w:i/>
          <w:lang w:eastAsia="ja-JP"/>
        </w:rPr>
        <w:t xml:space="preserve">mg SC monthly </w:t>
      </w:r>
      <w:r w:rsidRPr="00AA026D">
        <w:rPr>
          <w:b/>
          <w:i/>
        </w:rPr>
        <w:t>for longer 24 months, and none of these for longer than 36 months</w:t>
      </w:r>
      <w:r w:rsidRPr="00AA026D">
        <w:rPr>
          <w:b/>
          <w:i/>
          <w:lang w:eastAsia="ja-JP"/>
        </w:rPr>
        <w:t>. The Compassio</w:t>
      </w:r>
      <w:r w:rsidR="00AA026D">
        <w:rPr>
          <w:b/>
          <w:i/>
          <w:lang w:eastAsia="ja-JP"/>
        </w:rPr>
        <w:t xml:space="preserve">nate Use Programme reports long </w:t>
      </w:r>
      <w:r w:rsidRPr="00AA026D">
        <w:rPr>
          <w:b/>
          <w:i/>
          <w:lang w:eastAsia="ja-JP"/>
        </w:rPr>
        <w:t>term use in patients with HES. In this programme, there have been 89 patients with exposure &gt; 60 months, with this including 16 patients with treatment duration &gt;</w:t>
      </w:r>
      <w:r w:rsidR="00AA026D">
        <w:rPr>
          <w:b/>
          <w:i/>
          <w:lang w:eastAsia="ja-JP"/>
        </w:rPr>
        <w:t xml:space="preserve"> </w:t>
      </w:r>
      <w:r w:rsidRPr="00AA026D">
        <w:rPr>
          <w:b/>
          <w:i/>
          <w:lang w:eastAsia="ja-JP"/>
        </w:rPr>
        <w:t>96 months.</w:t>
      </w:r>
    </w:p>
    <w:p w14:paraId="67AA7E42" w14:textId="77777777" w:rsidR="002005CD" w:rsidRPr="00AA026D" w:rsidRDefault="002005CD" w:rsidP="002005CD">
      <w:pPr>
        <w:rPr>
          <w:rFonts w:asciiTheme="minorHAnsi" w:eastAsia="Times New Roman" w:hAnsiTheme="minorHAnsi"/>
          <w:b/>
          <w:i/>
        </w:rPr>
      </w:pPr>
      <w:r w:rsidRPr="00AA026D">
        <w:rPr>
          <w:rFonts w:asciiTheme="minorHAnsi" w:hAnsiTheme="minorHAnsi"/>
          <w:b/>
          <w:i/>
          <w:lang w:eastAsia="ja-JP"/>
        </w:rPr>
        <w:lastRenderedPageBreak/>
        <w:t xml:space="preserve">The sponsor has not presented an analysis of safety over time for patients receiving long-term </w:t>
      </w:r>
      <w:proofErr w:type="spellStart"/>
      <w:r w:rsidRPr="00AA026D">
        <w:rPr>
          <w:rFonts w:asciiTheme="minorHAnsi" w:hAnsiTheme="minorHAnsi"/>
          <w:b/>
          <w:i/>
          <w:lang w:eastAsia="ja-JP"/>
        </w:rPr>
        <w:t>mepolizumab</w:t>
      </w:r>
      <w:proofErr w:type="spellEnd"/>
      <w:r w:rsidRPr="00AA026D">
        <w:rPr>
          <w:rFonts w:asciiTheme="minorHAnsi" w:hAnsiTheme="minorHAnsi"/>
          <w:b/>
          <w:i/>
          <w:lang w:eastAsia="ja-JP"/>
        </w:rPr>
        <w:t>, so it is not evident as to whether the AE profile and safety change with prolonged use. To address this lack of information, t</w:t>
      </w:r>
      <w:r w:rsidRPr="00AA026D">
        <w:rPr>
          <w:rFonts w:asciiTheme="minorHAnsi" w:eastAsia="Times New Roman" w:hAnsiTheme="minorHAnsi"/>
          <w:b/>
          <w:i/>
        </w:rPr>
        <w:t>he sponsor is asked to provide an analysis of AEs by time on treatment for the</w:t>
      </w:r>
      <w:r w:rsidR="00AA026D">
        <w:rPr>
          <w:rFonts w:asciiTheme="minorHAnsi" w:eastAsia="Times New Roman" w:hAnsiTheme="minorHAnsi"/>
          <w:b/>
          <w:i/>
        </w:rPr>
        <w:t xml:space="preserve"> HES Compassionate Use Report, </w:t>
      </w:r>
      <w:r w:rsidRPr="00AA026D">
        <w:rPr>
          <w:rFonts w:asciiTheme="minorHAnsi" w:eastAsia="Times New Roman" w:hAnsiTheme="minorHAnsi"/>
          <w:b/>
          <w:i/>
        </w:rPr>
        <w:t>this could be provided as histograms of the number of subjects experiencing any SAEs; the number of subjects experiencing any AEs; the number of subjects experiencing common AEs (</w:t>
      </w:r>
      <w:r w:rsidR="007B19BE" w:rsidRPr="00AA026D">
        <w:rPr>
          <w:rFonts w:asciiTheme="minorHAnsi" w:eastAsia="Times New Roman" w:hAnsiTheme="minorHAnsi"/>
          <w:b/>
          <w:i/>
        </w:rPr>
        <w:t>for example</w:t>
      </w:r>
      <w:r w:rsidRPr="00AA026D">
        <w:rPr>
          <w:rFonts w:asciiTheme="minorHAnsi" w:eastAsia="Times New Roman" w:hAnsiTheme="minorHAnsi"/>
          <w:b/>
          <w:i/>
        </w:rPr>
        <w:t xml:space="preserve">, </w:t>
      </w:r>
      <w:r w:rsidRPr="00AA026D">
        <w:rPr>
          <w:rFonts w:asciiTheme="minorHAnsi" w:eastAsia="TimesNewRoman" w:hAnsiTheme="minorHAnsi" w:cs="TimesNewRoman"/>
          <w:b/>
          <w:i/>
        </w:rPr>
        <w:t>upper respiratory tract infection, cough, fatigue, headache)</w:t>
      </w:r>
      <w:r w:rsidRPr="00AA026D">
        <w:rPr>
          <w:rFonts w:asciiTheme="minorHAnsi" w:eastAsia="Times New Roman" w:hAnsiTheme="minorHAnsi"/>
          <w:b/>
          <w:i/>
        </w:rPr>
        <w:t xml:space="preserve"> w</w:t>
      </w:r>
      <w:r w:rsidR="00AA026D">
        <w:rPr>
          <w:rFonts w:asciiTheme="minorHAnsi" w:eastAsia="Times New Roman" w:hAnsiTheme="minorHAnsi"/>
          <w:b/>
          <w:i/>
        </w:rPr>
        <w:t xml:space="preserve">ith number of subjects on the y </w:t>
      </w:r>
      <w:r w:rsidRPr="00AA026D">
        <w:rPr>
          <w:rFonts w:asciiTheme="minorHAnsi" w:eastAsia="Times New Roman" w:hAnsiTheme="minorHAnsi"/>
          <w:b/>
          <w:i/>
        </w:rPr>
        <w:t>axis and months of treatment (grouped</w:t>
      </w:r>
      <w:r w:rsidR="00AA026D">
        <w:rPr>
          <w:rFonts w:asciiTheme="minorHAnsi" w:eastAsia="Times New Roman" w:hAnsiTheme="minorHAnsi"/>
          <w:b/>
          <w:i/>
        </w:rPr>
        <w:t xml:space="preserve"> in 4 month intervals) on the x </w:t>
      </w:r>
      <w:r w:rsidRPr="00AA026D">
        <w:rPr>
          <w:rFonts w:asciiTheme="minorHAnsi" w:eastAsia="Times New Roman" w:hAnsiTheme="minorHAnsi"/>
          <w:b/>
          <w:i/>
        </w:rPr>
        <w:t xml:space="preserve">axis. The analyses could be limited to the </w:t>
      </w:r>
      <w:r w:rsidR="00126A5E">
        <w:rPr>
          <w:rFonts w:asciiTheme="minorHAnsi" w:eastAsia="Times New Roman" w:hAnsiTheme="minorHAnsi"/>
          <w:b/>
          <w:i/>
        </w:rPr>
        <w:t>‘</w:t>
      </w:r>
      <w:r w:rsidRPr="00AA026D">
        <w:rPr>
          <w:rFonts w:asciiTheme="minorHAnsi" w:eastAsia="Times New Roman" w:hAnsiTheme="minorHAnsi"/>
          <w:b/>
          <w:i/>
        </w:rPr>
        <w:t>databased patients</w:t>
      </w:r>
      <w:r w:rsidR="00126A5E">
        <w:rPr>
          <w:rFonts w:asciiTheme="minorHAnsi" w:eastAsia="Times New Roman" w:hAnsiTheme="minorHAnsi"/>
          <w:b/>
          <w:i/>
        </w:rPr>
        <w:t>’</w:t>
      </w:r>
      <w:r w:rsidRPr="00AA026D">
        <w:rPr>
          <w:rFonts w:asciiTheme="minorHAnsi" w:eastAsia="Times New Roman" w:hAnsiTheme="minorHAnsi"/>
          <w:b/>
          <w:i/>
        </w:rPr>
        <w:t>.</w:t>
      </w:r>
    </w:p>
    <w:p w14:paraId="12BAAAEE" w14:textId="77777777" w:rsidR="00A51C94" w:rsidRDefault="00A51C94" w:rsidP="00A51C94">
      <w:pPr>
        <w:pStyle w:val="Heading6"/>
      </w:pPr>
      <w:r>
        <w:t>Sponsor’s response</w:t>
      </w:r>
    </w:p>
    <w:p w14:paraId="1E3C3718" w14:textId="77777777" w:rsidR="00A51C94" w:rsidRDefault="00A51C94" w:rsidP="00A51C94">
      <w:pPr>
        <w:rPr>
          <w:lang w:eastAsia="ja-JP"/>
        </w:rPr>
      </w:pPr>
      <w:r>
        <w:rPr>
          <w:lang w:eastAsia="ja-JP"/>
        </w:rPr>
        <w:t xml:space="preserve">The sponsor stated that </w:t>
      </w:r>
      <w:r w:rsidR="00126A5E">
        <w:rPr>
          <w:lang w:eastAsia="ja-JP"/>
        </w:rPr>
        <w:t>‘</w:t>
      </w:r>
      <w:r w:rsidRPr="00533635">
        <w:t>Periodic interim reports providing cumulative data for the HES compassionate use program since 2001 have been developed since 2014. An analysis of AEs over time has not been conducted. This is an uncontrolled, compassionate use study with no formal data collection system which does not permit such an analysis at this time.</w:t>
      </w:r>
      <w:r w:rsidR="00126A5E">
        <w:t>’</w:t>
      </w:r>
    </w:p>
    <w:p w14:paraId="071A43E7" w14:textId="77777777" w:rsidR="00A51C94" w:rsidRPr="00A51C94" w:rsidRDefault="00A51C94" w:rsidP="00A51C94">
      <w:pPr>
        <w:rPr>
          <w:lang w:eastAsia="ja-JP"/>
        </w:rPr>
      </w:pPr>
      <w:r>
        <w:rPr>
          <w:lang w:eastAsia="ja-JP"/>
        </w:rPr>
        <w:t>The most recent interim report (data cut</w:t>
      </w:r>
      <w:r w:rsidR="00015382">
        <w:rPr>
          <w:lang w:eastAsia="ja-JP"/>
        </w:rPr>
        <w:t xml:space="preserve"> </w:t>
      </w:r>
      <w:r>
        <w:rPr>
          <w:lang w:eastAsia="ja-JP"/>
        </w:rPr>
        <w:t>off July 2016) was provided.</w:t>
      </w:r>
    </w:p>
    <w:p w14:paraId="15ABA087" w14:textId="77777777" w:rsidR="00A51C94" w:rsidRDefault="00A51C94" w:rsidP="00A51C94">
      <w:pPr>
        <w:pStyle w:val="Heading6"/>
      </w:pPr>
      <w:r>
        <w:t>Evaluation of response</w:t>
      </w:r>
    </w:p>
    <w:p w14:paraId="743A29F1" w14:textId="77777777" w:rsidR="00A51C94" w:rsidRDefault="00A51C94" w:rsidP="00A51C94">
      <w:pPr>
        <w:rPr>
          <w:lang w:eastAsia="ja-JP"/>
        </w:rPr>
      </w:pPr>
      <w:r>
        <w:rPr>
          <w:lang w:eastAsia="ja-JP"/>
        </w:rPr>
        <w:t xml:space="preserve">As noted above, it is unfortunate that the </w:t>
      </w:r>
      <w:r w:rsidR="00AA026D">
        <w:rPr>
          <w:lang w:eastAsia="ja-JP"/>
        </w:rPr>
        <w:t>Compassionate Use Programme</w:t>
      </w:r>
      <w:r>
        <w:rPr>
          <w:lang w:eastAsia="ja-JP"/>
        </w:rPr>
        <w:t xml:space="preserve"> was not used as an opportunity for data collection in long-term use. The sponsor h</w:t>
      </w:r>
      <w:r w:rsidR="00AA026D">
        <w:rPr>
          <w:lang w:eastAsia="ja-JP"/>
        </w:rPr>
        <w:t>as provided no new information;</w:t>
      </w:r>
      <w:r>
        <w:rPr>
          <w:lang w:eastAsia="ja-JP"/>
        </w:rPr>
        <w:t xml:space="preserve"> the interim report provided with the response is the same as that provided in the original dossier.</w:t>
      </w:r>
    </w:p>
    <w:p w14:paraId="7667E6A7" w14:textId="77777777" w:rsidR="00A51C94" w:rsidRPr="00A51C94" w:rsidRDefault="00A51C94" w:rsidP="00A51C94">
      <w:r>
        <w:rPr>
          <w:lang w:eastAsia="ja-JP"/>
        </w:rPr>
        <w:t xml:space="preserve">The evaluator notes that the most recent PBRER (provided with the sponsor’s response) included some new information </w:t>
      </w:r>
      <w:r w:rsidR="00AA026D">
        <w:rPr>
          <w:lang w:eastAsia="ja-JP"/>
        </w:rPr>
        <w:t xml:space="preserve">regarding long </w:t>
      </w:r>
      <w:r w:rsidRPr="00C861FB">
        <w:rPr>
          <w:lang w:eastAsia="ja-JP"/>
        </w:rPr>
        <w:t>term safety</w:t>
      </w:r>
      <w:r>
        <w:rPr>
          <w:lang w:eastAsia="ja-JP"/>
        </w:rPr>
        <w:t xml:space="preserve">. </w:t>
      </w:r>
      <w:r w:rsidRPr="00C861FB">
        <w:rPr>
          <w:lang w:eastAsia="ja-JP"/>
        </w:rPr>
        <w:t>S</w:t>
      </w:r>
      <w:r w:rsidR="00AA026D">
        <w:rPr>
          <w:rFonts w:eastAsia="TimesNewRoman" w:cs="TimesNewRoman"/>
        </w:rPr>
        <w:t>tudy MEA115666, a multi</w:t>
      </w:r>
      <w:r w:rsidR="00AA026D">
        <w:rPr>
          <w:rFonts w:eastAsia="TimesNewRoman" w:cs="TimesNewRoman"/>
        </w:rPr>
        <w:noBreakHyphen/>
        <w:t xml:space="preserve">centre, open label, long </w:t>
      </w:r>
      <w:r w:rsidRPr="00C861FB">
        <w:rPr>
          <w:rFonts w:eastAsia="TimesNewRoman" w:cs="TimesNewRoman"/>
        </w:rPr>
        <w:t xml:space="preserve">term safety study of </w:t>
      </w:r>
      <w:proofErr w:type="spellStart"/>
      <w:r w:rsidRPr="00C861FB">
        <w:rPr>
          <w:rFonts w:eastAsia="TimesNewRoman" w:cs="TimesNewRoman"/>
        </w:rPr>
        <w:t>mepolizumab</w:t>
      </w:r>
      <w:proofErr w:type="spellEnd"/>
      <w:r w:rsidRPr="00C861FB">
        <w:rPr>
          <w:rFonts w:eastAsia="TimesNewRoman" w:cs="TimesNewRoman"/>
        </w:rPr>
        <w:t xml:space="preserve"> in asthmatic subjects who participated in the MEA112997</w:t>
      </w:r>
      <w:r>
        <w:rPr>
          <w:rFonts w:eastAsia="TimesNewRoman" w:cs="TimesNewRoman"/>
        </w:rPr>
        <w:t xml:space="preserve"> was completed during the reporting period</w:t>
      </w:r>
      <w:r w:rsidRPr="00C861FB">
        <w:rPr>
          <w:rFonts w:eastAsia="TimesNewRoman" w:cs="TimesNewRoman"/>
        </w:rPr>
        <w:t>. The PBRER report</w:t>
      </w:r>
      <w:r>
        <w:rPr>
          <w:rFonts w:eastAsia="TimesNewRoman" w:cs="TimesNewRoman"/>
        </w:rPr>
        <w:t>s</w:t>
      </w:r>
      <w:r w:rsidRPr="00C861FB">
        <w:rPr>
          <w:rFonts w:eastAsia="TimesNewRoman" w:cs="TimesNewRoman"/>
        </w:rPr>
        <w:t xml:space="preserve"> that the study showed that the observed safety and immunogenicity profile of long-term (up to 4.5 years) SC </w:t>
      </w:r>
      <w:proofErr w:type="spellStart"/>
      <w:r w:rsidRPr="00C861FB">
        <w:rPr>
          <w:rFonts w:eastAsia="TimesNewRoman" w:cs="TimesNewRoman"/>
        </w:rPr>
        <w:t>mepolizumab</w:t>
      </w:r>
      <w:proofErr w:type="spellEnd"/>
      <w:r w:rsidRPr="00C861FB">
        <w:rPr>
          <w:rFonts w:eastAsia="TimesNewRoman" w:cs="TimesNewRoman"/>
        </w:rPr>
        <w:t xml:space="preserve"> treatment is similar to that seen in prior severe asthma studies with IV and SC administration</w:t>
      </w:r>
      <w:r>
        <w:rPr>
          <w:rFonts w:eastAsia="TimesNewRoman" w:cs="TimesNewRoman"/>
        </w:rPr>
        <w:t xml:space="preserve"> and that n</w:t>
      </w:r>
      <w:r w:rsidRPr="00C861FB">
        <w:rPr>
          <w:rFonts w:eastAsia="TimesNewRoman" w:cs="TimesNewRoman"/>
        </w:rPr>
        <w:t>o new safety concerns were ide</w:t>
      </w:r>
      <w:r w:rsidR="00AA026D">
        <w:rPr>
          <w:rFonts w:eastAsia="TimesNewRoman" w:cs="TimesNewRoman"/>
        </w:rPr>
        <w:t xml:space="preserve">ntified in this study with long </w:t>
      </w:r>
      <w:r w:rsidRPr="00C861FB">
        <w:rPr>
          <w:rFonts w:eastAsia="TimesNewRoman" w:cs="TimesNewRoman"/>
        </w:rPr>
        <w:t>term exposure</w:t>
      </w:r>
      <w:r>
        <w:rPr>
          <w:rFonts w:eastAsia="TimesNewRoman" w:cs="TimesNewRoman"/>
        </w:rPr>
        <w:t xml:space="preserve">. A synopsis of the study was provided in the appendices of the PBRER and has been summarised in the clinical evaluation report. The information provided in the study synopsis regarding use for up to 4.5 years supports the conclusions in the PBRER but requires evaluation of the </w:t>
      </w:r>
      <w:r w:rsidR="00AA026D">
        <w:rPr>
          <w:rFonts w:eastAsia="TimesNewRoman" w:cs="TimesNewRoman"/>
        </w:rPr>
        <w:t>clinical study report</w:t>
      </w:r>
      <w:r>
        <w:rPr>
          <w:rFonts w:eastAsia="TimesNewRoman" w:cs="TimesNewRoman"/>
        </w:rPr>
        <w:t xml:space="preserve"> for confirmation.</w:t>
      </w:r>
    </w:p>
    <w:p w14:paraId="0B088849" w14:textId="77777777" w:rsidR="002005CD" w:rsidRPr="00015382" w:rsidRDefault="002005CD" w:rsidP="00015382">
      <w:pPr>
        <w:pStyle w:val="Heading5"/>
      </w:pPr>
      <w:bookmarkStart w:id="186" w:name="_Ref504659675"/>
      <w:r w:rsidRPr="00015382">
        <w:t>Question</w:t>
      </w:r>
      <w:r w:rsidR="00015382" w:rsidRPr="00015382">
        <w:t xml:space="preserve"> 13</w:t>
      </w:r>
      <w:r w:rsidR="00AA026D">
        <w:t xml:space="preserve">: T </w:t>
      </w:r>
      <w:r w:rsidRPr="00015382">
        <w:t>cell Lymphoma, and other neoplasms, with long-term use</w:t>
      </w:r>
      <w:bookmarkEnd w:id="186"/>
    </w:p>
    <w:p w14:paraId="6161167C" w14:textId="77777777" w:rsidR="002005CD" w:rsidRPr="00015382" w:rsidRDefault="002005CD" w:rsidP="00015382">
      <w:pPr>
        <w:rPr>
          <w:b/>
          <w:i/>
          <w:lang w:eastAsia="ja-JP"/>
        </w:rPr>
      </w:pPr>
      <w:r w:rsidRPr="00015382">
        <w:rPr>
          <w:b/>
          <w:i/>
          <w:lang w:eastAsia="ja-JP"/>
        </w:rPr>
        <w:t xml:space="preserve">There were 7 patients who developed lymphoma in the Compassionate Access Programme </w:t>
      </w:r>
      <w:r w:rsidR="00AA026D">
        <w:rPr>
          <w:b/>
          <w:i/>
          <w:lang w:eastAsia="ja-JP"/>
        </w:rPr>
        <w:t xml:space="preserve">(HES), with this sub-typed as T </w:t>
      </w:r>
      <w:r w:rsidRPr="00015382">
        <w:rPr>
          <w:b/>
          <w:i/>
          <w:lang w:eastAsia="ja-JP"/>
        </w:rPr>
        <w:t>cell lymphoma in 5 and not specified in 2.</w:t>
      </w:r>
    </w:p>
    <w:p w14:paraId="64A87533" w14:textId="77777777" w:rsidR="00AA026D" w:rsidRPr="00AA026D" w:rsidRDefault="00AA026D" w:rsidP="00015382">
      <w:pPr>
        <w:rPr>
          <w:b/>
          <w:i/>
        </w:rPr>
      </w:pPr>
      <w:r w:rsidRPr="00AA026D">
        <w:rPr>
          <w:b/>
          <w:i/>
        </w:rPr>
        <w:t xml:space="preserve">See </w:t>
      </w:r>
      <w:r w:rsidRPr="00AA026D">
        <w:rPr>
          <w:b/>
          <w:i/>
        </w:rPr>
        <w:fldChar w:fldCharType="begin"/>
      </w:r>
      <w:r w:rsidRPr="00AA026D">
        <w:rPr>
          <w:b/>
          <w:i/>
        </w:rPr>
        <w:instrText xml:space="preserve"> REF _Ref15373813 \h  \* MERGEFORMAT </w:instrText>
      </w:r>
      <w:r w:rsidRPr="00AA026D">
        <w:rPr>
          <w:b/>
          <w:i/>
        </w:rPr>
      </w:r>
      <w:r w:rsidRPr="00AA026D">
        <w:rPr>
          <w:b/>
          <w:i/>
        </w:rPr>
        <w:fldChar w:fldCharType="separate"/>
      </w:r>
      <w:r w:rsidR="00681F6C" w:rsidRPr="00681F6C">
        <w:rPr>
          <w:b/>
          <w:i/>
        </w:rPr>
        <w:t xml:space="preserve">Table </w:t>
      </w:r>
      <w:r w:rsidR="00681F6C" w:rsidRPr="00681F6C">
        <w:rPr>
          <w:b/>
          <w:i/>
          <w:noProof/>
        </w:rPr>
        <w:t>13</w:t>
      </w:r>
      <w:r w:rsidRPr="00AA026D">
        <w:rPr>
          <w:b/>
          <w:i/>
        </w:rPr>
        <w:fldChar w:fldCharType="end"/>
      </w:r>
      <w:r>
        <w:rPr>
          <w:b/>
          <w:i/>
        </w:rPr>
        <w:t xml:space="preserve"> </w:t>
      </w:r>
      <w:r w:rsidRPr="00AA026D">
        <w:rPr>
          <w:b/>
          <w:i/>
        </w:rPr>
        <w:t>for reported cases of lymphoma in the Compassionate Use Programme.</w:t>
      </w:r>
    </w:p>
    <w:p w14:paraId="2DA523C8" w14:textId="77777777" w:rsidR="002005CD" w:rsidRPr="00015382" w:rsidRDefault="002005CD" w:rsidP="00015382">
      <w:pPr>
        <w:rPr>
          <w:b/>
          <w:i/>
        </w:rPr>
      </w:pPr>
      <w:r w:rsidRPr="00015382">
        <w:rPr>
          <w:b/>
          <w:i/>
        </w:rPr>
        <w:t>The incidence of T-cell lymphoma appears surprisingly high as this is regarded as a rare malignancy: the SEER Cancer Statistics Review 1975-2014 provides an annual estimate of approximately 2 per 100,000 for peripheral T-cell lymphomas.</w:t>
      </w:r>
      <w:r w:rsidRPr="00015382">
        <w:rPr>
          <w:rStyle w:val="FootnoteReference"/>
          <w:b/>
          <w:i/>
        </w:rPr>
        <w:footnoteReference w:id="50"/>
      </w:r>
      <w:r w:rsidRPr="00015382">
        <w:rPr>
          <w:b/>
          <w:i/>
        </w:rPr>
        <w:t xml:space="preserve"> The overall incidence in the Compassiona</w:t>
      </w:r>
      <w:r w:rsidR="00AA026D">
        <w:rPr>
          <w:b/>
          <w:i/>
        </w:rPr>
        <w:t xml:space="preserve">te Use Programme may be 1.8% (5 out of 281) or 2.5% (7 out of </w:t>
      </w:r>
      <w:r w:rsidRPr="00015382">
        <w:rPr>
          <w:b/>
          <w:i/>
        </w:rPr>
        <w:t>281), depending on the sub-type of lymphoma for the other two patients.</w:t>
      </w:r>
    </w:p>
    <w:p w14:paraId="335A8BF8" w14:textId="77777777" w:rsidR="002005CD" w:rsidRPr="00015382" w:rsidRDefault="002005CD" w:rsidP="00015382">
      <w:pPr>
        <w:rPr>
          <w:b/>
          <w:i/>
        </w:rPr>
      </w:pPr>
      <w:r w:rsidRPr="00015382">
        <w:rPr>
          <w:b/>
          <w:i/>
        </w:rPr>
        <w:t xml:space="preserve">The evaluator also notes that there were two malignancies and one unusual benign tumour reported in the 25 paediatric patients in the HES </w:t>
      </w:r>
      <w:r w:rsidR="00FA06C6" w:rsidRPr="00015382">
        <w:rPr>
          <w:b/>
          <w:i/>
        </w:rPr>
        <w:t>Compassionate Use Program</w:t>
      </w:r>
      <w:r w:rsidRPr="00015382">
        <w:rPr>
          <w:b/>
          <w:i/>
        </w:rPr>
        <w:t xml:space="preserve"> </w:t>
      </w:r>
      <w:r w:rsidRPr="00015382">
        <w:rPr>
          <w:b/>
          <w:i/>
        </w:rPr>
        <w:lastRenderedPageBreak/>
        <w:t>and that an increased incidence of malignancies has been reported with a</w:t>
      </w:r>
      <w:r w:rsidR="00AA026D">
        <w:rPr>
          <w:b/>
          <w:i/>
        </w:rPr>
        <w:t xml:space="preserve">nother IL-5 </w:t>
      </w:r>
      <w:proofErr w:type="spellStart"/>
      <w:r w:rsidR="00AA026D">
        <w:rPr>
          <w:b/>
          <w:i/>
        </w:rPr>
        <w:t>mA</w:t>
      </w:r>
      <w:r w:rsidRPr="00015382">
        <w:rPr>
          <w:b/>
          <w:i/>
        </w:rPr>
        <w:t>b</w:t>
      </w:r>
      <w:proofErr w:type="spellEnd"/>
      <w:r w:rsidRPr="00015382">
        <w:rPr>
          <w:b/>
          <w:i/>
        </w:rPr>
        <w:t xml:space="preserve">, </w:t>
      </w:r>
      <w:proofErr w:type="spellStart"/>
      <w:r w:rsidRPr="00015382">
        <w:rPr>
          <w:b/>
          <w:i/>
        </w:rPr>
        <w:t>reslizumab</w:t>
      </w:r>
      <w:proofErr w:type="spellEnd"/>
      <w:r w:rsidRPr="00015382">
        <w:rPr>
          <w:b/>
          <w:i/>
        </w:rPr>
        <w:t>.</w:t>
      </w:r>
    </w:p>
    <w:p w14:paraId="33B87A8B" w14:textId="77777777" w:rsidR="002005CD" w:rsidRPr="00015382" w:rsidRDefault="002005CD" w:rsidP="00015382">
      <w:pPr>
        <w:rPr>
          <w:b/>
          <w:i/>
        </w:rPr>
      </w:pPr>
      <w:r w:rsidRPr="00015382">
        <w:rPr>
          <w:b/>
          <w:i/>
        </w:rPr>
        <w:t>The sponsor is asked to:</w:t>
      </w:r>
    </w:p>
    <w:p w14:paraId="4741EAFB" w14:textId="77777777" w:rsidR="002005CD" w:rsidRPr="00015382" w:rsidRDefault="00015382" w:rsidP="00015382">
      <w:pPr>
        <w:pStyle w:val="Numberbullet0"/>
        <w:numPr>
          <w:ilvl w:val="0"/>
          <w:numId w:val="37"/>
        </w:numPr>
        <w:rPr>
          <w:b/>
          <w:i/>
        </w:rPr>
      </w:pPr>
      <w:r w:rsidRPr="00015382">
        <w:rPr>
          <w:b/>
          <w:i/>
        </w:rPr>
        <w:t>P</w:t>
      </w:r>
      <w:r w:rsidR="002005CD" w:rsidRPr="00015382">
        <w:rPr>
          <w:b/>
          <w:i/>
        </w:rPr>
        <w:t xml:space="preserve">rovide a cumulative review </w:t>
      </w:r>
      <w:r w:rsidR="00AA026D">
        <w:rPr>
          <w:b/>
          <w:i/>
        </w:rPr>
        <w:t xml:space="preserve">of lymphoma, and particularly T </w:t>
      </w:r>
      <w:r w:rsidR="002005CD" w:rsidRPr="00015382">
        <w:rPr>
          <w:b/>
          <w:i/>
        </w:rPr>
        <w:t xml:space="preserve">cell lymphoma, as reported in patients receiving </w:t>
      </w:r>
      <w:proofErr w:type="spellStart"/>
      <w:r w:rsidR="002005CD" w:rsidRPr="00015382">
        <w:rPr>
          <w:b/>
          <w:i/>
        </w:rPr>
        <w:t>mepolizumab</w:t>
      </w:r>
      <w:proofErr w:type="spellEnd"/>
      <w:r w:rsidR="002005CD" w:rsidRPr="00015382">
        <w:rPr>
          <w:b/>
          <w:i/>
        </w:rPr>
        <w:t>, with this broken down according to paediatric (a</w:t>
      </w:r>
      <w:r w:rsidRPr="00015382">
        <w:rPr>
          <w:b/>
          <w:i/>
        </w:rPr>
        <w:t>ge &lt;</w:t>
      </w:r>
      <w:r w:rsidR="00AA026D">
        <w:rPr>
          <w:b/>
          <w:i/>
        </w:rPr>
        <w:t xml:space="preserve"> </w:t>
      </w:r>
      <w:r w:rsidRPr="00015382">
        <w:rPr>
          <w:b/>
          <w:i/>
        </w:rPr>
        <w:t>18years) and adult patients.</w:t>
      </w:r>
    </w:p>
    <w:p w14:paraId="46E079C6" w14:textId="77777777" w:rsidR="002005CD" w:rsidRPr="00015382" w:rsidRDefault="00015382" w:rsidP="00015382">
      <w:pPr>
        <w:pStyle w:val="Numberbullet0"/>
        <w:numPr>
          <w:ilvl w:val="0"/>
          <w:numId w:val="37"/>
        </w:numPr>
        <w:rPr>
          <w:b/>
          <w:i/>
        </w:rPr>
      </w:pPr>
      <w:r w:rsidRPr="00015382">
        <w:rPr>
          <w:b/>
          <w:i/>
        </w:rPr>
        <w:t>P</w:t>
      </w:r>
      <w:r w:rsidR="002005CD" w:rsidRPr="00015382">
        <w:rPr>
          <w:b/>
          <w:i/>
        </w:rPr>
        <w:t xml:space="preserve">rovide a cumulative review of neoplasms (benign and malignant) reported in patients who have been, or are being, treated with </w:t>
      </w:r>
      <w:proofErr w:type="spellStart"/>
      <w:r w:rsidR="002005CD" w:rsidRPr="00015382">
        <w:rPr>
          <w:b/>
          <w:i/>
        </w:rPr>
        <w:t>mepolizumab</w:t>
      </w:r>
      <w:proofErr w:type="spellEnd"/>
      <w:r w:rsidR="002005CD" w:rsidRPr="00015382">
        <w:rPr>
          <w:b/>
          <w:i/>
        </w:rPr>
        <w:t xml:space="preserve"> with this broken down according to paediatric (a</w:t>
      </w:r>
      <w:r w:rsidRPr="00015382">
        <w:rPr>
          <w:b/>
          <w:i/>
        </w:rPr>
        <w:t>ge &lt;</w:t>
      </w:r>
      <w:r w:rsidR="00AA026D">
        <w:rPr>
          <w:b/>
          <w:i/>
        </w:rPr>
        <w:t xml:space="preserve"> </w:t>
      </w:r>
      <w:r w:rsidRPr="00015382">
        <w:rPr>
          <w:b/>
          <w:i/>
        </w:rPr>
        <w:t>18years) and adult patients.</w:t>
      </w:r>
    </w:p>
    <w:p w14:paraId="2CAC6B8F" w14:textId="77777777" w:rsidR="002005CD" w:rsidRPr="00015382" w:rsidRDefault="00015382" w:rsidP="00015382">
      <w:pPr>
        <w:pStyle w:val="Numberbullet0"/>
        <w:numPr>
          <w:ilvl w:val="0"/>
          <w:numId w:val="37"/>
        </w:numPr>
        <w:rPr>
          <w:b/>
          <w:i/>
        </w:rPr>
      </w:pPr>
      <w:r w:rsidRPr="00015382">
        <w:rPr>
          <w:b/>
          <w:i/>
        </w:rPr>
        <w:t>C</w:t>
      </w:r>
      <w:r w:rsidR="002005CD" w:rsidRPr="00015382">
        <w:rPr>
          <w:b/>
          <w:i/>
        </w:rPr>
        <w:t>omment on whether lymphoma, partic</w:t>
      </w:r>
      <w:r w:rsidR="00AA026D">
        <w:rPr>
          <w:b/>
          <w:i/>
        </w:rPr>
        <w:t xml:space="preserve">ularly T </w:t>
      </w:r>
      <w:r w:rsidR="002005CD" w:rsidRPr="00015382">
        <w:rPr>
          <w:b/>
          <w:i/>
        </w:rPr>
        <w:t xml:space="preserve">cell lymphoma, and neoplasms represent potential risks associated with long-term use of </w:t>
      </w:r>
      <w:proofErr w:type="spellStart"/>
      <w:r w:rsidR="002005CD" w:rsidRPr="00015382">
        <w:rPr>
          <w:b/>
          <w:i/>
        </w:rPr>
        <w:t>mepolizumab</w:t>
      </w:r>
      <w:proofErr w:type="spellEnd"/>
      <w:r w:rsidRPr="00015382">
        <w:rPr>
          <w:b/>
          <w:i/>
        </w:rPr>
        <w:t>.</w:t>
      </w:r>
    </w:p>
    <w:p w14:paraId="6DA7237D" w14:textId="77777777" w:rsidR="00015382" w:rsidRDefault="00015382" w:rsidP="00015382">
      <w:pPr>
        <w:pStyle w:val="Heading6"/>
      </w:pPr>
      <w:r>
        <w:t>Sponsor’s response</w:t>
      </w:r>
    </w:p>
    <w:p w14:paraId="40096ABF" w14:textId="77777777" w:rsidR="00015382" w:rsidRDefault="00015382" w:rsidP="00015382">
      <w:pPr>
        <w:rPr>
          <w:lang w:eastAsia="ja-JP"/>
        </w:rPr>
      </w:pPr>
      <w:r>
        <w:rPr>
          <w:lang w:eastAsia="ja-JP"/>
        </w:rPr>
        <w:t xml:space="preserve">The sponsor stated that </w:t>
      </w:r>
      <w:r w:rsidR="00126A5E">
        <w:rPr>
          <w:lang w:eastAsia="ja-JP"/>
        </w:rPr>
        <w:t>‘</w:t>
      </w:r>
      <w:r w:rsidRPr="00BA70EB">
        <w:t xml:space="preserve">There has been no malignancy signal across the </w:t>
      </w:r>
      <w:proofErr w:type="spellStart"/>
      <w:r w:rsidRPr="00BA70EB">
        <w:t>mepolizumab</w:t>
      </w:r>
      <w:proofErr w:type="spellEnd"/>
      <w:r w:rsidRPr="00BA70EB">
        <w:t xml:space="preserve"> clinical development program</w:t>
      </w:r>
      <w:r w:rsidR="00126A5E">
        <w:t>’</w:t>
      </w:r>
      <w:r w:rsidR="00AA026D">
        <w:t>.</w:t>
      </w:r>
    </w:p>
    <w:p w14:paraId="4450F070" w14:textId="77777777" w:rsidR="00015382" w:rsidRDefault="00015382" w:rsidP="00015382">
      <w:r w:rsidRPr="00A51218">
        <w:rPr>
          <w:lang w:eastAsia="ja-JP"/>
        </w:rPr>
        <w:t xml:space="preserve">The sponsor noted that malignancies in the </w:t>
      </w:r>
      <w:r w:rsidRPr="00A51218">
        <w:t>HES compassionate use program have been reviewed annually at the request of the ANSM</w:t>
      </w:r>
      <w:r w:rsidR="00AA026D">
        <w:rPr>
          <w:rStyle w:val="FootnoteReference"/>
        </w:rPr>
        <w:footnoteReference w:id="51"/>
      </w:r>
      <w:r w:rsidRPr="00A51218">
        <w:t xml:space="preserve"> regulatory agency of France since the 2014 approval of </w:t>
      </w:r>
      <w:proofErr w:type="spellStart"/>
      <w:r w:rsidRPr="00A51218">
        <w:t>mepolizumab</w:t>
      </w:r>
      <w:proofErr w:type="spellEnd"/>
      <w:r w:rsidRPr="00A51218">
        <w:t xml:space="preserve"> for severe asthma and provided the </w:t>
      </w:r>
      <w:r>
        <w:t xml:space="preserve">fourth and </w:t>
      </w:r>
      <w:r w:rsidRPr="00A51218">
        <w:t>most recent report to this agency</w:t>
      </w:r>
      <w:r>
        <w:t xml:space="preserve"> </w:t>
      </w:r>
      <w:r w:rsidRPr="00A51218">
        <w:t>(dated September 2017).</w:t>
      </w:r>
    </w:p>
    <w:p w14:paraId="7024C45D" w14:textId="77777777" w:rsidR="00015382" w:rsidRDefault="00015382" w:rsidP="00015382">
      <w:pPr>
        <w:pStyle w:val="Heading6"/>
      </w:pPr>
      <w:r>
        <w:t>Evaluation of response</w:t>
      </w:r>
    </w:p>
    <w:p w14:paraId="4D8E0F28" w14:textId="77777777" w:rsidR="00015382" w:rsidRDefault="00015382" w:rsidP="00015382">
      <w:r>
        <w:t xml:space="preserve">The issue of malignancies and </w:t>
      </w:r>
      <w:proofErr w:type="spellStart"/>
      <w:r>
        <w:t>mepolizumab</w:t>
      </w:r>
      <w:proofErr w:type="spellEnd"/>
      <w:r>
        <w:t xml:space="preserve"> use are addressed in both the report to the ANSM and in the most recent PBRER. The PBRER noted that the types of malignancies reported were those that are common in the general population and that there was no evidence of an increased probability of occurrence with increased exposure to </w:t>
      </w:r>
      <w:proofErr w:type="spellStart"/>
      <w:r>
        <w:t>mepolizumab</w:t>
      </w:r>
      <w:proofErr w:type="spellEnd"/>
      <w:r>
        <w:t xml:space="preserve"> treatments compared with placebo. Patients with HES appeared to have a disproportionately high incidence of malignanc</w:t>
      </w:r>
      <w:r w:rsidR="00AA026D">
        <w:t xml:space="preserve">y; </w:t>
      </w:r>
      <w:r>
        <w:t>this is not discussed in the PBRER but is discussed in the sponsor’s report to the ANSM.</w:t>
      </w:r>
      <w:r w:rsidRPr="003401A0">
        <w:rPr>
          <w:rFonts w:asciiTheme="minorHAnsi" w:hAnsiTheme="minorHAnsi"/>
          <w:lang w:eastAsia="ja-JP"/>
        </w:rPr>
        <w:t xml:space="preserve"> </w:t>
      </w:r>
      <w:r>
        <w:rPr>
          <w:lang w:eastAsia="ja-JP"/>
        </w:rPr>
        <w:t xml:space="preserve">The report notes that </w:t>
      </w:r>
      <w:r>
        <w:rPr>
          <w:rFonts w:eastAsiaTheme="minorHAnsi"/>
        </w:rPr>
        <w:t xml:space="preserve">most patients enrolled into the HES program </w:t>
      </w:r>
      <w:r w:rsidR="00126A5E">
        <w:rPr>
          <w:rFonts w:eastAsiaTheme="minorHAnsi"/>
        </w:rPr>
        <w:t>‘</w:t>
      </w:r>
      <w:r w:rsidRPr="00015382">
        <w:rPr>
          <w:rFonts w:eastAsiaTheme="minorHAnsi"/>
        </w:rPr>
        <w:t>have very severe disease after many treatment regimens. These regimens often include various cytotoxic and broad spectrum immunosuppressant agents</w:t>
      </w:r>
      <w:r w:rsidR="00126A5E">
        <w:rPr>
          <w:rFonts w:eastAsiaTheme="minorHAnsi"/>
        </w:rPr>
        <w:t>’</w:t>
      </w:r>
      <w:r w:rsidRPr="00015382">
        <w:rPr>
          <w:rFonts w:eastAsiaTheme="minorHAnsi"/>
        </w:rPr>
        <w:t>. The report ackno</w:t>
      </w:r>
      <w:r w:rsidR="00AA026D">
        <w:rPr>
          <w:rFonts w:eastAsiaTheme="minorHAnsi"/>
        </w:rPr>
        <w:t xml:space="preserve">wledged the high incidence of T </w:t>
      </w:r>
      <w:r w:rsidRPr="00015382">
        <w:rPr>
          <w:rFonts w:eastAsiaTheme="minorHAnsi"/>
        </w:rPr>
        <w:t xml:space="preserve">cell lymphoma in the HES population but reported that </w:t>
      </w:r>
      <w:r w:rsidR="00126A5E">
        <w:rPr>
          <w:rFonts w:asciiTheme="minorHAnsi" w:eastAsiaTheme="minorHAnsi" w:hAnsiTheme="minorHAnsi"/>
        </w:rPr>
        <w:t>‘</w:t>
      </w:r>
      <w:r w:rsidRPr="00015382">
        <w:rPr>
          <w:rFonts w:asciiTheme="minorHAnsi" w:eastAsiaTheme="minorHAnsi" w:hAnsiTheme="minorHAnsi"/>
        </w:rPr>
        <w:t>In the</w:t>
      </w:r>
      <w:r w:rsidR="00AA026D">
        <w:rPr>
          <w:rFonts w:asciiTheme="minorHAnsi" w:eastAsiaTheme="minorHAnsi" w:hAnsiTheme="minorHAnsi"/>
        </w:rPr>
        <w:t xml:space="preserve"> </w:t>
      </w:r>
      <w:proofErr w:type="spellStart"/>
      <w:r w:rsidR="00AA026D">
        <w:rPr>
          <w:rFonts w:asciiTheme="minorHAnsi" w:eastAsiaTheme="minorHAnsi" w:hAnsiTheme="minorHAnsi"/>
        </w:rPr>
        <w:t>mepolizumab</w:t>
      </w:r>
      <w:proofErr w:type="spellEnd"/>
      <w:r w:rsidR="00AA026D">
        <w:rPr>
          <w:rFonts w:asciiTheme="minorHAnsi" w:eastAsiaTheme="minorHAnsi" w:hAnsiTheme="minorHAnsi"/>
        </w:rPr>
        <w:t xml:space="preserve"> program to date, T </w:t>
      </w:r>
      <w:r w:rsidRPr="00015382">
        <w:rPr>
          <w:rFonts w:asciiTheme="minorHAnsi" w:eastAsiaTheme="minorHAnsi" w:hAnsiTheme="minorHAnsi"/>
        </w:rPr>
        <w:t>cell lymphoma has been reported only from patients with lymphocytic HES (L-HES) wh</w:t>
      </w:r>
      <w:r w:rsidR="00AA026D">
        <w:rPr>
          <w:rFonts w:asciiTheme="minorHAnsi" w:eastAsiaTheme="minorHAnsi" w:hAnsiTheme="minorHAnsi"/>
        </w:rPr>
        <w:t xml:space="preserve">o had a pre-existing abnormal T </w:t>
      </w:r>
      <w:r w:rsidRPr="00015382">
        <w:rPr>
          <w:rFonts w:asciiTheme="minorHAnsi" w:eastAsiaTheme="minorHAnsi" w:hAnsiTheme="minorHAnsi"/>
        </w:rPr>
        <w:t>cell phenotype, which puts them at increased risk for progression to lymphoma as part of the natural history of the disease</w:t>
      </w:r>
      <w:r w:rsidR="00126A5E">
        <w:rPr>
          <w:rFonts w:asciiTheme="minorHAnsi" w:eastAsiaTheme="minorHAnsi" w:hAnsiTheme="minorHAnsi"/>
        </w:rPr>
        <w:t>’</w:t>
      </w:r>
      <w:r w:rsidRPr="00015382">
        <w:rPr>
          <w:rFonts w:asciiTheme="minorHAnsi" w:eastAsiaTheme="minorHAnsi" w:hAnsiTheme="minorHAnsi"/>
        </w:rPr>
        <w:t xml:space="preserve"> </w:t>
      </w:r>
      <w:r w:rsidRPr="00015382">
        <w:rPr>
          <w:rFonts w:asciiTheme="minorHAnsi" w:hAnsiTheme="minorHAnsi"/>
          <w:lang w:eastAsia="ja-JP"/>
        </w:rPr>
        <w:t xml:space="preserve">The evaluator notes that </w:t>
      </w:r>
      <w:r w:rsidRPr="00015382">
        <w:rPr>
          <w:lang w:eastAsia="ja-JP"/>
        </w:rPr>
        <w:t xml:space="preserve">lymphocytic HES </w:t>
      </w:r>
      <w:r w:rsidR="00AA026D">
        <w:rPr>
          <w:lang w:eastAsia="ja-JP"/>
        </w:rPr>
        <w:t>is recognised as a distinct sub</w:t>
      </w:r>
      <w:r w:rsidRPr="00015382">
        <w:rPr>
          <w:lang w:eastAsia="ja-JP"/>
        </w:rPr>
        <w:t xml:space="preserve">type of HES that is </w:t>
      </w:r>
      <w:r w:rsidRPr="00015382">
        <w:t xml:space="preserve">defined by the presence of a monoclonal T cell population detected in conjunction with </w:t>
      </w:r>
      <w:proofErr w:type="spellStart"/>
      <w:r w:rsidRPr="00015382">
        <w:t>immunophenotypically</w:t>
      </w:r>
      <w:proofErr w:type="spellEnd"/>
      <w:r w:rsidRPr="00015382">
        <w:t xml:space="preserve"> aberrant T cell populations and that progression to lymphoma is reported to occur in a median of 3 to 7 </w:t>
      </w:r>
      <w:r w:rsidRPr="007D548F">
        <w:t>years</w:t>
      </w:r>
      <w:r w:rsidRPr="007D548F">
        <w:rPr>
          <w:i/>
        </w:rPr>
        <w:t>.</w:t>
      </w:r>
      <w:r>
        <w:rPr>
          <w:rStyle w:val="FootnoteReference"/>
          <w:i/>
        </w:rPr>
        <w:footnoteReference w:id="52"/>
      </w:r>
    </w:p>
    <w:p w14:paraId="5DE8569C" w14:textId="77777777" w:rsidR="00015382" w:rsidRPr="00015382" w:rsidRDefault="00015382" w:rsidP="00015382">
      <w:pPr>
        <w:rPr>
          <w:lang w:eastAsia="ja-JP"/>
        </w:rPr>
      </w:pPr>
      <w:r>
        <w:rPr>
          <w:lang w:eastAsia="ja-JP"/>
        </w:rPr>
        <w:t xml:space="preserve">The evaluator agrees that, to date and excepting the HES population, there is no clear signal for increased risk of malignancy in </w:t>
      </w:r>
      <w:proofErr w:type="spellStart"/>
      <w:r>
        <w:rPr>
          <w:lang w:eastAsia="ja-JP"/>
        </w:rPr>
        <w:t>mepolizumab</w:t>
      </w:r>
      <w:proofErr w:type="spellEnd"/>
      <w:r>
        <w:rPr>
          <w:lang w:eastAsia="ja-JP"/>
        </w:rPr>
        <w:t xml:space="preserve"> treated patients. The disproportionate incidence of malignancies in the HES population may be a complication of prior cytotoxic therapies or may represent a risk of </w:t>
      </w:r>
      <w:proofErr w:type="spellStart"/>
      <w:r>
        <w:rPr>
          <w:lang w:eastAsia="ja-JP"/>
        </w:rPr>
        <w:t>mepolizumab</w:t>
      </w:r>
      <w:proofErr w:type="spellEnd"/>
      <w:r>
        <w:rPr>
          <w:lang w:eastAsia="ja-JP"/>
        </w:rPr>
        <w:t xml:space="preserve"> treatment in this population. The evaluator acknowledges that the lymphoma reports in the HES population appear to be limited to patients with the L-HES subtype and that this sub-type has an underlying increased risk for the development of lymphoma. It is unknown whether the use of </w:t>
      </w:r>
      <w:proofErr w:type="spellStart"/>
      <w:r>
        <w:rPr>
          <w:lang w:eastAsia="ja-JP"/>
        </w:rPr>
        <w:t>mepolizumab</w:t>
      </w:r>
      <w:proofErr w:type="spellEnd"/>
      <w:r>
        <w:rPr>
          <w:lang w:eastAsia="ja-JP"/>
        </w:rPr>
        <w:t xml:space="preserve"> in this group increases this risk or shortens the time to development of lymphoma.</w:t>
      </w:r>
    </w:p>
    <w:p w14:paraId="354F79C9" w14:textId="77777777" w:rsidR="002005CD" w:rsidRPr="00015382" w:rsidRDefault="002005CD" w:rsidP="00015382">
      <w:pPr>
        <w:pStyle w:val="Heading5"/>
      </w:pPr>
      <w:bookmarkStart w:id="187" w:name="_Ref506839955"/>
      <w:r w:rsidRPr="00015382">
        <w:lastRenderedPageBreak/>
        <w:t>Question</w:t>
      </w:r>
      <w:r w:rsidR="00015382" w:rsidRPr="00015382">
        <w:t xml:space="preserve"> 14</w:t>
      </w:r>
      <w:r w:rsidRPr="00015382">
        <w:t>: Safety and post-marketing use</w:t>
      </w:r>
      <w:bookmarkEnd w:id="187"/>
    </w:p>
    <w:p w14:paraId="44FFE910" w14:textId="77777777" w:rsidR="002005CD" w:rsidRPr="00015382" w:rsidRDefault="002005CD" w:rsidP="002005CD">
      <w:pPr>
        <w:rPr>
          <w:rFonts w:eastAsia="TimesNewRoman" w:cs="Calibri"/>
          <w:b/>
          <w:i/>
        </w:rPr>
      </w:pPr>
      <w:r w:rsidRPr="00015382">
        <w:rPr>
          <w:rFonts w:eastAsia="TimesNewRoman" w:cs="Calibri"/>
          <w:b/>
          <w:i/>
        </w:rPr>
        <w:t>The sponsor is asked to provide the most recent PBRER with the Round 2 responses.</w:t>
      </w:r>
    </w:p>
    <w:p w14:paraId="289CEADF" w14:textId="77777777" w:rsidR="00015382" w:rsidRDefault="00015382" w:rsidP="00015382">
      <w:pPr>
        <w:pStyle w:val="Heading6"/>
        <w:rPr>
          <w:rFonts w:eastAsia="TimesNewRoman"/>
        </w:rPr>
      </w:pPr>
      <w:r>
        <w:rPr>
          <w:rFonts w:eastAsia="TimesNewRoman"/>
        </w:rPr>
        <w:t>Sponsor’s response</w:t>
      </w:r>
    </w:p>
    <w:p w14:paraId="26EB419C" w14:textId="77777777" w:rsidR="00015382" w:rsidRPr="00015382" w:rsidRDefault="00A74898" w:rsidP="00015382">
      <w:pPr>
        <w:rPr>
          <w:lang w:eastAsia="ja-JP"/>
        </w:rPr>
      </w:pPr>
      <w:r>
        <w:rPr>
          <w:color w:val="000000" w:themeColor="text1"/>
        </w:rPr>
        <w:t xml:space="preserve">PBRER number </w:t>
      </w:r>
      <w:r w:rsidR="00015382" w:rsidRPr="00093D1D">
        <w:rPr>
          <w:color w:val="000000" w:themeColor="text1"/>
        </w:rPr>
        <w:t xml:space="preserve">5 </w:t>
      </w:r>
      <w:r w:rsidR="00015382" w:rsidRPr="00093D1D">
        <w:t>covering the reporting period of 24 September 2017 to 23 March 2018 was provided.</w:t>
      </w:r>
    </w:p>
    <w:p w14:paraId="2A40B3EC" w14:textId="77777777" w:rsidR="00015382" w:rsidRDefault="00015382" w:rsidP="00015382">
      <w:pPr>
        <w:pStyle w:val="Heading6"/>
        <w:rPr>
          <w:rFonts w:eastAsia="TimesNewRoman"/>
        </w:rPr>
      </w:pPr>
      <w:r>
        <w:rPr>
          <w:rFonts w:eastAsia="TimesNewRoman"/>
        </w:rPr>
        <w:t>Evaluation of response</w:t>
      </w:r>
    </w:p>
    <w:p w14:paraId="0F432BB2" w14:textId="77777777" w:rsidR="00015382" w:rsidRPr="00427959" w:rsidRDefault="00015382" w:rsidP="00015382">
      <w:pPr>
        <w:rPr>
          <w:lang w:eastAsia="ja-JP"/>
        </w:rPr>
      </w:pPr>
      <w:r w:rsidRPr="00427959">
        <w:rPr>
          <w:lang w:eastAsia="ja-JP"/>
        </w:rPr>
        <w:t xml:space="preserve">The PBRER </w:t>
      </w:r>
      <w:r>
        <w:rPr>
          <w:lang w:eastAsia="ja-JP"/>
        </w:rPr>
        <w:t xml:space="preserve">is summarised in the clinical evaluation report. Importantly, the PBRER </w:t>
      </w:r>
      <w:r w:rsidRPr="00427959">
        <w:rPr>
          <w:lang w:eastAsia="ja-JP"/>
        </w:rPr>
        <w:t xml:space="preserve">states </w:t>
      </w:r>
      <w:r>
        <w:rPr>
          <w:lang w:eastAsia="ja-JP"/>
        </w:rPr>
        <w:t xml:space="preserve">that no new safety signals were identified and </w:t>
      </w:r>
      <w:r w:rsidRPr="00427959">
        <w:rPr>
          <w:lang w:eastAsia="ja-JP"/>
        </w:rPr>
        <w:t xml:space="preserve">that there were no actions (including </w:t>
      </w:r>
      <w:r w:rsidRPr="00427959">
        <w:rPr>
          <w:rFonts w:eastAsia="TimesNewRoman" w:cs="TimesNewRoman"/>
        </w:rPr>
        <w:t xml:space="preserve">no dosage modifications, changes in target population, formulation changes, restrictions on distribution, clinical trial suspensions, or any other actions) </w:t>
      </w:r>
      <w:r w:rsidRPr="00427959">
        <w:rPr>
          <w:lang w:eastAsia="ja-JP"/>
        </w:rPr>
        <w:t>taken for safety reasons during the reporting period.</w:t>
      </w:r>
    </w:p>
    <w:p w14:paraId="1EEFFFAB" w14:textId="77777777" w:rsidR="00015382" w:rsidRDefault="00015382" w:rsidP="00015382">
      <w:pPr>
        <w:rPr>
          <w:lang w:eastAsia="ja-JP"/>
        </w:rPr>
      </w:pPr>
      <w:r>
        <w:rPr>
          <w:lang w:eastAsia="ja-JP"/>
        </w:rPr>
        <w:t xml:space="preserve">The reference safety information had one change, with </w:t>
      </w:r>
      <w:r w:rsidR="00A74898">
        <w:rPr>
          <w:lang w:eastAsia="ja-JP"/>
        </w:rPr>
        <w:t>c</w:t>
      </w:r>
      <w:r w:rsidR="00A74898" w:rsidRPr="00A74898">
        <w:rPr>
          <w:lang w:eastAsia="ja-JP"/>
        </w:rPr>
        <w:t>hronic obstructive pulmonary disease</w:t>
      </w:r>
      <w:r w:rsidR="00A74898">
        <w:rPr>
          <w:lang w:eastAsia="ja-JP"/>
        </w:rPr>
        <w:t xml:space="preserve"> (</w:t>
      </w:r>
      <w:r>
        <w:rPr>
          <w:lang w:eastAsia="ja-JP"/>
        </w:rPr>
        <w:t>COPD</w:t>
      </w:r>
      <w:r w:rsidR="00A74898">
        <w:rPr>
          <w:lang w:eastAsia="ja-JP"/>
        </w:rPr>
        <w:t>)</w:t>
      </w:r>
      <w:r>
        <w:rPr>
          <w:lang w:eastAsia="ja-JP"/>
        </w:rPr>
        <w:t xml:space="preserve"> added to the existing warning regarding the contraindication to use in acute asthma attacks.</w:t>
      </w:r>
    </w:p>
    <w:p w14:paraId="782FF8D7" w14:textId="77777777" w:rsidR="00015382" w:rsidRDefault="00015382" w:rsidP="00015382">
      <w:pPr>
        <w:rPr>
          <w:lang w:eastAsia="ja-JP"/>
        </w:rPr>
      </w:pPr>
      <w:r w:rsidRPr="009805E9">
        <w:rPr>
          <w:lang w:eastAsia="ja-JP"/>
        </w:rPr>
        <w:t>The PBRER list</w:t>
      </w:r>
      <w:r w:rsidR="00A74898">
        <w:rPr>
          <w:lang w:eastAsia="ja-JP"/>
        </w:rPr>
        <w:t xml:space="preserve">s the following safety concerns in </w:t>
      </w:r>
      <w:r w:rsidR="00A74898">
        <w:rPr>
          <w:lang w:eastAsia="ja-JP"/>
        </w:rPr>
        <w:fldChar w:fldCharType="begin"/>
      </w:r>
      <w:r w:rsidR="00A74898">
        <w:rPr>
          <w:lang w:eastAsia="ja-JP"/>
        </w:rPr>
        <w:instrText xml:space="preserve"> REF _Ref15977585 \h </w:instrText>
      </w:r>
      <w:r w:rsidR="00A74898">
        <w:rPr>
          <w:lang w:eastAsia="ja-JP"/>
        </w:rPr>
      </w:r>
      <w:r w:rsidR="00A74898">
        <w:rPr>
          <w:lang w:eastAsia="ja-JP"/>
        </w:rPr>
        <w:fldChar w:fldCharType="separate"/>
      </w:r>
      <w:r w:rsidR="00126A5E">
        <w:t xml:space="preserve">Table </w:t>
      </w:r>
      <w:r w:rsidR="00126A5E">
        <w:rPr>
          <w:noProof/>
        </w:rPr>
        <w:t>21</w:t>
      </w:r>
      <w:r w:rsidR="00A74898">
        <w:rPr>
          <w:lang w:eastAsia="ja-JP"/>
        </w:rPr>
        <w:fldChar w:fldCharType="end"/>
      </w:r>
      <w:r w:rsidR="00A74898">
        <w:rPr>
          <w:lang w:eastAsia="ja-JP"/>
        </w:rPr>
        <w:t>, below.</w:t>
      </w:r>
    </w:p>
    <w:p w14:paraId="636A595F" w14:textId="77777777" w:rsidR="00A74898" w:rsidRPr="009805E9" w:rsidRDefault="00A74898" w:rsidP="00A74898">
      <w:pPr>
        <w:pStyle w:val="TableTitle"/>
        <w:rPr>
          <w:lang w:eastAsia="ja-JP"/>
        </w:rPr>
      </w:pPr>
      <w:bookmarkStart w:id="188" w:name="_Ref15977585"/>
      <w:r>
        <w:t xml:space="preserve">Table </w:t>
      </w:r>
      <w:r w:rsidR="00C33647">
        <w:rPr>
          <w:noProof/>
        </w:rPr>
        <w:fldChar w:fldCharType="begin"/>
      </w:r>
      <w:r w:rsidR="00C33647">
        <w:rPr>
          <w:noProof/>
        </w:rPr>
        <w:instrText xml:space="preserve"> SEQ Table \* ARABIC </w:instrText>
      </w:r>
      <w:r w:rsidR="00C33647">
        <w:rPr>
          <w:noProof/>
        </w:rPr>
        <w:fldChar w:fldCharType="separate"/>
      </w:r>
      <w:r w:rsidR="00126A5E">
        <w:rPr>
          <w:noProof/>
        </w:rPr>
        <w:t>21</w:t>
      </w:r>
      <w:r w:rsidR="00C33647">
        <w:rPr>
          <w:noProof/>
        </w:rPr>
        <w:fldChar w:fldCharType="end"/>
      </w:r>
      <w:bookmarkEnd w:id="188"/>
      <w:r>
        <w:rPr>
          <w:lang w:eastAsia="ja-JP"/>
        </w:rPr>
        <w:t>: Important safety concerns at the start of the reporting period</w:t>
      </w:r>
    </w:p>
    <w:p w14:paraId="01F388BA" w14:textId="77777777" w:rsidR="00015382" w:rsidRPr="001C27E6" w:rsidRDefault="00A74898" w:rsidP="00015382">
      <w:pPr>
        <w:rPr>
          <w:lang w:eastAsia="ja-JP"/>
        </w:rPr>
      </w:pPr>
      <w:r>
        <w:rPr>
          <w:noProof/>
          <w:lang w:eastAsia="en-AU"/>
        </w:rPr>
        <w:drawing>
          <wp:inline distT="0" distB="0" distL="0" distR="0" wp14:anchorId="118B21F6" wp14:editId="21A28DC5">
            <wp:extent cx="5043225" cy="2709117"/>
            <wp:effectExtent l="0" t="0" r="5080" b="0"/>
            <wp:docPr id="38" name="Picture 38" descr="Important safety concerns at the start of the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44122" cy="2709599"/>
                    </a:xfrm>
                    <a:prstGeom prst="rect">
                      <a:avLst/>
                    </a:prstGeom>
                  </pic:spPr>
                </pic:pic>
              </a:graphicData>
            </a:graphic>
          </wp:inline>
        </w:drawing>
      </w:r>
    </w:p>
    <w:p w14:paraId="76D0FAAB" w14:textId="77777777" w:rsidR="00015382" w:rsidRPr="00075741" w:rsidRDefault="00015382" w:rsidP="00015382">
      <w:pPr>
        <w:rPr>
          <w:noProof/>
          <w:lang w:eastAsia="en-AU"/>
        </w:rPr>
      </w:pPr>
      <w:r w:rsidRPr="00075741">
        <w:rPr>
          <w:noProof/>
          <w:lang w:eastAsia="en-AU"/>
        </w:rPr>
        <w:t>This is the same as the list of safety concerns in the EU-RMP for severe asthma provided with the original dossier.</w:t>
      </w:r>
    </w:p>
    <w:p w14:paraId="4A2D6DAE" w14:textId="77777777" w:rsidR="00015382" w:rsidRPr="00015382" w:rsidRDefault="00015382" w:rsidP="00015382">
      <w:pPr>
        <w:rPr>
          <w:lang w:eastAsia="ja-JP"/>
        </w:rPr>
      </w:pPr>
      <w:r>
        <w:rPr>
          <w:lang w:eastAsia="ja-JP"/>
        </w:rPr>
        <w:t>The identified and potential risks were discussed, but largely according to data from the placebo controlled severe asthma studies only.</w:t>
      </w:r>
    </w:p>
    <w:p w14:paraId="4BD58AD8" w14:textId="44957E12" w:rsidR="002005CD" w:rsidRDefault="002005CD" w:rsidP="002005CD">
      <w:pPr>
        <w:pStyle w:val="Heading4"/>
        <w:numPr>
          <w:ilvl w:val="2"/>
          <w:numId w:val="0"/>
        </w:numPr>
        <w:tabs>
          <w:tab w:val="num" w:pos="1134"/>
        </w:tabs>
        <w:adjustRightInd w:val="0"/>
        <w:snapToGrid w:val="0"/>
        <w:spacing w:before="120" w:after="120"/>
        <w:ind w:left="1134" w:hanging="964"/>
      </w:pPr>
      <w:r>
        <w:t xml:space="preserve">Use in </w:t>
      </w:r>
      <w:r w:rsidR="00C86C73">
        <w:t>c</w:t>
      </w:r>
      <w:r>
        <w:t>hildren</w:t>
      </w:r>
    </w:p>
    <w:p w14:paraId="5A3C6A1E" w14:textId="77777777" w:rsidR="002005CD" w:rsidRPr="00015382" w:rsidRDefault="002005CD" w:rsidP="00015382">
      <w:pPr>
        <w:pStyle w:val="Heading5"/>
        <w:rPr>
          <w:rFonts w:eastAsia="TimesNewRoman"/>
        </w:rPr>
      </w:pPr>
      <w:bookmarkStart w:id="189" w:name="_Ref507410616"/>
      <w:r w:rsidRPr="00015382">
        <w:rPr>
          <w:rFonts w:eastAsia="TimesNewRoman"/>
        </w:rPr>
        <w:t>Question</w:t>
      </w:r>
      <w:r w:rsidR="00015382" w:rsidRPr="00015382">
        <w:rPr>
          <w:rFonts w:eastAsia="TimesNewRoman"/>
        </w:rPr>
        <w:t xml:space="preserve"> 15</w:t>
      </w:r>
      <w:r w:rsidRPr="00015382">
        <w:rPr>
          <w:rFonts w:eastAsia="TimesNewRoman"/>
        </w:rPr>
        <w:t xml:space="preserve">: Immunogenicity of </w:t>
      </w:r>
      <w:proofErr w:type="spellStart"/>
      <w:r w:rsidRPr="00015382">
        <w:rPr>
          <w:rFonts w:eastAsia="TimesNewRoman"/>
        </w:rPr>
        <w:t>mepolizumab</w:t>
      </w:r>
      <w:proofErr w:type="spellEnd"/>
      <w:r w:rsidRPr="00015382">
        <w:rPr>
          <w:rFonts w:eastAsia="TimesNewRoman"/>
        </w:rPr>
        <w:t xml:space="preserve"> in children</w:t>
      </w:r>
      <w:bookmarkEnd w:id="189"/>
    </w:p>
    <w:p w14:paraId="5ABFDF15" w14:textId="77777777" w:rsidR="002005CD" w:rsidRPr="00015382" w:rsidRDefault="002005CD" w:rsidP="00015382">
      <w:pPr>
        <w:rPr>
          <w:b/>
          <w:i/>
        </w:rPr>
      </w:pPr>
      <w:r w:rsidRPr="00015382">
        <w:rPr>
          <w:b/>
          <w:i/>
        </w:rPr>
        <w:t>Very high rates of ADA w</w:t>
      </w:r>
      <w:r w:rsidR="005C7A5F">
        <w:rPr>
          <w:b/>
          <w:i/>
        </w:rPr>
        <w:t>ere reported in the paediatric S</w:t>
      </w:r>
      <w:r w:rsidRPr="00015382">
        <w:rPr>
          <w:b/>
          <w:i/>
        </w:rPr>
        <w:t>tudy, MEE103219 (78% of the 59 subjects aged 2 to 17 years), although very low rates have been reported in the adult population (</w:t>
      </w:r>
      <w:r w:rsidR="007B19BE" w:rsidRPr="00015382">
        <w:rPr>
          <w:b/>
          <w:i/>
        </w:rPr>
        <w:t>for example</w:t>
      </w:r>
      <w:r w:rsidRPr="00015382">
        <w:rPr>
          <w:b/>
          <w:i/>
        </w:rPr>
        <w:t>, 3% in Study MEA11592</w:t>
      </w:r>
      <w:r w:rsidR="00A74898">
        <w:rPr>
          <w:b/>
          <w:i/>
        </w:rPr>
        <w:t>1) and in the other paediatric S</w:t>
      </w:r>
      <w:r w:rsidRPr="00015382">
        <w:rPr>
          <w:b/>
          <w:i/>
        </w:rPr>
        <w:t xml:space="preserve">tudy 200363 (5%). Could the sponsor account for the </w:t>
      </w:r>
      <w:r w:rsidR="002B3D99">
        <w:rPr>
          <w:b/>
          <w:i/>
        </w:rPr>
        <w:t>very high rates of ADA in Study </w:t>
      </w:r>
      <w:r w:rsidRPr="00015382">
        <w:rPr>
          <w:b/>
          <w:i/>
        </w:rPr>
        <w:t xml:space="preserve">MEE103219 and comment on whether this represents a different immunogenicity of </w:t>
      </w:r>
      <w:proofErr w:type="spellStart"/>
      <w:r w:rsidRPr="00015382">
        <w:rPr>
          <w:b/>
          <w:i/>
        </w:rPr>
        <w:t>mepolizumab</w:t>
      </w:r>
      <w:proofErr w:type="spellEnd"/>
      <w:r w:rsidRPr="00015382">
        <w:rPr>
          <w:b/>
          <w:i/>
        </w:rPr>
        <w:t xml:space="preserve"> according to age or condition?</w:t>
      </w:r>
    </w:p>
    <w:p w14:paraId="0DDE0ED6" w14:textId="77777777" w:rsidR="00015382" w:rsidRDefault="00015382" w:rsidP="00015382">
      <w:pPr>
        <w:pStyle w:val="Heading6"/>
      </w:pPr>
      <w:r>
        <w:lastRenderedPageBreak/>
        <w:t>Sponsor’s response</w:t>
      </w:r>
    </w:p>
    <w:p w14:paraId="1AEBD1EE" w14:textId="77777777" w:rsidR="00015382" w:rsidRPr="00015382" w:rsidRDefault="00015382" w:rsidP="00015382">
      <w:pPr>
        <w:rPr>
          <w:lang w:eastAsia="ja-JP"/>
        </w:rPr>
      </w:pPr>
      <w:r w:rsidRPr="00015382">
        <w:rPr>
          <w:lang w:eastAsia="ja-JP"/>
        </w:rPr>
        <w:t xml:space="preserve">The sponsor reported that the </w:t>
      </w:r>
      <w:r w:rsidR="00A74898">
        <w:t>ADA</w:t>
      </w:r>
      <w:r w:rsidRPr="00015382">
        <w:t xml:space="preserve"> binding assay has evolved considerably during the clinical development of </w:t>
      </w:r>
      <w:proofErr w:type="spellStart"/>
      <w:r w:rsidRPr="00015382">
        <w:t>mepolizumab</w:t>
      </w:r>
      <w:proofErr w:type="spellEnd"/>
      <w:r w:rsidRPr="00015382">
        <w:t>. The Fourth Gen</w:t>
      </w:r>
      <w:r w:rsidR="00A74898">
        <w:t>eration Assay was used in Study </w:t>
      </w:r>
      <w:r w:rsidRPr="00015382">
        <w:t>ME</w:t>
      </w:r>
      <w:r w:rsidR="00A74898">
        <w:t xml:space="preserve">E103219 (conducted between 2006 to </w:t>
      </w:r>
      <w:r w:rsidRPr="00015382">
        <w:t xml:space="preserve">2008) whereas the Sixth Generation ADA assay was used in Studies MEA115921 and 200363. The high number of false positives recognised as occurring with the Fourth Generation Assay (see sponsor’s response for the mechanism of this) resulted in the incorporation of an anti-IL5 blocking antibody reagent in the sixth generation assays. The sponsor notes that </w:t>
      </w:r>
      <w:r w:rsidR="00126A5E">
        <w:t>‘</w:t>
      </w:r>
      <w:r w:rsidRPr="00015382">
        <w:t>A comparison of the im</w:t>
      </w:r>
      <w:r w:rsidR="00A74898">
        <w:t>munogenicity incidence between Study MEE103219 and S</w:t>
      </w:r>
      <w:r w:rsidRPr="00015382">
        <w:t>tudies MEA115921 and 200363 is therefore not appropriate since the analytical methods used were different</w:t>
      </w:r>
      <w:r w:rsidR="00126A5E">
        <w:t>’</w:t>
      </w:r>
      <w:r w:rsidRPr="00015382">
        <w:t>.</w:t>
      </w:r>
    </w:p>
    <w:p w14:paraId="63E1550D" w14:textId="77777777" w:rsidR="00015382" w:rsidRPr="00015382" w:rsidRDefault="00015382" w:rsidP="00015382">
      <w:r w:rsidRPr="00015382">
        <w:rPr>
          <w:lang w:eastAsia="ja-JP"/>
        </w:rPr>
        <w:t xml:space="preserve">Comparison of the incidence of ADA in the two studies using the Sixth Generation Assay found that </w:t>
      </w:r>
      <w:r w:rsidRPr="00015382">
        <w:t>the incidence in adults with EGPA (MEA115921) was &lt;</w:t>
      </w:r>
      <w:r w:rsidR="00A74898">
        <w:t xml:space="preserve"> </w:t>
      </w:r>
      <w:r w:rsidRPr="00015382">
        <w:t>2% and incidence in paediatric subjects with severe eosinophilic asthma (</w:t>
      </w:r>
      <w:r w:rsidR="00A74898">
        <w:t xml:space="preserve">Study </w:t>
      </w:r>
      <w:r w:rsidRPr="00015382">
        <w:t>200363) was 6%. These results were described as comparable.</w:t>
      </w:r>
    </w:p>
    <w:p w14:paraId="5688B966" w14:textId="77777777" w:rsidR="00015382" w:rsidRDefault="00015382" w:rsidP="00015382">
      <w:pPr>
        <w:pStyle w:val="Heading6"/>
      </w:pPr>
      <w:r>
        <w:t>Evaluation of response</w:t>
      </w:r>
    </w:p>
    <w:p w14:paraId="563D6A8D" w14:textId="77777777" w:rsidR="00015382" w:rsidRDefault="00015382" w:rsidP="00A74898">
      <w:pPr>
        <w:rPr>
          <w:lang w:eastAsia="ja-JP"/>
        </w:rPr>
      </w:pPr>
      <w:r>
        <w:rPr>
          <w:lang w:eastAsia="ja-JP"/>
        </w:rPr>
        <w:t>The evaluator agrees that the results from assays that differ substantially in their methodology cannot be compared and that the difference in fourth and sixth generation assays is likely to account for the different results for ADA incidence in the two paediatric studies (</w:t>
      </w:r>
      <w:r w:rsidRPr="000B6CC2">
        <w:rPr>
          <w:rFonts w:asciiTheme="minorHAnsi" w:eastAsia="TimesNewRoman" w:hAnsiTheme="minorHAnsi" w:cs="TimesNewRoman"/>
        </w:rPr>
        <w:t>Stud</w:t>
      </w:r>
      <w:r>
        <w:rPr>
          <w:rFonts w:asciiTheme="minorHAnsi" w:eastAsia="TimesNewRoman" w:hAnsiTheme="minorHAnsi" w:cs="TimesNewRoman"/>
        </w:rPr>
        <w:t>ies</w:t>
      </w:r>
      <w:r w:rsidRPr="000B6CC2">
        <w:rPr>
          <w:rFonts w:asciiTheme="minorHAnsi" w:eastAsia="TimesNewRoman" w:hAnsiTheme="minorHAnsi" w:cs="TimesNewRoman"/>
        </w:rPr>
        <w:t xml:space="preserve"> MEE103219 and 200363</w:t>
      </w:r>
      <w:r>
        <w:rPr>
          <w:rFonts w:asciiTheme="minorHAnsi" w:eastAsia="TimesNewRoman" w:hAnsiTheme="minorHAnsi" w:cs="TimesNewRoman"/>
        </w:rPr>
        <w:t>)</w:t>
      </w:r>
      <w:r>
        <w:rPr>
          <w:lang w:eastAsia="ja-JP"/>
        </w:rPr>
        <w:t>.</w:t>
      </w:r>
    </w:p>
    <w:p w14:paraId="0D2D7DAA" w14:textId="77777777" w:rsidR="002005CD" w:rsidRPr="00015382" w:rsidRDefault="002005CD" w:rsidP="00015382">
      <w:pPr>
        <w:pStyle w:val="Heading5"/>
        <w:rPr>
          <w:rFonts w:eastAsiaTheme="minorHAnsi"/>
        </w:rPr>
      </w:pPr>
      <w:bookmarkStart w:id="190" w:name="_Ref508378909"/>
      <w:r w:rsidRPr="00015382">
        <w:rPr>
          <w:rFonts w:eastAsiaTheme="minorHAnsi"/>
        </w:rPr>
        <w:t>Question</w:t>
      </w:r>
      <w:r w:rsidR="00015382" w:rsidRPr="00015382">
        <w:rPr>
          <w:rFonts w:eastAsiaTheme="minorHAnsi"/>
        </w:rPr>
        <w:t xml:space="preserve"> 16</w:t>
      </w:r>
      <w:r w:rsidRPr="00015382">
        <w:rPr>
          <w:rFonts w:eastAsiaTheme="minorHAnsi"/>
        </w:rPr>
        <w:t>: Dosing interval in children</w:t>
      </w:r>
      <w:bookmarkEnd w:id="190"/>
    </w:p>
    <w:p w14:paraId="253A9F74" w14:textId="77777777" w:rsidR="002005CD" w:rsidRPr="00105503" w:rsidRDefault="002005CD" w:rsidP="00105503">
      <w:pPr>
        <w:rPr>
          <w:b/>
          <w:i/>
        </w:rPr>
      </w:pPr>
      <w:r w:rsidRPr="00105503">
        <w:rPr>
          <w:b/>
          <w:i/>
        </w:rPr>
        <w:t>Observed PK data indicates that clearance is lower in children, particularly those with body weight &lt;</w:t>
      </w:r>
      <w:r w:rsidR="00A74898">
        <w:rPr>
          <w:b/>
          <w:i/>
        </w:rPr>
        <w:t xml:space="preserve"> </w:t>
      </w:r>
      <w:r w:rsidRPr="00105503">
        <w:rPr>
          <w:b/>
          <w:i/>
        </w:rPr>
        <w:t xml:space="preserve">40kg, and that this has resulted in higher </w:t>
      </w:r>
      <w:proofErr w:type="spellStart"/>
      <w:r w:rsidRPr="00105503">
        <w:rPr>
          <w:b/>
          <w:i/>
        </w:rPr>
        <w:t>mepolizumab</w:t>
      </w:r>
      <w:proofErr w:type="spellEnd"/>
      <w:r w:rsidRPr="00105503">
        <w:rPr>
          <w:b/>
          <w:i/>
        </w:rPr>
        <w:t xml:space="preserve"> plasma concentration in children. Increased bioavailability was also reported with SC administration in children. The sponsor is asked whether a longer dosing interval is indicated in the age-group in whom there is decreased clearance and increased bioavailability so as to avoid excessively high exposure and to reduce distress associated with treatment.</w:t>
      </w:r>
    </w:p>
    <w:p w14:paraId="5503DD90" w14:textId="77777777" w:rsidR="00015382" w:rsidRDefault="00015382" w:rsidP="00015382">
      <w:pPr>
        <w:pStyle w:val="Heading6"/>
        <w:rPr>
          <w:lang w:eastAsia="en-AU"/>
        </w:rPr>
      </w:pPr>
      <w:r>
        <w:rPr>
          <w:lang w:eastAsia="en-AU"/>
        </w:rPr>
        <w:t>Sponsor’s response</w:t>
      </w:r>
    </w:p>
    <w:p w14:paraId="1057AE8A" w14:textId="77777777" w:rsidR="00015382" w:rsidRPr="00105503" w:rsidRDefault="00105503" w:rsidP="00A74898">
      <w:pPr>
        <w:rPr>
          <w:lang w:eastAsia="ja-JP"/>
        </w:rPr>
      </w:pPr>
      <w:r w:rsidRPr="00B03169">
        <w:rPr>
          <w:lang w:eastAsia="ja-JP"/>
        </w:rPr>
        <w:t xml:space="preserve">The sponsor noted that </w:t>
      </w:r>
      <w:r w:rsidRPr="00B03169">
        <w:t>to achieve a comparable exposure to adults in terms of area under the</w:t>
      </w:r>
      <w:r w:rsidR="00A74898">
        <w:t xml:space="preserve"> concentration </w:t>
      </w:r>
      <w:r w:rsidRPr="00B03169">
        <w:t xml:space="preserve">time curve, either lowering the dose or extending the dosing interval are possible. The sponsor argued that if the dosing interval was extended, a higher dose would be required to maintain a similar trough concentration and associated blood eosinophil reduction to adults. </w:t>
      </w:r>
      <w:r>
        <w:t xml:space="preserve">The higher dose would result in a higher </w:t>
      </w:r>
      <w:proofErr w:type="spellStart"/>
      <w:r>
        <w:t>C</w:t>
      </w:r>
      <w:r w:rsidRPr="00A74898">
        <w:rPr>
          <w:vertAlign w:val="subscript"/>
        </w:rPr>
        <w:t>max</w:t>
      </w:r>
      <w:proofErr w:type="spellEnd"/>
      <w:r>
        <w:t xml:space="preserve"> and a different peak to trough ratio compared to that in adults. </w:t>
      </w:r>
      <w:r w:rsidRPr="00B03169">
        <w:t xml:space="preserve">The sponsor stated that </w:t>
      </w:r>
      <w:r w:rsidR="00126A5E">
        <w:t>‘</w:t>
      </w:r>
      <w:r w:rsidR="00A74898">
        <w:t>the sponsor</w:t>
      </w:r>
      <w:r w:rsidRPr="00105503">
        <w:t xml:space="preserve"> has therefore focused on reducing the number of injections per administration, as opposed to changing the dosing interval, to maintain similarity in exposure and response to adults</w:t>
      </w:r>
      <w:r w:rsidR="00126A5E">
        <w:t>’</w:t>
      </w:r>
      <w:r w:rsidRPr="00105503">
        <w:t>.</w:t>
      </w:r>
    </w:p>
    <w:p w14:paraId="0ECF93B7" w14:textId="77777777" w:rsidR="00015382" w:rsidRDefault="00015382" w:rsidP="00015382">
      <w:pPr>
        <w:pStyle w:val="Heading6"/>
        <w:rPr>
          <w:lang w:eastAsia="en-AU"/>
        </w:rPr>
      </w:pPr>
      <w:r>
        <w:rPr>
          <w:lang w:eastAsia="en-AU"/>
        </w:rPr>
        <w:t>Evaluation of response</w:t>
      </w:r>
    </w:p>
    <w:p w14:paraId="4C629411" w14:textId="77777777" w:rsidR="00105503" w:rsidRDefault="00105503" w:rsidP="00105503">
      <w:pPr>
        <w:rPr>
          <w:lang w:eastAsia="ja-JP"/>
        </w:rPr>
      </w:pPr>
      <w:r>
        <w:rPr>
          <w:lang w:eastAsia="ja-JP"/>
        </w:rPr>
        <w:t>The sponsor’s response assumes that:</w:t>
      </w:r>
    </w:p>
    <w:p w14:paraId="7CD7400A" w14:textId="77777777" w:rsidR="00105503" w:rsidRDefault="00105503" w:rsidP="00105503">
      <w:pPr>
        <w:pStyle w:val="ListBullet"/>
        <w:rPr>
          <w:lang w:eastAsia="ja-JP"/>
        </w:rPr>
      </w:pPr>
      <w:r>
        <w:rPr>
          <w:lang w:eastAsia="ja-JP"/>
        </w:rPr>
        <w:t>The proposed dosing regimens in children will result in exposure that is similar to that in adults</w:t>
      </w:r>
      <w:r w:rsidR="00A74898">
        <w:rPr>
          <w:lang w:eastAsia="ja-JP"/>
        </w:rPr>
        <w:t>.</w:t>
      </w:r>
    </w:p>
    <w:p w14:paraId="68C0C71A" w14:textId="77777777" w:rsidR="00105503" w:rsidRDefault="00105503" w:rsidP="00105503">
      <w:pPr>
        <w:pStyle w:val="ListBullet"/>
        <w:rPr>
          <w:lang w:eastAsia="ja-JP"/>
        </w:rPr>
      </w:pPr>
      <w:r>
        <w:rPr>
          <w:lang w:eastAsia="ja-JP"/>
        </w:rPr>
        <w:t>Efficacy is related to the reduction in blood eosinophil count</w:t>
      </w:r>
      <w:r w:rsidR="00A74898">
        <w:rPr>
          <w:lang w:eastAsia="ja-JP"/>
        </w:rPr>
        <w:t>.</w:t>
      </w:r>
    </w:p>
    <w:p w14:paraId="46A319DF" w14:textId="77777777" w:rsidR="00015382" w:rsidRPr="00015382" w:rsidRDefault="00105503" w:rsidP="00105503">
      <w:pPr>
        <w:rPr>
          <w:lang w:eastAsia="en-AU"/>
        </w:rPr>
      </w:pPr>
      <w:r>
        <w:rPr>
          <w:lang w:eastAsia="ja-JP"/>
        </w:rPr>
        <w:t>PK analyses provided by the sponsor have shown that exposure in children is higher than expected in comparison to adults (see Report 2015N255079_00</w:t>
      </w:r>
      <w:r w:rsidRPr="0082052D">
        <w:rPr>
          <w:lang w:eastAsia="ja-JP"/>
        </w:rPr>
        <w:t>)</w:t>
      </w:r>
      <w:r>
        <w:rPr>
          <w:lang w:eastAsia="ja-JP"/>
        </w:rPr>
        <w:t xml:space="preserve">. The sponsor has acknowledged that no relationship between efficacy and the reduction in blood eosinophil count has been demonstrated in the </w:t>
      </w:r>
      <w:proofErr w:type="spellStart"/>
      <w:r>
        <w:rPr>
          <w:lang w:eastAsia="ja-JP"/>
        </w:rPr>
        <w:t>mepolizumab</w:t>
      </w:r>
      <w:proofErr w:type="spellEnd"/>
      <w:r>
        <w:rPr>
          <w:lang w:eastAsia="ja-JP"/>
        </w:rPr>
        <w:t xml:space="preserve"> studies. The evaluator is not convinced that differences in PK between adults and children have been fully elucidated and that the proposed dosing regimen may result in excessive exposure in children.</w:t>
      </w:r>
    </w:p>
    <w:p w14:paraId="7A24494A" w14:textId="77777777" w:rsidR="002005CD" w:rsidRPr="00105503" w:rsidRDefault="002005CD" w:rsidP="00105503">
      <w:pPr>
        <w:pStyle w:val="Heading5"/>
      </w:pPr>
      <w:r w:rsidRPr="00105503">
        <w:lastRenderedPageBreak/>
        <w:t>Question</w:t>
      </w:r>
      <w:r w:rsidR="00105503" w:rsidRPr="00105503">
        <w:t xml:space="preserve"> 17: D</w:t>
      </w:r>
      <w:r w:rsidRPr="00105503">
        <w:t>ose reduction in children weighing less than 40 kg</w:t>
      </w:r>
    </w:p>
    <w:p w14:paraId="5D1C8E72" w14:textId="77777777" w:rsidR="002005CD" w:rsidRPr="00BE242D" w:rsidRDefault="00105503" w:rsidP="00105503">
      <w:pPr>
        <w:rPr>
          <w:b/>
          <w:i/>
          <w:lang w:eastAsia="ja-JP"/>
        </w:rPr>
      </w:pPr>
      <w:r w:rsidRPr="00BE242D">
        <w:rPr>
          <w:b/>
          <w:i/>
          <w:lang w:eastAsia="en-AU"/>
        </w:rPr>
        <w:t>Report 2015N255079_00: Supplementary Outputs From a Population PK and PK</w:t>
      </w:r>
      <w:r w:rsidR="00A74898" w:rsidRPr="00BE242D">
        <w:rPr>
          <w:b/>
          <w:i/>
          <w:lang w:eastAsia="en-AU"/>
        </w:rPr>
        <w:t>/</w:t>
      </w:r>
      <w:r w:rsidRPr="00BE242D">
        <w:rPr>
          <w:b/>
          <w:i/>
          <w:lang w:eastAsia="en-AU"/>
        </w:rPr>
        <w:t xml:space="preserve">PD Meta-Analysis of Combined Intravenous and Subcutaneous </w:t>
      </w:r>
      <w:proofErr w:type="spellStart"/>
      <w:r w:rsidRPr="00BE242D">
        <w:rPr>
          <w:b/>
          <w:i/>
          <w:lang w:eastAsia="en-AU"/>
        </w:rPr>
        <w:t>Mepolizumab</w:t>
      </w:r>
      <w:proofErr w:type="spellEnd"/>
      <w:r w:rsidRPr="00BE242D">
        <w:rPr>
          <w:b/>
          <w:i/>
          <w:lang w:eastAsia="en-AU"/>
        </w:rPr>
        <w:t xml:space="preserve"> Data</w:t>
      </w:r>
      <w:r w:rsidR="00A74898" w:rsidRPr="00BE242D">
        <w:rPr>
          <w:b/>
          <w:i/>
          <w:lang w:eastAsia="en-AU"/>
        </w:rPr>
        <w:t>,</w:t>
      </w:r>
      <w:r w:rsidR="002005CD" w:rsidRPr="00BE242D">
        <w:rPr>
          <w:b/>
          <w:i/>
          <w:lang w:eastAsia="en-AU"/>
        </w:rPr>
        <w:t xml:space="preserve"> presents </w:t>
      </w:r>
      <w:proofErr w:type="spellStart"/>
      <w:r w:rsidR="002005CD" w:rsidRPr="00BE242D">
        <w:rPr>
          <w:b/>
          <w:i/>
          <w:lang w:eastAsia="en-AU"/>
        </w:rPr>
        <w:t>mepolizumab</w:t>
      </w:r>
      <w:proofErr w:type="spellEnd"/>
      <w:r w:rsidR="002005CD" w:rsidRPr="00BE242D">
        <w:rPr>
          <w:b/>
          <w:i/>
          <w:lang w:eastAsia="en-AU"/>
        </w:rPr>
        <w:t xml:space="preserve"> concentration-time profiles for adult, adolescent and paediatric subjects, using pooled data from 13 studies. </w:t>
      </w:r>
      <w:r w:rsidR="002005CD" w:rsidRPr="00BE242D">
        <w:rPr>
          <w:b/>
          <w:i/>
          <w:lang w:eastAsia="ja-JP"/>
        </w:rPr>
        <w:t xml:space="preserve">The report notes that a number of </w:t>
      </w:r>
      <w:r w:rsidR="002005CD" w:rsidRPr="00BE242D">
        <w:rPr>
          <w:rFonts w:eastAsia="TimesNewRoman" w:cs="TimesNewRoman"/>
          <w:b/>
          <w:i/>
        </w:rPr>
        <w:t xml:space="preserve">children were found to have higher </w:t>
      </w:r>
      <w:proofErr w:type="spellStart"/>
      <w:r w:rsidR="002005CD" w:rsidRPr="00BE242D">
        <w:rPr>
          <w:rFonts w:eastAsia="TimesNewRoman" w:cs="TimesNewRoman"/>
          <w:b/>
          <w:i/>
        </w:rPr>
        <w:t>mepolizumab</w:t>
      </w:r>
      <w:proofErr w:type="spellEnd"/>
      <w:r w:rsidR="002005CD" w:rsidRPr="00BE242D">
        <w:rPr>
          <w:rFonts w:eastAsia="TimesNewRoman" w:cs="TimesNewRoman"/>
          <w:b/>
          <w:i/>
        </w:rPr>
        <w:t xml:space="preserve"> concentrations than adults and that all of these children weighed less than 40</w:t>
      </w:r>
      <w:r w:rsidR="00A74898" w:rsidRPr="00BE242D">
        <w:rPr>
          <w:rFonts w:eastAsia="TimesNewRoman" w:cs="TimesNewRoman"/>
          <w:b/>
          <w:i/>
        </w:rPr>
        <w:t xml:space="preserve"> </w:t>
      </w:r>
      <w:r w:rsidR="002005CD" w:rsidRPr="00BE242D">
        <w:rPr>
          <w:rFonts w:eastAsia="TimesNewRoman" w:cs="TimesNewRoman"/>
          <w:b/>
          <w:i/>
        </w:rPr>
        <w:t xml:space="preserve">kg. The report states that the dose adjustment </w:t>
      </w:r>
      <w:r w:rsidR="002005CD" w:rsidRPr="00BE242D">
        <w:rPr>
          <w:b/>
          <w:i/>
          <w:lang w:eastAsia="ja-JP"/>
        </w:rPr>
        <w:t xml:space="preserve">proposed for these subjects in Report 2014N223530: </w:t>
      </w:r>
      <w:proofErr w:type="spellStart"/>
      <w:r w:rsidR="002005CD" w:rsidRPr="00BE242D">
        <w:rPr>
          <w:rFonts w:eastAsia="TimesNewRoman" w:cs="Calibri"/>
          <w:b/>
          <w:i/>
        </w:rPr>
        <w:t>Mepolizumab</w:t>
      </w:r>
      <w:proofErr w:type="spellEnd"/>
      <w:r w:rsidR="002005CD" w:rsidRPr="00BE242D">
        <w:rPr>
          <w:rFonts w:eastAsia="TimesNewRoman" w:cs="Calibri"/>
          <w:b/>
          <w:i/>
        </w:rPr>
        <w:t xml:space="preserve"> Severe Asthma Paediatric and Adolescent Dose Extrapolation</w:t>
      </w:r>
      <w:r w:rsidR="00A74898" w:rsidRPr="00BE242D">
        <w:rPr>
          <w:rFonts w:eastAsia="TimesNewRoman" w:cs="Calibri"/>
          <w:b/>
          <w:i/>
        </w:rPr>
        <w:t>,</w:t>
      </w:r>
      <w:r w:rsidR="002005CD" w:rsidRPr="00BE242D">
        <w:rPr>
          <w:b/>
          <w:i/>
          <w:lang w:eastAsia="ja-JP"/>
        </w:rPr>
        <w:t xml:space="preserve"> will result in exposure that is not higher than that in adults. The basis of the recommendation and whether the dose recommendations in the PI are aligned with the recommendations of this report are unknown. This report was not provided in the dossier and not provided in time for its inclusion in the </w:t>
      </w:r>
      <w:r w:rsidR="00A74898" w:rsidRPr="00BE242D">
        <w:rPr>
          <w:b/>
          <w:i/>
          <w:lang w:eastAsia="ja-JP"/>
        </w:rPr>
        <w:t>first round</w:t>
      </w:r>
      <w:r w:rsidR="002005CD" w:rsidRPr="00BE242D">
        <w:rPr>
          <w:b/>
          <w:i/>
          <w:lang w:eastAsia="ja-JP"/>
        </w:rPr>
        <w:t xml:space="preserve"> evaluation by this evaluator. The sponsor is asked to provide the report for the </w:t>
      </w:r>
      <w:r w:rsidR="00A74898" w:rsidRPr="00BE242D">
        <w:rPr>
          <w:b/>
          <w:i/>
          <w:lang w:eastAsia="ja-JP"/>
        </w:rPr>
        <w:t>second round</w:t>
      </w:r>
      <w:r w:rsidR="002005CD" w:rsidRPr="00BE242D">
        <w:rPr>
          <w:b/>
          <w:i/>
          <w:lang w:eastAsia="ja-JP"/>
        </w:rPr>
        <w:t xml:space="preserve"> evaluation.</w:t>
      </w:r>
    </w:p>
    <w:p w14:paraId="2B91A147" w14:textId="77777777" w:rsidR="00105503" w:rsidRDefault="00105503" w:rsidP="00105503">
      <w:pPr>
        <w:pStyle w:val="Heading6"/>
        <w:rPr>
          <w:lang w:eastAsia="ja-JP"/>
        </w:rPr>
      </w:pPr>
      <w:r>
        <w:rPr>
          <w:lang w:eastAsia="ja-JP"/>
        </w:rPr>
        <w:t>Sponsor’s response</w:t>
      </w:r>
    </w:p>
    <w:p w14:paraId="0CE4EFEC" w14:textId="77777777" w:rsidR="00105503" w:rsidRPr="00105503" w:rsidRDefault="00105503" w:rsidP="00A74898">
      <w:pPr>
        <w:rPr>
          <w:lang w:eastAsia="ja-JP"/>
        </w:rPr>
      </w:pPr>
      <w:r>
        <w:rPr>
          <w:lang w:eastAsia="ja-JP"/>
        </w:rPr>
        <w:t>The sponsor noted that the requested report was included in the severe asthma application and that there had been a change in the planned application timing sequence (the severe asthma application had been intended to precede the EGPA application although the EGPA application was then submitted first). The requested report was said to have been provided.</w:t>
      </w:r>
    </w:p>
    <w:p w14:paraId="45D4DD04" w14:textId="77777777" w:rsidR="00105503" w:rsidRDefault="00105503" w:rsidP="00105503">
      <w:pPr>
        <w:pStyle w:val="Heading6"/>
        <w:rPr>
          <w:lang w:eastAsia="ja-JP"/>
        </w:rPr>
      </w:pPr>
      <w:r>
        <w:rPr>
          <w:lang w:eastAsia="ja-JP"/>
        </w:rPr>
        <w:t>Evaluation of response</w:t>
      </w:r>
    </w:p>
    <w:p w14:paraId="122FC9B5" w14:textId="1C443CCC" w:rsidR="00105503" w:rsidRPr="00105503" w:rsidRDefault="00105503" w:rsidP="00105503">
      <w:pPr>
        <w:rPr>
          <w:lang w:eastAsia="ja-JP"/>
        </w:rPr>
      </w:pPr>
      <w:r>
        <w:rPr>
          <w:lang w:eastAsia="en-AU"/>
        </w:rPr>
        <w:t>T</w:t>
      </w:r>
      <w:r w:rsidRPr="005D2C0A">
        <w:rPr>
          <w:lang w:eastAsia="en-AU"/>
        </w:rPr>
        <w:t xml:space="preserve">he sponsor </w:t>
      </w:r>
      <w:r>
        <w:rPr>
          <w:lang w:eastAsia="en-AU"/>
        </w:rPr>
        <w:t xml:space="preserve">was asked </w:t>
      </w:r>
      <w:r w:rsidR="00A74898">
        <w:rPr>
          <w:lang w:eastAsia="en-AU"/>
        </w:rPr>
        <w:t xml:space="preserve">to provide a specific population </w:t>
      </w:r>
      <w:r w:rsidRPr="005D2C0A">
        <w:rPr>
          <w:lang w:eastAsia="en-AU"/>
        </w:rPr>
        <w:t xml:space="preserve">PK report (Report 2014N223530: </w:t>
      </w:r>
      <w:proofErr w:type="spellStart"/>
      <w:r w:rsidRPr="005D2C0A">
        <w:rPr>
          <w:lang w:eastAsia="en-AU"/>
        </w:rPr>
        <w:t>Mepolizumab</w:t>
      </w:r>
      <w:proofErr w:type="spellEnd"/>
      <w:r w:rsidRPr="005D2C0A">
        <w:rPr>
          <w:lang w:eastAsia="en-AU"/>
        </w:rPr>
        <w:t xml:space="preserve"> Severe Asthma Paediatric and Adolescent Dose Extrapolation) during the </w:t>
      </w:r>
      <w:r w:rsidR="00A74898">
        <w:rPr>
          <w:lang w:eastAsia="en-AU"/>
        </w:rPr>
        <w:t>first round</w:t>
      </w:r>
      <w:r w:rsidRPr="005D2C0A">
        <w:rPr>
          <w:lang w:eastAsia="en-AU"/>
        </w:rPr>
        <w:t xml:space="preserve"> evaluation and in the </w:t>
      </w:r>
      <w:r w:rsidR="00A74898">
        <w:rPr>
          <w:lang w:eastAsia="en-AU"/>
        </w:rPr>
        <w:t>TGA</w:t>
      </w:r>
      <w:r w:rsidRPr="005D2C0A">
        <w:rPr>
          <w:lang w:eastAsia="en-AU"/>
        </w:rPr>
        <w:t xml:space="preserve"> questions. However</w:t>
      </w:r>
      <w:r>
        <w:rPr>
          <w:lang w:eastAsia="en-AU"/>
        </w:rPr>
        <w:t>,</w:t>
      </w:r>
      <w:r w:rsidRPr="005D2C0A">
        <w:rPr>
          <w:lang w:eastAsia="en-AU"/>
        </w:rPr>
        <w:t xml:space="preserve"> Report 20</w:t>
      </w:r>
      <w:r w:rsidR="00BE0559">
        <w:rPr>
          <w:lang w:eastAsia="en-AU"/>
        </w:rPr>
        <w:t>1</w:t>
      </w:r>
      <w:r w:rsidRPr="005D2C0A">
        <w:rPr>
          <w:lang w:eastAsia="en-AU"/>
        </w:rPr>
        <w:t xml:space="preserve">4N210473_00 Population pharmacokinetics of </w:t>
      </w:r>
      <w:proofErr w:type="spellStart"/>
      <w:r w:rsidRPr="005D2C0A">
        <w:rPr>
          <w:lang w:eastAsia="en-AU"/>
        </w:rPr>
        <w:t>mepolizumab</w:t>
      </w:r>
      <w:proofErr w:type="spellEnd"/>
      <w:r w:rsidRPr="005D2C0A">
        <w:rPr>
          <w:lang w:eastAsia="en-AU"/>
        </w:rPr>
        <w:t xml:space="preserve"> in paediatric eosinophilic esophagitis patients</w:t>
      </w:r>
      <w:r>
        <w:rPr>
          <w:lang w:eastAsia="en-AU"/>
        </w:rPr>
        <w:t xml:space="preserve"> was provided. This report was included in the original dossier and was evaluated in the </w:t>
      </w:r>
      <w:r w:rsidR="00A74898">
        <w:rPr>
          <w:lang w:eastAsia="en-AU"/>
        </w:rPr>
        <w:t>first round</w:t>
      </w:r>
      <w:r>
        <w:rPr>
          <w:lang w:eastAsia="en-AU"/>
        </w:rPr>
        <w:t xml:space="preserve"> process. The requested</w:t>
      </w:r>
      <w:r w:rsidR="00A74898">
        <w:rPr>
          <w:lang w:eastAsia="en-AU"/>
        </w:rPr>
        <w:t xml:space="preserve"> population </w:t>
      </w:r>
      <w:r w:rsidRPr="005D2C0A">
        <w:rPr>
          <w:lang w:eastAsia="en-AU"/>
        </w:rPr>
        <w:t xml:space="preserve">PK report </w:t>
      </w:r>
      <w:r>
        <w:rPr>
          <w:lang w:eastAsia="en-AU"/>
        </w:rPr>
        <w:t>has not been provided. This was not requested again, as the sponsor’s responses have indicated that there is a TGA submission for extension of indication to children with severe asthma (either planned or in progress). It is the evaluator’s expectation that this report will be evaluated with this submission and that it will not change the evaluator’s recommendations regarding the EGPA submission.</w:t>
      </w:r>
    </w:p>
    <w:p w14:paraId="4E59E3C5" w14:textId="77777777" w:rsidR="002005CD" w:rsidRPr="002B2435" w:rsidRDefault="002005CD" w:rsidP="002005CD">
      <w:pPr>
        <w:pStyle w:val="Heading4"/>
      </w:pPr>
      <w:bookmarkStart w:id="191" w:name="_Ref272312341"/>
      <w:bookmarkStart w:id="192" w:name="_Toc272414700"/>
      <w:bookmarkStart w:id="193" w:name="_Toc290888566"/>
      <w:bookmarkStart w:id="194" w:name="_Toc416353782"/>
      <w:bookmarkStart w:id="195" w:name="_Toc421005330"/>
      <w:bookmarkStart w:id="196" w:name="_Toc432079200"/>
      <w:bookmarkStart w:id="197" w:name="_Toc432080773"/>
      <w:bookmarkStart w:id="198" w:name="_Toc522224200"/>
      <w:bookmarkEnd w:id="149"/>
      <w:r w:rsidRPr="002B2435">
        <w:t>Additional expert input</w:t>
      </w:r>
      <w:bookmarkEnd w:id="191"/>
      <w:bookmarkEnd w:id="192"/>
      <w:bookmarkEnd w:id="193"/>
      <w:bookmarkEnd w:id="194"/>
      <w:bookmarkEnd w:id="195"/>
      <w:bookmarkEnd w:id="196"/>
      <w:bookmarkEnd w:id="197"/>
      <w:bookmarkEnd w:id="198"/>
    </w:p>
    <w:p w14:paraId="6983CD30" w14:textId="77777777" w:rsidR="002005CD" w:rsidRPr="002B2435" w:rsidRDefault="002005CD" w:rsidP="002005CD">
      <w:pPr>
        <w:rPr>
          <w:lang w:eastAsia="ja-JP"/>
        </w:rPr>
      </w:pPr>
      <w:r w:rsidRPr="002B2435">
        <w:rPr>
          <w:lang w:eastAsia="ja-JP"/>
        </w:rPr>
        <w:t>The evaluator recommends that expert advice be obtained regarding:</w:t>
      </w:r>
    </w:p>
    <w:p w14:paraId="0063955D" w14:textId="77777777" w:rsidR="002005CD" w:rsidRPr="002B2435" w:rsidRDefault="002005CD" w:rsidP="00A51C94">
      <w:pPr>
        <w:pStyle w:val="ListParagraph"/>
        <w:numPr>
          <w:ilvl w:val="0"/>
          <w:numId w:val="17"/>
        </w:numPr>
        <w:rPr>
          <w:lang w:eastAsia="ja-JP"/>
        </w:rPr>
      </w:pPr>
      <w:r w:rsidRPr="002B2435">
        <w:rPr>
          <w:lang w:eastAsia="ja-JP"/>
        </w:rPr>
        <w:t>The paediatric extrapolation model, noting that this is the first time this model has been used in a regulatory submission.</w:t>
      </w:r>
    </w:p>
    <w:p w14:paraId="0765CBFB" w14:textId="77777777" w:rsidR="002005CD" w:rsidRPr="002B2435" w:rsidRDefault="002005CD" w:rsidP="00A51C94">
      <w:pPr>
        <w:pStyle w:val="ListParagraph"/>
        <w:numPr>
          <w:ilvl w:val="0"/>
          <w:numId w:val="17"/>
        </w:numPr>
        <w:rPr>
          <w:lang w:eastAsia="ja-JP"/>
        </w:rPr>
      </w:pPr>
      <w:r w:rsidRPr="002B2435">
        <w:rPr>
          <w:lang w:eastAsia="ja-JP"/>
        </w:rPr>
        <w:t xml:space="preserve">Whether the </w:t>
      </w:r>
      <w:r w:rsidR="00126A5E">
        <w:rPr>
          <w:lang w:eastAsia="ja-JP"/>
        </w:rPr>
        <w:t>‘</w:t>
      </w:r>
      <w:r w:rsidRPr="002B2435">
        <w:rPr>
          <w:lang w:eastAsia="ja-JP"/>
        </w:rPr>
        <w:t>novel</w:t>
      </w:r>
      <w:r w:rsidR="00126A5E">
        <w:rPr>
          <w:lang w:eastAsia="ja-JP"/>
        </w:rPr>
        <w:t>’</w:t>
      </w:r>
      <w:r w:rsidRPr="002B2435">
        <w:rPr>
          <w:lang w:eastAsia="ja-JP"/>
        </w:rPr>
        <w:t xml:space="preserve"> co-primary endpoints used in Study MEA115921 are clinically meaningful and relevant.</w:t>
      </w:r>
    </w:p>
    <w:p w14:paraId="674F22B1" w14:textId="77777777" w:rsidR="006136D7" w:rsidRPr="002B2435" w:rsidRDefault="002005CD" w:rsidP="006136D7">
      <w:pPr>
        <w:pStyle w:val="ListParagraph"/>
        <w:numPr>
          <w:ilvl w:val="0"/>
          <w:numId w:val="17"/>
        </w:numPr>
        <w:rPr>
          <w:lang w:eastAsia="ja-JP"/>
        </w:rPr>
      </w:pPr>
      <w:r w:rsidRPr="002B2435">
        <w:rPr>
          <w:lang w:eastAsia="ja-JP"/>
        </w:rPr>
        <w:t>Whether the response to existing therapies in children with EGPA in Australia is such that a lower level of evidence for use in children should be accepted</w:t>
      </w:r>
      <w:r w:rsidR="00A74898" w:rsidRPr="002B2435">
        <w:rPr>
          <w:lang w:eastAsia="ja-JP"/>
        </w:rPr>
        <w:t>.</w:t>
      </w:r>
    </w:p>
    <w:p w14:paraId="61F2C598" w14:textId="3A5D2615" w:rsidR="00605AD4" w:rsidRPr="00605AD4" w:rsidRDefault="00605AD4" w:rsidP="00546154">
      <w:pPr>
        <w:pStyle w:val="Heading3"/>
        <w:rPr>
          <w:rFonts w:eastAsia="Cambria"/>
        </w:rPr>
      </w:pPr>
      <w:bookmarkStart w:id="199" w:name="_Toc25227387"/>
      <w:r w:rsidRPr="00605AD4">
        <w:rPr>
          <w:rFonts w:eastAsia="Cambria"/>
        </w:rPr>
        <w:t xml:space="preserve">Second </w:t>
      </w:r>
      <w:r w:rsidR="00BB389D" w:rsidRPr="00605AD4">
        <w:rPr>
          <w:rFonts w:eastAsia="Cambria"/>
        </w:rPr>
        <w:t>round benefit-risk assessment</w:t>
      </w:r>
      <w:bookmarkEnd w:id="199"/>
    </w:p>
    <w:p w14:paraId="399338F4" w14:textId="77777777" w:rsidR="00833567" w:rsidRPr="00833567" w:rsidRDefault="00833567" w:rsidP="00833567">
      <w:pPr>
        <w:pStyle w:val="Heading4"/>
      </w:pPr>
      <w:bookmarkStart w:id="200" w:name="_Toc272414709"/>
      <w:bookmarkStart w:id="201" w:name="_Toc290888575"/>
      <w:bookmarkStart w:id="202" w:name="_Toc416353792"/>
      <w:bookmarkStart w:id="203" w:name="_Toc421005334"/>
      <w:bookmarkStart w:id="204" w:name="_Toc432079207"/>
      <w:bookmarkStart w:id="205" w:name="_Toc432080780"/>
      <w:bookmarkStart w:id="206" w:name="_Toc522224208"/>
      <w:r w:rsidRPr="00833567">
        <w:t>Second round assessment of benefits</w:t>
      </w:r>
      <w:bookmarkEnd w:id="200"/>
      <w:bookmarkEnd w:id="201"/>
      <w:bookmarkEnd w:id="202"/>
      <w:bookmarkEnd w:id="203"/>
      <w:bookmarkEnd w:id="204"/>
      <w:bookmarkEnd w:id="205"/>
      <w:bookmarkEnd w:id="206"/>
    </w:p>
    <w:p w14:paraId="5FFCAF39" w14:textId="77777777" w:rsidR="00833567" w:rsidRDefault="00833567" w:rsidP="0041629C">
      <w:pPr>
        <w:rPr>
          <w:lang w:eastAsia="ja-JP"/>
        </w:rPr>
      </w:pPr>
      <w:r>
        <w:rPr>
          <w:lang w:eastAsia="ja-JP"/>
        </w:rPr>
        <w:t>The second round assessment of benefits in adults is unchanged from the first round.</w:t>
      </w:r>
    </w:p>
    <w:p w14:paraId="7BDAFB97" w14:textId="77777777" w:rsidR="00833567" w:rsidRDefault="00833567" w:rsidP="0041629C">
      <w:pPr>
        <w:rPr>
          <w:lang w:eastAsia="ja-JP"/>
        </w:rPr>
      </w:pPr>
      <w:r>
        <w:rPr>
          <w:lang w:eastAsia="ja-JP"/>
        </w:rPr>
        <w:t>Potential benefit in children with EGPA remains unknown.</w:t>
      </w:r>
    </w:p>
    <w:p w14:paraId="1AF2C08D" w14:textId="77777777" w:rsidR="00833567" w:rsidRPr="00500C5C" w:rsidRDefault="00833567" w:rsidP="00833567">
      <w:pPr>
        <w:pStyle w:val="Heading4"/>
      </w:pPr>
      <w:bookmarkStart w:id="207" w:name="_Toc272414710"/>
      <w:bookmarkStart w:id="208" w:name="_Toc290888576"/>
      <w:bookmarkStart w:id="209" w:name="_Toc416353793"/>
      <w:bookmarkStart w:id="210" w:name="_Toc421005335"/>
      <w:bookmarkStart w:id="211" w:name="_Toc432079208"/>
      <w:bookmarkStart w:id="212" w:name="_Toc432080781"/>
      <w:bookmarkStart w:id="213" w:name="_Toc522224209"/>
      <w:r w:rsidRPr="00500C5C">
        <w:lastRenderedPageBreak/>
        <w:t>Second round assessment of risks</w:t>
      </w:r>
      <w:bookmarkEnd w:id="207"/>
      <w:bookmarkEnd w:id="208"/>
      <w:bookmarkEnd w:id="209"/>
      <w:bookmarkEnd w:id="210"/>
      <w:bookmarkEnd w:id="211"/>
      <w:bookmarkEnd w:id="212"/>
      <w:bookmarkEnd w:id="213"/>
    </w:p>
    <w:p w14:paraId="6DD19BE4" w14:textId="77777777" w:rsidR="00624472" w:rsidRDefault="00833567" w:rsidP="0041629C">
      <w:pPr>
        <w:rPr>
          <w:lang w:eastAsia="ja-JP"/>
        </w:rPr>
      </w:pPr>
      <w:r>
        <w:rPr>
          <w:lang w:eastAsia="ja-JP"/>
        </w:rPr>
        <w:t>The assessment of risks in adults is largely unchanged from the first round</w:t>
      </w:r>
      <w:r w:rsidR="00624472">
        <w:rPr>
          <w:lang w:eastAsia="ja-JP"/>
        </w:rPr>
        <w:t>.</w:t>
      </w:r>
    </w:p>
    <w:p w14:paraId="1D565C49" w14:textId="77777777" w:rsidR="00833567" w:rsidRDefault="00833567" w:rsidP="0041629C">
      <w:pPr>
        <w:rPr>
          <w:lang w:eastAsia="ja-JP"/>
        </w:rPr>
      </w:pPr>
      <w:r>
        <w:rPr>
          <w:lang w:eastAsia="ja-JP"/>
        </w:rPr>
        <w:t xml:space="preserve">The possible safety concern of increased malignancy, including T-cell lymphoma, with long-term use that was raised in the first round was not supported by new information provided by the sponsor. The possible increase in the risk of malignancy appears, to date, to be limited to patients with HES and the risk of lymphoma to patients with lymphocytic HES. It is not clear at this point if this solely reflects factors specific to HES or if it may also reflect the greater duration of use of </w:t>
      </w:r>
      <w:proofErr w:type="spellStart"/>
      <w:r>
        <w:rPr>
          <w:lang w:eastAsia="ja-JP"/>
        </w:rPr>
        <w:t>mepolizumab</w:t>
      </w:r>
      <w:proofErr w:type="spellEnd"/>
      <w:r>
        <w:rPr>
          <w:lang w:eastAsia="ja-JP"/>
        </w:rPr>
        <w:t xml:space="preserve"> in this population. The risk of malignancy is identified as a potential risk in the PBRER and is monitored by the sponsor. The evaluator recommends that the annual reports provided to the ANSM also be provided to the TGA to supplement the information provided in the PBRER.</w:t>
      </w:r>
    </w:p>
    <w:p w14:paraId="151F2A13" w14:textId="77777777" w:rsidR="00833567" w:rsidRDefault="00833567" w:rsidP="0041629C">
      <w:pPr>
        <w:rPr>
          <w:lang w:eastAsia="ja-JP"/>
        </w:rPr>
      </w:pPr>
      <w:r>
        <w:rPr>
          <w:lang w:eastAsia="ja-JP"/>
        </w:rPr>
        <w:t xml:space="preserve">The possible safety concern of increased disease activity and possible rebound has not been discounted by further information provided by the sponsor. However, if this concern and the need for increased vigilance in monitoring for relapse following interruption or cessation of </w:t>
      </w:r>
      <w:proofErr w:type="spellStart"/>
      <w:r>
        <w:rPr>
          <w:lang w:eastAsia="ja-JP"/>
        </w:rPr>
        <w:t>mepolizumab</w:t>
      </w:r>
      <w:proofErr w:type="spellEnd"/>
      <w:r>
        <w:rPr>
          <w:lang w:eastAsia="ja-JP"/>
        </w:rPr>
        <w:t xml:space="preserve"> treatment is appropriately communicated in the PI, then the risk should be manageable clinically.</w:t>
      </w:r>
    </w:p>
    <w:p w14:paraId="679DCE4D" w14:textId="77777777" w:rsidR="00833567" w:rsidRDefault="00833567" w:rsidP="0041629C">
      <w:pPr>
        <w:rPr>
          <w:lang w:eastAsia="ja-JP"/>
        </w:rPr>
      </w:pPr>
      <w:r>
        <w:rPr>
          <w:lang w:eastAsia="ja-JP"/>
        </w:rPr>
        <w:t>Potential risks in children with EGPA remains unknown.</w:t>
      </w:r>
    </w:p>
    <w:p w14:paraId="2C00510A" w14:textId="77777777" w:rsidR="00833567" w:rsidRPr="00545B14" w:rsidRDefault="00833567" w:rsidP="00833567">
      <w:pPr>
        <w:pStyle w:val="Heading4"/>
      </w:pPr>
      <w:bookmarkStart w:id="214" w:name="_Toc272414711"/>
      <w:bookmarkStart w:id="215" w:name="_Toc290888577"/>
      <w:bookmarkStart w:id="216" w:name="_Toc416353794"/>
      <w:bookmarkStart w:id="217" w:name="_Toc421005336"/>
      <w:bookmarkStart w:id="218" w:name="_Toc432079209"/>
      <w:bookmarkStart w:id="219" w:name="_Toc432080782"/>
      <w:bookmarkStart w:id="220" w:name="_Toc522224210"/>
      <w:r w:rsidRPr="00545B14">
        <w:t xml:space="preserve">Second round assessment of benefit-risk </w:t>
      </w:r>
      <w:bookmarkEnd w:id="214"/>
      <w:bookmarkEnd w:id="215"/>
      <w:bookmarkEnd w:id="216"/>
      <w:bookmarkEnd w:id="217"/>
      <w:r>
        <w:t>balance</w:t>
      </w:r>
      <w:bookmarkEnd w:id="218"/>
      <w:bookmarkEnd w:id="219"/>
      <w:bookmarkEnd w:id="220"/>
    </w:p>
    <w:p w14:paraId="2331CA25" w14:textId="77777777" w:rsidR="00833567" w:rsidRPr="00FE7AF3" w:rsidRDefault="00833567" w:rsidP="0041629C">
      <w:pPr>
        <w:rPr>
          <w:lang w:eastAsia="ja-JP"/>
        </w:rPr>
      </w:pPr>
      <w:r>
        <w:rPr>
          <w:lang w:eastAsia="ja-JP"/>
        </w:rPr>
        <w:t>The benefit-risk balance is favourable for adults with relapsed/refractory EGPA, who are currently receiving treatment and who have a blood eosinophil count</w:t>
      </w:r>
      <w:r w:rsidRPr="00FE7AF3">
        <w:t xml:space="preserve"> ≥ 150 cells/µL</w:t>
      </w:r>
      <w:r w:rsidRPr="00FE7AF3">
        <w:rPr>
          <w:lang w:eastAsia="ja-JP"/>
        </w:rPr>
        <w:t>.</w:t>
      </w:r>
    </w:p>
    <w:p w14:paraId="4824BB4B" w14:textId="77777777" w:rsidR="00605AD4" w:rsidRDefault="00833567" w:rsidP="0041629C">
      <w:pPr>
        <w:rPr>
          <w:lang w:eastAsia="ja-JP"/>
        </w:rPr>
      </w:pPr>
      <w:r>
        <w:rPr>
          <w:lang w:eastAsia="ja-JP"/>
        </w:rPr>
        <w:t>The benefit-risk balance cannot be det</w:t>
      </w:r>
      <w:r w:rsidR="0041629C">
        <w:rPr>
          <w:lang w:eastAsia="ja-JP"/>
        </w:rPr>
        <w:t>ermined for children with EGPA.</w:t>
      </w:r>
    </w:p>
    <w:p w14:paraId="4431FB85" w14:textId="77777777" w:rsidR="0041629C" w:rsidRDefault="0041629C" w:rsidP="0041629C">
      <w:pPr>
        <w:pStyle w:val="Heading3"/>
      </w:pPr>
      <w:bookmarkStart w:id="221" w:name="_Toc512808714"/>
      <w:bookmarkStart w:id="222" w:name="_Toc14097682"/>
      <w:bookmarkStart w:id="223" w:name="_Toc25227388"/>
      <w:r>
        <w:t>Second round recommendation regarding authorisation</w:t>
      </w:r>
      <w:bookmarkEnd w:id="221"/>
      <w:bookmarkEnd w:id="222"/>
      <w:bookmarkEnd w:id="223"/>
    </w:p>
    <w:p w14:paraId="4C8AFDE6" w14:textId="77777777" w:rsidR="0041629C" w:rsidRDefault="0041629C" w:rsidP="0041629C">
      <w:pPr>
        <w:rPr>
          <w:lang w:eastAsia="ja-JP"/>
        </w:rPr>
      </w:pPr>
      <w:r>
        <w:rPr>
          <w:lang w:eastAsia="ja-JP"/>
        </w:rPr>
        <w:t xml:space="preserve">Approval of </w:t>
      </w:r>
      <w:proofErr w:type="spellStart"/>
      <w:r>
        <w:rPr>
          <w:lang w:eastAsia="ja-JP"/>
        </w:rPr>
        <w:t>mepolizumab</w:t>
      </w:r>
      <w:proofErr w:type="spellEnd"/>
      <w:r>
        <w:rPr>
          <w:lang w:eastAsia="ja-JP"/>
        </w:rPr>
        <w:t xml:space="preserve"> for the following indication is recommended:</w:t>
      </w:r>
    </w:p>
    <w:p w14:paraId="0B3B3F91" w14:textId="77777777" w:rsidR="0041629C" w:rsidRPr="00FE7AF3" w:rsidRDefault="0041629C" w:rsidP="0041629C">
      <w:pPr>
        <w:ind w:left="720"/>
        <w:rPr>
          <w:highlight w:val="green"/>
        </w:rPr>
      </w:pPr>
      <w:proofErr w:type="spellStart"/>
      <w:r w:rsidRPr="00FE7AF3">
        <w:rPr>
          <w:i/>
        </w:rPr>
        <w:t>Nucala</w:t>
      </w:r>
      <w:proofErr w:type="spellEnd"/>
      <w:r w:rsidRPr="00FE7AF3">
        <w:rPr>
          <w:i/>
        </w:rPr>
        <w:t xml:space="preserve"> is indicated as an add-on treatment for adults with relapsing or refractory Eosinophilic Granulomatosis with </w:t>
      </w:r>
      <w:proofErr w:type="spellStart"/>
      <w:r w:rsidRPr="00FE7AF3">
        <w:rPr>
          <w:i/>
        </w:rPr>
        <w:t>Polyangiitis</w:t>
      </w:r>
      <w:proofErr w:type="spellEnd"/>
      <w:r w:rsidRPr="00FE7AF3">
        <w:rPr>
          <w:i/>
        </w:rPr>
        <w:t xml:space="preserve"> (EGPA) with a blood eosinophil count ≥ 150 cells/µL at initiation of treatment (CLINICAL TRIALS)</w:t>
      </w:r>
      <w:r>
        <w:rPr>
          <w:i/>
        </w:rPr>
        <w:t>.</w:t>
      </w:r>
    </w:p>
    <w:p w14:paraId="7B025D70" w14:textId="77777777" w:rsidR="0041629C" w:rsidRPr="00605AD4" w:rsidRDefault="0041629C" w:rsidP="0041629C">
      <w:pPr>
        <w:rPr>
          <w:lang w:eastAsia="ja-JP"/>
        </w:rPr>
      </w:pPr>
      <w:r>
        <w:rPr>
          <w:lang w:eastAsia="ja-JP"/>
        </w:rPr>
        <w:t xml:space="preserve">Approval of </w:t>
      </w:r>
      <w:proofErr w:type="spellStart"/>
      <w:r>
        <w:rPr>
          <w:lang w:eastAsia="ja-JP"/>
        </w:rPr>
        <w:t>mepolizumab</w:t>
      </w:r>
      <w:proofErr w:type="spellEnd"/>
      <w:r>
        <w:rPr>
          <w:lang w:eastAsia="ja-JP"/>
        </w:rPr>
        <w:t xml:space="preserve"> for the treatment of children (aged &lt;</w:t>
      </w:r>
      <w:r w:rsidR="000119B7">
        <w:rPr>
          <w:lang w:eastAsia="ja-JP"/>
        </w:rPr>
        <w:t xml:space="preserve"> </w:t>
      </w:r>
      <w:r>
        <w:rPr>
          <w:lang w:eastAsia="ja-JP"/>
        </w:rPr>
        <w:t>18 years) with EGPA is not recommended.</w:t>
      </w:r>
    </w:p>
    <w:p w14:paraId="24C781A2" w14:textId="77777777" w:rsidR="008E7846" w:rsidRPr="00E41208" w:rsidRDefault="008E7846" w:rsidP="00546154">
      <w:pPr>
        <w:pStyle w:val="Heading2"/>
      </w:pPr>
      <w:bookmarkStart w:id="224" w:name="_Toc25227389"/>
      <w:r w:rsidRPr="00E41208">
        <w:t>V</w:t>
      </w:r>
      <w:r w:rsidR="00500337">
        <w:t>I</w:t>
      </w:r>
      <w:r w:rsidRPr="00E41208">
        <w:t xml:space="preserve">. Pharmacovigilance </w:t>
      </w:r>
      <w:r>
        <w:t>f</w:t>
      </w:r>
      <w:r w:rsidRPr="00E41208">
        <w:t>indings</w:t>
      </w:r>
      <w:bookmarkEnd w:id="101"/>
      <w:bookmarkEnd w:id="102"/>
      <w:bookmarkEnd w:id="224"/>
    </w:p>
    <w:p w14:paraId="14C4E5B7" w14:textId="77777777" w:rsidR="00546154" w:rsidRDefault="00546154" w:rsidP="0041629C">
      <w:bookmarkStart w:id="225" w:name="_Toc247691526"/>
      <w:bookmarkStart w:id="226" w:name="_Toc314842509"/>
      <w:r w:rsidRPr="00443686">
        <w:t>The TGA granted a waiver</w:t>
      </w:r>
      <w:r w:rsidRPr="00215262">
        <w:t xml:space="preserve"> from the </w:t>
      </w:r>
      <w:r w:rsidRPr="00443686">
        <w:t>requirement for a Risk Management Plan for this application.</w:t>
      </w:r>
    </w:p>
    <w:p w14:paraId="60AD6A5B" w14:textId="77777777" w:rsidR="008E7846" w:rsidRPr="00792A32" w:rsidRDefault="008E7846" w:rsidP="008E7846">
      <w:pPr>
        <w:pStyle w:val="Heading2"/>
      </w:pPr>
      <w:bookmarkStart w:id="227" w:name="_Toc247691527"/>
      <w:bookmarkStart w:id="228" w:name="_Toc314842510"/>
      <w:bookmarkStart w:id="229" w:name="_Toc25227390"/>
      <w:bookmarkEnd w:id="225"/>
      <w:bookmarkEnd w:id="226"/>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3"/>
      <w:bookmarkEnd w:id="227"/>
      <w:bookmarkEnd w:id="228"/>
      <w:bookmarkEnd w:id="229"/>
    </w:p>
    <w:p w14:paraId="77D60CD5" w14:textId="77777777" w:rsidR="008E7846" w:rsidRDefault="008E7846" w:rsidP="008E7846">
      <w:bookmarkStart w:id="230" w:name="_Toc247691528"/>
      <w:r>
        <w:t xml:space="preserve">The submission was summarised in the following </w:t>
      </w:r>
      <w:r w:rsidRPr="00EF5C48">
        <w:t xml:space="preserve">Delegate’s </w:t>
      </w:r>
      <w:r>
        <w:t>overview</w:t>
      </w:r>
      <w:r w:rsidRPr="00EF5C48">
        <w:t xml:space="preserve"> and recommendation</w:t>
      </w:r>
      <w:r w:rsidR="00833567">
        <w:t>s.</w:t>
      </w:r>
    </w:p>
    <w:p w14:paraId="69B7372B" w14:textId="77777777" w:rsidR="00833567" w:rsidRDefault="00833567" w:rsidP="00833567">
      <w:pPr>
        <w:pStyle w:val="Heading3"/>
      </w:pPr>
      <w:bookmarkStart w:id="231" w:name="_Toc25227391"/>
      <w:r>
        <w:t>Background</w:t>
      </w:r>
      <w:bookmarkEnd w:id="231"/>
    </w:p>
    <w:p w14:paraId="34CC6D20" w14:textId="77777777" w:rsidR="00624472" w:rsidRPr="0061627D" w:rsidRDefault="00833567" w:rsidP="0041629C">
      <w:proofErr w:type="spellStart"/>
      <w:r w:rsidRPr="0061627D">
        <w:t>Mepolizumab</w:t>
      </w:r>
      <w:proofErr w:type="spellEnd"/>
      <w:r w:rsidRPr="0061627D">
        <w:t xml:space="preserve"> is a humanised </w:t>
      </w:r>
      <w:proofErr w:type="spellStart"/>
      <w:r w:rsidR="006879B1" w:rsidRPr="0061627D">
        <w:t>mAb</w:t>
      </w:r>
      <w:proofErr w:type="spellEnd"/>
      <w:r w:rsidRPr="0061627D">
        <w:t xml:space="preserve"> (IgG1 kappa) produced by recombinant DNA technology in Chinese hamster ovary cells. </w:t>
      </w:r>
      <w:proofErr w:type="spellStart"/>
      <w:r w:rsidRPr="0061627D">
        <w:t>Mepolizumab</w:t>
      </w:r>
      <w:proofErr w:type="spellEnd"/>
      <w:r w:rsidRPr="0061627D">
        <w:t xml:space="preserve"> is an interleukin-5 (IL-5) antagonist that binds to IL-5 thereby preventing it from binding to its receptor on eosinophils</w:t>
      </w:r>
      <w:r w:rsidR="00624472" w:rsidRPr="0061627D">
        <w:t>.</w:t>
      </w:r>
    </w:p>
    <w:p w14:paraId="21832BCF" w14:textId="77777777" w:rsidR="00833567" w:rsidRPr="0061627D" w:rsidRDefault="00833567" w:rsidP="0041629C">
      <w:proofErr w:type="spellStart"/>
      <w:r w:rsidRPr="0061627D">
        <w:lastRenderedPageBreak/>
        <w:t>Mepolizumab</w:t>
      </w:r>
      <w:proofErr w:type="spellEnd"/>
      <w:r w:rsidRPr="0061627D">
        <w:t xml:space="preserve"> was first registered in Australia in February 2016 for use in eosinophilic asthma.</w:t>
      </w:r>
    </w:p>
    <w:p w14:paraId="40346D1B" w14:textId="22231ABD" w:rsidR="00624472" w:rsidRPr="0061627D" w:rsidRDefault="00833567" w:rsidP="0041629C">
      <w:r w:rsidRPr="0061627D">
        <w:t xml:space="preserve">This application is for the use of </w:t>
      </w:r>
      <w:proofErr w:type="spellStart"/>
      <w:r w:rsidRPr="0061627D">
        <w:t>mepolizumab</w:t>
      </w:r>
      <w:proofErr w:type="spellEnd"/>
      <w:r w:rsidRPr="0061627D">
        <w:t xml:space="preserve"> for eosinophilic granulomatosis with </w:t>
      </w:r>
      <w:proofErr w:type="spellStart"/>
      <w:r w:rsidRPr="0061627D">
        <w:t>polyangitis</w:t>
      </w:r>
      <w:proofErr w:type="spellEnd"/>
      <w:r w:rsidRPr="0061627D">
        <w:t xml:space="preserve"> (EGPA)</w:t>
      </w:r>
      <w:r w:rsidRPr="0061627D">
        <w:rPr>
          <w:lang w:eastAsia="zh-CN"/>
        </w:rPr>
        <w:t xml:space="preserve">, previously known and </w:t>
      </w:r>
      <w:proofErr w:type="spellStart"/>
      <w:r w:rsidRPr="0061627D">
        <w:rPr>
          <w:lang w:eastAsia="zh-CN"/>
        </w:rPr>
        <w:t>Churg</w:t>
      </w:r>
      <w:proofErr w:type="spellEnd"/>
      <w:r w:rsidRPr="0061627D">
        <w:rPr>
          <w:lang w:eastAsia="zh-CN"/>
        </w:rPr>
        <w:t xml:space="preserve"> Strauss </w:t>
      </w:r>
      <w:r w:rsidR="00D1372F">
        <w:rPr>
          <w:lang w:eastAsia="zh-CN"/>
        </w:rPr>
        <w:t>s</w:t>
      </w:r>
      <w:r w:rsidR="00D1372F" w:rsidRPr="0061627D">
        <w:rPr>
          <w:lang w:eastAsia="zh-CN"/>
        </w:rPr>
        <w:t>yndrome</w:t>
      </w:r>
      <w:r w:rsidR="00624472" w:rsidRPr="0061627D">
        <w:t>.</w:t>
      </w:r>
    </w:p>
    <w:p w14:paraId="364A7489" w14:textId="1F72DF61" w:rsidR="00833567" w:rsidRPr="0061627D" w:rsidRDefault="000119B7" w:rsidP="0041629C">
      <w:r w:rsidRPr="0061627D">
        <w:rPr>
          <w:lang w:eastAsia="zh-CN"/>
        </w:rPr>
        <w:t xml:space="preserve">EGPA </w:t>
      </w:r>
      <w:r w:rsidR="00833567" w:rsidRPr="0061627D">
        <w:rPr>
          <w:lang w:eastAsia="zh-CN"/>
        </w:rPr>
        <w:t xml:space="preserve">prevalence is estimated to range from 10.7 </w:t>
      </w:r>
      <w:r w:rsidRPr="0061627D">
        <w:rPr>
          <w:rFonts w:cs="Arial"/>
          <w:lang w:eastAsia="zh-CN"/>
        </w:rPr>
        <w:t xml:space="preserve">to </w:t>
      </w:r>
      <w:r w:rsidR="00833567" w:rsidRPr="0061627D">
        <w:rPr>
          <w:lang w:eastAsia="zh-CN"/>
        </w:rPr>
        <w:t>13 cases/million</w:t>
      </w:r>
      <w:r w:rsidR="00D1372F">
        <w:rPr>
          <w:lang w:eastAsia="zh-CN"/>
        </w:rPr>
        <w:t xml:space="preserve"> persons</w:t>
      </w:r>
      <w:r w:rsidR="00833567" w:rsidRPr="0061627D">
        <w:rPr>
          <w:lang w:eastAsia="zh-CN"/>
        </w:rPr>
        <w:t xml:space="preserve"> and the annual incidence to be 0.5 </w:t>
      </w:r>
      <w:r w:rsidRPr="0061627D">
        <w:rPr>
          <w:rFonts w:cs="Arial"/>
          <w:lang w:eastAsia="zh-CN"/>
        </w:rPr>
        <w:t xml:space="preserve">to </w:t>
      </w:r>
      <w:r w:rsidR="00833567" w:rsidRPr="0061627D">
        <w:rPr>
          <w:lang w:eastAsia="zh-CN"/>
        </w:rPr>
        <w:t>6.8 new cases/million</w:t>
      </w:r>
      <w:r w:rsidR="00D1372F">
        <w:rPr>
          <w:lang w:eastAsia="zh-CN"/>
        </w:rPr>
        <w:t xml:space="preserve"> persons</w:t>
      </w:r>
      <w:r w:rsidR="00833567" w:rsidRPr="0061627D">
        <w:rPr>
          <w:lang w:eastAsia="zh-CN"/>
        </w:rPr>
        <w:t xml:space="preserve">. </w:t>
      </w:r>
      <w:r w:rsidRPr="0061627D">
        <w:t>An estimated prevalence of 9</w:t>
      </w:r>
      <w:r w:rsidR="00D1372F">
        <w:t> </w:t>
      </w:r>
      <w:r w:rsidRPr="0061627D">
        <w:t xml:space="preserve">to </w:t>
      </w:r>
      <w:r w:rsidR="00833567" w:rsidRPr="0061627D">
        <w:t>18 per million in the Australian populat</w:t>
      </w:r>
      <w:r w:rsidR="0041629C" w:rsidRPr="0061627D">
        <w:t>ion is provided by the sponsor.</w:t>
      </w:r>
    </w:p>
    <w:p w14:paraId="6165696F" w14:textId="3EA52068" w:rsidR="00833567" w:rsidRPr="0061627D" w:rsidRDefault="00833567" w:rsidP="0041629C">
      <w:pPr>
        <w:rPr>
          <w:b/>
        </w:rPr>
      </w:pPr>
      <w:r w:rsidRPr="0061627D">
        <w:t xml:space="preserve">EGPA is </w:t>
      </w:r>
      <w:r w:rsidR="00D1372F">
        <w:t xml:space="preserve">a </w:t>
      </w:r>
      <w:r w:rsidRPr="0061627D">
        <w:rPr>
          <w:rFonts w:eastAsia="Times New Roman"/>
          <w:lang w:eastAsia="zh-CN"/>
        </w:rPr>
        <w:t xml:space="preserve">systemic necrotizing vasculitis that </w:t>
      </w:r>
      <w:r w:rsidR="00724C2A">
        <w:t>is associated</w:t>
      </w:r>
      <w:r w:rsidRPr="0061627D">
        <w:t xml:space="preserve"> with asthma and is characterised by a marked blood eosinophilia (frequently between 5000 and 9000 eosinophils/</w:t>
      </w:r>
      <w:r w:rsidR="00D1372F">
        <w:t>µ</w:t>
      </w:r>
      <w:r w:rsidRPr="0061627D">
        <w:t>L at diagnosis). The vasculitis most commonly involves the lungs but may involve multiple organ systems. Organ damage is believed to result from both vessel inflammation and eosinophilic proliferation. The aetiology of the disease and the mechanistic relation between the vasculitis and the eosinophilic proliferation is not known. Current theories are that activation of the Th-2 cellular</w:t>
      </w:r>
      <w:r w:rsidR="00D1372F">
        <w:t xml:space="preserve"> </w:t>
      </w:r>
      <w:r w:rsidRPr="0061627D">
        <w:t>mediated inflammatory response and humoral immunity may both play important roles.</w:t>
      </w:r>
    </w:p>
    <w:p w14:paraId="0A8AB3F9" w14:textId="016C3847" w:rsidR="00833567" w:rsidRPr="0061627D" w:rsidRDefault="00833567" w:rsidP="0041629C">
      <w:r w:rsidRPr="0061627D">
        <w:t>Most patients respond to treatment with g</w:t>
      </w:r>
      <w:r w:rsidR="000119B7" w:rsidRPr="0061627D">
        <w:t xml:space="preserve">lucocorticoids, remission in 80 to </w:t>
      </w:r>
      <w:r w:rsidRPr="0061627D">
        <w:t xml:space="preserve">90% occurs with initial treatment. Refractory disease in the remaining patients may require treatment with cytotoxic immunosuppressive drugs. Cytotoxic </w:t>
      </w:r>
      <w:proofErr w:type="spellStart"/>
      <w:r w:rsidRPr="0061627D">
        <w:t>immunosuppressants</w:t>
      </w:r>
      <w:proofErr w:type="spellEnd"/>
      <w:r w:rsidRPr="0061627D">
        <w:t xml:space="preserve"> are also used to treat life threatening disease </w:t>
      </w:r>
      <w:r w:rsidRPr="0061627D">
        <w:rPr>
          <w:rFonts w:eastAsiaTheme="minorHAnsi" w:cs="Calibri"/>
        </w:rPr>
        <w:t>(</w:t>
      </w:r>
      <w:r w:rsidR="007B19BE" w:rsidRPr="0061627D">
        <w:rPr>
          <w:rFonts w:eastAsiaTheme="minorHAnsi" w:cs="Calibri"/>
        </w:rPr>
        <w:t>that is</w:t>
      </w:r>
      <w:r w:rsidRPr="0061627D">
        <w:rPr>
          <w:rFonts w:eastAsiaTheme="minorHAnsi" w:cs="Calibri"/>
        </w:rPr>
        <w:t>, heart, GI, central nervous system, severe peripheral neuropathy, severe ocular disease, alveolar haemorrhage and/or glomerulonephritis).</w:t>
      </w:r>
      <w:r w:rsidRPr="0061627D">
        <w:rPr>
          <w:rFonts w:eastAsiaTheme="minorHAnsi" w:cs="Calibri"/>
          <w:sz w:val="18"/>
          <w:szCs w:val="18"/>
        </w:rPr>
        <w:t xml:space="preserve"> </w:t>
      </w:r>
      <w:r w:rsidRPr="0061627D">
        <w:t>A relapsing course may also occur despite ongoing treatment with oral corticosteroids, requiring increased corticosteroid dose or addition of other immunosuppressiv</w:t>
      </w:r>
      <w:r w:rsidR="000119B7" w:rsidRPr="0061627D">
        <w:t xml:space="preserve">e agents. With treatment, the 1 </w:t>
      </w:r>
      <w:r w:rsidRPr="0061627D">
        <w:t xml:space="preserve">year survival rate </w:t>
      </w:r>
      <w:r w:rsidR="000119B7" w:rsidRPr="0061627D">
        <w:t xml:space="preserve">is reported to be 90% and the 5 </w:t>
      </w:r>
      <w:r w:rsidRPr="0061627D">
        <w:t xml:space="preserve">year survival rate </w:t>
      </w:r>
      <w:r w:rsidR="000E2A2B">
        <w:t xml:space="preserve">is </w:t>
      </w:r>
      <w:r w:rsidRPr="0061627D">
        <w:t>62 to 80%.</w:t>
      </w:r>
    </w:p>
    <w:p w14:paraId="06271979" w14:textId="77777777" w:rsidR="00833567" w:rsidRPr="0061627D" w:rsidRDefault="00833567" w:rsidP="0041629C">
      <w:r w:rsidRPr="0061627D">
        <w:t xml:space="preserve">The diagnosis is based on the clinical criteria: blood eosinophilia; asthma; and evidence of systemic involvement. Biopsy of an affected tissue is recommended to confirm vasculitis </w:t>
      </w:r>
      <w:r w:rsidRPr="0061627D">
        <w:rPr>
          <w:rFonts w:eastAsiaTheme="minorHAnsi" w:cs="AdvTT5235d5a9"/>
        </w:rPr>
        <w:t>and/or eosinophilic in</w:t>
      </w:r>
      <w:r w:rsidRPr="0061627D">
        <w:rPr>
          <w:rFonts w:eastAsiaTheme="minorHAnsi" w:cs="AdvTT5235d5a9+fb"/>
        </w:rPr>
        <w:t>fi</w:t>
      </w:r>
      <w:r w:rsidRPr="0061627D">
        <w:rPr>
          <w:rFonts w:eastAsiaTheme="minorHAnsi" w:cs="AdvTT5235d5a9"/>
        </w:rPr>
        <w:t>ltration and/or granulomatous in</w:t>
      </w:r>
      <w:r w:rsidRPr="0061627D">
        <w:rPr>
          <w:rFonts w:eastAsiaTheme="minorHAnsi" w:cs="AdvTT5235d5a9+fb"/>
        </w:rPr>
        <w:t>fl</w:t>
      </w:r>
      <w:r w:rsidRPr="0061627D">
        <w:rPr>
          <w:rFonts w:eastAsiaTheme="minorHAnsi" w:cs="AdvTT5235d5a9"/>
        </w:rPr>
        <w:t xml:space="preserve">ammation. </w:t>
      </w:r>
      <w:r w:rsidR="000119B7" w:rsidRPr="0061627D">
        <w:t>ANCA</w:t>
      </w:r>
      <w:r w:rsidRPr="0061627D">
        <w:t xml:space="preserve"> testing is usually</w:t>
      </w:r>
      <w:r w:rsidR="000119B7" w:rsidRPr="0061627D">
        <w:t xml:space="preserve"> performed, with 30 to </w:t>
      </w:r>
      <w:r w:rsidRPr="0061627D">
        <w:t>75% of EGPA patients testing positive.</w:t>
      </w:r>
    </w:p>
    <w:p w14:paraId="2508EB69" w14:textId="71E52576" w:rsidR="00833567" w:rsidRPr="0061627D" w:rsidRDefault="00833567" w:rsidP="0041629C">
      <w:r w:rsidRPr="0061627D">
        <w:rPr>
          <w:rFonts w:cs="TimesNewRoman"/>
        </w:rPr>
        <w:t xml:space="preserve">The use of the </w:t>
      </w:r>
      <w:r w:rsidR="000119B7" w:rsidRPr="0061627D">
        <w:rPr>
          <w:rFonts w:cs="TimesNewRoman"/>
        </w:rPr>
        <w:t>BVAS</w:t>
      </w:r>
      <w:r w:rsidRPr="0061627D">
        <w:rPr>
          <w:rFonts w:cs="TimesNewRoman"/>
        </w:rPr>
        <w:t xml:space="preserve"> scoring system in </w:t>
      </w:r>
      <w:r w:rsidRPr="0061627D">
        <w:t>clinical trials investigating systemic vasculitis</w:t>
      </w:r>
      <w:r w:rsidRPr="0061627D">
        <w:rPr>
          <w:rFonts w:cs="TimesNewRoman"/>
        </w:rPr>
        <w:t xml:space="preserve"> is advocated by the </w:t>
      </w:r>
      <w:r w:rsidR="000119B7" w:rsidRPr="0061627D">
        <w:t>EULAR</w:t>
      </w:r>
      <w:r w:rsidRPr="0061627D">
        <w:t xml:space="preserve"> and by the European Vasculitis Society to standardise disease assessment</w:t>
      </w:r>
      <w:r w:rsidR="000119B7" w:rsidRPr="0061627D">
        <w:rPr>
          <w:rFonts w:eastAsiaTheme="minorHAnsi" w:cs="AdvPECFB95"/>
        </w:rPr>
        <w:t>.</w:t>
      </w:r>
      <w:r w:rsidR="000E2A2B" w:rsidRPr="0061627D">
        <w:rPr>
          <w:vertAlign w:val="superscript"/>
        </w:rPr>
        <w:fldChar w:fldCharType="begin"/>
      </w:r>
      <w:r w:rsidR="000E2A2B" w:rsidRPr="0061627D">
        <w:rPr>
          <w:rFonts w:eastAsiaTheme="minorHAnsi" w:cs="AdvPECFB95"/>
        </w:rPr>
        <w:instrText xml:space="preserve"> NOTEREF _Ref15891806 \f \h </w:instrText>
      </w:r>
      <w:r w:rsidR="000E2A2B">
        <w:rPr>
          <w:vertAlign w:val="superscript"/>
        </w:rPr>
        <w:instrText xml:space="preserve"> \* MERGEFORMAT </w:instrText>
      </w:r>
      <w:r w:rsidR="000E2A2B" w:rsidRPr="0061627D">
        <w:rPr>
          <w:vertAlign w:val="superscript"/>
        </w:rPr>
      </w:r>
      <w:r w:rsidR="000E2A2B" w:rsidRPr="0061627D">
        <w:rPr>
          <w:vertAlign w:val="superscript"/>
        </w:rPr>
        <w:fldChar w:fldCharType="separate"/>
      </w:r>
      <w:r w:rsidR="000E2A2B" w:rsidRPr="0061627D">
        <w:rPr>
          <w:rStyle w:val="FootnoteReference"/>
        </w:rPr>
        <w:t>11</w:t>
      </w:r>
      <w:r w:rsidR="000E2A2B" w:rsidRPr="0061627D">
        <w:rPr>
          <w:vertAlign w:val="superscript"/>
        </w:rPr>
        <w:fldChar w:fldCharType="end"/>
      </w:r>
      <w:r w:rsidR="000E2A2B">
        <w:rPr>
          <w:vertAlign w:val="superscript"/>
        </w:rPr>
        <w:t>,</w:t>
      </w:r>
      <w:r w:rsidR="000119B7" w:rsidRPr="0061627D">
        <w:rPr>
          <w:rFonts w:eastAsiaTheme="minorHAnsi" w:cs="AdvPECFB95"/>
        </w:rPr>
        <w:fldChar w:fldCharType="begin"/>
      </w:r>
      <w:r w:rsidR="000119B7" w:rsidRPr="0061627D">
        <w:instrText xml:space="preserve"> NOTEREF _Ref15891834 \f \h </w:instrText>
      </w:r>
      <w:r w:rsidR="0061627D">
        <w:rPr>
          <w:rFonts w:eastAsiaTheme="minorHAnsi" w:cs="AdvPECFB95"/>
        </w:rPr>
        <w:instrText xml:space="preserve"> \* MERGEFORMAT </w:instrText>
      </w:r>
      <w:r w:rsidR="000119B7" w:rsidRPr="0061627D">
        <w:rPr>
          <w:rFonts w:eastAsiaTheme="minorHAnsi" w:cs="AdvPECFB95"/>
        </w:rPr>
      </w:r>
      <w:r w:rsidR="000119B7" w:rsidRPr="0061627D">
        <w:rPr>
          <w:rFonts w:eastAsiaTheme="minorHAnsi" w:cs="AdvPECFB95"/>
        </w:rPr>
        <w:fldChar w:fldCharType="separate"/>
      </w:r>
      <w:r w:rsidR="000119B7" w:rsidRPr="0061627D">
        <w:rPr>
          <w:rStyle w:val="FootnoteReference"/>
        </w:rPr>
        <w:t>12</w:t>
      </w:r>
      <w:r w:rsidR="000119B7" w:rsidRPr="0061627D">
        <w:rPr>
          <w:rFonts w:eastAsiaTheme="minorHAnsi" w:cs="AdvPECFB95"/>
        </w:rPr>
        <w:fldChar w:fldCharType="end"/>
      </w:r>
      <w:r w:rsidRPr="0061627D">
        <w:t xml:space="preserve"> This scoring system is used in determining the primary end</w:t>
      </w:r>
      <w:r w:rsidR="000E2A2B">
        <w:t xml:space="preserve"> </w:t>
      </w:r>
      <w:r w:rsidRPr="0061627D">
        <w:t>points in the main study for this submission.</w:t>
      </w:r>
    </w:p>
    <w:p w14:paraId="623BD450" w14:textId="214A9BEB" w:rsidR="00833567" w:rsidRPr="0061627D" w:rsidRDefault="00833567" w:rsidP="0041629C">
      <w:pPr>
        <w:rPr>
          <w:b/>
        </w:rPr>
      </w:pPr>
      <w:r w:rsidRPr="0061627D">
        <w:rPr>
          <w:rFonts w:eastAsiaTheme="minorHAnsi" w:cs="TimesNewRoman"/>
        </w:rPr>
        <w:t xml:space="preserve">The BVAS scoring system was first developed in 1994, with </w:t>
      </w:r>
      <w:r w:rsidR="000E2A2B">
        <w:rPr>
          <w:rFonts w:eastAsiaTheme="minorHAnsi" w:cs="TimesNewRoman"/>
        </w:rPr>
        <w:t>v</w:t>
      </w:r>
      <w:r w:rsidRPr="0061627D">
        <w:rPr>
          <w:rFonts w:eastAsiaTheme="minorHAnsi" w:cs="TimesNewRoman"/>
        </w:rPr>
        <w:t>ersion 3 described in 2009.</w:t>
      </w:r>
      <w:r w:rsidR="000119B7" w:rsidRPr="0061627D">
        <w:rPr>
          <w:rFonts w:eastAsiaTheme="minorHAnsi" w:cs="TimesNewRoman"/>
        </w:rPr>
        <w:fldChar w:fldCharType="begin"/>
      </w:r>
      <w:r w:rsidR="000119B7" w:rsidRPr="0061627D">
        <w:rPr>
          <w:rFonts w:eastAsiaTheme="minorHAnsi" w:cs="TimesNewRoman"/>
        </w:rPr>
        <w:instrText xml:space="preserve"> NOTEREF _Ref15891953 \f \h </w:instrText>
      </w:r>
      <w:r w:rsidR="0061627D">
        <w:rPr>
          <w:rFonts w:eastAsiaTheme="minorHAnsi" w:cs="TimesNewRoman"/>
        </w:rPr>
        <w:instrText xml:space="preserve"> \* MERGEFORMAT </w:instrText>
      </w:r>
      <w:r w:rsidR="000119B7" w:rsidRPr="0061627D">
        <w:rPr>
          <w:rFonts w:eastAsiaTheme="minorHAnsi" w:cs="TimesNewRoman"/>
        </w:rPr>
      </w:r>
      <w:r w:rsidR="000119B7" w:rsidRPr="0061627D">
        <w:rPr>
          <w:rFonts w:eastAsiaTheme="minorHAnsi" w:cs="TimesNewRoman"/>
        </w:rPr>
        <w:fldChar w:fldCharType="separate"/>
      </w:r>
      <w:r w:rsidR="000119B7" w:rsidRPr="0061627D">
        <w:rPr>
          <w:rStyle w:val="FootnoteReference"/>
        </w:rPr>
        <w:t>13</w:t>
      </w:r>
      <w:r w:rsidR="000119B7" w:rsidRPr="0061627D">
        <w:rPr>
          <w:rFonts w:eastAsiaTheme="minorHAnsi" w:cs="TimesNewRoman"/>
        </w:rPr>
        <w:fldChar w:fldCharType="end"/>
      </w:r>
      <w:r w:rsidRPr="0061627D">
        <w:rPr>
          <w:rFonts w:eastAsiaTheme="minorHAnsi" w:cs="TimesNewRoman"/>
        </w:rPr>
        <w:t xml:space="preserve"> </w:t>
      </w:r>
      <w:r w:rsidRPr="0061627D">
        <w:t>The BVAS (</w:t>
      </w:r>
      <w:r w:rsidR="000E2A2B">
        <w:t xml:space="preserve">version </w:t>
      </w:r>
      <w:r w:rsidRPr="0061627D">
        <w:t xml:space="preserve">3) lists 56 </w:t>
      </w:r>
      <w:r w:rsidRPr="0061627D">
        <w:rPr>
          <w:rFonts w:eastAsiaTheme="minorHAnsi" w:cs="AdvPECFB95"/>
        </w:rPr>
        <w:t>manifestations of systemic vasculitis, divided into 9</w:t>
      </w:r>
      <w:r w:rsidR="000E2A2B">
        <w:rPr>
          <w:rFonts w:eastAsiaTheme="minorHAnsi" w:cs="AdvPECFB95"/>
        </w:rPr>
        <w:t> </w:t>
      </w:r>
      <w:r w:rsidR="004D6DFB" w:rsidRPr="0061627D">
        <w:rPr>
          <w:rFonts w:eastAsiaTheme="minorHAnsi" w:cs="AdvPECFB95"/>
        </w:rPr>
        <w:t xml:space="preserve">organ </w:t>
      </w:r>
      <w:r w:rsidRPr="0061627D">
        <w:rPr>
          <w:rFonts w:eastAsiaTheme="minorHAnsi" w:cs="AdvPECFB95"/>
        </w:rPr>
        <w:t xml:space="preserve">based systems </w:t>
      </w:r>
      <w:r w:rsidRPr="0061627D">
        <w:rPr>
          <w:rFonts w:eastAsiaTheme="minorHAnsi" w:cs="TimesNewRoman"/>
        </w:rPr>
        <w:t>(general, cutaneous, mucous membranes/eyes, ENT, chest, cardiovascular, abdominal, renal, nervous system)</w:t>
      </w:r>
      <w:r w:rsidRPr="0061627D">
        <w:rPr>
          <w:rFonts w:eastAsiaTheme="minorHAnsi" w:cs="AdvPECFB95"/>
        </w:rPr>
        <w:t xml:space="preserve">. The sponsor noted that </w:t>
      </w:r>
      <w:r w:rsidR="00126A5E">
        <w:rPr>
          <w:rFonts w:eastAsiaTheme="minorHAnsi" w:cs="AdvPECFB95"/>
        </w:rPr>
        <w:t>‘</w:t>
      </w:r>
      <w:r w:rsidR="000E2A2B">
        <w:rPr>
          <w:rFonts w:eastAsiaTheme="minorHAnsi" w:cs="AdvPECFB95"/>
        </w:rPr>
        <w:t>i</w:t>
      </w:r>
      <w:r w:rsidRPr="0061627D">
        <w:rPr>
          <w:rFonts w:eastAsiaTheme="minorHAnsi" w:cs="AdvPECFB95"/>
        </w:rPr>
        <w:t>n the absence of a valid external comparator, it is difficult to interpret a change in BVAS, but a fall of over 16 units is clinically meaningful</w:t>
      </w:r>
      <w:r w:rsidR="0061627D">
        <w:rPr>
          <w:rFonts w:eastAsiaTheme="minorHAnsi" w:cs="AdvPECFB95"/>
        </w:rPr>
        <w:t>.</w:t>
      </w:r>
      <w:r w:rsidR="00126A5E">
        <w:rPr>
          <w:rFonts w:eastAsiaTheme="minorHAnsi" w:cs="AdvPECFB95"/>
        </w:rPr>
        <w:t>’</w:t>
      </w:r>
    </w:p>
    <w:p w14:paraId="2C4CF19B" w14:textId="77777777" w:rsidR="008E7846" w:rsidRDefault="008E7846" w:rsidP="008E7846">
      <w:pPr>
        <w:pStyle w:val="Heading3"/>
      </w:pPr>
      <w:bookmarkStart w:id="232" w:name="_Toc314842511"/>
      <w:bookmarkStart w:id="233" w:name="_Toc25227392"/>
      <w:r>
        <w:t>Quality</w:t>
      </w:r>
      <w:bookmarkEnd w:id="230"/>
      <w:bookmarkEnd w:id="232"/>
      <w:bookmarkEnd w:id="233"/>
    </w:p>
    <w:p w14:paraId="1EDD9A68" w14:textId="77777777" w:rsidR="00E45619" w:rsidRDefault="008E7846" w:rsidP="005E60EB">
      <w:r>
        <w:t>There was no requirement for a quality evaluation in a submission of this type.</w:t>
      </w:r>
    </w:p>
    <w:p w14:paraId="36794C1E" w14:textId="77777777" w:rsidR="008E7846" w:rsidRDefault="008E7846" w:rsidP="008E7846">
      <w:pPr>
        <w:pStyle w:val="Heading3"/>
      </w:pPr>
      <w:bookmarkStart w:id="234" w:name="_Toc314842512"/>
      <w:bookmarkStart w:id="235" w:name="_Toc25227393"/>
      <w:r>
        <w:t>Nonclinical</w:t>
      </w:r>
      <w:bookmarkEnd w:id="234"/>
      <w:bookmarkEnd w:id="235"/>
    </w:p>
    <w:p w14:paraId="6669E78C" w14:textId="77777777" w:rsidR="00833567" w:rsidRPr="003F08CF" w:rsidRDefault="00833567" w:rsidP="005E60EB">
      <w:pPr>
        <w:rPr>
          <w:rFonts w:asciiTheme="minorHAnsi" w:hAnsiTheme="minorHAnsi"/>
          <w:b/>
        </w:rPr>
      </w:pPr>
      <w:bookmarkStart w:id="236" w:name="_Toc247691530"/>
      <w:bookmarkStart w:id="237" w:name="_Toc314842513"/>
      <w:r>
        <w:t xml:space="preserve">The nonclinical dossier contained two new primary pharmacology studies, an additional pharmacokinetic validation study (on stability in human plasma at –80°C), an updated assessment on </w:t>
      </w:r>
      <w:proofErr w:type="spellStart"/>
      <w:r>
        <w:t>immunotoxic</w:t>
      </w:r>
      <w:proofErr w:type="spellEnd"/>
      <w:r>
        <w:t xml:space="preserve"> potential, and some background literature. The evaluator considered the new studies to be of limited relevance to the proposed extension of indications. There were no nonclinical studies in an animal model of EGPA/vasculitis. </w:t>
      </w:r>
      <w:r>
        <w:lastRenderedPageBreak/>
        <w:t>Safety at the higher exposure level associated with the increased dose for the new indication and in the extended paediatric population had previously been adequately demonstrated in non-clinical studies. There were no nonclinical objections.</w:t>
      </w:r>
    </w:p>
    <w:p w14:paraId="07E4DF19" w14:textId="77777777" w:rsidR="008E7846" w:rsidRPr="00F119EF" w:rsidRDefault="008E7846" w:rsidP="005E60EB">
      <w:pPr>
        <w:pStyle w:val="Heading3"/>
      </w:pPr>
      <w:bookmarkStart w:id="238" w:name="_Toc25227394"/>
      <w:r w:rsidRPr="00F119EF">
        <w:t>Clinical</w:t>
      </w:r>
      <w:bookmarkEnd w:id="236"/>
      <w:bookmarkEnd w:id="237"/>
      <w:bookmarkEnd w:id="238"/>
    </w:p>
    <w:p w14:paraId="724F7182" w14:textId="77777777" w:rsidR="00833567" w:rsidRPr="00F119EF" w:rsidRDefault="00833567" w:rsidP="005E60EB">
      <w:pPr>
        <w:pStyle w:val="Heading4"/>
      </w:pPr>
      <w:bookmarkStart w:id="239" w:name="_Toc314842514"/>
      <w:r w:rsidRPr="00F119EF">
        <w:t>Pharmacology</w:t>
      </w:r>
    </w:p>
    <w:p w14:paraId="6CC2879A" w14:textId="77777777" w:rsidR="00833567" w:rsidRPr="00F119EF" w:rsidRDefault="00833567" w:rsidP="00C65567">
      <w:r w:rsidRPr="00F119EF">
        <w:t>The PK data was limited to that collected during the clinical study and a pop</w:t>
      </w:r>
      <w:r w:rsidR="00F119EF">
        <w:t>ulation</w:t>
      </w:r>
      <w:r w:rsidRPr="00F119EF">
        <w:t xml:space="preserve"> PK model based on sparse sampling. The exposure of </w:t>
      </w:r>
      <w:proofErr w:type="spellStart"/>
      <w:r w:rsidRPr="00F119EF">
        <w:t>mepolizumab</w:t>
      </w:r>
      <w:proofErr w:type="spellEnd"/>
      <w:r w:rsidRPr="00F119EF">
        <w:t xml:space="preserve"> at a dose of 300</w:t>
      </w:r>
      <w:r w:rsidR="00F119EF">
        <w:t xml:space="preserve"> </w:t>
      </w:r>
      <w:r w:rsidRPr="00F119EF">
        <w:t>mg monthly in patients with EGPA was approximately three times that seen in ast</w:t>
      </w:r>
      <w:r w:rsidR="005E60EB" w:rsidRPr="00F119EF">
        <w:t>hma, but with high variability.</w:t>
      </w:r>
    </w:p>
    <w:p w14:paraId="7DD9170D" w14:textId="77777777" w:rsidR="00833567" w:rsidRPr="00F119EF" w:rsidRDefault="00833567" w:rsidP="005E60EB">
      <w:pPr>
        <w:pStyle w:val="Heading5"/>
      </w:pPr>
      <w:r w:rsidRPr="00F119EF">
        <w:t>Population PK analysis</w:t>
      </w:r>
    </w:p>
    <w:p w14:paraId="0C565486" w14:textId="0301DAB6" w:rsidR="00833567" w:rsidRPr="005E60EB" w:rsidRDefault="00833567" w:rsidP="005E60EB">
      <w:pPr>
        <w:rPr>
          <w:rFonts w:eastAsiaTheme="minorHAnsi" w:cs="TimesNewRoman"/>
        </w:rPr>
      </w:pPr>
      <w:r w:rsidRPr="00F119EF">
        <w:t>The most recent pop</w:t>
      </w:r>
      <w:r w:rsidR="00F119EF">
        <w:t>ulation</w:t>
      </w:r>
      <w:r w:rsidRPr="00F119EF">
        <w:t xml:space="preserve"> PK model from </w:t>
      </w:r>
      <w:proofErr w:type="spellStart"/>
      <w:r w:rsidRPr="00F119EF">
        <w:t>mepolizumab</w:t>
      </w:r>
      <w:proofErr w:type="spellEnd"/>
      <w:r w:rsidRPr="00F119EF">
        <w:t xml:space="preserve"> (</w:t>
      </w:r>
      <w:r w:rsidR="000E2A2B">
        <w:t>R</w:t>
      </w:r>
      <w:r w:rsidR="000E2A2B" w:rsidRPr="00F119EF">
        <w:t xml:space="preserve">eport </w:t>
      </w:r>
      <w:r w:rsidRPr="00F119EF">
        <w:t>2015N238436) was a</w:t>
      </w:r>
      <w:r w:rsidR="00F119EF">
        <w:t xml:space="preserve">pplied directly to the data </w:t>
      </w:r>
      <w:r w:rsidR="005E60EB" w:rsidRPr="00F119EF">
        <w:t>set</w:t>
      </w:r>
      <w:r w:rsidRPr="00F119EF">
        <w:t xml:space="preserve"> from sparse sampling from the clin</w:t>
      </w:r>
      <w:r w:rsidR="00F119EF">
        <w:t xml:space="preserve">ical </w:t>
      </w:r>
      <w:r w:rsidR="000E2A2B">
        <w:t>s</w:t>
      </w:r>
      <w:r w:rsidR="000E2A2B" w:rsidRPr="00F119EF">
        <w:t xml:space="preserve">tudy </w:t>
      </w:r>
      <w:r w:rsidR="005E60EB" w:rsidRPr="00F119EF">
        <w:t xml:space="preserve">in EGPA </w:t>
      </w:r>
      <w:r w:rsidR="00F119EF">
        <w:t>(</w:t>
      </w:r>
      <w:r w:rsidR="000E2A2B">
        <w:t>Study </w:t>
      </w:r>
      <w:r w:rsidR="005E60EB" w:rsidRPr="00F119EF">
        <w:t>MEA115921</w:t>
      </w:r>
      <w:r w:rsidR="00F119EF">
        <w:t>)</w:t>
      </w:r>
      <w:r w:rsidR="005E60EB" w:rsidRPr="00F119EF">
        <w:t xml:space="preserve">. </w:t>
      </w:r>
      <w:r w:rsidR="00F119EF">
        <w:rPr>
          <w:rFonts w:eastAsiaTheme="minorHAnsi" w:cs="TimesNewRoman"/>
          <w:color w:val="000000"/>
        </w:rPr>
        <w:t xml:space="preserve">This population </w:t>
      </w:r>
      <w:r w:rsidRPr="00F119EF">
        <w:rPr>
          <w:rFonts w:eastAsiaTheme="minorHAnsi" w:cs="TimesNewRoman"/>
          <w:color w:val="000000"/>
        </w:rPr>
        <w:t xml:space="preserve">PK model was developed from </w:t>
      </w:r>
      <w:r w:rsidRPr="00F119EF">
        <w:rPr>
          <w:rFonts w:eastAsiaTheme="minorHAnsi" w:cs="TimesNewRoman"/>
        </w:rPr>
        <w:t>8</w:t>
      </w:r>
      <w:r w:rsidR="00F119EF">
        <w:rPr>
          <w:rFonts w:eastAsiaTheme="minorHAnsi" w:cs="TimesNewRoman"/>
        </w:rPr>
        <w:t>,</w:t>
      </w:r>
      <w:r w:rsidRPr="00F119EF">
        <w:rPr>
          <w:rFonts w:eastAsiaTheme="minorHAnsi" w:cs="TimesNewRoman"/>
        </w:rPr>
        <w:t xml:space="preserve">598 </w:t>
      </w:r>
      <w:proofErr w:type="spellStart"/>
      <w:r w:rsidRPr="00F119EF">
        <w:rPr>
          <w:rFonts w:eastAsiaTheme="minorHAnsi" w:cs="TimesNewRoman"/>
        </w:rPr>
        <w:t>mepolizumab</w:t>
      </w:r>
      <w:proofErr w:type="spellEnd"/>
      <w:r w:rsidRPr="00F119EF">
        <w:rPr>
          <w:rFonts w:eastAsiaTheme="minorHAnsi" w:cs="TimesNewRoman"/>
        </w:rPr>
        <w:t xml:space="preserve"> concentration values, obtained from 1</w:t>
      </w:r>
      <w:r w:rsidR="00F119EF">
        <w:rPr>
          <w:rFonts w:eastAsiaTheme="minorHAnsi" w:cs="TimesNewRoman"/>
        </w:rPr>
        <w:t>,</w:t>
      </w:r>
      <w:r w:rsidRPr="00F119EF">
        <w:rPr>
          <w:rFonts w:eastAsiaTheme="minorHAnsi" w:cs="TimesNewRoman"/>
        </w:rPr>
        <w:t>424 subjects with various eosi</w:t>
      </w:r>
      <w:r w:rsidR="00F119EF">
        <w:rPr>
          <w:rFonts w:eastAsiaTheme="minorHAnsi" w:cs="TimesNewRoman"/>
        </w:rPr>
        <w:t xml:space="preserve">nophilic conditions in 13 Phase I to </w:t>
      </w:r>
      <w:r w:rsidRPr="00F119EF">
        <w:rPr>
          <w:rFonts w:eastAsiaTheme="minorHAnsi" w:cs="TimesNewRoman"/>
        </w:rPr>
        <w:t xml:space="preserve">III </w:t>
      </w:r>
      <w:proofErr w:type="spellStart"/>
      <w:r w:rsidRPr="00F119EF">
        <w:rPr>
          <w:rFonts w:eastAsiaTheme="minorHAnsi" w:cs="TimesNewRoman"/>
        </w:rPr>
        <w:t>mepolizumab</w:t>
      </w:r>
      <w:proofErr w:type="spellEnd"/>
      <w:r w:rsidRPr="00F119EF">
        <w:rPr>
          <w:rFonts w:eastAsiaTheme="minorHAnsi" w:cs="TimesNewRoman"/>
        </w:rPr>
        <w:t xml:space="preserve"> studies. A plot of dose normalised observed individual plasma concentrations shows considerable inter-individual variability. Body weight, creati</w:t>
      </w:r>
      <w:r w:rsidR="00FC34E4">
        <w:rPr>
          <w:rFonts w:eastAsiaTheme="minorHAnsi" w:cs="TimesNewRoman"/>
        </w:rPr>
        <w:t>ni</w:t>
      </w:r>
      <w:r w:rsidRPr="00F119EF">
        <w:rPr>
          <w:rFonts w:eastAsiaTheme="minorHAnsi" w:cs="TimesNewRoman"/>
        </w:rPr>
        <w:t xml:space="preserve">ne clearance and albumin were included in the model. The model was able to accurately able to predict the </w:t>
      </w:r>
      <w:proofErr w:type="spellStart"/>
      <w:r w:rsidRPr="00F119EF">
        <w:rPr>
          <w:rFonts w:eastAsiaTheme="minorHAnsi" w:cs="TimesNewRoman"/>
        </w:rPr>
        <w:t>mepolizumab</w:t>
      </w:r>
      <w:proofErr w:type="spellEnd"/>
      <w:r w:rsidRPr="00F119EF">
        <w:rPr>
          <w:rFonts w:eastAsiaTheme="minorHAnsi" w:cs="TimesNewRoman"/>
        </w:rPr>
        <w:t xml:space="preserve"> plasma concentrations in the EGPA population</w:t>
      </w:r>
      <w:r w:rsidR="00624472" w:rsidRPr="00F119EF">
        <w:rPr>
          <w:rFonts w:eastAsiaTheme="minorHAnsi" w:cs="TimesNewRoman"/>
        </w:rPr>
        <w:t>.</w:t>
      </w:r>
    </w:p>
    <w:p w14:paraId="66F54376" w14:textId="77777777" w:rsidR="00833567" w:rsidRDefault="00833567" w:rsidP="00C65567">
      <w:r>
        <w:t xml:space="preserve">The </w:t>
      </w:r>
      <w:proofErr w:type="spellStart"/>
      <w:r w:rsidRPr="005E60EB">
        <w:t>pharmacodynamic</w:t>
      </w:r>
      <w:proofErr w:type="spellEnd"/>
      <w:r w:rsidRPr="005E60EB">
        <w:t xml:space="preserve"> effect</w:t>
      </w:r>
      <w:r>
        <w:t xml:space="preserve"> o</w:t>
      </w:r>
      <w:r w:rsidR="00C65567">
        <w:t xml:space="preserve">f </w:t>
      </w:r>
      <w:proofErr w:type="spellStart"/>
      <w:r w:rsidR="00C65567">
        <w:t>mepolizumab</w:t>
      </w:r>
      <w:proofErr w:type="spellEnd"/>
      <w:r w:rsidR="00C65567">
        <w:t xml:space="preserve"> is presumed to be through the binding of IL</w:t>
      </w:r>
      <w:r w:rsidR="00C65567">
        <w:noBreakHyphen/>
        <w:t>5 which prevents the soluble cytokine IL-5 from binding to its cognate receptor (IL-5 receptor complex) and therefore inhibiting signalling, resulting in the reduction in production and survival of eosinophils</w:t>
      </w:r>
      <w:r>
        <w:t xml:space="preserve">. The effects of </w:t>
      </w:r>
      <w:proofErr w:type="spellStart"/>
      <w:r>
        <w:t>mepolizumab</w:t>
      </w:r>
      <w:proofErr w:type="spellEnd"/>
      <w:r>
        <w:t xml:space="preserve"> on IL-5, CRP, ESR</w:t>
      </w:r>
      <w:r w:rsidR="00F119EF">
        <w:t xml:space="preserve"> and f</w:t>
      </w:r>
      <w:r w:rsidR="00F119EF" w:rsidRPr="00F119EF">
        <w:t xml:space="preserve">ractional exhaled nitric oxide </w:t>
      </w:r>
      <w:r w:rsidR="00F119EF">
        <w:t>(</w:t>
      </w:r>
      <w:proofErr w:type="spellStart"/>
      <w:r w:rsidR="00F119EF">
        <w:t>FeNO</w:t>
      </w:r>
      <w:proofErr w:type="spellEnd"/>
      <w:r w:rsidR="00F119EF">
        <w:t>) were investigated in S</w:t>
      </w:r>
      <w:r>
        <w:t>tudy MEA115921. A reduc</w:t>
      </w:r>
      <w:r w:rsidR="00F119EF">
        <w:t>tion in eosinophils is seen by W</w:t>
      </w:r>
      <w:r>
        <w:t xml:space="preserve">eek 4 </w:t>
      </w:r>
      <w:r w:rsidR="00F119EF">
        <w:t>after the initial dose, and by W</w:t>
      </w:r>
      <w:r>
        <w:t xml:space="preserve">eek 48 a 83% reduction was seen (serum eosinophils below normal range). There was an increase in Il-5 but no change in ESR, CRP or </w:t>
      </w:r>
      <w:proofErr w:type="spellStart"/>
      <w:r>
        <w:t>FeNO</w:t>
      </w:r>
      <w:proofErr w:type="spellEnd"/>
      <w:r>
        <w:t xml:space="preserve">. There was no correlation between </w:t>
      </w:r>
      <w:proofErr w:type="spellStart"/>
      <w:r>
        <w:t>mepolizumab</w:t>
      </w:r>
      <w:proofErr w:type="spellEnd"/>
      <w:r>
        <w:t xml:space="preserve"> dose and reduction in eosinophil count (</w:t>
      </w:r>
      <w:r w:rsidR="00F119EF">
        <w:t>that is,</w:t>
      </w:r>
      <w:r>
        <w:t xml:space="preserve"> similar response to eosinophils</w:t>
      </w:r>
      <w:r w:rsidR="00F119EF">
        <w:t xml:space="preserve"> is seen with doses of 75, 100 and </w:t>
      </w:r>
      <w:r>
        <w:t>300</w:t>
      </w:r>
      <w:r w:rsidR="00F119EF">
        <w:t xml:space="preserve"> </w:t>
      </w:r>
      <w:r>
        <w:t>mg)</w:t>
      </w:r>
      <w:r w:rsidR="005E60EB">
        <w:t>.</w:t>
      </w:r>
    </w:p>
    <w:p w14:paraId="6A29FB34" w14:textId="77777777" w:rsidR="00833567" w:rsidRPr="005E60EB" w:rsidRDefault="00833567" w:rsidP="005E60EB">
      <w:r>
        <w:t>The tissue injury in EGPA is thought to result from vasculitis and tissue eosinophilia. The mechanistic relationships between blood eosinophilia, tissue eosinophilia, vasculitis activity and tissue injury are unknown</w:t>
      </w:r>
      <w:r w:rsidRPr="005A7441">
        <w:t>. Demonstration of a reduction in blood eosinophil count cannot be assumed to equate to a reduction in tissue eosinophils and a reduction in tissue injury. There were</w:t>
      </w:r>
      <w:r>
        <w:t xml:space="preserve"> no analyses in the dossier that explored the relationship between blood eosinophil level, tissue eosinophil levels and disease activity in patients with EGPA, </w:t>
      </w:r>
      <w:r w:rsidR="007B19BE">
        <w:t>for example</w:t>
      </w:r>
      <w:r>
        <w:t xml:space="preserve">, there was no analysis comparing blood eosinophil levels at the time of EGPA relapse in patients from the </w:t>
      </w:r>
      <w:proofErr w:type="spellStart"/>
      <w:r>
        <w:t>mepolizumab</w:t>
      </w:r>
      <w:proofErr w:type="spellEnd"/>
      <w:r>
        <w:t xml:space="preserve"> arm to patients in the placebo arm of Study MEA115921. In patients with eosinophilic oesophagitis, treatment with </w:t>
      </w:r>
      <w:proofErr w:type="spellStart"/>
      <w:r>
        <w:t>mepolizumab</w:t>
      </w:r>
      <w:proofErr w:type="spellEnd"/>
      <w:r>
        <w:t xml:space="preserve"> resulted in a 70% decrease in blood eosinophils and 30% decrease in tissue eosinophils</w:t>
      </w:r>
      <w:r w:rsidR="005E60EB">
        <w:t>.</w:t>
      </w:r>
    </w:p>
    <w:p w14:paraId="6796E4F6" w14:textId="77777777" w:rsidR="00833567" w:rsidRDefault="00833567" w:rsidP="005E60EB">
      <w:pPr>
        <w:pStyle w:val="Heading4"/>
      </w:pPr>
      <w:r>
        <w:t>Dose selection for the clinical study</w:t>
      </w:r>
    </w:p>
    <w:p w14:paraId="22DAA0DD" w14:textId="77777777" w:rsidR="00624472" w:rsidRDefault="00833567" w:rsidP="005E60EB">
      <w:r w:rsidRPr="00415167">
        <w:t>A dose of 300</w:t>
      </w:r>
      <w:r w:rsidR="00F119EF">
        <w:t xml:space="preserve"> </w:t>
      </w:r>
      <w:r w:rsidRPr="00415167">
        <w:t>mg was used as it was presumed that due to the higher amount of tissue eosinophils in EGPA, a larger dose would be needed</w:t>
      </w:r>
      <w:r w:rsidR="00624472">
        <w:t>.</w:t>
      </w:r>
    </w:p>
    <w:p w14:paraId="3859FC8D" w14:textId="77777777" w:rsidR="00833567" w:rsidRPr="005E60EB" w:rsidRDefault="00833567" w:rsidP="005E60EB">
      <w:r>
        <w:t>The dose used in asthma was not studied in EGPA</w:t>
      </w:r>
      <w:r w:rsidR="005E60EB">
        <w:t>.</w:t>
      </w:r>
    </w:p>
    <w:p w14:paraId="6F3A84E3" w14:textId="66C682E6" w:rsidR="00833567" w:rsidRDefault="00833567" w:rsidP="005E60EB">
      <w:pPr>
        <w:pStyle w:val="Heading4"/>
      </w:pPr>
      <w:r w:rsidRPr="003F08CF">
        <w:lastRenderedPageBreak/>
        <w:t>Efficacy</w:t>
      </w:r>
      <w:r>
        <w:t xml:space="preserve"> and </w:t>
      </w:r>
      <w:r w:rsidR="000E2A2B">
        <w:t>s</w:t>
      </w:r>
      <w:r>
        <w:t>afety</w:t>
      </w:r>
    </w:p>
    <w:p w14:paraId="3308E63C" w14:textId="77777777" w:rsidR="00833567" w:rsidRPr="000B7835" w:rsidRDefault="00833567" w:rsidP="005E60EB">
      <w:r w:rsidRPr="000B7835">
        <w:t xml:space="preserve">There </w:t>
      </w:r>
      <w:r>
        <w:t>wa</w:t>
      </w:r>
      <w:r w:rsidRPr="000B7835">
        <w:t xml:space="preserve">s one main safety and </w:t>
      </w:r>
      <w:r w:rsidR="00F119EF">
        <w:t>efficacy Study, MEA 115921: P</w:t>
      </w:r>
      <w:r w:rsidRPr="000B7835">
        <w:t xml:space="preserve">hase III randomised, placebo controlled, parallel group study in which adults with EGPA received </w:t>
      </w:r>
      <w:r>
        <w:t>either</w:t>
      </w:r>
      <w:r w:rsidRPr="000B7835">
        <w:t xml:space="preserve"> </w:t>
      </w:r>
      <w:proofErr w:type="spellStart"/>
      <w:r w:rsidRPr="000B7835">
        <w:t>mepolizumab</w:t>
      </w:r>
      <w:proofErr w:type="spellEnd"/>
      <w:r w:rsidRPr="000B7835">
        <w:t xml:space="preserve"> 300</w:t>
      </w:r>
      <w:r w:rsidR="00F119EF">
        <w:t xml:space="preserve"> </w:t>
      </w:r>
      <w:r w:rsidRPr="000B7835">
        <w:t xml:space="preserve">mg SC monthly </w:t>
      </w:r>
      <w:r>
        <w:t>or</w:t>
      </w:r>
      <w:r w:rsidRPr="000B7835">
        <w:t xml:space="preserve"> pl</w:t>
      </w:r>
      <w:r>
        <w:t xml:space="preserve">acebo or 12 months (13 doses), in addition to </w:t>
      </w:r>
      <w:r w:rsidR="00F119EF">
        <w:t xml:space="preserve">standard care. Follow </w:t>
      </w:r>
      <w:r w:rsidRPr="000B7835">
        <w:t>up continued for 3 months after last dose. Standard care</w:t>
      </w:r>
      <w:r>
        <w:t xml:space="preserve"> </w:t>
      </w:r>
      <w:r w:rsidRPr="000B7835">
        <w:t>was oral corticosteroids at a dose ≥ 7.5</w:t>
      </w:r>
      <w:r w:rsidR="00F119EF">
        <w:t xml:space="preserve"> </w:t>
      </w:r>
      <w:r w:rsidRPr="000B7835">
        <w:t>mg/day and ≤ 50</w:t>
      </w:r>
      <w:r w:rsidR="00F119EF">
        <w:t xml:space="preserve"> </w:t>
      </w:r>
      <w:r w:rsidRPr="000B7835">
        <w:t xml:space="preserve">mg/day. Patients receiving immunosuppressive treatment (including </w:t>
      </w:r>
      <w:r w:rsidRPr="000B7835">
        <w:rPr>
          <w:rFonts w:eastAsia="TimesNewRoman" w:cs="TimesNewRoman"/>
        </w:rPr>
        <w:t xml:space="preserve">methotrexate, azathioprine, </w:t>
      </w:r>
      <w:proofErr w:type="spellStart"/>
      <w:r w:rsidRPr="000B7835">
        <w:rPr>
          <w:rFonts w:eastAsia="TimesNewRoman" w:cs="TimesNewRoman"/>
        </w:rPr>
        <w:t>mycophenolate</w:t>
      </w:r>
      <w:proofErr w:type="spellEnd"/>
      <w:r w:rsidRPr="000B7835">
        <w:rPr>
          <w:rFonts w:eastAsia="TimesNewRoman" w:cs="TimesNewRoman"/>
        </w:rPr>
        <w:t xml:space="preserve"> </w:t>
      </w:r>
      <w:proofErr w:type="spellStart"/>
      <w:r w:rsidRPr="000B7835">
        <w:rPr>
          <w:rFonts w:eastAsia="TimesNewRoman" w:cs="TimesNewRoman"/>
        </w:rPr>
        <w:t>mofetil</w:t>
      </w:r>
      <w:proofErr w:type="spellEnd"/>
      <w:r w:rsidRPr="000B7835">
        <w:rPr>
          <w:rFonts w:eastAsia="TimesNewRoman" w:cs="TimesNewRoman"/>
        </w:rPr>
        <w:t xml:space="preserve"> but</w:t>
      </w:r>
      <w:r w:rsidRPr="000B7835">
        <w:t xml:space="preserve"> excluding cyclophosphamide)</w:t>
      </w:r>
      <w:r>
        <w:t xml:space="preserve"> were also recruited</w:t>
      </w:r>
      <w:r w:rsidRPr="000B7835">
        <w:t>. During the 12 months of the study, oral corticosteroids were to be slowly weaned as able but the dose of any immunosuppressive drug was not to be increased.</w:t>
      </w:r>
    </w:p>
    <w:p w14:paraId="777569AE" w14:textId="77777777" w:rsidR="00833567" w:rsidRPr="000B7835" w:rsidRDefault="00833567" w:rsidP="005E60EB">
      <w:pPr>
        <w:pStyle w:val="Heading5"/>
        <w:rPr>
          <w:rFonts w:eastAsiaTheme="minorHAnsi"/>
        </w:rPr>
      </w:pPr>
      <w:r w:rsidRPr="000B7835">
        <w:rPr>
          <w:rFonts w:eastAsiaTheme="minorHAnsi"/>
        </w:rPr>
        <w:t>Main inclusion criteria:</w:t>
      </w:r>
    </w:p>
    <w:p w14:paraId="6E6428E7" w14:textId="3DFD26B8" w:rsidR="00833567" w:rsidRPr="000B7835" w:rsidRDefault="00833567" w:rsidP="005E60EB">
      <w:pPr>
        <w:pStyle w:val="ListBullet"/>
      </w:pPr>
      <w:r w:rsidRPr="000B7835">
        <w:t>Age</w:t>
      </w:r>
      <w:r w:rsidR="000E2A2B">
        <w:t>d</w:t>
      </w:r>
      <w:r w:rsidRPr="000B7835">
        <w:t xml:space="preserve"> 18 years or older</w:t>
      </w:r>
      <w:r w:rsidR="005E60EB">
        <w:t>.</w:t>
      </w:r>
    </w:p>
    <w:p w14:paraId="138206F4" w14:textId="77777777" w:rsidR="00833567" w:rsidRPr="000B7835" w:rsidRDefault="00833567" w:rsidP="005E60EB">
      <w:pPr>
        <w:pStyle w:val="ListBullet"/>
      </w:pPr>
      <w:r w:rsidRPr="000B7835">
        <w:t>History of relapsing or refractory EGPA</w:t>
      </w:r>
      <w:r w:rsidR="005E60EB">
        <w:t>.</w:t>
      </w:r>
    </w:p>
    <w:p w14:paraId="7E517ACE" w14:textId="77777777" w:rsidR="00833567" w:rsidRPr="000B7835" w:rsidRDefault="00833567" w:rsidP="005E60EB">
      <w:pPr>
        <w:pStyle w:val="ListBullet"/>
      </w:pPr>
      <w:r w:rsidRPr="000B7835">
        <w:t>On stable corticosteroid therapy (prednisone/prednisolone ≥</w:t>
      </w:r>
      <w:r w:rsidR="00F119EF">
        <w:t xml:space="preserve"> </w:t>
      </w:r>
      <w:r w:rsidRPr="000B7835">
        <w:t xml:space="preserve">7.5 to </w:t>
      </w:r>
      <w:r w:rsidRPr="000B7835">
        <w:rPr>
          <w:rFonts w:cs="Symbol"/>
        </w:rPr>
        <w:t>≤</w:t>
      </w:r>
      <w:r w:rsidR="00F119EF">
        <w:rPr>
          <w:rFonts w:cs="Symbol"/>
        </w:rPr>
        <w:t xml:space="preserve"> </w:t>
      </w:r>
      <w:r w:rsidRPr="000B7835">
        <w:t>50 mg/day for at least 4 weeks prior to Baseline) with or without concomitant stable immunosuppressant therapy</w:t>
      </w:r>
      <w:r w:rsidR="005E60EB">
        <w:t>.</w:t>
      </w:r>
    </w:p>
    <w:p w14:paraId="16E12B92" w14:textId="33C34579" w:rsidR="00833567" w:rsidRDefault="00833567" w:rsidP="005E60EB">
      <w:pPr>
        <w:pStyle w:val="ListBullet"/>
      </w:pPr>
      <w:r w:rsidRPr="000B7835">
        <w:t xml:space="preserve">Required screening </w:t>
      </w:r>
      <w:r w:rsidR="000E2A2B">
        <w:t xml:space="preserve">with </w:t>
      </w:r>
      <w:r w:rsidR="00F119EF">
        <w:t>ECG</w:t>
      </w:r>
      <w:r w:rsidRPr="000B7835">
        <w:t xml:space="preserve"> measurements of </w:t>
      </w:r>
      <w:proofErr w:type="spellStart"/>
      <w:r w:rsidRPr="000B7835">
        <w:t>QTc</w:t>
      </w:r>
      <w:proofErr w:type="spellEnd"/>
      <w:r w:rsidRPr="000B7835">
        <w:t>(F) &lt;</w:t>
      </w:r>
      <w:r w:rsidR="00F119EF">
        <w:t xml:space="preserve"> 450 </w:t>
      </w:r>
      <w:proofErr w:type="spellStart"/>
      <w:r w:rsidR="00F119EF">
        <w:t>ms</w:t>
      </w:r>
      <w:proofErr w:type="spellEnd"/>
      <w:r w:rsidRPr="000B7835">
        <w:t xml:space="preserve"> </w:t>
      </w:r>
      <w:r w:rsidR="00F119EF">
        <w:t>or</w:t>
      </w:r>
      <w:r w:rsidRPr="000B7835">
        <w:t xml:space="preserve"> </w:t>
      </w:r>
      <w:proofErr w:type="spellStart"/>
      <w:r w:rsidRPr="000B7835">
        <w:t>QTc</w:t>
      </w:r>
      <w:proofErr w:type="spellEnd"/>
      <w:r w:rsidRPr="000B7835">
        <w:t>(F) &lt;</w:t>
      </w:r>
      <w:r w:rsidR="00F119EF">
        <w:t xml:space="preserve"> 480 </w:t>
      </w:r>
      <w:proofErr w:type="spellStart"/>
      <w:r w:rsidR="00F119EF">
        <w:t>ms</w:t>
      </w:r>
      <w:proofErr w:type="spellEnd"/>
      <w:r w:rsidRPr="000B7835">
        <w:t xml:space="preserve"> for subjects with bundle branch block</w:t>
      </w:r>
      <w:r w:rsidR="005E60EB">
        <w:t>.</w:t>
      </w:r>
    </w:p>
    <w:p w14:paraId="575147E5" w14:textId="77777777" w:rsidR="00833567" w:rsidRPr="005E60EB" w:rsidRDefault="005E60EB" w:rsidP="005E60EB">
      <w:r>
        <w:t xml:space="preserve">Note: </w:t>
      </w:r>
      <w:r w:rsidR="00833567" w:rsidRPr="000B7835">
        <w:t>Patients with organ of life threatening disease were excluded from the study</w:t>
      </w:r>
      <w:r w:rsidR="00624472">
        <w:t>.</w:t>
      </w:r>
    </w:p>
    <w:p w14:paraId="643FFD72" w14:textId="77777777" w:rsidR="00833567" w:rsidRPr="000B7835" w:rsidRDefault="00833567" w:rsidP="005E60EB">
      <w:pPr>
        <w:rPr>
          <w:rFonts w:eastAsiaTheme="minorHAnsi" w:cs="TimesNewRoman"/>
          <w:color w:val="000000"/>
        </w:rPr>
      </w:pPr>
      <w:r w:rsidRPr="000B7835">
        <w:rPr>
          <w:rFonts w:eastAsiaTheme="minorHAnsi" w:cs="TimesNewRoman"/>
          <w:color w:val="000000"/>
        </w:rPr>
        <w:t>For study inclusion, the following definitions of EGPA, relapsing disease and refractory disease were used:</w:t>
      </w:r>
    </w:p>
    <w:p w14:paraId="05EAF5C7" w14:textId="06290995" w:rsidR="00833567" w:rsidRPr="005E60EB" w:rsidRDefault="000E2A2B" w:rsidP="005E60EB">
      <w:pPr>
        <w:ind w:left="720"/>
      </w:pPr>
      <w:r>
        <w:rPr>
          <w:rFonts w:eastAsiaTheme="minorHAnsi" w:cs="TimesNewRoman"/>
          <w:color w:val="000000"/>
        </w:rPr>
        <w:t>‘</w:t>
      </w:r>
      <w:r w:rsidR="00833567" w:rsidRPr="005E60EB">
        <w:rPr>
          <w:rFonts w:eastAsiaTheme="minorHAnsi" w:cs="TimesNewRoman"/>
          <w:color w:val="000000"/>
        </w:rPr>
        <w:t xml:space="preserve">EGPA was </w:t>
      </w:r>
      <w:r w:rsidR="00833567" w:rsidRPr="005E60EB">
        <w:rPr>
          <w:rFonts w:eastAsia="OTNEJMQuadraat" w:cs="OTNEJMQuadraat"/>
        </w:rPr>
        <w:t>defined as a history or presence of asthma, a blood eosinophil level of 10% or an absolute eosinophil count of more than 1000 cells per mm</w:t>
      </w:r>
      <w:r w:rsidR="008B7469" w:rsidRPr="008B7469">
        <w:rPr>
          <w:rFonts w:eastAsia="OTNEJMQuadraat" w:cs="OTNEJMQuadraat"/>
          <w:vertAlign w:val="superscript"/>
        </w:rPr>
        <w:t>3</w:t>
      </w:r>
      <w:r w:rsidR="00833567" w:rsidRPr="005E60EB">
        <w:rPr>
          <w:rFonts w:eastAsia="OTNEJMQuadraat" w:cs="OTNEJMQuadraat"/>
        </w:rPr>
        <w:t xml:space="preserve">, and the presence of two or more criteria that are typical of eosinophilic granulomatosis with </w:t>
      </w:r>
      <w:proofErr w:type="spellStart"/>
      <w:r w:rsidR="00833567" w:rsidRPr="005E60EB">
        <w:rPr>
          <w:rFonts w:eastAsia="OTNEJMQuadraat" w:cs="OTNEJMQuadraat"/>
        </w:rPr>
        <w:t>polyangiitis</w:t>
      </w:r>
      <w:proofErr w:type="spellEnd"/>
      <w:r w:rsidR="00833567" w:rsidRPr="005E60EB">
        <w:rPr>
          <w:rFonts w:eastAsia="OTNEJMQuadraat" w:cs="OTNEJMQuadraat"/>
        </w:rPr>
        <w:t xml:space="preserve"> </w:t>
      </w:r>
      <w:r w:rsidR="00833567" w:rsidRPr="005E60EB">
        <w:t>(histopathological evidence of eosinophilic vasculitis, perivascular eosinophi</w:t>
      </w:r>
      <w:r w:rsidR="00B0793A">
        <w:t xml:space="preserve">lic infiltration, or eosinophil </w:t>
      </w:r>
      <w:r w:rsidR="00833567" w:rsidRPr="005E60EB">
        <w:t xml:space="preserve">rich granulomatous inflammation; neuropathy; pulmonary infiltrates; </w:t>
      </w:r>
      <w:proofErr w:type="spellStart"/>
      <w:r w:rsidR="00833567" w:rsidRPr="005E60EB">
        <w:t>sino</w:t>
      </w:r>
      <w:proofErr w:type="spellEnd"/>
      <w:r w:rsidR="00833567" w:rsidRPr="005E60EB">
        <w:t xml:space="preserve">-nasal abnormality; cardiomyopathy; glomerulonephritis; alveolar haemorrhage; palpable purpura; or </w:t>
      </w:r>
      <w:r w:rsidR="00B0793A">
        <w:t>ANCA</w:t>
      </w:r>
      <w:r w:rsidR="00833567" w:rsidRPr="005E60EB">
        <w:t xml:space="preserve"> positivity).</w:t>
      </w:r>
      <w:r>
        <w:t>’</w:t>
      </w:r>
    </w:p>
    <w:p w14:paraId="21E39455" w14:textId="77777777" w:rsidR="00833567" w:rsidRPr="000B7835" w:rsidRDefault="00833567" w:rsidP="000E2A2B">
      <w:r w:rsidRPr="000B7835">
        <w:t>Co-primary outcome measures were:</w:t>
      </w:r>
    </w:p>
    <w:p w14:paraId="32BE4DD5" w14:textId="6FB54BA4" w:rsidR="00833567" w:rsidRPr="000B7835" w:rsidRDefault="00833567" w:rsidP="005E60EB">
      <w:pPr>
        <w:pStyle w:val="Numberbullet0"/>
        <w:numPr>
          <w:ilvl w:val="0"/>
          <w:numId w:val="39"/>
        </w:numPr>
      </w:pPr>
      <w:r w:rsidRPr="000B7835">
        <w:t xml:space="preserve">The total accrued weeks of remission, </w:t>
      </w:r>
      <w:r w:rsidR="007B19BE">
        <w:t>that is</w:t>
      </w:r>
      <w:r w:rsidRPr="000B7835">
        <w:t>, the accrued number of weeks where BVAS</w:t>
      </w:r>
      <w:r w:rsidR="000E2A2B">
        <w:t>;</w:t>
      </w:r>
      <w:r w:rsidR="000E2A2B">
        <w:rPr>
          <w:rStyle w:val="FootnoteReference"/>
        </w:rPr>
        <w:footnoteReference w:id="53"/>
      </w:r>
      <w:r w:rsidR="00B0793A">
        <w:t xml:space="preserve"> </w:t>
      </w:r>
      <w:r w:rsidRPr="000B7835">
        <w:t>=</w:t>
      </w:r>
      <w:r w:rsidR="00B0793A">
        <w:t xml:space="preserve"> </w:t>
      </w:r>
      <w:r w:rsidRPr="000B7835">
        <w:t>0 plus prednisolone/prednisone dose ≤</w:t>
      </w:r>
      <w:r w:rsidR="00B0793A">
        <w:t xml:space="preserve"> </w:t>
      </w:r>
      <w:r w:rsidRPr="000B7835">
        <w:t>4 mg/day over the 52 week study treatment period reported as proportion of subjects achieving remission in the following categories: 0 weeks; remission for &gt;</w:t>
      </w:r>
      <w:r w:rsidR="00B0793A">
        <w:t xml:space="preserve"> </w:t>
      </w:r>
      <w:r w:rsidRPr="000B7835">
        <w:t>0 weeks but &lt; 12 weeks; for ≥ 12 weeks but less than 24 weeks; for ≥ 24 weeks but less than 36 weeks; and for ≥ 36 weeks</w:t>
      </w:r>
      <w:r w:rsidR="00B0793A">
        <w:t>.</w:t>
      </w:r>
    </w:p>
    <w:p w14:paraId="663C7A26" w14:textId="4C405215" w:rsidR="00833567" w:rsidRPr="000B7835" w:rsidRDefault="00833567" w:rsidP="005E60EB">
      <w:pPr>
        <w:pStyle w:val="Numberbullet0"/>
        <w:numPr>
          <w:ilvl w:val="0"/>
          <w:numId w:val="39"/>
        </w:numPr>
      </w:pPr>
      <w:r w:rsidRPr="000B7835">
        <w:t>The proportion of participants who had remission (</w:t>
      </w:r>
      <w:r w:rsidR="007B19BE">
        <w:t>that is</w:t>
      </w:r>
      <w:r w:rsidRPr="000B7835">
        <w:t xml:space="preserve"> BVAS</w:t>
      </w:r>
      <w:r w:rsidR="00B0793A">
        <w:t xml:space="preserve"> </w:t>
      </w:r>
      <w:r w:rsidRPr="000B7835">
        <w:t>=</w:t>
      </w:r>
      <w:r w:rsidR="00B0793A">
        <w:t xml:space="preserve"> </w:t>
      </w:r>
      <w:r w:rsidR="00EA71E5">
        <w:t>0 and prednisolone/</w:t>
      </w:r>
      <w:r w:rsidRPr="000B7835">
        <w:t>prednisone ≤</w:t>
      </w:r>
      <w:r w:rsidR="00B0793A">
        <w:t xml:space="preserve"> </w:t>
      </w:r>
      <w:r w:rsidR="00EA71E5">
        <w:t>4 mg/day) at both Week 36 and W</w:t>
      </w:r>
      <w:r w:rsidRPr="000B7835">
        <w:t>eek 48</w:t>
      </w:r>
      <w:r w:rsidR="00B0793A">
        <w:t>.</w:t>
      </w:r>
    </w:p>
    <w:p w14:paraId="3926DE52" w14:textId="77777777" w:rsidR="00624472" w:rsidRDefault="00833567" w:rsidP="005E60EB">
      <w:r w:rsidRPr="00462BF5">
        <w:t xml:space="preserve">A total of 136 subjects were enrolled, 68 in each arm. Demographic characteristics were </w:t>
      </w:r>
      <w:r w:rsidRPr="00462BF5">
        <w:rPr>
          <w:rFonts w:eastAsia="TimesNewRoman"/>
        </w:rPr>
        <w:t>balanced between the treatment groups. The</w:t>
      </w:r>
      <w:r w:rsidRPr="00462BF5">
        <w:t xml:space="preserve"> mean age was 48.5 years (17 </w:t>
      </w:r>
      <w:r w:rsidRPr="00462BF5">
        <w:rPr>
          <w:rFonts w:eastAsia="TimesNewRoman"/>
        </w:rPr>
        <w:t xml:space="preserve">subjects were aged 65 years or more); </w:t>
      </w:r>
      <w:r w:rsidRPr="00462BF5">
        <w:t xml:space="preserve">59% were female; and 92% white. The mean duration of EGPA was 5.5 years (SD 4.63) and 74% had had one or more </w:t>
      </w:r>
      <w:r w:rsidR="00462BF5" w:rsidRPr="00462BF5">
        <w:t>confirmed relapse in the past 2 </w:t>
      </w:r>
      <w:r w:rsidRPr="00462BF5">
        <w:t xml:space="preserve">years. More patients in the </w:t>
      </w:r>
      <w:proofErr w:type="spellStart"/>
      <w:r w:rsidRPr="00462BF5">
        <w:t>mepolizumab</w:t>
      </w:r>
      <w:proofErr w:type="spellEnd"/>
      <w:r w:rsidRPr="00462BF5">
        <w:t xml:space="preserve"> arm had neuropathy or cardiomyopathy. The median baseline daily oral corticosteroid dose was 12 mg (prednisone or prednisolone equivalent) (range 7.5 to 50</w:t>
      </w:r>
      <w:r w:rsidR="00462BF5" w:rsidRPr="00462BF5">
        <w:t xml:space="preserve"> </w:t>
      </w:r>
      <w:r w:rsidRPr="00462BF5">
        <w:t>mg) and 53% were receiving other immunosuppressant therapy (</w:t>
      </w:r>
      <w:r w:rsidR="007B19BE" w:rsidRPr="00462BF5">
        <w:t>for example</w:t>
      </w:r>
      <w:r w:rsidRPr="00462BF5">
        <w:t xml:space="preserve">, azathioprine, methotrexate, mycophenolic acid.). At baseline, the </w:t>
      </w:r>
      <w:r w:rsidRPr="00462BF5">
        <w:lastRenderedPageBreak/>
        <w:t>median blood eo</w:t>
      </w:r>
      <w:r w:rsidR="003627CD">
        <w:t xml:space="preserve">sinophil count was 215 (range 0 to </w:t>
      </w:r>
      <w:r w:rsidRPr="00462BF5">
        <w:t>4</w:t>
      </w:r>
      <w:r w:rsidR="003627CD">
        <w:t>,</w:t>
      </w:r>
      <w:r w:rsidRPr="00462BF5">
        <w:t>4</w:t>
      </w:r>
      <w:r w:rsidR="00756A66" w:rsidRPr="00462BF5">
        <w:t>50) in the placebo group and 190</w:t>
      </w:r>
      <w:r w:rsidR="003627CD">
        <w:t xml:space="preserve"> (range 10 to </w:t>
      </w:r>
      <w:r w:rsidRPr="00462BF5">
        <w:t>6</w:t>
      </w:r>
      <w:r w:rsidR="003627CD">
        <w:t>,</w:t>
      </w:r>
      <w:r w:rsidRPr="00462BF5">
        <w:t xml:space="preserve">720) in the </w:t>
      </w:r>
      <w:proofErr w:type="spellStart"/>
      <w:r w:rsidRPr="00462BF5">
        <w:t>mepolizumab</w:t>
      </w:r>
      <w:proofErr w:type="spellEnd"/>
      <w:r w:rsidRPr="00462BF5">
        <w:t xml:space="preserve"> group</w:t>
      </w:r>
      <w:r w:rsidR="00624472" w:rsidRPr="00462BF5">
        <w:t>.</w:t>
      </w:r>
    </w:p>
    <w:p w14:paraId="232BB374" w14:textId="77777777" w:rsidR="003627CD" w:rsidRDefault="003627CD" w:rsidP="003627CD">
      <w:pPr>
        <w:pStyle w:val="TableTitle"/>
      </w:pPr>
      <w:r>
        <w:t xml:space="preserve">Table </w:t>
      </w:r>
      <w:r w:rsidR="00C33647">
        <w:rPr>
          <w:noProof/>
        </w:rPr>
        <w:fldChar w:fldCharType="begin"/>
      </w:r>
      <w:r w:rsidR="00C33647">
        <w:rPr>
          <w:noProof/>
        </w:rPr>
        <w:instrText xml:space="preserve"> SEQ Table \* ARABIC </w:instrText>
      </w:r>
      <w:r w:rsidR="00C33647">
        <w:rPr>
          <w:noProof/>
        </w:rPr>
        <w:fldChar w:fldCharType="separate"/>
      </w:r>
      <w:r w:rsidR="00126A5E">
        <w:rPr>
          <w:noProof/>
        </w:rPr>
        <w:t>22</w:t>
      </w:r>
      <w:r w:rsidR="00C33647">
        <w:rPr>
          <w:noProof/>
        </w:rPr>
        <w:fldChar w:fldCharType="end"/>
      </w:r>
      <w:r>
        <w:t>: EGPA history (Study MEA115921, intention to treat population)</w:t>
      </w:r>
    </w:p>
    <w:p w14:paraId="5E901D70" w14:textId="77777777" w:rsidR="00833567" w:rsidRPr="004534AB" w:rsidRDefault="003627CD" w:rsidP="00833567">
      <w:pPr>
        <w:autoSpaceDE w:val="0"/>
        <w:autoSpaceDN w:val="0"/>
        <w:spacing w:after="0" w:line="240" w:lineRule="auto"/>
        <w:rPr>
          <w:rFonts w:ascii="Calibri" w:hAnsi="Calibri" w:cs="Calibri"/>
          <w:sz w:val="20"/>
        </w:rPr>
      </w:pPr>
      <w:r>
        <w:rPr>
          <w:noProof/>
          <w:lang w:eastAsia="en-AU"/>
        </w:rPr>
        <w:drawing>
          <wp:inline distT="0" distB="0" distL="0" distR="0" wp14:anchorId="74258944" wp14:editId="5F0FF993">
            <wp:extent cx="4183811" cy="5473204"/>
            <wp:effectExtent l="0" t="0" r="7620" b="0"/>
            <wp:docPr id="1" name="Picture 1" descr="EGPA history (Study MEA115921,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183737" cy="5473107"/>
                    </a:xfrm>
                    <a:prstGeom prst="rect">
                      <a:avLst/>
                    </a:prstGeom>
                  </pic:spPr>
                </pic:pic>
              </a:graphicData>
            </a:graphic>
          </wp:inline>
        </w:drawing>
      </w:r>
    </w:p>
    <w:p w14:paraId="59C649A5" w14:textId="77777777" w:rsidR="00833567" w:rsidRDefault="00833567" w:rsidP="00833567">
      <w:pPr>
        <w:rPr>
          <w:rFonts w:asciiTheme="minorHAnsi" w:hAnsiTheme="minorHAnsi" w:cs="Calibri"/>
        </w:rPr>
      </w:pPr>
      <w:r w:rsidRPr="000B7835">
        <w:rPr>
          <w:rFonts w:asciiTheme="minorHAnsi" w:hAnsiTheme="minorHAnsi" w:cs="Calibri"/>
        </w:rPr>
        <w:t xml:space="preserve">Both co-primary outcome measures show substantial improvement with </w:t>
      </w:r>
      <w:proofErr w:type="spellStart"/>
      <w:r w:rsidRPr="000B7835">
        <w:rPr>
          <w:rFonts w:asciiTheme="minorHAnsi" w:hAnsiTheme="minorHAnsi" w:cs="Calibri"/>
        </w:rPr>
        <w:t>mepolizumab</w:t>
      </w:r>
      <w:proofErr w:type="spellEnd"/>
      <w:r w:rsidRPr="000B7835">
        <w:rPr>
          <w:rFonts w:asciiTheme="minorHAnsi" w:hAnsiTheme="minorHAnsi" w:cs="Calibri"/>
        </w:rPr>
        <w:t xml:space="preserve"> compared with placebo. </w:t>
      </w:r>
      <w:r>
        <w:rPr>
          <w:rFonts w:asciiTheme="minorHAnsi" w:hAnsiTheme="minorHAnsi" w:cs="Calibri"/>
        </w:rPr>
        <w:t>Subgroup analysis showed that there was less efficacy in patients was b</w:t>
      </w:r>
      <w:r w:rsidR="003627CD">
        <w:rPr>
          <w:rFonts w:asciiTheme="minorHAnsi" w:hAnsiTheme="minorHAnsi" w:cs="Calibri"/>
        </w:rPr>
        <w:t>aseline eosinophil count &lt; 150 x</w:t>
      </w:r>
      <w:r>
        <w:rPr>
          <w:rFonts w:asciiTheme="minorHAnsi" w:hAnsiTheme="minorHAnsi" w:cs="Calibri"/>
        </w:rPr>
        <w:t xml:space="preserve"> 10</w:t>
      </w:r>
      <w:r w:rsidR="003627CD">
        <w:rPr>
          <w:rFonts w:asciiTheme="minorHAnsi" w:hAnsiTheme="minorHAnsi" w:cs="Calibri"/>
          <w:vertAlign w:val="superscript"/>
        </w:rPr>
        <w:t>6</w:t>
      </w:r>
      <w:r>
        <w:rPr>
          <w:rFonts w:asciiTheme="minorHAnsi" w:hAnsiTheme="minorHAnsi" w:cs="Calibri"/>
        </w:rPr>
        <w:t xml:space="preserve"> and those on &gt; 20</w:t>
      </w:r>
      <w:r w:rsidR="003627CD">
        <w:rPr>
          <w:rFonts w:asciiTheme="minorHAnsi" w:hAnsiTheme="minorHAnsi" w:cs="Calibri"/>
        </w:rPr>
        <w:t xml:space="preserve"> mg prednisolone</w:t>
      </w:r>
      <w:r>
        <w:rPr>
          <w:rFonts w:asciiTheme="minorHAnsi" w:hAnsiTheme="minorHAnsi" w:cs="Calibri"/>
        </w:rPr>
        <w:t xml:space="preserve">. </w:t>
      </w:r>
      <w:r w:rsidRPr="000B7835">
        <w:rPr>
          <w:rFonts w:asciiTheme="minorHAnsi" w:hAnsiTheme="minorHAnsi" w:cs="Calibri"/>
        </w:rPr>
        <w:t>Sensitivity analyses for the co-primary outcome measures and all secondary outcome measures were consistent</w:t>
      </w:r>
      <w:r>
        <w:rPr>
          <w:rFonts w:asciiTheme="minorHAnsi" w:hAnsiTheme="minorHAnsi" w:cs="Calibri"/>
        </w:rPr>
        <w:t xml:space="preserve">. </w:t>
      </w:r>
      <w:r w:rsidRPr="000B7835">
        <w:rPr>
          <w:rFonts w:asciiTheme="minorHAnsi" w:hAnsiTheme="minorHAnsi" w:cs="Calibri"/>
        </w:rPr>
        <w:t>Safety</w:t>
      </w:r>
      <w:r>
        <w:rPr>
          <w:rFonts w:asciiTheme="minorHAnsi" w:hAnsiTheme="minorHAnsi" w:cs="Calibri"/>
        </w:rPr>
        <w:t xml:space="preserve"> outcomes </w:t>
      </w:r>
      <w:r w:rsidRPr="000B7835">
        <w:rPr>
          <w:rFonts w:asciiTheme="minorHAnsi" w:hAnsiTheme="minorHAnsi" w:cs="Calibri"/>
        </w:rPr>
        <w:t xml:space="preserve">for </w:t>
      </w:r>
      <w:proofErr w:type="spellStart"/>
      <w:r w:rsidRPr="000B7835">
        <w:rPr>
          <w:rFonts w:asciiTheme="minorHAnsi" w:hAnsiTheme="minorHAnsi" w:cs="Calibri"/>
        </w:rPr>
        <w:t>mepolizumab</w:t>
      </w:r>
      <w:proofErr w:type="spellEnd"/>
      <w:r w:rsidRPr="000B7835">
        <w:rPr>
          <w:rFonts w:asciiTheme="minorHAnsi" w:hAnsiTheme="minorHAnsi" w:cs="Calibri"/>
        </w:rPr>
        <w:t xml:space="preserve"> w</w:t>
      </w:r>
      <w:r>
        <w:rPr>
          <w:rFonts w:asciiTheme="minorHAnsi" w:hAnsiTheme="minorHAnsi" w:cs="Calibri"/>
        </w:rPr>
        <w:t>ere</w:t>
      </w:r>
      <w:r w:rsidRPr="000B7835">
        <w:rPr>
          <w:rFonts w:asciiTheme="minorHAnsi" w:hAnsiTheme="minorHAnsi" w:cs="Calibri"/>
        </w:rPr>
        <w:t xml:space="preserve"> similar to placebo</w:t>
      </w:r>
      <w:r w:rsidR="005E60EB">
        <w:rPr>
          <w:rFonts w:asciiTheme="minorHAnsi" w:hAnsiTheme="minorHAnsi" w:cs="Calibri"/>
        </w:rPr>
        <w:t>.</w:t>
      </w:r>
    </w:p>
    <w:p w14:paraId="270437BA" w14:textId="120F1011" w:rsidR="00961BD1" w:rsidRDefault="00961BD1" w:rsidP="00833567">
      <w:pPr>
        <w:rPr>
          <w:rFonts w:asciiTheme="minorHAnsi" w:hAnsiTheme="minorHAnsi" w:cs="Calibri"/>
        </w:rPr>
      </w:pPr>
      <w:r>
        <w:rPr>
          <w:rFonts w:asciiTheme="minorHAnsi" w:hAnsiTheme="minorHAnsi" w:cs="Calibri"/>
        </w:rPr>
        <w:t xml:space="preserve">The favourable effects of </w:t>
      </w:r>
      <w:proofErr w:type="spellStart"/>
      <w:r>
        <w:rPr>
          <w:rFonts w:asciiTheme="minorHAnsi" w:hAnsiTheme="minorHAnsi" w:cs="Calibri"/>
        </w:rPr>
        <w:t>mepolizumab</w:t>
      </w:r>
      <w:proofErr w:type="spellEnd"/>
      <w:r>
        <w:rPr>
          <w:rFonts w:asciiTheme="minorHAnsi" w:hAnsiTheme="minorHAnsi" w:cs="Calibri"/>
        </w:rPr>
        <w:t xml:space="preserve"> in adults were outlined by the clinical evaluator in </w:t>
      </w:r>
      <w:r>
        <w:rPr>
          <w:rFonts w:asciiTheme="minorHAnsi" w:hAnsiTheme="minorHAnsi" w:cs="Calibri"/>
        </w:rPr>
        <w:fldChar w:fldCharType="begin"/>
      </w:r>
      <w:r>
        <w:rPr>
          <w:rFonts w:asciiTheme="minorHAnsi" w:hAnsiTheme="minorHAnsi" w:cs="Calibri"/>
        </w:rPr>
        <w:instrText xml:space="preserve"> REF _Ref15898660 \h </w:instrText>
      </w:r>
      <w:r>
        <w:rPr>
          <w:rFonts w:asciiTheme="minorHAnsi" w:hAnsiTheme="minorHAnsi" w:cs="Calibri"/>
        </w:rPr>
      </w:r>
      <w:r>
        <w:rPr>
          <w:rFonts w:asciiTheme="minorHAnsi" w:hAnsiTheme="minorHAnsi" w:cs="Calibri"/>
        </w:rPr>
        <w:fldChar w:fldCharType="separate"/>
      </w:r>
      <w:r w:rsidR="00126A5E">
        <w:t xml:space="preserve">Table </w:t>
      </w:r>
      <w:r w:rsidR="00126A5E">
        <w:rPr>
          <w:noProof/>
        </w:rPr>
        <w:t>15</w:t>
      </w:r>
      <w:r>
        <w:rPr>
          <w:rFonts w:asciiTheme="minorHAnsi" w:hAnsiTheme="minorHAnsi" w:cs="Calibri"/>
        </w:rPr>
        <w:fldChar w:fldCharType="end"/>
      </w:r>
      <w:r w:rsidR="003627CD">
        <w:rPr>
          <w:rFonts w:asciiTheme="minorHAnsi" w:hAnsiTheme="minorHAnsi" w:cs="Calibri"/>
        </w:rPr>
        <w:t>,</w:t>
      </w:r>
      <w:r>
        <w:rPr>
          <w:rFonts w:asciiTheme="minorHAnsi" w:hAnsiTheme="minorHAnsi" w:cs="Calibri"/>
        </w:rPr>
        <w:t xml:space="preserve"> and the unfavourable</w:t>
      </w:r>
      <w:r w:rsidR="000E2A2B">
        <w:rPr>
          <w:rFonts w:asciiTheme="minorHAnsi" w:hAnsiTheme="minorHAnsi" w:cs="Calibri"/>
        </w:rPr>
        <w:t xml:space="preserve"> effects</w:t>
      </w:r>
      <w:r>
        <w:rPr>
          <w:rFonts w:asciiTheme="minorHAnsi" w:hAnsiTheme="minorHAnsi" w:cs="Calibri"/>
        </w:rPr>
        <w:t xml:space="preserve"> in </w:t>
      </w:r>
      <w:r>
        <w:rPr>
          <w:rFonts w:asciiTheme="minorHAnsi" w:hAnsiTheme="minorHAnsi" w:cs="Calibri"/>
        </w:rPr>
        <w:fldChar w:fldCharType="begin"/>
      </w:r>
      <w:r>
        <w:rPr>
          <w:rFonts w:asciiTheme="minorHAnsi" w:hAnsiTheme="minorHAnsi" w:cs="Calibri"/>
        </w:rPr>
        <w:instrText xml:space="preserve"> REF _Ref15898678 \h </w:instrText>
      </w:r>
      <w:r>
        <w:rPr>
          <w:rFonts w:asciiTheme="minorHAnsi" w:hAnsiTheme="minorHAnsi" w:cs="Calibri"/>
        </w:rPr>
      </w:r>
      <w:r>
        <w:rPr>
          <w:rFonts w:asciiTheme="minorHAnsi" w:hAnsiTheme="minorHAnsi" w:cs="Calibri"/>
        </w:rPr>
        <w:fldChar w:fldCharType="separate"/>
      </w:r>
      <w:r w:rsidR="00126A5E">
        <w:t xml:space="preserve">Table </w:t>
      </w:r>
      <w:r w:rsidR="00126A5E">
        <w:rPr>
          <w:noProof/>
        </w:rPr>
        <w:t>16</w:t>
      </w:r>
      <w:r>
        <w:rPr>
          <w:rFonts w:asciiTheme="minorHAnsi" w:hAnsiTheme="minorHAnsi" w:cs="Calibri"/>
        </w:rPr>
        <w:fldChar w:fldCharType="end"/>
      </w:r>
      <w:r>
        <w:rPr>
          <w:rFonts w:asciiTheme="minorHAnsi" w:hAnsiTheme="minorHAnsi" w:cs="Calibri"/>
        </w:rPr>
        <w:t>, above.</w:t>
      </w:r>
    </w:p>
    <w:p w14:paraId="67DAACEA" w14:textId="77777777" w:rsidR="003627CD" w:rsidRDefault="003627CD" w:rsidP="003627CD">
      <w:pPr>
        <w:pStyle w:val="FigureTitle"/>
      </w:pPr>
      <w:r>
        <w:lastRenderedPageBreak/>
        <w:t xml:space="preserve">Figure </w:t>
      </w:r>
      <w:r w:rsidR="00C33647">
        <w:rPr>
          <w:noProof/>
        </w:rPr>
        <w:fldChar w:fldCharType="begin"/>
      </w:r>
      <w:r w:rsidR="00C33647">
        <w:rPr>
          <w:noProof/>
        </w:rPr>
        <w:instrText xml:space="preserve"> SEQ Figure \* ARABIC </w:instrText>
      </w:r>
      <w:r w:rsidR="00C33647">
        <w:rPr>
          <w:noProof/>
        </w:rPr>
        <w:fldChar w:fldCharType="separate"/>
      </w:r>
      <w:r w:rsidR="001B4E8B">
        <w:rPr>
          <w:noProof/>
        </w:rPr>
        <w:t>4</w:t>
      </w:r>
      <w:r w:rsidR="00C33647">
        <w:rPr>
          <w:noProof/>
        </w:rPr>
        <w:fldChar w:fldCharType="end"/>
      </w:r>
      <w:r>
        <w:t>: Analysis of accrued duration of remis</w:t>
      </w:r>
      <w:r w:rsidR="002E4BF6">
        <w:t>sion (BVAS = 0 and OCS dose ≤ 4 </w:t>
      </w:r>
      <w:r>
        <w:t>mg/day: odds ratios, by subgroup (Study MEA115921, intention to treat population)</w:t>
      </w:r>
    </w:p>
    <w:p w14:paraId="4B287EC0" w14:textId="77777777" w:rsidR="00961BD1" w:rsidRDefault="003627CD" w:rsidP="00833567">
      <w:pPr>
        <w:rPr>
          <w:rFonts w:asciiTheme="minorHAnsi" w:hAnsiTheme="minorHAnsi" w:cs="Calibri"/>
        </w:rPr>
      </w:pPr>
      <w:r>
        <w:rPr>
          <w:noProof/>
          <w:lang w:eastAsia="en-AU"/>
        </w:rPr>
        <w:drawing>
          <wp:inline distT="0" distB="0" distL="0" distR="0" wp14:anchorId="02E6709F" wp14:editId="5D7B2CAC">
            <wp:extent cx="4140403" cy="4622565"/>
            <wp:effectExtent l="0" t="0" r="0" b="6985"/>
            <wp:docPr id="29" name="Picture 29" descr="Analysis of accrued duration of remission (BVAS = 0 and OCS dose ≤ 4 mg/day: odds ratios, by subgroup (Study MEA115921,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141494" cy="4623783"/>
                    </a:xfrm>
                    <a:prstGeom prst="rect">
                      <a:avLst/>
                    </a:prstGeom>
                  </pic:spPr>
                </pic:pic>
              </a:graphicData>
            </a:graphic>
          </wp:inline>
        </w:drawing>
      </w:r>
    </w:p>
    <w:p w14:paraId="6B935B3F" w14:textId="4AF4826A" w:rsidR="003627CD" w:rsidRDefault="003627CD" w:rsidP="003627CD">
      <w:pPr>
        <w:pStyle w:val="TableTitle"/>
      </w:pPr>
      <w:r>
        <w:t xml:space="preserve">Table </w:t>
      </w:r>
      <w:r w:rsidR="00C33647">
        <w:rPr>
          <w:noProof/>
        </w:rPr>
        <w:fldChar w:fldCharType="begin"/>
      </w:r>
      <w:r w:rsidR="00C33647">
        <w:rPr>
          <w:noProof/>
        </w:rPr>
        <w:instrText xml:space="preserve"> SEQ Table \* ARABIC </w:instrText>
      </w:r>
      <w:r w:rsidR="00C33647">
        <w:rPr>
          <w:noProof/>
        </w:rPr>
        <w:fldChar w:fldCharType="separate"/>
      </w:r>
      <w:r w:rsidR="00126A5E">
        <w:rPr>
          <w:noProof/>
        </w:rPr>
        <w:t>23</w:t>
      </w:r>
      <w:r w:rsidR="00C33647">
        <w:rPr>
          <w:noProof/>
        </w:rPr>
        <w:fldChar w:fldCharType="end"/>
      </w:r>
      <w:r>
        <w:t xml:space="preserve">: Relationship between OCS dose and eosinophil count </w:t>
      </w:r>
      <w:r w:rsidR="00126A5E">
        <w:t xml:space="preserve">at </w:t>
      </w:r>
      <w:r w:rsidR="00C86C73">
        <w:t>b</w:t>
      </w:r>
      <w:r w:rsidR="00126A5E">
        <w:t>aseline</w:t>
      </w:r>
    </w:p>
    <w:p w14:paraId="0F207561" w14:textId="77777777" w:rsidR="00961BD1" w:rsidRDefault="003627CD" w:rsidP="00961BD1">
      <w:pPr>
        <w:spacing w:before="0" w:after="0"/>
        <w:rPr>
          <w:rFonts w:ascii="Calibri" w:hAnsi="Calibri" w:cs="Calibri"/>
          <w:color w:val="FFFFFF"/>
          <w:sz w:val="18"/>
          <w:szCs w:val="18"/>
        </w:rPr>
      </w:pPr>
      <w:r>
        <w:rPr>
          <w:noProof/>
          <w:lang w:eastAsia="en-AU"/>
        </w:rPr>
        <w:drawing>
          <wp:inline distT="0" distB="0" distL="0" distR="0" wp14:anchorId="596DA311" wp14:editId="5E15B930">
            <wp:extent cx="4914199" cy="1793473"/>
            <wp:effectExtent l="0" t="0" r="1270" b="0"/>
            <wp:docPr id="30" name="Picture 30" descr="Relationship between OCS dose and eosinophil count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918539" cy="1795057"/>
                    </a:xfrm>
                    <a:prstGeom prst="rect">
                      <a:avLst/>
                    </a:prstGeom>
                  </pic:spPr>
                </pic:pic>
              </a:graphicData>
            </a:graphic>
          </wp:inline>
        </w:drawing>
      </w:r>
    </w:p>
    <w:p w14:paraId="6B43B685" w14:textId="77777777" w:rsidR="003627CD" w:rsidRDefault="003627CD" w:rsidP="003627CD">
      <w:pPr>
        <w:pStyle w:val="TableDescription"/>
      </w:pPr>
      <w:r>
        <w:t>BEC = baseline eosinophil count, OCS = oral corticosteroids</w:t>
      </w:r>
    </w:p>
    <w:p w14:paraId="1FBDF392" w14:textId="77777777" w:rsidR="00833567" w:rsidRPr="00961BD1" w:rsidRDefault="003627CD" w:rsidP="003627CD">
      <w:r>
        <w:t>T</w:t>
      </w:r>
      <w:r w:rsidR="00961BD1">
        <w:t xml:space="preserve">he pattern of the proportion of patients in remission over time is consistent with a </w:t>
      </w:r>
      <w:proofErr w:type="spellStart"/>
      <w:r w:rsidR="00961BD1">
        <w:t>mepolizumab</w:t>
      </w:r>
      <w:proofErr w:type="spellEnd"/>
      <w:r w:rsidR="00961BD1">
        <w:t xml:space="preserve"> treatment effect that may take some time to develop but declines rapidly with treatment cessation. The time to treatment effect is confounded by the need to slowly wean </w:t>
      </w:r>
      <w:r>
        <w:t>OCS</w:t>
      </w:r>
      <w:r w:rsidR="00961BD1">
        <w:t>. It is noted that only 20 patients were i</w:t>
      </w:r>
      <w:r>
        <w:t>n uninterrupted remission from Week 24 to W</w:t>
      </w:r>
      <w:r w:rsidR="00961BD1">
        <w:t xml:space="preserve">eek 52 is of interest. It suggests a variable treatment effect with </w:t>
      </w:r>
      <w:proofErr w:type="spellStart"/>
      <w:r w:rsidR="00961BD1">
        <w:t>mepolizumab</w:t>
      </w:r>
      <w:proofErr w:type="spellEnd"/>
      <w:r w:rsidR="00961BD1">
        <w:t xml:space="preserve"> ranging from no effect in 32 patients (47%), to some effect but with relapses in 17 patients (25%) and to prolonged remission in 19 patients (28%).</w:t>
      </w:r>
    </w:p>
    <w:p w14:paraId="5535E734" w14:textId="77777777" w:rsidR="00833567" w:rsidRDefault="003E741D" w:rsidP="003E741D">
      <w:pPr>
        <w:pStyle w:val="Heading5"/>
      </w:pPr>
      <w:r>
        <w:lastRenderedPageBreak/>
        <w:t>Additional safety data</w:t>
      </w:r>
    </w:p>
    <w:p w14:paraId="0FF39474" w14:textId="13C66B44" w:rsidR="00833567" w:rsidRPr="007F074C" w:rsidRDefault="00833567" w:rsidP="003E741D">
      <w:r>
        <w:t>Safety was assessed from the</w:t>
      </w:r>
      <w:r w:rsidR="000E2A2B">
        <w:t xml:space="preserve"> randomised control trial</w:t>
      </w:r>
      <w:r>
        <w:t xml:space="preserve"> </w:t>
      </w:r>
      <w:r w:rsidR="000E2A2B">
        <w:t>(</w:t>
      </w:r>
      <w:r>
        <w:t>RCT</w:t>
      </w:r>
      <w:r w:rsidR="000E2A2B">
        <w:t>), the</w:t>
      </w:r>
      <w:r>
        <w:t xml:space="preserve"> open labelled continuation </w:t>
      </w:r>
      <w:r w:rsidR="003D20A6">
        <w:t>S</w:t>
      </w:r>
      <w:r>
        <w:t xml:space="preserve">tudy MEA115921, 120 day safety update report, and use of </w:t>
      </w:r>
      <w:proofErr w:type="spellStart"/>
      <w:r>
        <w:t>mepolizumab</w:t>
      </w:r>
      <w:proofErr w:type="spellEnd"/>
      <w:r>
        <w:t xml:space="preserve"> in other indications. According to the Summary of Clinical Safety (SCS</w:t>
      </w:r>
      <w:r w:rsidRPr="00D84518">
        <w:t>),</w:t>
      </w:r>
      <w:r w:rsidR="00126A5E">
        <w:t>’</w:t>
      </w:r>
      <w:r w:rsidRPr="00D84518">
        <w:t xml:space="preserve">A total of 2522 subjects have received at least one dose of </w:t>
      </w:r>
      <w:proofErr w:type="spellStart"/>
      <w:r w:rsidRPr="00D84518">
        <w:t>mepolizumab</w:t>
      </w:r>
      <w:proofErr w:type="spellEnd"/>
      <w:r w:rsidRPr="00D84518">
        <w:t xml:space="preserve"> across 26 studies in EGPA, asthma (including severe asthma), HES, eosinophilic esophagitis, atopic dermatitis, nasal polyposis and healthy volunteers</w:t>
      </w:r>
      <w:r w:rsidR="00126A5E">
        <w:t>’</w:t>
      </w:r>
      <w:r w:rsidRPr="00D84518">
        <w:t xml:space="preserve"> </w:t>
      </w:r>
      <w:r>
        <w:t>i</w:t>
      </w:r>
      <w:r w:rsidR="00D84518">
        <w:t>n GlaxoSmithKline</w:t>
      </w:r>
      <w:r w:rsidR="00D84518">
        <w:noBreakHyphen/>
      </w:r>
      <w:r w:rsidRPr="00467CB6">
        <w:t>sponsored clinical trials</w:t>
      </w:r>
      <w:r w:rsidR="003D20A6">
        <w:t>.</w:t>
      </w:r>
    </w:p>
    <w:p w14:paraId="0E92E276" w14:textId="08FF6155" w:rsidR="00833567" w:rsidRDefault="00833567" w:rsidP="003E741D">
      <w:pPr>
        <w:rPr>
          <w:rFonts w:asciiTheme="minorHAnsi" w:eastAsiaTheme="minorHAnsi" w:hAnsiTheme="minorHAnsi" w:cs="ArialNarrow,Bold"/>
          <w:bCs/>
        </w:rPr>
      </w:pPr>
      <w:r>
        <w:t>Participants in these studies received a range of doses</w:t>
      </w:r>
      <w:r w:rsidR="003D20A6">
        <w:t xml:space="preserve"> (</w:t>
      </w:r>
      <w:r>
        <w:t>from 12.5</w:t>
      </w:r>
      <w:r w:rsidR="003D20A6">
        <w:t xml:space="preserve"> </w:t>
      </w:r>
      <w:r>
        <w:t>mg to 1500</w:t>
      </w:r>
      <w:r w:rsidR="003D20A6">
        <w:t xml:space="preserve"> </w:t>
      </w:r>
      <w:r>
        <w:t>mg</w:t>
      </w:r>
      <w:r w:rsidR="003D20A6">
        <w:t>)</w:t>
      </w:r>
      <w:r>
        <w:t xml:space="preserve"> usually administered monthly. Doses ranging from 75mg IV to 750mg IV were investigated in asthma. </w:t>
      </w:r>
      <w:r>
        <w:rPr>
          <w:rFonts w:asciiTheme="minorHAnsi" w:eastAsiaTheme="minorHAnsi" w:hAnsiTheme="minorHAnsi" w:cs="ArialNarrow,Bold"/>
          <w:bCs/>
        </w:rPr>
        <w:t>Participants in most of the 26 studies were treated for &lt; 12 months (2233/2522, 89%). The dose for which the longest duration of treatment has been reported is 750mg IV monthly</w:t>
      </w:r>
      <w:r w:rsidR="003D20A6">
        <w:rPr>
          <w:rFonts w:asciiTheme="minorHAnsi" w:eastAsiaTheme="minorHAnsi" w:hAnsiTheme="minorHAnsi" w:cs="ArialNarrow,Bold"/>
          <w:bCs/>
        </w:rPr>
        <w:t xml:space="preserve">; </w:t>
      </w:r>
      <w:r>
        <w:rPr>
          <w:rFonts w:asciiTheme="minorHAnsi" w:eastAsiaTheme="minorHAnsi" w:hAnsiTheme="minorHAnsi" w:cs="ArialNarrow,Bold"/>
          <w:bCs/>
        </w:rPr>
        <w:t>122 subjects have received this dose for 60 months or longer. No patients with EGPA have been treated for more than 36 months.</w:t>
      </w:r>
    </w:p>
    <w:p w14:paraId="340684D0" w14:textId="77777777" w:rsidR="00833567" w:rsidRDefault="00833567" w:rsidP="003E741D">
      <w:pPr>
        <w:rPr>
          <w:rFonts w:asciiTheme="minorHAnsi" w:eastAsiaTheme="minorHAnsi" w:hAnsiTheme="minorHAnsi" w:cs="ArialNarrow,Bold"/>
          <w:bCs/>
        </w:rPr>
      </w:pPr>
      <w:r>
        <w:rPr>
          <w:rFonts w:asciiTheme="minorHAnsi" w:eastAsiaTheme="minorHAnsi" w:hAnsiTheme="minorHAnsi" w:cs="ArialNarrow,Bold"/>
          <w:bCs/>
        </w:rPr>
        <w:t xml:space="preserve">The most common AEs associated with the use of </w:t>
      </w:r>
      <w:proofErr w:type="spellStart"/>
      <w:r>
        <w:rPr>
          <w:rFonts w:asciiTheme="minorHAnsi" w:eastAsiaTheme="minorHAnsi" w:hAnsiTheme="minorHAnsi" w:cs="ArialNarrow,Bold"/>
          <w:bCs/>
        </w:rPr>
        <w:t>mepolizumab</w:t>
      </w:r>
      <w:proofErr w:type="spellEnd"/>
      <w:r>
        <w:rPr>
          <w:rFonts w:asciiTheme="minorHAnsi" w:eastAsiaTheme="minorHAnsi" w:hAnsiTheme="minorHAnsi" w:cs="ArialNarrow,Bold"/>
          <w:bCs/>
        </w:rPr>
        <w:t xml:space="preserve"> include headache, sinusitis, URTI, diarrhoea, vomiting, oropharyngeal pain, or neck pain.</w:t>
      </w:r>
    </w:p>
    <w:p w14:paraId="7921DF06" w14:textId="220F3D3A" w:rsidR="00833567" w:rsidRDefault="003D20A6" w:rsidP="003E741D">
      <w:pPr>
        <w:rPr>
          <w:rFonts w:asciiTheme="minorHAnsi" w:eastAsiaTheme="minorHAnsi" w:hAnsiTheme="minorHAnsi" w:cs="ArialNarrow,Bold"/>
          <w:bCs/>
        </w:rPr>
      </w:pPr>
      <w:r>
        <w:rPr>
          <w:rFonts w:asciiTheme="minorHAnsi" w:eastAsiaTheme="minorHAnsi" w:hAnsiTheme="minorHAnsi" w:cs="ArialNarrow,Bold"/>
          <w:bCs/>
        </w:rPr>
        <w:t>The e</w:t>
      </w:r>
      <w:r w:rsidR="00833567">
        <w:rPr>
          <w:rFonts w:asciiTheme="minorHAnsi" w:eastAsiaTheme="minorHAnsi" w:hAnsiTheme="minorHAnsi" w:cs="ArialNarrow,Bold"/>
          <w:bCs/>
        </w:rPr>
        <w:t>ffects of long term use unknown.</w:t>
      </w:r>
    </w:p>
    <w:p w14:paraId="2375E39D" w14:textId="488BCBCA" w:rsidR="00624472" w:rsidRDefault="003D20A6" w:rsidP="003E741D">
      <w:pPr>
        <w:rPr>
          <w:rFonts w:asciiTheme="minorHAnsi" w:eastAsiaTheme="minorHAnsi" w:hAnsiTheme="minorHAnsi" w:cs="ArialNarrow,Bold"/>
          <w:bCs/>
        </w:rPr>
      </w:pPr>
      <w:r>
        <w:rPr>
          <w:rFonts w:asciiTheme="minorHAnsi" w:eastAsiaTheme="minorHAnsi" w:hAnsiTheme="minorHAnsi" w:cs="ArialNarrow,Bold"/>
          <w:bCs/>
        </w:rPr>
        <w:t>There is p</w:t>
      </w:r>
      <w:r w:rsidR="00833567">
        <w:rPr>
          <w:rFonts w:asciiTheme="minorHAnsi" w:eastAsiaTheme="minorHAnsi" w:hAnsiTheme="minorHAnsi" w:cs="ArialNarrow,Bold"/>
          <w:bCs/>
        </w:rPr>
        <w:t>otential for rebound increase in eosinophils and exacerbations</w:t>
      </w:r>
      <w:r w:rsidR="00624472">
        <w:rPr>
          <w:rFonts w:asciiTheme="minorHAnsi" w:eastAsiaTheme="minorHAnsi" w:hAnsiTheme="minorHAnsi" w:cs="ArialNarrow,Bold"/>
          <w:bCs/>
        </w:rPr>
        <w:t>.</w:t>
      </w:r>
    </w:p>
    <w:p w14:paraId="7CA9D061" w14:textId="77777777" w:rsidR="00624472" w:rsidRPr="003E741D" w:rsidRDefault="00833567" w:rsidP="003E741D">
      <w:r w:rsidRPr="003E741D">
        <w:t xml:space="preserve">At the second round evaluation, the clinical evaluator recommended approval of the use of </w:t>
      </w:r>
      <w:proofErr w:type="spellStart"/>
      <w:r w:rsidRPr="003E741D">
        <w:t>mepolizumab</w:t>
      </w:r>
      <w:proofErr w:type="spellEnd"/>
      <w:r w:rsidRPr="003E741D">
        <w:t xml:space="preserve"> for adults with EGPA, and also recommended a number of changes to the PI</w:t>
      </w:r>
      <w:r w:rsidR="00624472" w:rsidRPr="003E741D">
        <w:t>.</w:t>
      </w:r>
    </w:p>
    <w:p w14:paraId="19AC0AFB" w14:textId="77777777" w:rsidR="00833567" w:rsidRPr="003E741D" w:rsidRDefault="00833567" w:rsidP="003E741D">
      <w:r w:rsidRPr="003E741D">
        <w:t xml:space="preserve">The sponsor agreed to change the subheadings to severe refractory eosinophilic asthma and relapsed/refractory eosinophilic granulomatosis with </w:t>
      </w:r>
      <w:proofErr w:type="spellStart"/>
      <w:r w:rsidRPr="003E741D">
        <w:t>polyangiitis</w:t>
      </w:r>
      <w:proofErr w:type="spellEnd"/>
      <w:r w:rsidRPr="003E741D">
        <w:t>.</w:t>
      </w:r>
    </w:p>
    <w:p w14:paraId="782E0ED4" w14:textId="77777777" w:rsidR="003E741D" w:rsidRDefault="00833567" w:rsidP="003E741D">
      <w:r w:rsidRPr="003E741D">
        <w:t>The evaluator recommende</w:t>
      </w:r>
      <w:r w:rsidR="003E741D">
        <w:t>d the indication be reworded to:</w:t>
      </w:r>
    </w:p>
    <w:p w14:paraId="19FBDE71" w14:textId="54B206B3" w:rsidR="00833567" w:rsidRPr="003E741D" w:rsidRDefault="00833567" w:rsidP="003E741D">
      <w:pPr>
        <w:ind w:left="720"/>
        <w:rPr>
          <w:i/>
        </w:rPr>
      </w:pPr>
      <w:proofErr w:type="spellStart"/>
      <w:r w:rsidRPr="003E741D">
        <w:rPr>
          <w:i/>
        </w:rPr>
        <w:t>Nucala</w:t>
      </w:r>
      <w:proofErr w:type="spellEnd"/>
      <w:r w:rsidRPr="003E741D">
        <w:rPr>
          <w:i/>
        </w:rPr>
        <w:t xml:space="preserve"> is indicated as an add-on treatment for adults with relapsing or refractory Eosinophilic Granulomatosis with </w:t>
      </w:r>
      <w:proofErr w:type="spellStart"/>
      <w:r w:rsidRPr="003E741D">
        <w:rPr>
          <w:i/>
        </w:rPr>
        <w:t>Polyangiitis</w:t>
      </w:r>
      <w:proofErr w:type="spellEnd"/>
      <w:r w:rsidRPr="003E741D">
        <w:rPr>
          <w:i/>
        </w:rPr>
        <w:t xml:space="preserve"> (EGPA) with a blood eosinophil count ≥ 150 cells/</w:t>
      </w:r>
      <w:proofErr w:type="spellStart"/>
      <w:r w:rsidRPr="003E741D">
        <w:rPr>
          <w:i/>
        </w:rPr>
        <w:t>μL</w:t>
      </w:r>
      <w:proofErr w:type="spellEnd"/>
      <w:r w:rsidRPr="003E741D">
        <w:rPr>
          <w:i/>
        </w:rPr>
        <w:t xml:space="preserve"> at initiation of treatment (</w:t>
      </w:r>
      <w:r w:rsidR="003D20A6" w:rsidRPr="003E741D">
        <w:rPr>
          <w:i/>
        </w:rPr>
        <w:t>Clinical Trials</w:t>
      </w:r>
      <w:r w:rsidRPr="003E741D">
        <w:rPr>
          <w:i/>
        </w:rPr>
        <w:t>)</w:t>
      </w:r>
      <w:r w:rsidR="003E741D" w:rsidRPr="003E741D">
        <w:rPr>
          <w:i/>
        </w:rPr>
        <w:t>.</w:t>
      </w:r>
    </w:p>
    <w:p w14:paraId="6E915F9A" w14:textId="77777777" w:rsidR="003E741D" w:rsidRDefault="00833567" w:rsidP="003E741D">
      <w:pPr>
        <w:rPr>
          <w:rFonts w:eastAsia="TimesNewRoman,Italic" w:cs="TimesNewRoman,Italic"/>
          <w:iCs/>
        </w:rPr>
      </w:pPr>
      <w:r w:rsidRPr="003E741D">
        <w:rPr>
          <w:rFonts w:eastAsia="TimesNewRoman,Italic" w:cs="TimesNewRoman,Italic"/>
          <w:iCs/>
        </w:rPr>
        <w:t>The sponsor has not agreed to specifying the eosinophil count in the indication, on the basis that it would not be representative of the patient population who obtained benefit in the clinical trial. The sponsor has agreed to the following sentence in the clinical trials section.</w:t>
      </w:r>
    </w:p>
    <w:p w14:paraId="5A0D8CE2" w14:textId="3ABC025E" w:rsidR="00833567" w:rsidRPr="003E741D" w:rsidRDefault="00126A5E" w:rsidP="003E741D">
      <w:pPr>
        <w:ind w:left="720"/>
        <w:rPr>
          <w:rFonts w:eastAsia="TimesNewRoman,Italic" w:cs="TimesNewRoman,Italic"/>
          <w:iCs/>
        </w:rPr>
      </w:pPr>
      <w:r>
        <w:rPr>
          <w:rFonts w:eastAsia="TimesNewRoman,Italic" w:cs="TimesNewRoman,Italic"/>
          <w:iCs/>
        </w:rPr>
        <w:t>‘</w:t>
      </w:r>
      <w:r w:rsidR="00833567" w:rsidRPr="003E741D">
        <w:rPr>
          <w:rFonts w:eastAsia="TimesNewRoman,Italic" w:cs="TimesNewRoman,Italic"/>
          <w:iCs/>
        </w:rPr>
        <w:t xml:space="preserve">There was a greater accrued time in remission in the </w:t>
      </w:r>
      <w:proofErr w:type="spellStart"/>
      <w:r w:rsidR="00833567" w:rsidRPr="003E741D">
        <w:rPr>
          <w:rFonts w:eastAsia="TimesNewRoman,Italic" w:cs="TimesNewRoman,Italic"/>
          <w:iCs/>
        </w:rPr>
        <w:t>mepolizumab</w:t>
      </w:r>
      <w:proofErr w:type="spellEnd"/>
      <w:r w:rsidR="00833567" w:rsidRPr="003E741D">
        <w:rPr>
          <w:rFonts w:eastAsia="TimesNewRoman,Italic" w:cs="TimesNewRoman,Italic"/>
          <w:iCs/>
        </w:rPr>
        <w:t xml:space="preserve"> group compared with placebo, in subjects with a baseline blood eosinop</w:t>
      </w:r>
      <w:r w:rsidR="003E741D" w:rsidRPr="003E741D">
        <w:rPr>
          <w:rFonts w:eastAsia="TimesNewRoman,Italic" w:cs="TimesNewRoman,Italic"/>
          <w:iCs/>
        </w:rPr>
        <w:t>hil count (BEC) ≥</w:t>
      </w:r>
      <w:r w:rsidR="003E741D">
        <w:rPr>
          <w:rFonts w:eastAsia="TimesNewRoman,Italic" w:cs="TimesNewRoman,Italic"/>
          <w:iCs/>
        </w:rPr>
        <w:t> </w:t>
      </w:r>
      <w:r w:rsidR="003E741D" w:rsidRPr="003E741D">
        <w:rPr>
          <w:rFonts w:eastAsia="TimesNewRoman,Italic" w:cs="TimesNewRoman,Italic"/>
          <w:iCs/>
        </w:rPr>
        <w:t>150 cells/</w:t>
      </w:r>
      <w:r w:rsidR="003D20A6">
        <w:rPr>
          <w:rFonts w:eastAsia="TimesNewRoman,Italic" w:cs="TimesNewRoman,Italic"/>
          <w:iCs/>
        </w:rPr>
        <w:t>µ</w:t>
      </w:r>
      <w:r w:rsidR="003E741D" w:rsidRPr="003E741D">
        <w:rPr>
          <w:rFonts w:eastAsia="TimesNewRoman,Italic" w:cs="TimesNewRoman,Italic"/>
          <w:iCs/>
        </w:rPr>
        <w:t>L.</w:t>
      </w:r>
      <w:r>
        <w:rPr>
          <w:rFonts w:eastAsia="TimesNewRoman,Italic" w:cs="TimesNewRoman,Italic"/>
          <w:iCs/>
        </w:rPr>
        <w:t>’</w:t>
      </w:r>
    </w:p>
    <w:p w14:paraId="54E29058" w14:textId="77777777" w:rsidR="00833567" w:rsidRPr="003E741D" w:rsidRDefault="00833567" w:rsidP="003E741D">
      <w:pPr>
        <w:rPr>
          <w:rFonts w:eastAsia="TimesNewRoman,Italic" w:cs="TimesNewRoman,Italic"/>
          <w:iCs/>
        </w:rPr>
      </w:pPr>
      <w:r w:rsidRPr="003E741D">
        <w:rPr>
          <w:rFonts w:eastAsia="TimesNewRoman,Italic" w:cs="TimesNewRoman,Italic"/>
          <w:iCs/>
        </w:rPr>
        <w:t xml:space="preserve">The evaluator recommended a statement of warning around risk of increase in disease activity following withdrawal of </w:t>
      </w:r>
      <w:proofErr w:type="spellStart"/>
      <w:r w:rsidRPr="003E741D">
        <w:rPr>
          <w:rFonts w:eastAsia="TimesNewRoman,Italic" w:cs="TimesNewRoman,Italic"/>
          <w:iCs/>
        </w:rPr>
        <w:t>mepolizumab</w:t>
      </w:r>
      <w:proofErr w:type="spellEnd"/>
      <w:r w:rsidRPr="003E741D">
        <w:rPr>
          <w:rFonts w:eastAsia="TimesNewRoman,Italic" w:cs="TimesNewRoman,Italic"/>
          <w:iCs/>
        </w:rPr>
        <w:t xml:space="preserve">. The sponsor acknowledged that </w:t>
      </w:r>
      <w:proofErr w:type="spellStart"/>
      <w:r w:rsidRPr="003E741D">
        <w:rPr>
          <w:rFonts w:eastAsia="TimesNewRoman,Italic" w:cs="TimesNewRoman,Italic"/>
          <w:iCs/>
        </w:rPr>
        <w:t>mepolizumab</w:t>
      </w:r>
      <w:proofErr w:type="spellEnd"/>
      <w:r w:rsidRPr="003E741D">
        <w:rPr>
          <w:rFonts w:eastAsia="TimesNewRoman,Italic" w:cs="TimesNewRoman,Italic"/>
          <w:iCs/>
        </w:rPr>
        <w:t xml:space="preserve"> was not a disease modifying agent, and that patients may require an increase in treatment with other immunosuppressive if treatment with </w:t>
      </w:r>
      <w:proofErr w:type="spellStart"/>
      <w:r w:rsidRPr="003E741D">
        <w:rPr>
          <w:rFonts w:eastAsia="TimesNewRoman,Italic" w:cs="TimesNewRoman,Italic"/>
          <w:iCs/>
        </w:rPr>
        <w:t>mepolizumab</w:t>
      </w:r>
      <w:proofErr w:type="spellEnd"/>
      <w:r w:rsidRPr="003E741D">
        <w:rPr>
          <w:rFonts w:eastAsia="TimesNewRoman,Italic" w:cs="TimesNewRoman,Italic"/>
          <w:iCs/>
        </w:rPr>
        <w:t xml:space="preserve"> was ceased. The sponsor proposed the following addition to the precautions section.</w:t>
      </w:r>
    </w:p>
    <w:p w14:paraId="12C85C6F" w14:textId="0747F7F0" w:rsidR="00833567" w:rsidRPr="003E741D" w:rsidRDefault="003D20A6" w:rsidP="00BB389D">
      <w:pPr>
        <w:ind w:left="720"/>
        <w:rPr>
          <w:rFonts w:eastAsia="TimesNewRoman,Italic" w:cs="TimesNewRoman,Italic"/>
          <w:i/>
          <w:iCs/>
        </w:rPr>
      </w:pPr>
      <w:r>
        <w:rPr>
          <w:rFonts w:eastAsia="TimesNewRoman,Italic" w:cs="TimesNewRoman,Italic"/>
          <w:i/>
          <w:iCs/>
        </w:rPr>
        <w:t>‘</w:t>
      </w:r>
      <w:r w:rsidR="00833567" w:rsidRPr="003E741D">
        <w:rPr>
          <w:rFonts w:eastAsia="TimesNewRoman,Italic" w:cs="TimesNewRoman,Italic"/>
          <w:i/>
          <w:iCs/>
        </w:rPr>
        <w:t xml:space="preserve">EGPA: Cessation of </w:t>
      </w:r>
      <w:proofErr w:type="spellStart"/>
      <w:r w:rsidR="00B30701" w:rsidRPr="003E741D">
        <w:rPr>
          <w:rFonts w:eastAsia="TimesNewRoman,Italic" w:cs="TimesNewRoman,Italic"/>
          <w:i/>
          <w:iCs/>
        </w:rPr>
        <w:t>Nucala</w:t>
      </w:r>
      <w:proofErr w:type="spellEnd"/>
    </w:p>
    <w:p w14:paraId="2B8EC759" w14:textId="754C6F51" w:rsidR="00456765" w:rsidRPr="003E741D" w:rsidRDefault="00B30701" w:rsidP="00BB389D">
      <w:pPr>
        <w:ind w:left="720"/>
        <w:rPr>
          <w:rFonts w:eastAsia="TimesNewRoman,Italic" w:cs="TimesNewRoman,Italic"/>
          <w:i/>
          <w:iCs/>
        </w:rPr>
      </w:pPr>
      <w:proofErr w:type="spellStart"/>
      <w:r w:rsidRPr="003E741D">
        <w:rPr>
          <w:rFonts w:eastAsia="TimesNewRoman,Italic" w:cs="TimesNewRoman,Italic"/>
          <w:i/>
          <w:iCs/>
        </w:rPr>
        <w:t>Nucala</w:t>
      </w:r>
      <w:proofErr w:type="spellEnd"/>
      <w:r w:rsidR="00833567" w:rsidRPr="003E741D">
        <w:rPr>
          <w:rFonts w:eastAsia="TimesNewRoman,Italic" w:cs="TimesNewRoman,Italic"/>
          <w:i/>
          <w:iCs/>
        </w:rPr>
        <w:t xml:space="preserve"> treated patients may experience a return of </w:t>
      </w:r>
      <w:r w:rsidR="003E741D">
        <w:rPr>
          <w:rFonts w:eastAsia="TimesNewRoman,Italic" w:cs="TimesNewRoman,Italic"/>
          <w:i/>
          <w:iCs/>
        </w:rPr>
        <w:t xml:space="preserve">EGPA symptoms upon cessation of </w:t>
      </w:r>
      <w:proofErr w:type="spellStart"/>
      <w:r w:rsidRPr="003E741D">
        <w:rPr>
          <w:rFonts w:eastAsia="TimesNewRoman,Italic" w:cs="TimesNewRoman,Italic"/>
          <w:i/>
          <w:iCs/>
        </w:rPr>
        <w:t>Nucala</w:t>
      </w:r>
      <w:proofErr w:type="spellEnd"/>
      <w:r w:rsidR="00833567" w:rsidRPr="003E741D">
        <w:rPr>
          <w:rFonts w:eastAsia="TimesNewRoman,Italic" w:cs="TimesNewRoman,Italic"/>
          <w:i/>
          <w:iCs/>
        </w:rPr>
        <w:t>. As patients may decrease their other EGPA t</w:t>
      </w:r>
      <w:r w:rsidR="003E741D">
        <w:rPr>
          <w:rFonts w:eastAsia="TimesNewRoman,Italic" w:cs="TimesNewRoman,Italic"/>
          <w:i/>
          <w:iCs/>
        </w:rPr>
        <w:t xml:space="preserve">reatments during treatment with </w:t>
      </w:r>
      <w:proofErr w:type="spellStart"/>
      <w:r w:rsidRPr="003E741D">
        <w:rPr>
          <w:rFonts w:eastAsia="TimesNewRoman,Italic" w:cs="TimesNewRoman,Italic"/>
          <w:i/>
          <w:iCs/>
        </w:rPr>
        <w:t>Nucala</w:t>
      </w:r>
      <w:proofErr w:type="spellEnd"/>
      <w:r w:rsidR="00833567" w:rsidRPr="003E741D">
        <w:rPr>
          <w:rFonts w:eastAsia="TimesNewRoman,Italic" w:cs="TimesNewRoman,Italic"/>
          <w:i/>
          <w:iCs/>
        </w:rPr>
        <w:t xml:space="preserve">, if </w:t>
      </w:r>
      <w:proofErr w:type="spellStart"/>
      <w:r w:rsidRPr="003E741D">
        <w:rPr>
          <w:rFonts w:eastAsia="TimesNewRoman,Italic" w:cs="TimesNewRoman,Italic"/>
          <w:i/>
          <w:iCs/>
        </w:rPr>
        <w:t>Nucala</w:t>
      </w:r>
      <w:proofErr w:type="spellEnd"/>
      <w:r w:rsidR="00833567" w:rsidRPr="003E741D">
        <w:rPr>
          <w:rFonts w:eastAsia="TimesNewRoman,Italic" w:cs="TimesNewRoman,Italic"/>
          <w:i/>
          <w:iCs/>
        </w:rPr>
        <w:t xml:space="preserve"> treatment is discontinued, then</w:t>
      </w:r>
      <w:r w:rsidR="003E741D">
        <w:rPr>
          <w:rFonts w:eastAsia="TimesNewRoman,Italic" w:cs="TimesNewRoman,Italic"/>
          <w:i/>
          <w:iCs/>
        </w:rPr>
        <w:t xml:space="preserve"> other EGPA treatments may need </w:t>
      </w:r>
      <w:r w:rsidR="00833567" w:rsidRPr="003E741D">
        <w:rPr>
          <w:rFonts w:eastAsia="TimesNewRoman,Italic" w:cs="TimesNewRoman,Italic"/>
          <w:i/>
          <w:iCs/>
        </w:rPr>
        <w:t>to be increased accordingly.</w:t>
      </w:r>
      <w:r w:rsidR="003D20A6">
        <w:rPr>
          <w:rFonts w:eastAsia="TimesNewRoman,Italic" w:cs="TimesNewRoman,Italic"/>
          <w:i/>
          <w:iCs/>
        </w:rPr>
        <w:t>’</w:t>
      </w:r>
    </w:p>
    <w:p w14:paraId="1F825D94" w14:textId="77777777" w:rsidR="008E7846" w:rsidRPr="003E741D" w:rsidRDefault="00386150" w:rsidP="003E741D">
      <w:pPr>
        <w:pStyle w:val="Heading3"/>
      </w:pPr>
      <w:bookmarkStart w:id="240" w:name="_Toc25227395"/>
      <w:r w:rsidRPr="003E741D">
        <w:t>Risk m</w:t>
      </w:r>
      <w:r w:rsidR="008E7846" w:rsidRPr="003E741D">
        <w:t xml:space="preserve">anagement </w:t>
      </w:r>
      <w:r w:rsidRPr="003E741D">
        <w:t>p</w:t>
      </w:r>
      <w:r w:rsidR="008E7846" w:rsidRPr="003E741D">
        <w:t>lan</w:t>
      </w:r>
      <w:bookmarkEnd w:id="239"/>
      <w:bookmarkEnd w:id="240"/>
    </w:p>
    <w:p w14:paraId="674CABBD" w14:textId="33AA0B68" w:rsidR="00833567" w:rsidRPr="003E741D" w:rsidRDefault="00833567" w:rsidP="003E741D">
      <w:r w:rsidRPr="003E741D">
        <w:t xml:space="preserve">There were no changes to the RMP specific for EGPA as no additional safety concerns were identified. The current versions relevant to the submission are </w:t>
      </w:r>
      <w:r w:rsidRPr="003E741D">
        <w:rPr>
          <w:lang w:eastAsia="en-AU"/>
        </w:rPr>
        <w:t xml:space="preserve">EU RMP version 2 </w:t>
      </w:r>
      <w:r w:rsidRPr="003E741D">
        <w:rPr>
          <w:lang w:eastAsia="en-AU"/>
        </w:rPr>
        <w:lastRenderedPageBreak/>
        <w:t>(dated</w:t>
      </w:r>
      <w:r w:rsidR="003D20A6">
        <w:rPr>
          <w:lang w:eastAsia="en-AU"/>
        </w:rPr>
        <w:t> </w:t>
      </w:r>
      <w:r w:rsidRPr="003E741D">
        <w:rPr>
          <w:lang w:eastAsia="en-AU"/>
        </w:rPr>
        <w:t xml:space="preserve">26 May 2016, </w:t>
      </w:r>
      <w:r w:rsidR="003E741D">
        <w:rPr>
          <w:lang w:eastAsia="en-AU"/>
        </w:rPr>
        <w:t>data lock point</w:t>
      </w:r>
      <w:r w:rsidRPr="003E741D">
        <w:rPr>
          <w:lang w:eastAsia="en-AU"/>
        </w:rPr>
        <w:t xml:space="preserve"> 10 July 2014) and ASA version 4.0 (dated November 2017).</w:t>
      </w:r>
    </w:p>
    <w:p w14:paraId="03655B9D" w14:textId="77777777" w:rsidR="00833567" w:rsidRDefault="003E741D" w:rsidP="003E741D">
      <w:pPr>
        <w:pStyle w:val="TableTitle"/>
      </w:pPr>
      <w:r>
        <w:t xml:space="preserve">Table </w:t>
      </w:r>
      <w:r w:rsidR="00C33647">
        <w:rPr>
          <w:noProof/>
        </w:rPr>
        <w:fldChar w:fldCharType="begin"/>
      </w:r>
      <w:r w:rsidR="00C33647">
        <w:rPr>
          <w:noProof/>
        </w:rPr>
        <w:instrText xml:space="preserve"> SEQ Table \* ARABIC </w:instrText>
      </w:r>
      <w:r w:rsidR="00C33647">
        <w:rPr>
          <w:noProof/>
        </w:rPr>
        <w:fldChar w:fldCharType="separate"/>
      </w:r>
      <w:r w:rsidR="00126A5E">
        <w:rPr>
          <w:noProof/>
        </w:rPr>
        <w:t>24</w:t>
      </w:r>
      <w:r w:rsidR="00C33647">
        <w:rPr>
          <w:noProof/>
        </w:rPr>
        <w:fldChar w:fldCharType="end"/>
      </w:r>
      <w:r>
        <w:rPr>
          <w:noProof/>
          <w:lang w:eastAsia="en-AU"/>
        </w:rPr>
        <w:t>: Summary of safety concerns</w:t>
      </w:r>
    </w:p>
    <w:p w14:paraId="6278435D" w14:textId="77777777" w:rsidR="003E741D" w:rsidRDefault="003E741D" w:rsidP="00833567">
      <w:r>
        <w:rPr>
          <w:noProof/>
          <w:lang w:eastAsia="en-AU"/>
        </w:rPr>
        <w:drawing>
          <wp:inline distT="0" distB="0" distL="0" distR="0" wp14:anchorId="026E4381" wp14:editId="5B204FE7">
            <wp:extent cx="4286707" cy="3201749"/>
            <wp:effectExtent l="0" t="0" r="0" b="0"/>
            <wp:docPr id="36" name="Picture 36" descr=" Summary of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289498" cy="3203833"/>
                    </a:xfrm>
                    <a:prstGeom prst="rect">
                      <a:avLst/>
                    </a:prstGeom>
                  </pic:spPr>
                </pic:pic>
              </a:graphicData>
            </a:graphic>
          </wp:inline>
        </w:drawing>
      </w:r>
    </w:p>
    <w:p w14:paraId="3ABD42DE" w14:textId="77777777" w:rsidR="00624472" w:rsidRDefault="00833567" w:rsidP="00833567">
      <w:r w:rsidRPr="009D7FA9">
        <w:t>Adverse events in</w:t>
      </w:r>
      <w:r w:rsidR="00715059">
        <w:t xml:space="preserve"> Australia are reported into GlaxoSmithKline</w:t>
      </w:r>
      <w:r w:rsidRPr="009D7FA9">
        <w:t>’s global safety database</w:t>
      </w:r>
      <w:r>
        <w:t xml:space="preserve">. The studies </w:t>
      </w:r>
      <w:r w:rsidR="003E741D">
        <w:t xml:space="preserve">shown in </w:t>
      </w:r>
      <w:r w:rsidR="00F30907">
        <w:fldChar w:fldCharType="begin"/>
      </w:r>
      <w:r w:rsidR="00F30907">
        <w:instrText xml:space="preserve"> REF _Ref15911751 \h </w:instrText>
      </w:r>
      <w:r w:rsidR="00F30907">
        <w:fldChar w:fldCharType="separate"/>
      </w:r>
      <w:r w:rsidR="00126A5E">
        <w:t xml:space="preserve">Table </w:t>
      </w:r>
      <w:r w:rsidR="00126A5E">
        <w:rPr>
          <w:noProof/>
        </w:rPr>
        <w:t>25</w:t>
      </w:r>
      <w:r w:rsidR="00F30907">
        <w:fldChar w:fldCharType="end"/>
      </w:r>
      <w:r w:rsidR="00F30907">
        <w:t xml:space="preserve"> </w:t>
      </w:r>
      <w:r>
        <w:t>are included in pharmacovigilance plan</w:t>
      </w:r>
      <w:r w:rsidR="00624472">
        <w:t>.</w:t>
      </w:r>
    </w:p>
    <w:p w14:paraId="09BB10B3" w14:textId="77777777" w:rsidR="00F30907" w:rsidRDefault="00F30907" w:rsidP="00F30907">
      <w:pPr>
        <w:pStyle w:val="TableTitle"/>
      </w:pPr>
      <w:bookmarkStart w:id="241" w:name="_Ref15911751"/>
      <w:r>
        <w:lastRenderedPageBreak/>
        <w:t xml:space="preserve">Table </w:t>
      </w:r>
      <w:r w:rsidR="00C33647">
        <w:rPr>
          <w:noProof/>
        </w:rPr>
        <w:fldChar w:fldCharType="begin"/>
      </w:r>
      <w:r w:rsidR="00C33647">
        <w:rPr>
          <w:noProof/>
        </w:rPr>
        <w:instrText xml:space="preserve"> SEQ Table \* ARABIC </w:instrText>
      </w:r>
      <w:r w:rsidR="00C33647">
        <w:rPr>
          <w:noProof/>
        </w:rPr>
        <w:fldChar w:fldCharType="separate"/>
      </w:r>
      <w:r w:rsidR="00126A5E">
        <w:rPr>
          <w:noProof/>
        </w:rPr>
        <w:t>25</w:t>
      </w:r>
      <w:r w:rsidR="00C33647">
        <w:rPr>
          <w:noProof/>
        </w:rPr>
        <w:fldChar w:fldCharType="end"/>
      </w:r>
      <w:bookmarkEnd w:id="241"/>
      <w:r>
        <w:t>: Overview of studies for the pharmacovigilance plan</w:t>
      </w:r>
    </w:p>
    <w:p w14:paraId="687C5288" w14:textId="77777777" w:rsidR="00833567" w:rsidRDefault="00F30907" w:rsidP="00833567">
      <w:r>
        <w:rPr>
          <w:noProof/>
          <w:lang w:eastAsia="en-AU"/>
        </w:rPr>
        <w:drawing>
          <wp:inline distT="0" distB="0" distL="0" distR="0" wp14:anchorId="01A638ED" wp14:editId="60E284B5">
            <wp:extent cx="4111142" cy="4788964"/>
            <wp:effectExtent l="0" t="0" r="3810" b="0"/>
            <wp:docPr id="39" name="Picture 39" descr="Overview of studies for the pharmacovigilanc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12863" cy="4790969"/>
                    </a:xfrm>
                    <a:prstGeom prst="rect">
                      <a:avLst/>
                    </a:prstGeom>
                  </pic:spPr>
                </pic:pic>
              </a:graphicData>
            </a:graphic>
          </wp:inline>
        </w:drawing>
      </w:r>
    </w:p>
    <w:p w14:paraId="04770B65" w14:textId="77777777" w:rsidR="00624472" w:rsidRDefault="00833567" w:rsidP="00F30907">
      <w:r>
        <w:t xml:space="preserve">In addition, follow up questionnaires will be used to provide further information for the following adverse events: hypersensitivity, myocardial infarction, cerebrovascular events, </w:t>
      </w:r>
      <w:r w:rsidR="00F30907">
        <w:t>d</w:t>
      </w:r>
      <w:r w:rsidR="00F30907" w:rsidRPr="00F30907">
        <w:t xml:space="preserve">eep vein thrombosis </w:t>
      </w:r>
      <w:r w:rsidR="00F30907">
        <w:t>(</w:t>
      </w:r>
      <w:r>
        <w:t>DVT</w:t>
      </w:r>
      <w:r w:rsidR="00F30907">
        <w:t>)</w:t>
      </w:r>
      <w:r>
        <w:t>, peripheral arterial thromboembolism, parasitic infection</w:t>
      </w:r>
      <w:r w:rsidR="00624472">
        <w:t>.</w:t>
      </w:r>
    </w:p>
    <w:p w14:paraId="65FCC8F4" w14:textId="77777777" w:rsidR="008E7846" w:rsidRDefault="00833567" w:rsidP="008E7846">
      <w:r>
        <w:t>Routine risk mitigation includes the PI and CMI. There are no additional risk mitigation activities.</w:t>
      </w:r>
    </w:p>
    <w:p w14:paraId="2DB61960" w14:textId="77777777" w:rsidR="008E7846" w:rsidRDefault="00AA0ED0" w:rsidP="008E7846">
      <w:pPr>
        <w:pStyle w:val="Heading3"/>
      </w:pPr>
      <w:bookmarkStart w:id="242" w:name="_Toc247691531"/>
      <w:bookmarkStart w:id="243" w:name="_Toc314842515"/>
      <w:bookmarkStart w:id="244" w:name="_Toc196046505"/>
      <w:bookmarkStart w:id="245" w:name="_Toc196046949"/>
      <w:bookmarkStart w:id="246" w:name="_Toc25227396"/>
      <w:r>
        <w:t>Risk-benefit a</w:t>
      </w:r>
      <w:r w:rsidR="008E7846">
        <w:t>nalysis</w:t>
      </w:r>
      <w:bookmarkEnd w:id="242"/>
      <w:bookmarkEnd w:id="243"/>
      <w:bookmarkEnd w:id="246"/>
    </w:p>
    <w:p w14:paraId="3DF83E75" w14:textId="77777777" w:rsidR="00D23139" w:rsidRDefault="00F30907" w:rsidP="00D23139">
      <w:pPr>
        <w:pStyle w:val="Heading4"/>
      </w:pPr>
      <w:r>
        <w:t>Delegate’s considerations</w:t>
      </w:r>
    </w:p>
    <w:p w14:paraId="7780EC63" w14:textId="77777777" w:rsidR="00456765" w:rsidRPr="00F30907" w:rsidRDefault="00833567" w:rsidP="00F30907">
      <w:pPr>
        <w:pStyle w:val="Heading5"/>
      </w:pPr>
      <w:r w:rsidRPr="00F30907">
        <w:t>Discussion</w:t>
      </w:r>
    </w:p>
    <w:p w14:paraId="27F982A9" w14:textId="77777777" w:rsidR="00833567" w:rsidRDefault="00F30907" w:rsidP="00F30907">
      <w:pPr>
        <w:pStyle w:val="Heading6"/>
      </w:pPr>
      <w:r>
        <w:t>Use in adults with EGPA</w:t>
      </w:r>
    </w:p>
    <w:p w14:paraId="2A164811" w14:textId="77777777" w:rsidR="00833567" w:rsidRDefault="00833567" w:rsidP="00F30907">
      <w:pPr>
        <w:pStyle w:val="Numberbullet0"/>
        <w:numPr>
          <w:ilvl w:val="0"/>
          <w:numId w:val="40"/>
        </w:numPr>
      </w:pPr>
      <w:r>
        <w:t>PK model</w:t>
      </w:r>
    </w:p>
    <w:p w14:paraId="33D77045" w14:textId="77777777" w:rsidR="00833567" w:rsidRDefault="00833567" w:rsidP="00F30907">
      <w:r>
        <w:t>It is unclear if and how the use of oral corticosteroids was used in the PK/PD model and how this may affect the results of the simulations used with this model.</w:t>
      </w:r>
    </w:p>
    <w:p w14:paraId="6AFAD477" w14:textId="77777777" w:rsidR="00833567" w:rsidRDefault="00F30907" w:rsidP="00F30907">
      <w:pPr>
        <w:pStyle w:val="Numberbullet0"/>
      </w:pPr>
      <w:r>
        <w:t>Dose</w:t>
      </w:r>
    </w:p>
    <w:p w14:paraId="33B5CB6C" w14:textId="77777777" w:rsidR="00833567" w:rsidRDefault="00833567" w:rsidP="00F30907">
      <w:r>
        <w:t xml:space="preserve">The sponsor’s rationale for the higher dose was that patients with EGPA have a greater eosinophilia and it was therefore assumed that higher dose of </w:t>
      </w:r>
      <w:proofErr w:type="spellStart"/>
      <w:r>
        <w:t>mepolizumab</w:t>
      </w:r>
      <w:proofErr w:type="spellEnd"/>
      <w:r>
        <w:t xml:space="preserve"> would be </w:t>
      </w:r>
      <w:r>
        <w:lastRenderedPageBreak/>
        <w:t>required to control this</w:t>
      </w:r>
      <w:r w:rsidR="00624472">
        <w:t>.</w:t>
      </w:r>
      <w:r w:rsidR="00F30907">
        <w:t xml:space="preserve"> </w:t>
      </w:r>
      <w:r>
        <w:t>A dose of 300</w:t>
      </w:r>
      <w:r w:rsidR="00F30907">
        <w:t xml:space="preserve"> </w:t>
      </w:r>
      <w:r>
        <w:t>mg was efficacious in the clin</w:t>
      </w:r>
      <w:r w:rsidR="00F30907">
        <w:t xml:space="preserve">ical trial and relatively safe. </w:t>
      </w:r>
      <w:r>
        <w:t>However, the need for a higher dose is questionable for a number of reasons</w:t>
      </w:r>
      <w:r w:rsidR="00F30907">
        <w:t>:</w:t>
      </w:r>
    </w:p>
    <w:p w14:paraId="6049C12E" w14:textId="2E48F384" w:rsidR="00833567" w:rsidRDefault="00F30907" w:rsidP="00DC032C">
      <w:pPr>
        <w:pStyle w:val="Numberbullet2"/>
      </w:pPr>
      <w:r>
        <w:t>A</w:t>
      </w:r>
      <w:r w:rsidR="00833567">
        <w:t xml:space="preserve">t </w:t>
      </w:r>
      <w:r w:rsidR="00052152">
        <w:t>Baseline</w:t>
      </w:r>
      <w:r w:rsidR="00833567">
        <w:t>, patients with EGPA did not have a higher eosinophil count than those with asthma</w:t>
      </w:r>
      <w:r w:rsidR="00DC032C">
        <w:t>.</w:t>
      </w:r>
    </w:p>
    <w:p w14:paraId="0884DE7A" w14:textId="77777777" w:rsidR="00624472" w:rsidRDefault="00833567" w:rsidP="00DC032C">
      <w:pPr>
        <w:pStyle w:val="Numberbullet2"/>
      </w:pPr>
      <w:r>
        <w:t>PD models do not show a relationship between higher exposure and greater eosinophil reduction</w:t>
      </w:r>
      <w:r w:rsidR="00624472">
        <w:t>.</w:t>
      </w:r>
    </w:p>
    <w:p w14:paraId="6C579CD9" w14:textId="77777777" w:rsidR="00833567" w:rsidRPr="005D6B3D" w:rsidRDefault="00F30907" w:rsidP="00F30907">
      <w:pPr>
        <w:pStyle w:val="Numberbullet2"/>
      </w:pPr>
      <w:r>
        <w:t>T</w:t>
      </w:r>
      <w:r w:rsidR="00833567">
        <w:t>here is no clear relationship between dose and efficacy outcomes</w:t>
      </w:r>
      <w:r w:rsidR="00DC032C">
        <w:t>.</w:t>
      </w:r>
    </w:p>
    <w:p w14:paraId="78292950" w14:textId="77777777" w:rsidR="00833567" w:rsidRDefault="00DC032C" w:rsidP="00F30907">
      <w:r>
        <w:t>The Delegate</w:t>
      </w:r>
      <w:r w:rsidR="00833567">
        <w:t xml:space="preserve"> note</w:t>
      </w:r>
      <w:r>
        <w:t>s</w:t>
      </w:r>
      <w:r w:rsidR="00833567">
        <w:t xml:space="preserve"> that patients in the </w:t>
      </w:r>
      <w:r w:rsidR="00724C2A">
        <w:t xml:space="preserve">HES </w:t>
      </w:r>
      <w:r w:rsidR="00833567">
        <w:t xml:space="preserve">long term </w:t>
      </w:r>
      <w:r w:rsidR="00FA06C6">
        <w:t>Compassionate Use Program</w:t>
      </w:r>
      <w:r w:rsidR="00833567">
        <w:t xml:space="preserve"> are dose less frequently than monthly. It is recommended that alternative dosing strategies be investigated.</w:t>
      </w:r>
    </w:p>
    <w:p w14:paraId="5E22E543" w14:textId="77777777" w:rsidR="00624472" w:rsidRDefault="00833567" w:rsidP="00DC032C">
      <w:pPr>
        <w:pStyle w:val="Numberbullet0"/>
      </w:pPr>
      <w:r w:rsidRPr="00FC614A">
        <w:t>Place in therapy</w:t>
      </w:r>
    </w:p>
    <w:p w14:paraId="7BC21746" w14:textId="77777777" w:rsidR="00624472" w:rsidRDefault="00833567" w:rsidP="00DC032C">
      <w:r>
        <w:t xml:space="preserve">The patient population in the clinical study had established EGPA and were on glucocorticoids. Thus, the clinical trial evidence would suggest that treatment with </w:t>
      </w:r>
      <w:proofErr w:type="spellStart"/>
      <w:r>
        <w:t>mepolizumab</w:t>
      </w:r>
      <w:proofErr w:type="spellEnd"/>
      <w:r>
        <w:t xml:space="preserve"> allow the dose of glucocorticoids to be weaned. It is also possible that treatment with other immunosuppressive therapy could be spared, but this was not an efficacy outcome</w:t>
      </w:r>
      <w:r w:rsidR="00624472">
        <w:t>.</w:t>
      </w:r>
    </w:p>
    <w:p w14:paraId="6003D3C3" w14:textId="77777777" w:rsidR="00833567" w:rsidRDefault="00833567" w:rsidP="00DC032C">
      <w:r>
        <w:t>There is no data on efficacy in patients not being treated with glucocorticoids, nor in patients with treated with cyclophosphamide. Efficacy was demonstrated in terms of reduced BVAS and maintenance of remission re</w:t>
      </w:r>
      <w:r w:rsidR="00DC032C">
        <w:t>garding</w:t>
      </w:r>
      <w:r>
        <w:t xml:space="preserve"> need for corticosteroids. These are important outcomes. However there was no change in CRP or ESR</w:t>
      </w:r>
      <w:r w:rsidR="00DC032C">
        <w:t>.</w:t>
      </w:r>
    </w:p>
    <w:p w14:paraId="0DDFB915" w14:textId="77777777" w:rsidR="00833567" w:rsidRPr="003B524B" w:rsidRDefault="00DC032C" w:rsidP="00DC032C">
      <w:pPr>
        <w:pStyle w:val="Numberbullet0"/>
      </w:pPr>
      <w:r>
        <w:t>Indication</w:t>
      </w:r>
    </w:p>
    <w:p w14:paraId="5ACC1AEB" w14:textId="77777777" w:rsidR="00DC032C" w:rsidRDefault="00DC032C" w:rsidP="00F30907">
      <w:r>
        <w:t>The proposed indication is:</w:t>
      </w:r>
    </w:p>
    <w:p w14:paraId="63317D5D" w14:textId="77777777" w:rsidR="00833567" w:rsidRPr="00DC032C" w:rsidRDefault="00B30701" w:rsidP="00DC032C">
      <w:pPr>
        <w:ind w:left="720"/>
        <w:rPr>
          <w:i/>
        </w:rPr>
      </w:pPr>
      <w:proofErr w:type="spellStart"/>
      <w:r w:rsidRPr="00DC032C">
        <w:rPr>
          <w:i/>
        </w:rPr>
        <w:t>Nucala</w:t>
      </w:r>
      <w:proofErr w:type="spellEnd"/>
      <w:r w:rsidR="00833567" w:rsidRPr="00DC032C">
        <w:rPr>
          <w:i/>
        </w:rPr>
        <w:t xml:space="preserve"> is indicated as an add-on treatment for relapsing or refractory Eosinophilic Granulomatosis with </w:t>
      </w:r>
      <w:proofErr w:type="spellStart"/>
      <w:r w:rsidR="00833567" w:rsidRPr="00DC032C">
        <w:rPr>
          <w:i/>
        </w:rPr>
        <w:t>Polyangitis</w:t>
      </w:r>
      <w:proofErr w:type="spellEnd"/>
      <w:r w:rsidR="00833567" w:rsidRPr="00DC032C">
        <w:rPr>
          <w:i/>
        </w:rPr>
        <w:t xml:space="preserve"> in adult patients aged 18 years and over.</w:t>
      </w:r>
    </w:p>
    <w:p w14:paraId="7CA34A60" w14:textId="77777777" w:rsidR="00833567" w:rsidRDefault="00833567" w:rsidP="00DC032C">
      <w:r>
        <w:t>The evaluator recommended qualifying this w</w:t>
      </w:r>
      <w:r w:rsidR="00DC032C">
        <w:t>ith eosinophil count of &gt; 150. The Delegate</w:t>
      </w:r>
      <w:r>
        <w:t xml:space="preserve"> acknowledge</w:t>
      </w:r>
      <w:r w:rsidR="00DC032C">
        <w:t>s</w:t>
      </w:r>
      <w:r>
        <w:t xml:space="preserve"> that there was greater efficacy in patients with higher eosinophil </w:t>
      </w:r>
      <w:r w:rsidR="00DC032C">
        <w:t xml:space="preserve">counts </w:t>
      </w:r>
      <w:r w:rsidR="00126A5E">
        <w:t>at Baseline</w:t>
      </w:r>
      <w:r w:rsidR="00DC032C">
        <w:t>, however the Delegate is</w:t>
      </w:r>
      <w:r>
        <w:t xml:space="preserve"> also aware that patients with EGPA by definition have high blood and tissue eosinophils, and that treatment with corticosteroids can lower these, and that the aim of treatment would be to wean the steroid dose to avoid other adverse events. Thus, for this indication </w:t>
      </w:r>
      <w:r w:rsidR="00DC032C">
        <w:t>the Delegate is</w:t>
      </w:r>
      <w:r>
        <w:t xml:space="preserve"> of the opinion that eosinophil count is not required in the indication (as</w:t>
      </w:r>
      <w:r w:rsidR="00DC032C">
        <w:t xml:space="preserve"> opposed for asthma where the Delegate</w:t>
      </w:r>
      <w:r>
        <w:t xml:space="preserve"> believe</w:t>
      </w:r>
      <w:r w:rsidR="00DC032C">
        <w:t>s</w:t>
      </w:r>
      <w:r>
        <w:t xml:space="preserve"> it</w:t>
      </w:r>
      <w:r w:rsidR="00DC032C">
        <w:t xml:space="preserve"> should be in the indication). </w:t>
      </w:r>
      <w:r>
        <w:t>The sponsor has agreed to add information about treatment efficacy stratified by eosinophil count to the clinical trials section</w:t>
      </w:r>
      <w:r w:rsidR="00624472">
        <w:t>.</w:t>
      </w:r>
    </w:p>
    <w:p w14:paraId="1F692CCE" w14:textId="77777777" w:rsidR="00833567" w:rsidRPr="00394823" w:rsidRDefault="00833567" w:rsidP="00DC032C">
      <w:pPr>
        <w:pStyle w:val="Numberbullet0"/>
      </w:pPr>
      <w:r>
        <w:t>S</w:t>
      </w:r>
      <w:r w:rsidR="00DC032C">
        <w:t>afety</w:t>
      </w:r>
    </w:p>
    <w:p w14:paraId="20E88BEB" w14:textId="77777777" w:rsidR="00833567" w:rsidRPr="00DC032C" w:rsidRDefault="00833567" w:rsidP="00F30907">
      <w:pPr>
        <w:rPr>
          <w:rFonts w:cs="Calibri"/>
        </w:rPr>
      </w:pPr>
      <w:r w:rsidRPr="00394823">
        <w:rPr>
          <w:rFonts w:cs="Calibri"/>
        </w:rPr>
        <w:t xml:space="preserve">Adverse effects that may be associated with long-term use are unknown. The role of eosinophils </w:t>
      </w:r>
      <w:r>
        <w:rPr>
          <w:rFonts w:cs="Calibri"/>
        </w:rPr>
        <w:t>in health are poorly understood. They</w:t>
      </w:r>
      <w:r w:rsidRPr="00394823">
        <w:rPr>
          <w:rFonts w:cs="Calibri"/>
        </w:rPr>
        <w:t xml:space="preserve"> may be involved in tumour surveillance and are involved in other aspects of the immune system. </w:t>
      </w:r>
      <w:r>
        <w:rPr>
          <w:rFonts w:cs="Calibri"/>
        </w:rPr>
        <w:t xml:space="preserve">There appears to be an increased risk of lymphomas in patients with </w:t>
      </w:r>
      <w:r w:rsidR="00DC032C">
        <w:rPr>
          <w:rFonts w:cs="Calibri"/>
        </w:rPr>
        <w:t>HES</w:t>
      </w:r>
      <w:r>
        <w:rPr>
          <w:rFonts w:cs="Calibri"/>
        </w:rPr>
        <w:t xml:space="preserve">. It is unclear of the use of </w:t>
      </w:r>
      <w:proofErr w:type="spellStart"/>
      <w:r>
        <w:rPr>
          <w:rFonts w:cs="Calibri"/>
        </w:rPr>
        <w:t>mepolizumab</w:t>
      </w:r>
      <w:proofErr w:type="spellEnd"/>
      <w:r>
        <w:rPr>
          <w:rFonts w:cs="Calibri"/>
        </w:rPr>
        <w:t xml:space="preserve"> potentiates this</w:t>
      </w:r>
      <w:r w:rsidR="00DC032C">
        <w:rPr>
          <w:rFonts w:cs="Calibri"/>
        </w:rPr>
        <w:t>.</w:t>
      </w:r>
    </w:p>
    <w:p w14:paraId="144C68E0" w14:textId="77777777" w:rsidR="00833567" w:rsidRDefault="00DC032C" w:rsidP="00F30907">
      <w:r>
        <w:t>The Delegate</w:t>
      </w:r>
      <w:r w:rsidR="00833567" w:rsidRPr="00412D47">
        <w:t xml:space="preserve"> accept</w:t>
      </w:r>
      <w:r>
        <w:t>s</w:t>
      </w:r>
      <w:r w:rsidR="00833567" w:rsidRPr="00412D47">
        <w:t xml:space="preserve"> the proposed statement in the PI around possible recurrence of disease when treatment is ceased.</w:t>
      </w:r>
    </w:p>
    <w:p w14:paraId="52601D2F" w14:textId="77777777" w:rsidR="00DC032C" w:rsidRDefault="00DC032C" w:rsidP="00DC032C">
      <w:pPr>
        <w:pStyle w:val="Heading6"/>
      </w:pPr>
      <w:r>
        <w:t>Conclusion</w:t>
      </w:r>
    </w:p>
    <w:p w14:paraId="4C4C7CAC" w14:textId="77777777" w:rsidR="00DC032C" w:rsidRDefault="00DC032C" w:rsidP="00DC032C">
      <w:r>
        <w:t>The Delegate is</w:t>
      </w:r>
      <w:r w:rsidRPr="00CF5CBE">
        <w:t xml:space="preserve"> of the opinion that </w:t>
      </w:r>
      <w:proofErr w:type="spellStart"/>
      <w:r w:rsidRPr="00CF5CBE">
        <w:t>mepolizumab</w:t>
      </w:r>
      <w:proofErr w:type="spellEnd"/>
      <w:r w:rsidRPr="00CF5CBE">
        <w:t xml:space="preserve"> should be approved for use in adults with EGPA. </w:t>
      </w:r>
      <w:r>
        <w:t>Approval will be conditional to the sponsor making some amendments to the PI. There were no new safety concerns identified to require a revision of the RMP.</w:t>
      </w:r>
    </w:p>
    <w:p w14:paraId="2D57C234" w14:textId="310943DE" w:rsidR="00DC032C" w:rsidRPr="00833567" w:rsidRDefault="00DC032C" w:rsidP="00F30907">
      <w:r>
        <w:lastRenderedPageBreak/>
        <w:t>Efficacy and safety have been demonstrated for the 300mg dose. However, lower doses have not been assessed. The sponsor is encouraged to investigate alternative dosing regimes</w:t>
      </w:r>
      <w:r w:rsidR="00054729">
        <w:t>.</w:t>
      </w:r>
    </w:p>
    <w:p w14:paraId="1AC21810" w14:textId="77777777" w:rsidR="00833567" w:rsidRDefault="00833567" w:rsidP="00833567">
      <w:pPr>
        <w:pStyle w:val="Heading5"/>
      </w:pPr>
      <w:r>
        <w:t>Summary of issues</w:t>
      </w:r>
    </w:p>
    <w:p w14:paraId="2321E91E" w14:textId="77777777" w:rsidR="00833567" w:rsidRPr="0052687B" w:rsidRDefault="00833567" w:rsidP="00DC032C">
      <w:pPr>
        <w:pStyle w:val="ListBullet"/>
      </w:pPr>
      <w:r w:rsidRPr="0052687B">
        <w:t xml:space="preserve">The efficacy in adults with EGPA was based on a single pivotal study. The patients in the study had a diagnosis of EGPA and were on a stable dose of glucocorticoid </w:t>
      </w:r>
      <w:r w:rsidR="00DC032C">
        <w:t>±</w:t>
      </w:r>
      <w:r w:rsidRPr="0052687B">
        <w:t xml:space="preserve"> other immunosuppressant (but not cyclophosphamide). Treatment with </w:t>
      </w:r>
      <w:proofErr w:type="spellStart"/>
      <w:r w:rsidRPr="0052687B">
        <w:t>mepolizumab</w:t>
      </w:r>
      <w:proofErr w:type="spellEnd"/>
      <w:r w:rsidRPr="0052687B">
        <w:t xml:space="preserve"> resulted in a statistically and clinically significant improvement in BVAS. However remission occurred in only 32%</w:t>
      </w:r>
      <w:r w:rsidR="00DC032C">
        <w:t>.</w:t>
      </w:r>
    </w:p>
    <w:p w14:paraId="66F8EC6D" w14:textId="77777777" w:rsidR="00833567" w:rsidRPr="0052687B" w:rsidRDefault="00DC032C" w:rsidP="00DC032C">
      <w:pPr>
        <w:pStyle w:val="ListBullet"/>
      </w:pPr>
      <w:r>
        <w:t>T</w:t>
      </w:r>
      <w:r w:rsidR="00833567" w:rsidRPr="0052687B">
        <w:t>he dose of 300</w:t>
      </w:r>
      <w:r>
        <w:t xml:space="preserve"> </w:t>
      </w:r>
      <w:r w:rsidR="00833567" w:rsidRPr="0052687B">
        <w:t xml:space="preserve">mg was based on an assumption that a higher dose would </w:t>
      </w:r>
      <w:r>
        <w:t>be required for EGPA and asthma.</w:t>
      </w:r>
    </w:p>
    <w:p w14:paraId="76930B34" w14:textId="77777777" w:rsidR="00833567" w:rsidRPr="0052687B" w:rsidRDefault="00DC032C" w:rsidP="00DC032C">
      <w:pPr>
        <w:pStyle w:val="ListBullet"/>
      </w:pPr>
      <w:r>
        <w:t>A</w:t>
      </w:r>
      <w:r w:rsidR="00833567" w:rsidRPr="0052687B">
        <w:t>lthough patients with EGPA may have had a very high eosinophil count historically, at the start of the study for many patients the eosinophil count was within the normal range (presumably due to treatment with oral corticosteroids)</w:t>
      </w:r>
      <w:r>
        <w:t>.</w:t>
      </w:r>
    </w:p>
    <w:p w14:paraId="0221C287" w14:textId="77777777" w:rsidR="00833567" w:rsidRPr="0052687B" w:rsidRDefault="00833567" w:rsidP="00DC032C">
      <w:pPr>
        <w:pStyle w:val="ListBullet"/>
      </w:pPr>
      <w:r w:rsidRPr="0052687B">
        <w:t>There is a risk of disease relapse when treatment is stopped</w:t>
      </w:r>
      <w:r w:rsidR="00DC032C">
        <w:t>.</w:t>
      </w:r>
    </w:p>
    <w:p w14:paraId="6430799A" w14:textId="77777777" w:rsidR="00833567" w:rsidRDefault="00833567" w:rsidP="00DC032C">
      <w:pPr>
        <w:pStyle w:val="ListBullet"/>
      </w:pPr>
      <w:r w:rsidRPr="0052687B">
        <w:t>Data for long term use is limited.</w:t>
      </w:r>
    </w:p>
    <w:p w14:paraId="32B5EA81" w14:textId="77777777" w:rsidR="00D23139" w:rsidRDefault="00D23139" w:rsidP="00D23139">
      <w:pPr>
        <w:pStyle w:val="Heading4"/>
      </w:pPr>
      <w:r w:rsidRPr="00D23139">
        <w:t>Proposed action</w:t>
      </w:r>
    </w:p>
    <w:p w14:paraId="07F23461" w14:textId="77777777" w:rsidR="00833567" w:rsidRPr="00833567" w:rsidRDefault="00DC032C" w:rsidP="00715059">
      <w:r>
        <w:t>The Delegate has</w:t>
      </w:r>
      <w:r w:rsidR="00833567" w:rsidRPr="0052687B">
        <w:t xml:space="preserve"> no reason to say, at this time, that the application for </w:t>
      </w:r>
      <w:proofErr w:type="spellStart"/>
      <w:r w:rsidR="00833567" w:rsidRPr="0052687B">
        <w:t>mepolizumab</w:t>
      </w:r>
      <w:proofErr w:type="spellEnd"/>
      <w:r w:rsidR="00833567" w:rsidRPr="0052687B">
        <w:t xml:space="preserve"> should not be a</w:t>
      </w:r>
      <w:r>
        <w:t xml:space="preserve">pproved for registration </w:t>
      </w:r>
      <w:r w:rsidR="00833567" w:rsidRPr="0052687B">
        <w:t>for the treatment of adults aged 18 years and older with EGPA</w:t>
      </w:r>
      <w:r>
        <w:t>.</w:t>
      </w:r>
    </w:p>
    <w:p w14:paraId="71D014B9" w14:textId="77777777" w:rsidR="00D23139" w:rsidRDefault="00A22D57" w:rsidP="00D23139">
      <w:pPr>
        <w:pStyle w:val="Heading4"/>
      </w:pPr>
      <w:r>
        <w:t xml:space="preserve">Request for </w:t>
      </w:r>
      <w:r w:rsidR="006850B7">
        <w:t>Advisory Committee on Medicines (</w:t>
      </w:r>
      <w:r>
        <w:t>AC</w:t>
      </w:r>
      <w:r w:rsidR="00D23139" w:rsidRPr="00D23139">
        <w:t>M</w:t>
      </w:r>
      <w:r w:rsidR="006850B7">
        <w:t>)</w:t>
      </w:r>
      <w:r w:rsidR="00D23139" w:rsidRPr="00D23139">
        <w:t xml:space="preserve"> advice</w:t>
      </w:r>
    </w:p>
    <w:p w14:paraId="56B7F2D8" w14:textId="77777777" w:rsidR="00833567" w:rsidRPr="0052687B" w:rsidRDefault="00715059" w:rsidP="00715059">
      <w:r w:rsidRPr="0052687B">
        <w:t>Adults:</w:t>
      </w:r>
    </w:p>
    <w:p w14:paraId="69EC2933" w14:textId="77777777" w:rsidR="00833567" w:rsidRPr="0052687B" w:rsidRDefault="00833567" w:rsidP="00715059">
      <w:pPr>
        <w:pStyle w:val="ListBullet"/>
      </w:pPr>
      <w:r w:rsidRPr="0052687B">
        <w:t>All of the patients in the clinical trials were on glucocorticoids. Should this be included in the indication?</w:t>
      </w:r>
    </w:p>
    <w:p w14:paraId="23F5767A" w14:textId="77777777" w:rsidR="00624472" w:rsidRDefault="00833567" w:rsidP="00715059">
      <w:pPr>
        <w:pStyle w:val="ListBullet"/>
      </w:pPr>
      <w:r w:rsidRPr="0052687B">
        <w:t>Please comment on the exclusion of patients with organ threatening conditions in the clinical trial</w:t>
      </w:r>
      <w:r w:rsidR="00624472">
        <w:t>.</w:t>
      </w:r>
    </w:p>
    <w:p w14:paraId="1ACEDDD8" w14:textId="77777777" w:rsidR="00833567" w:rsidRPr="0052687B" w:rsidRDefault="00833567" w:rsidP="00715059">
      <w:pPr>
        <w:pStyle w:val="ListBullet"/>
      </w:pPr>
      <w:r w:rsidRPr="0052687B">
        <w:t>What is the most clinically significant endpoint for studies in EGPA? Improvement in average BVAS or number of patients achieving remiss</w:t>
      </w:r>
      <w:r w:rsidR="007C6397">
        <w:t>ion or ability to wean steroids</w:t>
      </w:r>
      <w:r w:rsidRPr="0052687B">
        <w:t xml:space="preserve"> Is BVAS useful to</w:t>
      </w:r>
      <w:r w:rsidR="007C6397">
        <w:t xml:space="preserve"> assess disease in all organs, for example</w:t>
      </w:r>
      <w:r w:rsidRPr="0052687B">
        <w:t xml:space="preserve"> eye, heart, nervous system</w:t>
      </w:r>
      <w:r w:rsidR="007C6397">
        <w:t>?</w:t>
      </w:r>
    </w:p>
    <w:p w14:paraId="0D2171CD" w14:textId="77777777" w:rsidR="00456765" w:rsidRPr="00DC032C" w:rsidRDefault="00833567" w:rsidP="00715059">
      <w:pPr>
        <w:pStyle w:val="ListBullet"/>
      </w:pPr>
      <w:r w:rsidRPr="0052687B">
        <w:t>How is disease activity assessed in clinical practice? Should treatment be directed by serum eosinophil count?</w:t>
      </w:r>
    </w:p>
    <w:p w14:paraId="57178024" w14:textId="77777777" w:rsidR="00D23139" w:rsidRDefault="00456765" w:rsidP="00D23139">
      <w:pPr>
        <w:pStyle w:val="Heading4"/>
      </w:pPr>
      <w:r>
        <w:t>R</w:t>
      </w:r>
      <w:r w:rsidR="002B2435">
        <w:t>esponse from s</w:t>
      </w:r>
      <w:r>
        <w:t>ponsor</w:t>
      </w:r>
    </w:p>
    <w:p w14:paraId="3B9BC789" w14:textId="77777777" w:rsidR="00681B98" w:rsidRDefault="00232508" w:rsidP="00232508">
      <w:pPr>
        <w:pStyle w:val="Heading5"/>
      </w:pPr>
      <w:r>
        <w:t>Executive s</w:t>
      </w:r>
      <w:r w:rsidR="00681B98">
        <w:t>ummary</w:t>
      </w:r>
    </w:p>
    <w:p w14:paraId="6242A02B" w14:textId="77777777" w:rsidR="00624472" w:rsidRDefault="00715059" w:rsidP="00681B98">
      <w:r>
        <w:t>The sponsor welcomes the TGA Delegate’s p</w:t>
      </w:r>
      <w:r w:rsidR="00681B98">
        <w:t xml:space="preserve">re-ACM conclusion that there are no reasons that the application for </w:t>
      </w:r>
      <w:proofErr w:type="spellStart"/>
      <w:r w:rsidR="00681B98">
        <w:t>mepolizumab</w:t>
      </w:r>
      <w:proofErr w:type="spellEnd"/>
      <w:r w:rsidR="00681B98">
        <w:t xml:space="preserve"> should not be registered for the treatment of adults aged 18 </w:t>
      </w:r>
      <w:r>
        <w:t>years and older with EGPA</w:t>
      </w:r>
      <w:r w:rsidR="00624472">
        <w:t>.</w:t>
      </w:r>
    </w:p>
    <w:p w14:paraId="310783D0" w14:textId="77777777" w:rsidR="00681B98" w:rsidRDefault="00681B98" w:rsidP="00681B98">
      <w:proofErr w:type="spellStart"/>
      <w:r>
        <w:t>Mepolizumab</w:t>
      </w:r>
      <w:proofErr w:type="spellEnd"/>
      <w:r>
        <w:t xml:space="preserve"> has been registered for treatment of adults with EGPA in the USA in December 2017, and subsequently in Japan (May 2018) and Canada (July 2018).</w:t>
      </w:r>
    </w:p>
    <w:p w14:paraId="08589583" w14:textId="525BC329" w:rsidR="00681B98" w:rsidRDefault="00681B98" w:rsidP="00681B98">
      <w:r>
        <w:t xml:space="preserve">EGPA is a rare disease which has been assigned an orphan designation in Australia. The unmet need in patients with EGPA is evident as there is no treatment currently registered in Australia or worldwide for the condition, despite use of </w:t>
      </w:r>
      <w:r w:rsidR="00715059">
        <w:t>OCS</w:t>
      </w:r>
      <w:r>
        <w:t xml:space="preserve"> as standard of care. Even with OCS treatment, relapses are common and treatment with higher doses of OCS and the addition of immunosuppressant therapy with their associated adverse effects, are often </w:t>
      </w:r>
      <w:r>
        <w:lastRenderedPageBreak/>
        <w:t>necessary. There is a need for an efficacious treatment that improves clinical outcome while allowing a reduction in OCS exposure.</w:t>
      </w:r>
    </w:p>
    <w:p w14:paraId="496C78FD" w14:textId="77777777" w:rsidR="00681B98" w:rsidRDefault="00681B98" w:rsidP="00681B98">
      <w:r>
        <w:t>The three goals of clinical treatment in EGPA are improving remission, reducing relapses, and decreasing OCS exposure.</w:t>
      </w:r>
    </w:p>
    <w:p w14:paraId="616A56CD" w14:textId="77777777" w:rsidR="00681B98" w:rsidRDefault="00681B98" w:rsidP="00681B98">
      <w:r>
        <w:t xml:space="preserve">The efficacy of </w:t>
      </w:r>
      <w:proofErr w:type="spellStart"/>
      <w:r>
        <w:t>mepolizumab</w:t>
      </w:r>
      <w:proofErr w:type="spellEnd"/>
      <w:r>
        <w:t xml:space="preserve"> in 136 patients (n</w:t>
      </w:r>
      <w:r w:rsidR="00715059">
        <w:t xml:space="preserve"> </w:t>
      </w:r>
      <w:r>
        <w:t>=</w:t>
      </w:r>
      <w:r w:rsidR="00715059">
        <w:t xml:space="preserve"> </w:t>
      </w:r>
      <w:r>
        <w:t>68 in each study arm) with relapsing or refractory EGPA, was clearly demonstrated in the pivotal study in adults (</w:t>
      </w:r>
      <w:r w:rsidR="00715059">
        <w:t>Study </w:t>
      </w:r>
      <w:r>
        <w:t>MEA115921) as follows:</w:t>
      </w:r>
    </w:p>
    <w:p w14:paraId="4790EEF5" w14:textId="0D0CB9FA" w:rsidR="00681B98" w:rsidRDefault="00681B98" w:rsidP="00715059">
      <w:pPr>
        <w:pStyle w:val="ListBullet"/>
      </w:pPr>
      <w:r>
        <w:t xml:space="preserve">Clinically important and statistically significant differences were shown from </w:t>
      </w:r>
      <w:proofErr w:type="spellStart"/>
      <w:r>
        <w:t>mepolizumab</w:t>
      </w:r>
      <w:proofErr w:type="spellEnd"/>
      <w:r>
        <w:t xml:space="preserve"> treatment (</w:t>
      </w:r>
      <w:proofErr w:type="spellStart"/>
      <w:r>
        <w:t>mepolizumab</w:t>
      </w:r>
      <w:proofErr w:type="spellEnd"/>
      <w:r>
        <w:t xml:space="preserve"> + </w:t>
      </w:r>
      <w:r w:rsidR="00054729">
        <w:t>standard of care</w:t>
      </w:r>
      <w:r>
        <w:t xml:space="preserve">) compared to placebo (placebo + </w:t>
      </w:r>
      <w:r w:rsidR="00054729">
        <w:t>standard of care</w:t>
      </w:r>
      <w:r>
        <w:t>) in the co-primary endpoints of accrued time in remission (p</w:t>
      </w:r>
      <w:r w:rsidR="00715059">
        <w:t xml:space="preserve"> </w:t>
      </w:r>
      <w:r>
        <w:t>&lt;</w:t>
      </w:r>
      <w:r w:rsidR="00715059">
        <w:t xml:space="preserve"> </w:t>
      </w:r>
      <w:r>
        <w:t>0.001) and the proporti</w:t>
      </w:r>
      <w:r w:rsidR="00715059">
        <w:t>on of subjects in remission at W</w:t>
      </w:r>
      <w:r>
        <w:t>eeks 36 and 48 (p</w:t>
      </w:r>
      <w:r w:rsidR="00715059">
        <w:t xml:space="preserve"> </w:t>
      </w:r>
      <w:r>
        <w:t>&lt;</w:t>
      </w:r>
      <w:r w:rsidR="00715059">
        <w:t xml:space="preserve"> </w:t>
      </w:r>
      <w:r>
        <w:t>0.001). For the primary endpoints, remission was defined as both disease control (BVAS</w:t>
      </w:r>
      <w:r w:rsidR="00715059">
        <w:t xml:space="preserve"> </w:t>
      </w:r>
      <w:r>
        <w:t>=</w:t>
      </w:r>
      <w:r w:rsidR="00715059">
        <w:t xml:space="preserve"> </w:t>
      </w:r>
      <w:r>
        <w:t>0) and a reduction in steroid dose (OCS dose ≤</w:t>
      </w:r>
      <w:r w:rsidR="00715059">
        <w:t xml:space="preserve"> </w:t>
      </w:r>
      <w:r>
        <w:t>4 mg/day).</w:t>
      </w:r>
    </w:p>
    <w:p w14:paraId="1E2C09D8" w14:textId="57B7CDFF" w:rsidR="00681B98" w:rsidRDefault="00681B98" w:rsidP="00715059">
      <w:pPr>
        <w:pStyle w:val="ListBullet"/>
      </w:pPr>
      <w:r>
        <w:t xml:space="preserve">This was further supported by secondary endpoints which focused on improving remission, reducing relapses, and decreasing OCS exposure, all of which demonstrated a statistically significant and clinically relevant benefit in favour of </w:t>
      </w:r>
      <w:proofErr w:type="spellStart"/>
      <w:r>
        <w:t>mepolizumab</w:t>
      </w:r>
      <w:proofErr w:type="spellEnd"/>
      <w:r>
        <w:t xml:space="preserve"> compared with </w:t>
      </w:r>
      <w:r w:rsidR="00054729">
        <w:t>standard of care</w:t>
      </w:r>
      <w:r>
        <w:t>.</w:t>
      </w:r>
    </w:p>
    <w:p w14:paraId="1A8258F8" w14:textId="77777777" w:rsidR="00681B98" w:rsidRDefault="00681B98" w:rsidP="00681B98">
      <w:r>
        <w:t xml:space="preserve">Overall, the safety profile of 300 mg </w:t>
      </w:r>
      <w:r w:rsidR="00715059">
        <w:t>SC</w:t>
      </w:r>
      <w:r>
        <w:t xml:space="preserve"> </w:t>
      </w:r>
      <w:proofErr w:type="spellStart"/>
      <w:r>
        <w:t>mepolizumab</w:t>
      </w:r>
      <w:proofErr w:type="spellEnd"/>
      <w:r>
        <w:t xml:space="preserve"> in EGPA demonstrated:</w:t>
      </w:r>
    </w:p>
    <w:p w14:paraId="159BF019" w14:textId="77777777" w:rsidR="00681B98" w:rsidRDefault="00681B98" w:rsidP="00715059">
      <w:pPr>
        <w:pStyle w:val="ListBullet"/>
      </w:pPr>
      <w:r>
        <w:t>A consistent profile with that observed for the lower 100 mg SC and 250 mg (approxim</w:t>
      </w:r>
      <w:r w:rsidR="00715059">
        <w:t>ating to 300 mg SC) and 750 mg IV</w:t>
      </w:r>
      <w:r>
        <w:t xml:space="preserve"> doses us</w:t>
      </w:r>
      <w:r w:rsidR="00715059">
        <w:t>ed in the severe asthma program.</w:t>
      </w:r>
    </w:p>
    <w:p w14:paraId="1A56A5EF" w14:textId="77777777" w:rsidR="00681B98" w:rsidRDefault="00681B98" w:rsidP="00715059">
      <w:pPr>
        <w:pStyle w:val="ListBullet"/>
      </w:pPr>
      <w:r>
        <w:t>There were no new safety concerns associated with patients treated in the EGPA development</w:t>
      </w:r>
      <w:r w:rsidR="00715059">
        <w:t xml:space="preserve"> program compared with the long </w:t>
      </w:r>
      <w:r>
        <w:t>term safety data available from the severe asthma program.</w:t>
      </w:r>
    </w:p>
    <w:p w14:paraId="092873CE" w14:textId="084CC95E" w:rsidR="00681B98" w:rsidRDefault="00715059" w:rsidP="00681B98">
      <w:r>
        <w:t>The sponsor</w:t>
      </w:r>
      <w:r w:rsidR="00681B98">
        <w:t xml:space="preserve"> believes that the proposed modified indication </w:t>
      </w:r>
      <w:r w:rsidR="00126A5E">
        <w:rPr>
          <w:i/>
        </w:rPr>
        <w:t>‘</w:t>
      </w:r>
      <w:r w:rsidR="00681B98" w:rsidRPr="007C6397">
        <w:rPr>
          <w:i/>
        </w:rPr>
        <w:t xml:space="preserve">as an add-on therapy for relapsing or refractory Eosinophilic Granulomatosis with </w:t>
      </w:r>
      <w:proofErr w:type="spellStart"/>
      <w:r w:rsidR="00681B98" w:rsidRPr="007C6397">
        <w:rPr>
          <w:i/>
        </w:rPr>
        <w:t>Polyangiitis</w:t>
      </w:r>
      <w:proofErr w:type="spellEnd"/>
      <w:r w:rsidR="00681B98" w:rsidRPr="007C6397">
        <w:rPr>
          <w:i/>
        </w:rPr>
        <w:t xml:space="preserve"> (EGPA) in adult patients aged 18 years and over (See section 5.1 </w:t>
      </w:r>
      <w:proofErr w:type="spellStart"/>
      <w:r w:rsidR="00681B98" w:rsidRPr="007C6397">
        <w:rPr>
          <w:i/>
        </w:rPr>
        <w:t>Pharmacodynamic</w:t>
      </w:r>
      <w:proofErr w:type="spellEnd"/>
      <w:r w:rsidR="00681B98" w:rsidRPr="007C6397">
        <w:rPr>
          <w:i/>
        </w:rPr>
        <w:t xml:space="preserve"> Properties - Clinical Trials)</w:t>
      </w:r>
      <w:r w:rsidR="00126A5E">
        <w:rPr>
          <w:i/>
        </w:rPr>
        <w:t>’</w:t>
      </w:r>
      <w:r w:rsidR="00681B98">
        <w:t xml:space="preserve"> is supported and should not be modified to include clarifications relating to study design which are adequately addressed in the </w:t>
      </w:r>
      <w:r w:rsidR="00126A5E">
        <w:t>‘</w:t>
      </w:r>
      <w:r w:rsidR="00681B98">
        <w:t>Clinical Trials</w:t>
      </w:r>
      <w:r w:rsidR="00126A5E">
        <w:t>’</w:t>
      </w:r>
      <w:r w:rsidR="00681B98">
        <w:t xml:space="preserve"> section of the </w:t>
      </w:r>
      <w:r w:rsidR="007C6397">
        <w:t>PI</w:t>
      </w:r>
      <w:r w:rsidR="00681B98">
        <w:t xml:space="preserve"> (Refer </w:t>
      </w:r>
      <w:r w:rsidR="00C508F3">
        <w:t xml:space="preserve">to the </w:t>
      </w:r>
      <w:r w:rsidR="00681B98">
        <w:t xml:space="preserve">response to </w:t>
      </w:r>
      <w:r w:rsidR="00C508F3">
        <w:t>‘</w:t>
      </w:r>
      <w:r w:rsidR="00681B98">
        <w:t>Advice sought from ACM</w:t>
      </w:r>
      <w:r w:rsidR="00C508F3">
        <w:t xml:space="preserve">, </w:t>
      </w:r>
      <w:r w:rsidR="00681B98">
        <w:t>Q</w:t>
      </w:r>
      <w:r w:rsidR="00C508F3">
        <w:t xml:space="preserve">uestion </w:t>
      </w:r>
      <w:r w:rsidR="00681B98">
        <w:t>1</w:t>
      </w:r>
      <w:r w:rsidR="00C508F3">
        <w:t>’, below</w:t>
      </w:r>
      <w:r w:rsidR="00681B98">
        <w:t>). This approach is consistent with the approach taken by the TGA for the severe refractory eosinophilic asthma indication.</w:t>
      </w:r>
    </w:p>
    <w:p w14:paraId="6FEF5F3A" w14:textId="77777777" w:rsidR="00681B98" w:rsidRDefault="00681B98" w:rsidP="00681B98">
      <w:r>
        <w:t>Based on the well-documented positive benefit to risk profile, the limitations associated with current therapeutic options, and the significant morbidity experienced by patients with EGPA, there is an urgent medical need for add</w:t>
      </w:r>
      <w:r w:rsidR="007C6397">
        <w:t>itional therapeutic options. The sponsor</w:t>
      </w:r>
      <w:r>
        <w:t xml:space="preserve"> believes that the registration of </w:t>
      </w:r>
      <w:proofErr w:type="spellStart"/>
      <w:r>
        <w:t>mepolizumab</w:t>
      </w:r>
      <w:proofErr w:type="spellEnd"/>
      <w:r>
        <w:t xml:space="preserve"> will provide a significant improvement in the treatment of patients with EGPA based on the evidence presented in this application.</w:t>
      </w:r>
    </w:p>
    <w:p w14:paraId="4D253984" w14:textId="582BB29F" w:rsidR="00681B98" w:rsidRPr="007C6397" w:rsidRDefault="00681B98" w:rsidP="007C6397">
      <w:pPr>
        <w:pStyle w:val="Heading5"/>
      </w:pPr>
      <w:r w:rsidRPr="007C6397">
        <w:t xml:space="preserve">Specific </w:t>
      </w:r>
      <w:r w:rsidR="00C508F3">
        <w:t>q</w:t>
      </w:r>
      <w:r w:rsidR="00C508F3" w:rsidRPr="007C6397">
        <w:t xml:space="preserve">uestions </w:t>
      </w:r>
      <w:r w:rsidR="00C508F3">
        <w:t>r</w:t>
      </w:r>
      <w:r w:rsidR="00C508F3" w:rsidRPr="007C6397">
        <w:t xml:space="preserve">aised </w:t>
      </w:r>
      <w:r w:rsidRPr="007C6397">
        <w:t>by the TGA Delegate for the ACM’s advice</w:t>
      </w:r>
    </w:p>
    <w:p w14:paraId="281C6A20" w14:textId="77777777" w:rsidR="00681B98" w:rsidRPr="007C6397" w:rsidRDefault="00681B98" w:rsidP="007C6397">
      <w:pPr>
        <w:pStyle w:val="Numberbullet0"/>
        <w:numPr>
          <w:ilvl w:val="0"/>
          <w:numId w:val="41"/>
        </w:numPr>
        <w:rPr>
          <w:b/>
          <w:i/>
        </w:rPr>
      </w:pPr>
      <w:r w:rsidRPr="007C6397">
        <w:rPr>
          <w:b/>
          <w:i/>
        </w:rPr>
        <w:t>All of the patients in the clinical trials were on glucocorticoids. Should this be included in the indication?</w:t>
      </w:r>
    </w:p>
    <w:p w14:paraId="65201A0D" w14:textId="40E480AD" w:rsidR="00681B98" w:rsidRDefault="007C6397" w:rsidP="00681B98">
      <w:r>
        <w:t>The sponsor</w:t>
      </w:r>
      <w:r w:rsidR="00681B98">
        <w:t xml:space="preserve"> believes that the most beneficial indication statement for prescrib</w:t>
      </w:r>
      <w:r w:rsidR="000B4DF9">
        <w:t xml:space="preserve">ers is the proposed therapeutic </w:t>
      </w:r>
      <w:r w:rsidR="00681B98">
        <w:t>indication (</w:t>
      </w:r>
      <w:r w:rsidR="007B19BE">
        <w:t>that is</w:t>
      </w:r>
      <w:r w:rsidR="00681B98">
        <w:t xml:space="preserve"> ‘</w:t>
      </w:r>
      <w:proofErr w:type="spellStart"/>
      <w:r w:rsidR="00B30701" w:rsidRPr="007C6397">
        <w:rPr>
          <w:i/>
        </w:rPr>
        <w:t>Nucala</w:t>
      </w:r>
      <w:proofErr w:type="spellEnd"/>
      <w:r w:rsidR="00681B98" w:rsidRPr="007C6397">
        <w:rPr>
          <w:i/>
        </w:rPr>
        <w:t xml:space="preserve"> is indicated as an add-on treatment for relap</w:t>
      </w:r>
      <w:r w:rsidR="000B4DF9" w:rsidRPr="007C6397">
        <w:rPr>
          <w:i/>
        </w:rPr>
        <w:t xml:space="preserve">sing or refractory Eosinophilic </w:t>
      </w:r>
      <w:r w:rsidR="00681B98" w:rsidRPr="007C6397">
        <w:rPr>
          <w:i/>
        </w:rPr>
        <w:t xml:space="preserve">Granulomatosis with </w:t>
      </w:r>
      <w:proofErr w:type="spellStart"/>
      <w:r w:rsidR="00681B98" w:rsidRPr="007C6397">
        <w:rPr>
          <w:i/>
        </w:rPr>
        <w:t>Polyangiitis</w:t>
      </w:r>
      <w:proofErr w:type="spellEnd"/>
      <w:r w:rsidR="00681B98" w:rsidRPr="007C6397">
        <w:rPr>
          <w:i/>
        </w:rPr>
        <w:t xml:space="preserve"> (EGPA) in patients aged 18 years and </w:t>
      </w:r>
      <w:r w:rsidR="00E807F4" w:rsidRPr="007C6397">
        <w:rPr>
          <w:i/>
        </w:rPr>
        <w:t>over’</w:t>
      </w:r>
      <w:r w:rsidR="00E807F4">
        <w:t xml:space="preserve">) with additional details </w:t>
      </w:r>
      <w:r w:rsidR="00681B98">
        <w:t>relating to the study design and treated patient population included in the cli</w:t>
      </w:r>
      <w:r w:rsidR="00E807F4">
        <w:t xml:space="preserve">nical trials section of the PI. </w:t>
      </w:r>
      <w:r w:rsidR="00681B98">
        <w:t xml:space="preserve">The inclusion </w:t>
      </w:r>
      <w:r>
        <w:t>OCS</w:t>
      </w:r>
      <w:r w:rsidR="00681B98">
        <w:t xml:space="preserve"> in the indication would requir</w:t>
      </w:r>
      <w:r w:rsidR="00E807F4">
        <w:t xml:space="preserve">e patients to be on a treatment </w:t>
      </w:r>
      <w:r w:rsidR="00681B98">
        <w:t xml:space="preserve">that is not registered for use in EGPA (in Australia and worldwide) prior </w:t>
      </w:r>
      <w:r w:rsidR="00E807F4">
        <w:t xml:space="preserve">to starting a treatment that is </w:t>
      </w:r>
      <w:r w:rsidR="00681B98">
        <w:t>indicated for EGPA. In addition, requiring OCS in the indication statemen</w:t>
      </w:r>
      <w:r w:rsidR="00E807F4">
        <w:t xml:space="preserve">t does not account for patients </w:t>
      </w:r>
      <w:r w:rsidR="00681B98">
        <w:t xml:space="preserve">that </w:t>
      </w:r>
      <w:r w:rsidR="00681B98">
        <w:lastRenderedPageBreak/>
        <w:t xml:space="preserve">have been tapered off OCS while on </w:t>
      </w:r>
      <w:proofErr w:type="spellStart"/>
      <w:r w:rsidR="00681B98">
        <w:t>mepolizumab</w:t>
      </w:r>
      <w:proofErr w:type="spellEnd"/>
      <w:r w:rsidR="00681B98">
        <w:t xml:space="preserve"> treatment. </w:t>
      </w:r>
      <w:r w:rsidR="00C508F3">
        <w:t xml:space="preserve">Study </w:t>
      </w:r>
      <w:r>
        <w:t>MEA115921</w:t>
      </w:r>
      <w:r w:rsidR="00E807F4">
        <w:t xml:space="preserve"> demonstrated </w:t>
      </w:r>
      <w:r w:rsidR="00681B98">
        <w:t xml:space="preserve">that </w:t>
      </w:r>
      <w:proofErr w:type="spellStart"/>
      <w:r w:rsidR="00681B98">
        <w:t>mepolizumab</w:t>
      </w:r>
      <w:proofErr w:type="spellEnd"/>
      <w:r w:rsidR="00681B98">
        <w:t xml:space="preserve"> treated patients can decrease their corticosteroid d</w:t>
      </w:r>
      <w:r w:rsidR="00E807F4">
        <w:t xml:space="preserve">ose (18% of </w:t>
      </w:r>
      <w:proofErr w:type="spellStart"/>
      <w:r w:rsidR="00E807F4">
        <w:t>mepolizumab</w:t>
      </w:r>
      <w:proofErr w:type="spellEnd"/>
      <w:r w:rsidR="00E807F4">
        <w:t xml:space="preserve"> treated </w:t>
      </w:r>
      <w:r w:rsidR="00681B98">
        <w:t xml:space="preserve">patients weaned completely off OCS during the last 4 weeks of treatment). </w:t>
      </w:r>
      <w:r w:rsidR="00E807F4">
        <w:t xml:space="preserve">Conceivably, a patient that has </w:t>
      </w:r>
      <w:r w:rsidR="00681B98">
        <w:t xml:space="preserve">been weaned off OCS and has had a lapse of </w:t>
      </w:r>
      <w:proofErr w:type="spellStart"/>
      <w:r w:rsidR="00681B98">
        <w:t>mepolizumab</w:t>
      </w:r>
      <w:proofErr w:type="spellEnd"/>
      <w:r w:rsidR="00681B98">
        <w:t xml:space="preserve"> treatment c</w:t>
      </w:r>
      <w:r w:rsidR="00E807F4">
        <w:t xml:space="preserve">ould be required to restart OCS </w:t>
      </w:r>
      <w:r w:rsidR="00681B98">
        <w:t xml:space="preserve">prior to restarting </w:t>
      </w:r>
      <w:proofErr w:type="spellStart"/>
      <w:r w:rsidR="00681B98">
        <w:t>mepolizumab</w:t>
      </w:r>
      <w:proofErr w:type="spellEnd"/>
      <w:r w:rsidR="00681B98">
        <w:t xml:space="preserve"> should the indication require patients to have existing OCS treatment.</w:t>
      </w:r>
    </w:p>
    <w:p w14:paraId="1B94490E" w14:textId="77777777" w:rsidR="00681B98" w:rsidRDefault="007C6397" w:rsidP="00681B98">
      <w:r>
        <w:t>The sponsor</w:t>
      </w:r>
      <w:r w:rsidR="00681B98">
        <w:t xml:space="preserve"> proposes to modify the EGPA indication statement by adding a cross reference to section 5.1 of the</w:t>
      </w:r>
      <w:r w:rsidR="00E807F4">
        <w:t xml:space="preserve"> </w:t>
      </w:r>
      <w:r w:rsidR="00681B98">
        <w:t>PI, which is consistent with the approach taken by the TGA for the severe a</w:t>
      </w:r>
      <w:r w:rsidR="00E807F4">
        <w:t xml:space="preserve">sthma indication and is a clear </w:t>
      </w:r>
      <w:r w:rsidR="00681B98">
        <w:t xml:space="preserve">and succinct approach to communicate the appropriate use of </w:t>
      </w:r>
      <w:proofErr w:type="spellStart"/>
      <w:r w:rsidR="00681B98">
        <w:t>mepolizumab</w:t>
      </w:r>
      <w:proofErr w:type="spellEnd"/>
      <w:r w:rsidR="00681B98">
        <w:t xml:space="preserve"> to prescribers.</w:t>
      </w:r>
    </w:p>
    <w:p w14:paraId="22C359E1" w14:textId="77777777" w:rsidR="00681B98" w:rsidRPr="00232508" w:rsidRDefault="00681B98" w:rsidP="00232508">
      <w:pPr>
        <w:pStyle w:val="Numberbullet0"/>
        <w:rPr>
          <w:b/>
          <w:i/>
        </w:rPr>
      </w:pPr>
      <w:r w:rsidRPr="00232508">
        <w:rPr>
          <w:b/>
          <w:i/>
        </w:rPr>
        <w:t>Please comment on the exclusion of patients with organ threatening conditions in the clinical trial.</w:t>
      </w:r>
    </w:p>
    <w:p w14:paraId="3B5BE4A1" w14:textId="77777777" w:rsidR="00681B98" w:rsidRDefault="00681B98" w:rsidP="00681B98">
      <w:r>
        <w:t>As a general principle, patients with organ threatening conditions that ar</w:t>
      </w:r>
      <w:r w:rsidR="00E807F4">
        <w:t xml:space="preserve">e considered medically unstable </w:t>
      </w:r>
      <w:r w:rsidR="007C6397">
        <w:t xml:space="preserve">are not included in placebo </w:t>
      </w:r>
      <w:r>
        <w:t>controlled trials.</w:t>
      </w:r>
    </w:p>
    <w:p w14:paraId="4F5ED0CD" w14:textId="77777777" w:rsidR="00853171" w:rsidRDefault="007C6397" w:rsidP="00681B98">
      <w:r>
        <w:t>The protocol for the pivotal S</w:t>
      </w:r>
      <w:r w:rsidR="00681B98">
        <w:t>tudy</w:t>
      </w:r>
      <w:r w:rsidR="001B4E8B">
        <w:t xml:space="preserve"> MEA115921, exclusion criteria number </w:t>
      </w:r>
      <w:r w:rsidR="00681B98">
        <w:t xml:space="preserve">2 </w:t>
      </w:r>
      <w:r w:rsidR="00E807F4">
        <w:t>stated</w:t>
      </w:r>
      <w:r w:rsidR="00853171">
        <w:t>:</w:t>
      </w:r>
    </w:p>
    <w:p w14:paraId="037D19EC" w14:textId="07020FB1" w:rsidR="007C6397" w:rsidRDefault="007C6397" w:rsidP="007C6397">
      <w:pPr>
        <w:ind w:left="720"/>
      </w:pPr>
      <w:r>
        <w:rPr>
          <w:b/>
        </w:rPr>
        <w:t xml:space="preserve">Organ </w:t>
      </w:r>
      <w:r w:rsidR="00E807F4" w:rsidRPr="007C6397">
        <w:rPr>
          <w:b/>
        </w:rPr>
        <w:t>threatening EGPA</w:t>
      </w:r>
      <w:r w:rsidR="00E807F4">
        <w:t xml:space="preserve">: </w:t>
      </w:r>
      <w:r w:rsidR="00681B98">
        <w:t xml:space="preserve">Organ-threatening EGPA as per EULAR criteria, </w:t>
      </w:r>
      <w:r w:rsidR="007B19BE">
        <w:t>that is</w:t>
      </w:r>
      <w:r w:rsidR="00681B98">
        <w:t>, organ failure due t</w:t>
      </w:r>
      <w:r w:rsidR="00E807F4">
        <w:t xml:space="preserve">o active vasculitis, creatinine </w:t>
      </w:r>
      <w:r w:rsidR="00681B98">
        <w:t>&gt;</w:t>
      </w:r>
      <w:r>
        <w:t xml:space="preserve"> </w:t>
      </w:r>
      <w:r w:rsidR="00681B98">
        <w:t>5.8 g/</w:t>
      </w:r>
      <w:proofErr w:type="spellStart"/>
      <w:r w:rsidR="00681B98">
        <w:t>dL</w:t>
      </w:r>
      <w:proofErr w:type="spellEnd"/>
      <w:r w:rsidR="00681B98">
        <w:t xml:space="preserve"> (&gt;</w:t>
      </w:r>
      <w:r>
        <w:t xml:space="preserve"> </w:t>
      </w:r>
      <w:r w:rsidR="00681B98">
        <w:t xml:space="preserve">513 </w:t>
      </w:r>
      <w:r w:rsidR="00C508F3">
        <w:t>µ</w:t>
      </w:r>
      <w:proofErr w:type="spellStart"/>
      <w:r w:rsidR="00681B98">
        <w:t>mol</w:t>
      </w:r>
      <w:proofErr w:type="spellEnd"/>
      <w:r w:rsidR="00681B98">
        <w:t>/L) within 3 months prior to Scr</w:t>
      </w:r>
      <w:r>
        <w:t>eening (Visit 1).</w:t>
      </w:r>
    </w:p>
    <w:p w14:paraId="71583737" w14:textId="77777777" w:rsidR="00681B98" w:rsidRDefault="00681B98" w:rsidP="00681B98">
      <w:r>
        <w:t>Pa</w:t>
      </w:r>
      <w:r w:rsidR="007C6397">
        <w:t>tient safety is important to the sponsor</w:t>
      </w:r>
      <w:r>
        <w:t>. Subjects with organ-threateni</w:t>
      </w:r>
      <w:r w:rsidR="00E807F4">
        <w:t xml:space="preserve">ng EGPA, were excluded as these </w:t>
      </w:r>
      <w:r>
        <w:t>patients were considered too medically unst</w:t>
      </w:r>
      <w:r w:rsidR="007C6397">
        <w:t xml:space="preserve">able for inclusion in a placebo </w:t>
      </w:r>
      <w:r>
        <w:t>c</w:t>
      </w:r>
      <w:r w:rsidR="00E807F4">
        <w:t xml:space="preserve">ontrolled trial. These patients </w:t>
      </w:r>
      <w:r>
        <w:t>often require close monitoring of clinica</w:t>
      </w:r>
      <w:r w:rsidR="007C6397">
        <w:t xml:space="preserve">l status with eosinophil levels, </w:t>
      </w:r>
      <w:r w:rsidR="00E807F4">
        <w:t xml:space="preserve">which were blinded during the </w:t>
      </w:r>
      <w:r>
        <w:t>study. I</w:t>
      </w:r>
      <w:r w:rsidR="007C6397">
        <w:t xml:space="preserve">n addition, subjects with organ threatening or life </w:t>
      </w:r>
      <w:r>
        <w:t>threaten</w:t>
      </w:r>
      <w:r w:rsidR="00E807F4">
        <w:t xml:space="preserve">ing EGPA were excluded from the </w:t>
      </w:r>
      <w:r>
        <w:t xml:space="preserve">study as, according to EULAR treatment guidelines, these patients require treatment </w:t>
      </w:r>
      <w:r w:rsidR="00E807F4">
        <w:t xml:space="preserve">with </w:t>
      </w:r>
      <w:r>
        <w:t>cyclophosphamide (a treatment that was excluded from use during the study</w:t>
      </w:r>
      <w:r w:rsidR="00E807F4">
        <w:t xml:space="preserve">) and there are limited data to </w:t>
      </w:r>
      <w:r>
        <w:t xml:space="preserve">support the use of </w:t>
      </w:r>
      <w:proofErr w:type="spellStart"/>
      <w:r>
        <w:t>mepolizumab</w:t>
      </w:r>
      <w:proofErr w:type="spellEnd"/>
      <w:r>
        <w:t xml:space="preserve"> in these patients. Prior to the comm</w:t>
      </w:r>
      <w:r w:rsidR="00E807F4">
        <w:t xml:space="preserve">encement of the study, external </w:t>
      </w:r>
      <w:r>
        <w:t>experts recommended prohibiting cyclophosphamide use during the study</w:t>
      </w:r>
      <w:r w:rsidR="00E807F4">
        <w:t xml:space="preserve"> due to inconsistent use across </w:t>
      </w:r>
      <w:r>
        <w:t>regions and possible confounding effects on efficacy and safety results during the study.</w:t>
      </w:r>
    </w:p>
    <w:p w14:paraId="604B39EE" w14:textId="77777777" w:rsidR="00681B98" w:rsidRPr="00232508" w:rsidRDefault="00681B98" w:rsidP="00232508">
      <w:pPr>
        <w:pStyle w:val="Numberbullet0"/>
        <w:rPr>
          <w:b/>
          <w:i/>
        </w:rPr>
      </w:pPr>
      <w:r w:rsidRPr="00232508">
        <w:rPr>
          <w:b/>
          <w:i/>
        </w:rPr>
        <w:t xml:space="preserve">What is the most clinically significant endpoint for studies </w:t>
      </w:r>
      <w:r w:rsidR="00E807F4" w:rsidRPr="00232508">
        <w:rPr>
          <w:b/>
          <w:i/>
        </w:rPr>
        <w:t xml:space="preserve">in EGPA? Improvement in average </w:t>
      </w:r>
      <w:r w:rsidRPr="00232508">
        <w:rPr>
          <w:b/>
          <w:i/>
        </w:rPr>
        <w:t>BVAS or number of patients achieving remission or ability to w</w:t>
      </w:r>
      <w:r w:rsidR="00E807F4" w:rsidRPr="00232508">
        <w:rPr>
          <w:b/>
          <w:i/>
        </w:rPr>
        <w:t xml:space="preserve">ean steroids. Is BVAS useful to </w:t>
      </w:r>
      <w:r w:rsidR="007C6397">
        <w:rPr>
          <w:b/>
          <w:i/>
        </w:rPr>
        <w:t>assess disease in all organs, for example eye, heart, nervous system?</w:t>
      </w:r>
    </w:p>
    <w:p w14:paraId="40FA5087" w14:textId="77777777" w:rsidR="00681B98" w:rsidRDefault="007C6397" w:rsidP="00681B98">
      <w:r>
        <w:t>The sponsor</w:t>
      </w:r>
      <w:r w:rsidR="00681B98">
        <w:t xml:space="preserve"> is not aware of specific Australian therapeutic guidelines for E</w:t>
      </w:r>
      <w:r w:rsidR="00E807F4">
        <w:t xml:space="preserve">GPA. EULAR guidelines, accepted </w:t>
      </w:r>
      <w:r w:rsidR="00681B98">
        <w:t>internationally and considered appropriate in the Australian context, ident</w:t>
      </w:r>
      <w:r w:rsidR="00E807F4">
        <w:t xml:space="preserve">ify several important endpoints </w:t>
      </w:r>
      <w:r w:rsidR="00681B98">
        <w:t>for clinical trials</w:t>
      </w:r>
      <w:r>
        <w:t>.</w:t>
      </w:r>
      <w:r>
        <w:fldChar w:fldCharType="begin"/>
      </w:r>
      <w:r>
        <w:instrText xml:space="preserve"> NOTEREF _Ref15891806 \f \h </w:instrText>
      </w:r>
      <w:r>
        <w:fldChar w:fldCharType="separate"/>
      </w:r>
      <w:r w:rsidRPr="007C6397">
        <w:rPr>
          <w:rStyle w:val="FootnoteReference"/>
        </w:rPr>
        <w:t>11</w:t>
      </w:r>
      <w:r>
        <w:fldChar w:fldCharType="end"/>
      </w:r>
      <w:r w:rsidR="00681B98">
        <w:t xml:space="preserve"> There is no priority provided for</w:t>
      </w:r>
      <w:r>
        <w:t xml:space="preserve"> one endpoint over another. The sponsor</w:t>
      </w:r>
      <w:r w:rsidR="00E807F4">
        <w:t xml:space="preserve"> </w:t>
      </w:r>
      <w:r w:rsidR="00681B98">
        <w:t xml:space="preserve">identified remission, relapse, and corticosteroid reduction </w:t>
      </w:r>
      <w:r>
        <w:t xml:space="preserve">as important endpoints for a 52 </w:t>
      </w:r>
      <w:r w:rsidR="00681B98">
        <w:t>week study.</w:t>
      </w:r>
    </w:p>
    <w:p w14:paraId="5DF0288D" w14:textId="77777777" w:rsidR="00681B98" w:rsidRDefault="00681B98" w:rsidP="00681B98">
      <w:r>
        <w:t>EULAR guidelines define remission as the absence of disease activity. BV</w:t>
      </w:r>
      <w:r w:rsidR="00E807F4">
        <w:t xml:space="preserve">AS measures </w:t>
      </w:r>
      <w:proofErr w:type="spellStart"/>
      <w:r w:rsidR="00E807F4">
        <w:t>vasculitic</w:t>
      </w:r>
      <w:proofErr w:type="spellEnd"/>
      <w:r w:rsidR="00E807F4">
        <w:t xml:space="preserve"> activity </w:t>
      </w:r>
      <w:r>
        <w:t>in a number of organ systems and is presented in categories (general, cu</w:t>
      </w:r>
      <w:r w:rsidR="00E807F4">
        <w:t xml:space="preserve">taneous, mucous membranes/eyes, </w:t>
      </w:r>
      <w:r>
        <w:t>ENT, chest, cardiovascular, abdominal, renal, and nervous system). The av</w:t>
      </w:r>
      <w:r w:rsidR="00E807F4">
        <w:t xml:space="preserve">erage score of the BVAS is less </w:t>
      </w:r>
      <w:r>
        <w:t>clinically relevant than if there is active disease (a score &gt;</w:t>
      </w:r>
      <w:r w:rsidR="007C6397">
        <w:t xml:space="preserve"> </w:t>
      </w:r>
      <w:r>
        <w:t>0). The composi</w:t>
      </w:r>
      <w:r w:rsidR="00E807F4">
        <w:t>te of BVAS</w:t>
      </w:r>
      <w:r w:rsidR="007C6397">
        <w:t xml:space="preserve"> </w:t>
      </w:r>
      <w:r w:rsidR="00E807F4">
        <w:t>=</w:t>
      </w:r>
      <w:r w:rsidR="007C6397">
        <w:t xml:space="preserve"> </w:t>
      </w:r>
      <w:r w:rsidR="00E807F4">
        <w:t xml:space="preserve">0 and corticosteroid </w:t>
      </w:r>
      <w:r>
        <w:t>dose are used to define remission. Relapse is defined as a new onset or recurrence of disease activity.</w:t>
      </w:r>
    </w:p>
    <w:p w14:paraId="61509D6F" w14:textId="4F5F1B6B" w:rsidR="00E807F4" w:rsidRDefault="00E807F4" w:rsidP="00E807F4">
      <w:r>
        <w:t>The primary endpoint</w:t>
      </w:r>
      <w:r w:rsidR="007C6397">
        <w:t xml:space="preserve">s for the </w:t>
      </w:r>
      <w:r w:rsidR="00C508F3">
        <w:t>Study</w:t>
      </w:r>
      <w:r w:rsidR="007C6397">
        <w:t>MEA115921</w:t>
      </w:r>
      <w:r>
        <w:t xml:space="preserve"> were focuse</w:t>
      </w:r>
      <w:r w:rsidR="00245E7E">
        <w:t xml:space="preserve">d on remission with relapse and </w:t>
      </w:r>
      <w:r>
        <w:t>corticosteroid reduction as secondary endpoints. For remission</w:t>
      </w:r>
      <w:r w:rsidR="007C6397">
        <w:t>, the sponsor utilis</w:t>
      </w:r>
      <w:r w:rsidR="00245E7E">
        <w:t xml:space="preserve">ed a more stringent </w:t>
      </w:r>
      <w:r>
        <w:t>corticosteroid threshold than the EULAR guidelines in order to ensure tha</w:t>
      </w:r>
      <w:r w:rsidR="00245E7E">
        <w:t xml:space="preserve">t differences between treatment </w:t>
      </w:r>
      <w:r>
        <w:t>groups were due to medication rather than chance fluctuations in diseas</w:t>
      </w:r>
      <w:r w:rsidR="00245E7E">
        <w:t xml:space="preserve">e activity. In discussions with </w:t>
      </w:r>
      <w:r>
        <w:t xml:space="preserve">regulatory agencies prior to commencement of study (FDA and </w:t>
      </w:r>
      <w:r w:rsidR="00245E7E">
        <w:t xml:space="preserve">EMA and PMDA), they recommended </w:t>
      </w:r>
      <w:r>
        <w:t xml:space="preserve">use of remission </w:t>
      </w:r>
      <w:r>
        <w:lastRenderedPageBreak/>
        <w:t>as a primary endpoint rather than a steroid reduction end</w:t>
      </w:r>
      <w:r w:rsidR="00245E7E">
        <w:t xml:space="preserve">point. As noted before, OCS are </w:t>
      </w:r>
      <w:r>
        <w:t>not registered for the treatment of EGPA and the reduction of an unregiste</w:t>
      </w:r>
      <w:r w:rsidR="00245E7E">
        <w:t xml:space="preserve">red treatment could not be used </w:t>
      </w:r>
      <w:r>
        <w:t xml:space="preserve">to gain approval for use of </w:t>
      </w:r>
      <w:proofErr w:type="spellStart"/>
      <w:r>
        <w:t>mepolizumab</w:t>
      </w:r>
      <w:proofErr w:type="spellEnd"/>
      <w:r>
        <w:t xml:space="preserve"> in EGPA.</w:t>
      </w:r>
    </w:p>
    <w:p w14:paraId="6CB4A0F6" w14:textId="77777777" w:rsidR="00E807F4" w:rsidRDefault="00E807F4" w:rsidP="00E807F4">
      <w:r>
        <w:t>In discussion with external global experts, the three most important cli</w:t>
      </w:r>
      <w:r w:rsidR="00245E7E">
        <w:t xml:space="preserve">nical goals were identified as: </w:t>
      </w:r>
      <w:r>
        <w:t>achieving remission, a decrease in OCS of at least 50% during weeks 4</w:t>
      </w:r>
      <w:r w:rsidR="007C6397">
        <w:t xml:space="preserve">8 to </w:t>
      </w:r>
      <w:r w:rsidR="00245E7E">
        <w:t xml:space="preserve">52, and not experiencing an </w:t>
      </w:r>
      <w:r w:rsidR="007C6397">
        <w:t xml:space="preserve">EGPA relapse during the 52 </w:t>
      </w:r>
      <w:r>
        <w:t>week treatment period. Summaries of clini</w:t>
      </w:r>
      <w:r w:rsidR="00245E7E">
        <w:t xml:space="preserve">cal benefit for these treatment </w:t>
      </w:r>
      <w:r w:rsidR="007C6397">
        <w:t xml:space="preserve">goals were derived post </w:t>
      </w:r>
      <w:r>
        <w:t>hoc (</w:t>
      </w:r>
      <w:r w:rsidR="00681F6C">
        <w:fldChar w:fldCharType="begin"/>
      </w:r>
      <w:r w:rsidR="00681F6C">
        <w:instrText xml:space="preserve"> REF _Ref15982700 \h </w:instrText>
      </w:r>
      <w:r w:rsidR="00681F6C">
        <w:fldChar w:fldCharType="separate"/>
      </w:r>
      <w:r w:rsidR="00126A5E">
        <w:t xml:space="preserve">Table </w:t>
      </w:r>
      <w:r w:rsidR="00126A5E">
        <w:rPr>
          <w:noProof/>
        </w:rPr>
        <w:t>26</w:t>
      </w:r>
      <w:r w:rsidR="00681F6C">
        <w:fldChar w:fldCharType="end"/>
      </w:r>
      <w:r>
        <w:t xml:space="preserve">). </w:t>
      </w:r>
      <w:r w:rsidR="00681F6C">
        <w:t>The sponsor</w:t>
      </w:r>
      <w:r>
        <w:t xml:space="preserve"> believes that this i</w:t>
      </w:r>
      <w:r w:rsidR="00245E7E">
        <w:t xml:space="preserve">nformation is most relevant for </w:t>
      </w:r>
      <w:r>
        <w:t xml:space="preserve">clinicians and this data was presented in </w:t>
      </w:r>
      <w:r w:rsidR="00681F6C">
        <w:t>the clinical study report</w:t>
      </w:r>
      <w:r>
        <w:t>.</w:t>
      </w:r>
    </w:p>
    <w:p w14:paraId="688FDDF3" w14:textId="77777777" w:rsidR="007C6397" w:rsidRDefault="007C6397" w:rsidP="007C6397">
      <w:pPr>
        <w:pStyle w:val="TableTitle"/>
      </w:pPr>
      <w:bookmarkStart w:id="247" w:name="_Ref15982700"/>
      <w:r>
        <w:t xml:space="preserve">Table </w:t>
      </w:r>
      <w:r w:rsidR="00C33647">
        <w:rPr>
          <w:noProof/>
        </w:rPr>
        <w:fldChar w:fldCharType="begin"/>
      </w:r>
      <w:r w:rsidR="00C33647">
        <w:rPr>
          <w:noProof/>
        </w:rPr>
        <w:instrText xml:space="preserve"> SEQ Table \* ARABIC </w:instrText>
      </w:r>
      <w:r w:rsidR="00C33647">
        <w:rPr>
          <w:noProof/>
        </w:rPr>
        <w:fldChar w:fldCharType="separate"/>
      </w:r>
      <w:r w:rsidR="00126A5E">
        <w:rPr>
          <w:noProof/>
        </w:rPr>
        <w:t>26</w:t>
      </w:r>
      <w:r w:rsidR="00C33647">
        <w:rPr>
          <w:noProof/>
        </w:rPr>
        <w:fldChar w:fldCharType="end"/>
      </w:r>
      <w:bookmarkEnd w:id="247"/>
      <w:r>
        <w:t>: Summary of clinical benefit (using remission definition: BVAS = 0 and OCS dose ≤ 4 mg/day; Study MEA115921, safety population)</w:t>
      </w:r>
    </w:p>
    <w:p w14:paraId="7242925C" w14:textId="77777777" w:rsidR="00245E7E" w:rsidRDefault="00260E16" w:rsidP="00E807F4">
      <w:r>
        <w:rPr>
          <w:noProof/>
          <w:lang w:eastAsia="en-AU"/>
        </w:rPr>
        <w:drawing>
          <wp:inline distT="0" distB="0" distL="0" distR="0" wp14:anchorId="6D09FED3" wp14:editId="3381DF9C">
            <wp:extent cx="5400040" cy="1730205"/>
            <wp:effectExtent l="0" t="0" r="0" b="3810"/>
            <wp:docPr id="2" name="Picture 2" descr="Summary of clinical benefit (using remission definition: BVAS = 0 and OCS dose ≤ 4 mg/day; Study MEA115921,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1730205"/>
                    </a:xfrm>
                    <a:prstGeom prst="rect">
                      <a:avLst/>
                    </a:prstGeom>
                  </pic:spPr>
                </pic:pic>
              </a:graphicData>
            </a:graphic>
          </wp:inline>
        </w:drawing>
      </w:r>
    </w:p>
    <w:p w14:paraId="7EF5C084" w14:textId="77777777" w:rsidR="00245E7E" w:rsidRPr="00232508" w:rsidRDefault="00245E7E" w:rsidP="00232508">
      <w:pPr>
        <w:pStyle w:val="Numberbullet0"/>
        <w:rPr>
          <w:b/>
          <w:i/>
        </w:rPr>
      </w:pPr>
      <w:r w:rsidRPr="00232508">
        <w:rPr>
          <w:b/>
          <w:i/>
        </w:rPr>
        <w:t>How is disease activity assessed in clinical practice? Should treatment be directed by serum eosinophil count?</w:t>
      </w:r>
    </w:p>
    <w:p w14:paraId="34E773C7" w14:textId="77777777" w:rsidR="00245E7E" w:rsidRDefault="00245E7E" w:rsidP="00245E7E">
      <w:r>
        <w:t xml:space="preserve">Medical management in clinical practice is focussed on assessing </w:t>
      </w:r>
      <w:proofErr w:type="spellStart"/>
      <w:r>
        <w:t>vasculitic</w:t>
      </w:r>
      <w:proofErr w:type="spellEnd"/>
      <w:r>
        <w:t xml:space="preserve"> activity and asthma control. Physicians follow their patient’s symptoms closely in order to determine when they may decrease corticosteroid/immunosuppressive therapy. Particular attention is paid to cardiac involvement. Standardised scoring systems, such as the BVAS, may be used or physicians may focus in on particular organ systems. Current EULAR guidelines on the management of EGPA do not recommend basing treatment decisions on only bloo</w:t>
      </w:r>
      <w:r w:rsidR="00260E16">
        <w:t>d eosinophil levels</w:t>
      </w:r>
      <w:r>
        <w:t>.</w:t>
      </w:r>
      <w:r w:rsidR="00260E16">
        <w:fldChar w:fldCharType="begin"/>
      </w:r>
      <w:r w:rsidR="00260E16">
        <w:instrText xml:space="preserve"> NOTEREF _Ref14854307 \f \h </w:instrText>
      </w:r>
      <w:r w:rsidR="00260E16">
        <w:fldChar w:fldCharType="separate"/>
      </w:r>
      <w:r w:rsidR="00260E16" w:rsidRPr="00260E16">
        <w:rPr>
          <w:rStyle w:val="FootnoteReference"/>
        </w:rPr>
        <w:t>9</w:t>
      </w:r>
      <w:r w:rsidR="00260E16">
        <w:fldChar w:fldCharType="end"/>
      </w:r>
      <w:r>
        <w:t xml:space="preserve"> Tissue eosinophil levels may occur without blood eosinophilia and therefore other assessments of organ and vascular activity (</w:t>
      </w:r>
      <w:r w:rsidR="007B19BE">
        <w:t>that is</w:t>
      </w:r>
      <w:r>
        <w:t xml:space="preserve"> spirometry and BVAS) should be utilised in conjunction with blood eosinophil levels.</w:t>
      </w:r>
    </w:p>
    <w:p w14:paraId="2E515B75" w14:textId="6B2AE760" w:rsidR="00245E7E" w:rsidRDefault="00245E7E" w:rsidP="00232508">
      <w:pPr>
        <w:pStyle w:val="Heading5"/>
      </w:pPr>
      <w:r>
        <w:t xml:space="preserve">Other issues raised by the TGA </w:t>
      </w:r>
      <w:r w:rsidR="00C86C73">
        <w:t>d</w:t>
      </w:r>
      <w:r>
        <w:t>elegate</w:t>
      </w:r>
    </w:p>
    <w:p w14:paraId="022E59E5" w14:textId="548A472E" w:rsidR="00245E7E" w:rsidRDefault="00232508" w:rsidP="00232508">
      <w:pPr>
        <w:pStyle w:val="Heading6"/>
      </w:pPr>
      <w:r>
        <w:t xml:space="preserve">Summary of </w:t>
      </w:r>
      <w:r w:rsidR="00C86C73">
        <w:t>i</w:t>
      </w:r>
      <w:r>
        <w:t>ssues</w:t>
      </w:r>
    </w:p>
    <w:p w14:paraId="473B571F" w14:textId="77777777" w:rsidR="00245E7E" w:rsidRPr="00232508" w:rsidRDefault="00245E7E" w:rsidP="00232508">
      <w:pPr>
        <w:pStyle w:val="Numberbullet2"/>
        <w:rPr>
          <w:b/>
          <w:i/>
        </w:rPr>
      </w:pPr>
      <w:r w:rsidRPr="00232508">
        <w:rPr>
          <w:b/>
          <w:i/>
        </w:rPr>
        <w:t>The efficacy in adults with EGPA was based on a single pivotal study. The patients in the study had a diagnosis of EGPA and were on a s</w:t>
      </w:r>
      <w:r w:rsidR="00260E16">
        <w:rPr>
          <w:b/>
          <w:i/>
        </w:rPr>
        <w:t>table dose of glucocorticoid ±</w:t>
      </w:r>
      <w:r w:rsidRPr="00232508">
        <w:rPr>
          <w:b/>
          <w:i/>
        </w:rPr>
        <w:t xml:space="preserve"> other immunosuppressant (but not cyclophosphamide). Treatment with </w:t>
      </w:r>
      <w:proofErr w:type="spellStart"/>
      <w:r w:rsidRPr="00232508">
        <w:rPr>
          <w:b/>
          <w:i/>
        </w:rPr>
        <w:t>mepolizumab</w:t>
      </w:r>
      <w:proofErr w:type="spellEnd"/>
      <w:r w:rsidRPr="00232508">
        <w:rPr>
          <w:b/>
          <w:i/>
        </w:rPr>
        <w:t xml:space="preserve"> resulted in a statistically and clinically significant improvement in BVAS. However, remission occurred in only 32%.</w:t>
      </w:r>
    </w:p>
    <w:p w14:paraId="4A8A0B31" w14:textId="77777777" w:rsidR="00245E7E" w:rsidRDefault="00245E7E" w:rsidP="00245E7E">
      <w:r>
        <w:t>Typically, replicate evidence of efficacy is required to support registration. However, in this case a single study with clinically meaningful outcomes was considered acceptable for registration of this orphan designated medicine in the US, Canada and Japan, which is consistent with the reco</w:t>
      </w:r>
      <w:r w:rsidR="00260E16">
        <w:t>mmendation by the Delegate and c</w:t>
      </w:r>
      <w:r>
        <w:t>linical evaluator.</w:t>
      </w:r>
    </w:p>
    <w:p w14:paraId="2CDC39DC" w14:textId="77777777" w:rsidR="00245E7E" w:rsidRDefault="00245E7E" w:rsidP="00245E7E">
      <w:r>
        <w:t xml:space="preserve">The sponsor agrees that treatment with </w:t>
      </w:r>
      <w:proofErr w:type="spellStart"/>
      <w:r>
        <w:t>mepolizumab</w:t>
      </w:r>
      <w:proofErr w:type="spellEnd"/>
      <w:r>
        <w:t xml:space="preserve"> achieved a statistically and clinically significant greater accrued duration of BVAS</w:t>
      </w:r>
      <w:r w:rsidR="00260E16">
        <w:t xml:space="preserve"> </w:t>
      </w:r>
      <w:r>
        <w:t>=</w:t>
      </w:r>
      <w:r w:rsidR="00260E16">
        <w:t xml:space="preserve"> 0 over the 52 </w:t>
      </w:r>
      <w:r>
        <w:t>week treatment period compared with subjects who</w:t>
      </w:r>
      <w:r w:rsidRPr="00245E7E">
        <w:t xml:space="preserve"> </w:t>
      </w:r>
      <w:r>
        <w:t>received placebo (p</w:t>
      </w:r>
      <w:r w:rsidR="00260E16">
        <w:t xml:space="preserve"> </w:t>
      </w:r>
      <w:r>
        <w:t>&lt;</w:t>
      </w:r>
      <w:r w:rsidR="00260E16">
        <w:t xml:space="preserve"> </w:t>
      </w:r>
      <w:r>
        <w:t>0.001). It is relevant to note that BVAS was a component of the definition of remission with remission defined in terms of a lack of vasculitis activity (</w:t>
      </w:r>
      <w:r w:rsidR="007B19BE">
        <w:t>that is</w:t>
      </w:r>
      <w:r>
        <w:t>, BVAS</w:t>
      </w:r>
      <w:r w:rsidR="00260E16">
        <w:t xml:space="preserve"> </w:t>
      </w:r>
      <w:r>
        <w:t>=</w:t>
      </w:r>
      <w:r w:rsidR="00260E16">
        <w:t xml:space="preserve"> </w:t>
      </w:r>
      <w:r>
        <w:t>0) concurrent with an OCS dose ≤</w:t>
      </w:r>
      <w:r w:rsidR="00260E16">
        <w:t xml:space="preserve"> </w:t>
      </w:r>
      <w:r>
        <w:t>4 mg/day. As stated in the clinical e</w:t>
      </w:r>
      <w:r w:rsidR="00260E16">
        <w:t xml:space="preserve">valuation report, </w:t>
      </w:r>
      <w:r w:rsidR="00126A5E">
        <w:t>‘</w:t>
      </w:r>
      <w:r w:rsidR="00260E16">
        <w:t>the pivotal S</w:t>
      </w:r>
      <w:r>
        <w:t xml:space="preserve">tudy MEA115921 shows a substantial </w:t>
      </w:r>
      <w:r>
        <w:lastRenderedPageBreak/>
        <w:t xml:space="preserve">improvement with </w:t>
      </w:r>
      <w:proofErr w:type="spellStart"/>
      <w:r>
        <w:t>mepolizumab</w:t>
      </w:r>
      <w:proofErr w:type="spellEnd"/>
      <w:r>
        <w:t xml:space="preserve"> t</w:t>
      </w:r>
      <w:r w:rsidR="00260E16">
        <w:t xml:space="preserve">reatment for the co-primary end </w:t>
      </w:r>
      <w:r>
        <w:t>points of accrued duration of remission and proportion of subjects in remission at both Weeks 36 and 48</w:t>
      </w:r>
      <w:r w:rsidR="00126A5E">
        <w:t>’</w:t>
      </w:r>
      <w:r>
        <w:t xml:space="preserve"> with results being clinically meaningful and statistically significant.</w:t>
      </w:r>
    </w:p>
    <w:p w14:paraId="17A46558" w14:textId="10CF6B7F" w:rsidR="00245E7E" w:rsidRDefault="00245E7E" w:rsidP="00245E7E">
      <w:r>
        <w:t>The durability of remission, reported as the proportion of pati</w:t>
      </w:r>
      <w:r w:rsidR="00260E16">
        <w:t>ents who had remission at both W</w:t>
      </w:r>
      <w:r>
        <w:t xml:space="preserve">eeks 36 and 48, as stated by the Delegate, was 32% with </w:t>
      </w:r>
      <w:proofErr w:type="spellStart"/>
      <w:r>
        <w:t>mepolizumab</w:t>
      </w:r>
      <w:proofErr w:type="spellEnd"/>
      <w:r>
        <w:t xml:space="preserve">, however, this result should be qualified with the full end point and comparison to placebo </w:t>
      </w:r>
      <w:r w:rsidR="007B19BE">
        <w:t>that is</w:t>
      </w:r>
      <w:r w:rsidR="00260E16">
        <w:t xml:space="preserve"> the 32% responders at W</w:t>
      </w:r>
      <w:r>
        <w:t>eek 36 and 48 was a statistically significant difference when compared with 3% remission in the placebo gro</w:t>
      </w:r>
      <w:r w:rsidR="00260E16">
        <w:t xml:space="preserve">up who were on </w:t>
      </w:r>
      <w:r w:rsidR="0051271B">
        <w:t>standard of care</w:t>
      </w:r>
      <w:r w:rsidR="00260E16">
        <w:t xml:space="preserve"> treatment (</w:t>
      </w:r>
      <w:r w:rsidR="00C508F3">
        <w:t>p </w:t>
      </w:r>
      <w:r>
        <w:t>&lt;</w:t>
      </w:r>
      <w:r w:rsidR="00260E16">
        <w:t> </w:t>
      </w:r>
      <w:r>
        <w:t>0.001).</w:t>
      </w:r>
    </w:p>
    <w:p w14:paraId="18D0B232" w14:textId="77777777" w:rsidR="00245E7E" w:rsidRPr="00232508" w:rsidRDefault="00245E7E" w:rsidP="00232508">
      <w:pPr>
        <w:pStyle w:val="Numberbullet2"/>
        <w:rPr>
          <w:b/>
          <w:i/>
        </w:rPr>
      </w:pPr>
      <w:r w:rsidRPr="00232508">
        <w:rPr>
          <w:b/>
          <w:i/>
        </w:rPr>
        <w:t>The dose of 300 mg was based on an assumption that a higher dose would be required for EGPA than asthma</w:t>
      </w:r>
    </w:p>
    <w:p w14:paraId="1950D7BF" w14:textId="53374241" w:rsidR="00245E7E" w:rsidRDefault="00245E7E" w:rsidP="00245E7E">
      <w:r>
        <w:t>As a rare disease, it was not deemed feasible to perform dose ranging studies in EGPA patien</w:t>
      </w:r>
      <w:r w:rsidR="00260E16">
        <w:t xml:space="preserve">ts prior to </w:t>
      </w:r>
      <w:r w:rsidR="000B739D">
        <w:t>Study MEA115921</w:t>
      </w:r>
      <w:r>
        <w:t xml:space="preserve">. The dose rationale for EGPA was based on an understanding of </w:t>
      </w:r>
      <w:proofErr w:type="spellStart"/>
      <w:r>
        <w:t>mepolizumab</w:t>
      </w:r>
      <w:proofErr w:type="spellEnd"/>
      <w:r>
        <w:t xml:space="preserve"> pharmacology (blood eosinophil reduction) gained primarily through the </w:t>
      </w:r>
      <w:proofErr w:type="spellStart"/>
      <w:r>
        <w:t>mepolizumab</w:t>
      </w:r>
      <w:proofErr w:type="spellEnd"/>
      <w:r>
        <w:t xml:space="preserve"> severe asthma programme, coupled with the fact that EGPA was anticipated to have a greater involvement of eosinophils at multiple target organs (with potential for significant increase in blood eosinophils preceding relapse or during OCS taper). The greater organ involvement in EGPA and higher eosinophil burden justified selecting a dose that maximises eosinophil suppression in blood and tissue. While lower doses may be effective for some patients, and higher doses may be necessary for some patients, the 300 mg </w:t>
      </w:r>
      <w:proofErr w:type="spellStart"/>
      <w:r>
        <w:t>mepolizumab</w:t>
      </w:r>
      <w:proofErr w:type="spellEnd"/>
      <w:r>
        <w:t xml:space="preserve"> dose was selected as the dose most likely to benefit the EGPA patients </w:t>
      </w:r>
      <w:r w:rsidR="00260E16">
        <w:t>enrolled in Study MEA115921. The sponsor</w:t>
      </w:r>
      <w:r>
        <w:t xml:space="preserve"> has no plans at this time to perform additional EGPA studies.</w:t>
      </w:r>
    </w:p>
    <w:p w14:paraId="4D717AF9" w14:textId="77777777" w:rsidR="00245E7E" w:rsidRDefault="00245E7E" w:rsidP="00245E7E">
      <w:r>
        <w:t xml:space="preserve">The </w:t>
      </w:r>
      <w:proofErr w:type="spellStart"/>
      <w:r>
        <w:t>mepolizumab</w:t>
      </w:r>
      <w:proofErr w:type="spellEnd"/>
      <w:r>
        <w:t xml:space="preserve"> </w:t>
      </w:r>
      <w:r w:rsidR="00260E16">
        <w:t>HES</w:t>
      </w:r>
      <w:r>
        <w:t xml:space="preserve"> expanded access program (ongoing for 13 years) permits a variety of doses and dosing frequencies, due to the severe nature of the patients in the program and the need for flexibility in dosing frequencies for some patients in long term treatment. The lowest dose in the </w:t>
      </w:r>
      <w:proofErr w:type="spellStart"/>
      <w:r>
        <w:t>mepolizumab</w:t>
      </w:r>
      <w:proofErr w:type="spellEnd"/>
      <w:r>
        <w:t xml:space="preserve"> HES expanded access program is 300 mg SC. Of note, based on a similar rationale, the currently</w:t>
      </w:r>
      <w:r w:rsidR="00260E16">
        <w:t xml:space="preserve"> ongoing </w:t>
      </w:r>
      <w:proofErr w:type="spellStart"/>
      <w:r w:rsidR="00260E16">
        <w:t>mepolizumab</w:t>
      </w:r>
      <w:proofErr w:type="spellEnd"/>
      <w:r w:rsidR="00260E16">
        <w:t xml:space="preserve"> HES Phase III</w:t>
      </w:r>
      <w:r>
        <w:t xml:space="preserve"> study is investigating only one dosing regimen: 300 mg SC every 4 weeks.</w:t>
      </w:r>
    </w:p>
    <w:p w14:paraId="15879254" w14:textId="77777777" w:rsidR="00245E7E" w:rsidRPr="00232508" w:rsidRDefault="00245E7E" w:rsidP="00232508">
      <w:pPr>
        <w:pStyle w:val="Numberbullet2"/>
        <w:rPr>
          <w:b/>
          <w:i/>
        </w:rPr>
      </w:pPr>
      <w:r w:rsidRPr="00232508">
        <w:rPr>
          <w:b/>
          <w:i/>
        </w:rPr>
        <w:t>Although patients with EGPA may have had a very high eosinophil count historically, at the start of the study for many patients the eosinophil count was within the normal range (presumably due to treatment with oral corticosteroids)</w:t>
      </w:r>
      <w:r w:rsidR="00260E16">
        <w:rPr>
          <w:b/>
          <w:i/>
        </w:rPr>
        <w:t>.</w:t>
      </w:r>
    </w:p>
    <w:p w14:paraId="0D055B43" w14:textId="77777777" w:rsidR="00245E7E" w:rsidRDefault="00245E7E" w:rsidP="00245E7E">
      <w:r>
        <w:t>The sponsor acknowledges th</w:t>
      </w:r>
      <w:r w:rsidR="00260E16">
        <w:t>at blood eosinophil counts</w:t>
      </w:r>
      <w:r>
        <w:t xml:space="preserve"> was lower </w:t>
      </w:r>
      <w:r w:rsidR="00126A5E">
        <w:t>at Baseline</w:t>
      </w:r>
      <w:r>
        <w:t xml:space="preserve"> in patients in the EGPA study compared to patients with severe eosinophilic asthma. The study did not require elevated eosinophils at screening for eligibility. It is relevant to note that tissue eosinophilia may occur without blood eosinophilia and hence the other assessments of organ and vascular activity in patients with EGPA who have relapsed or have refractory disease. As poin</w:t>
      </w:r>
      <w:r w:rsidR="00260E16">
        <w:t>ted out by the Delegate in the p</w:t>
      </w:r>
      <w:r>
        <w:t xml:space="preserve">re-ACM preliminary assessment report, OCS (100% of patients in the study) and cytotoxic immunosuppressive drugs (53% of patients in the study) can reduce </w:t>
      </w:r>
      <w:r w:rsidR="00260E16">
        <w:t>blood eosinophil counts</w:t>
      </w:r>
      <w:r>
        <w:t xml:space="preserve"> and lead to the lower </w:t>
      </w:r>
      <w:r w:rsidR="00260E16">
        <w:t>blood eosinophil counts</w:t>
      </w:r>
      <w:r>
        <w:t xml:space="preserve"> observed </w:t>
      </w:r>
      <w:r w:rsidR="00126A5E">
        <w:t>at Baseline</w:t>
      </w:r>
      <w:r>
        <w:t xml:space="preserve"> in this pre-treated patient population.</w:t>
      </w:r>
    </w:p>
    <w:p w14:paraId="218ADC67" w14:textId="77777777" w:rsidR="00245E7E" w:rsidRPr="00232508" w:rsidRDefault="00245E7E" w:rsidP="00232508">
      <w:pPr>
        <w:pStyle w:val="Numberbullet2"/>
        <w:rPr>
          <w:b/>
          <w:i/>
        </w:rPr>
      </w:pPr>
      <w:r w:rsidRPr="00232508">
        <w:rPr>
          <w:b/>
          <w:i/>
        </w:rPr>
        <w:t>There is a risk of disease relapse when treatment is stopped</w:t>
      </w:r>
    </w:p>
    <w:p w14:paraId="673624B2" w14:textId="77777777" w:rsidR="00245E7E" w:rsidRDefault="00245E7E" w:rsidP="00245E7E">
      <w:r>
        <w:t xml:space="preserve">No rebound effect (defined as disease activity higher after cessation of </w:t>
      </w:r>
      <w:proofErr w:type="spellStart"/>
      <w:r>
        <w:t>mepolizumab</w:t>
      </w:r>
      <w:proofErr w:type="spellEnd"/>
      <w:r>
        <w:t xml:space="preserve"> treatment than </w:t>
      </w:r>
      <w:r w:rsidR="00126A5E">
        <w:t>at Baseline</w:t>
      </w:r>
      <w:r>
        <w:t xml:space="preserve">) has been observed in any </w:t>
      </w:r>
      <w:proofErr w:type="spellStart"/>
      <w:r>
        <w:t>mepolizumab</w:t>
      </w:r>
      <w:proofErr w:type="spellEnd"/>
      <w:r>
        <w:t xml:space="preserve"> program to date. The severe asthma development program for which data to investigate rebound effect is available, did not show evidence of symptom rebound after cessation of </w:t>
      </w:r>
      <w:proofErr w:type="spellStart"/>
      <w:r>
        <w:t>mepolizumab</w:t>
      </w:r>
      <w:proofErr w:type="spellEnd"/>
      <w:r>
        <w:t>.</w:t>
      </w:r>
    </w:p>
    <w:p w14:paraId="232AB33B" w14:textId="47BC81CE" w:rsidR="00245E7E" w:rsidRDefault="00245E7E" w:rsidP="00245E7E">
      <w:r>
        <w:t>Results obtained during th</w:t>
      </w:r>
      <w:r w:rsidR="00260E16">
        <w:t xml:space="preserve">e follow </w:t>
      </w:r>
      <w:r>
        <w:t>up period of the pivotal EGPA study indicated that during this follow</w:t>
      </w:r>
      <w:r w:rsidR="00260E16">
        <w:t xml:space="preserve"> up period, 18 out of </w:t>
      </w:r>
      <w:r>
        <w:t xml:space="preserve">68 (26%) placebo subjects experienced a relapse </w:t>
      </w:r>
      <w:r w:rsidR="00260E16">
        <w:t xml:space="preserve">compared to 22 out of </w:t>
      </w:r>
      <w:r>
        <w:t xml:space="preserve">68 (32%) of </w:t>
      </w:r>
      <w:proofErr w:type="spellStart"/>
      <w:r>
        <w:t>mepolizumab</w:t>
      </w:r>
      <w:proofErr w:type="spellEnd"/>
      <w:r w:rsidRPr="00245E7E">
        <w:t xml:space="preserve"> </w:t>
      </w:r>
      <w:r>
        <w:t xml:space="preserve">subjects. This was likely due to the fact </w:t>
      </w:r>
      <w:r>
        <w:lastRenderedPageBreak/>
        <w:t xml:space="preserve">that subjects that were treated with </w:t>
      </w:r>
      <w:proofErr w:type="spellStart"/>
      <w:r>
        <w:t>mepolizumab</w:t>
      </w:r>
      <w:proofErr w:type="spellEnd"/>
      <w:r>
        <w:t xml:space="preserve"> had significantly lower corticosteroid doses during the last 4 weeks of the treatment period when compared to placebo subjects. On stopping study treatment, the subjects who had been on </w:t>
      </w:r>
      <w:proofErr w:type="spellStart"/>
      <w:r>
        <w:t>mepolizumab</w:t>
      </w:r>
      <w:proofErr w:type="spellEnd"/>
      <w:r>
        <w:t xml:space="preserve"> were undertreated with corticosteroids compared to the placebo (</w:t>
      </w:r>
      <w:r w:rsidR="00C508F3">
        <w:t>standard of care</w:t>
      </w:r>
      <w:r>
        <w:t>) subjects, which is supported by the breakdown of the type of relapses, where the difference between the two treatment groups was almost entirely due to an imbalance of vasculitis relapses.</w:t>
      </w:r>
    </w:p>
    <w:p w14:paraId="382AADDC" w14:textId="77777777" w:rsidR="00245E7E" w:rsidRDefault="00245E7E" w:rsidP="00245E7E">
      <w:r>
        <w:t>The Delegate has accepted the sponsor</w:t>
      </w:r>
      <w:r w:rsidR="006850B7">
        <w:t>’</w:t>
      </w:r>
      <w:r>
        <w:t xml:space="preserve">s proposal to mitigate the risk of disease relapse on stopping </w:t>
      </w:r>
      <w:proofErr w:type="spellStart"/>
      <w:r>
        <w:t>mepolizumab</w:t>
      </w:r>
      <w:proofErr w:type="spellEnd"/>
      <w:r>
        <w:t xml:space="preserve"> treatment by including a precaution in the PI as follows: </w:t>
      </w:r>
      <w:r w:rsidR="00126A5E">
        <w:t>‘</w:t>
      </w:r>
      <w:proofErr w:type="spellStart"/>
      <w:r w:rsidR="00B30701">
        <w:t>Nucala</w:t>
      </w:r>
      <w:proofErr w:type="spellEnd"/>
      <w:r>
        <w:t xml:space="preserve"> treated patients may experience a return of EGPA symptoms upon cessation of </w:t>
      </w:r>
      <w:proofErr w:type="spellStart"/>
      <w:r w:rsidR="00B30701">
        <w:t>Nucala</w:t>
      </w:r>
      <w:proofErr w:type="spellEnd"/>
      <w:r>
        <w:t xml:space="preserve">. As patients may decrease their other EGPA treatments during treatment with </w:t>
      </w:r>
      <w:proofErr w:type="spellStart"/>
      <w:r w:rsidR="00B30701">
        <w:t>Nucala</w:t>
      </w:r>
      <w:proofErr w:type="spellEnd"/>
      <w:r>
        <w:t xml:space="preserve">, if </w:t>
      </w:r>
      <w:proofErr w:type="spellStart"/>
      <w:r w:rsidR="00B30701">
        <w:t>Nucala</w:t>
      </w:r>
      <w:proofErr w:type="spellEnd"/>
      <w:r>
        <w:t xml:space="preserve"> treatment is discontinued then other EGPA treatments may need to be increased accordingly.</w:t>
      </w:r>
      <w:r w:rsidR="00126A5E">
        <w:t>’</w:t>
      </w:r>
    </w:p>
    <w:p w14:paraId="585C9914" w14:textId="77777777" w:rsidR="00245E7E" w:rsidRPr="00232508" w:rsidRDefault="00245E7E" w:rsidP="00232508">
      <w:pPr>
        <w:pStyle w:val="Numberbullet2"/>
        <w:rPr>
          <w:b/>
          <w:i/>
        </w:rPr>
      </w:pPr>
      <w:r w:rsidRPr="00232508">
        <w:rPr>
          <w:b/>
          <w:i/>
        </w:rPr>
        <w:t>Data for long term use is limited.</w:t>
      </w:r>
    </w:p>
    <w:p w14:paraId="73696B08" w14:textId="5008C634" w:rsidR="00245E7E" w:rsidRDefault="006850B7" w:rsidP="00245E7E">
      <w:r>
        <w:t>In EGPA S</w:t>
      </w:r>
      <w:r w:rsidR="00245E7E">
        <w:t xml:space="preserve">tudy MEA115921, the safety profile of </w:t>
      </w:r>
      <w:proofErr w:type="spellStart"/>
      <w:r w:rsidR="00245E7E">
        <w:t>mepolizumab</w:t>
      </w:r>
      <w:proofErr w:type="spellEnd"/>
      <w:r w:rsidR="00245E7E">
        <w:t xml:space="preserve"> administered as 300</w:t>
      </w:r>
      <w:r>
        <w:t xml:space="preserve"> </w:t>
      </w:r>
      <w:r w:rsidR="00245E7E">
        <w:t>mg SC every 4 weeks for up to 52 weeks was similar to</w:t>
      </w:r>
      <w:r w:rsidR="00C508F3">
        <w:t xml:space="preserve"> standard of care</w:t>
      </w:r>
      <w:r w:rsidR="00245E7E">
        <w:t xml:space="preserve">, with no new safety concerns identified. Furthermore, no new safety concerns were identified in an ongoing EGPA </w:t>
      </w:r>
      <w:r w:rsidR="00FA06C6">
        <w:t>Long Term Access Program</w:t>
      </w:r>
      <w:r w:rsidR="00F71739">
        <w:t>me</w:t>
      </w:r>
      <w:r w:rsidR="00245E7E">
        <w:t xml:space="preserve"> MEA116841/201607 which enrolled subjects who completed </w:t>
      </w:r>
      <w:r w:rsidR="00C508F3">
        <w:t xml:space="preserve">Study </w:t>
      </w:r>
      <w:r w:rsidR="00245E7E">
        <w:t>MEA115921.</w:t>
      </w:r>
    </w:p>
    <w:p w14:paraId="2E3BF8C9" w14:textId="77777777" w:rsidR="00245E7E" w:rsidRDefault="00245E7E" w:rsidP="00245E7E">
      <w:r>
        <w:t xml:space="preserve">Long term safety data for </w:t>
      </w:r>
      <w:proofErr w:type="spellStart"/>
      <w:r>
        <w:t>mepolizumab</w:t>
      </w:r>
      <w:proofErr w:type="spellEnd"/>
      <w:r>
        <w:t xml:space="preserve"> 100</w:t>
      </w:r>
      <w:r w:rsidR="006850B7">
        <w:t xml:space="preserve"> </w:t>
      </w:r>
      <w:r>
        <w:t xml:space="preserve">mg SC every 4 weeks are available from the open label extension studies of </w:t>
      </w:r>
      <w:proofErr w:type="spellStart"/>
      <w:r>
        <w:t>mepolizumab</w:t>
      </w:r>
      <w:proofErr w:type="spellEnd"/>
      <w:r>
        <w:t xml:space="preserve"> in severe refractory eosinophilic asthma, where 998 subjects were treated for a median of 2.8 years (range 4 weeks to 4.5 years). These studies showed that there was no dos</w:t>
      </w:r>
      <w:r w:rsidR="006850B7">
        <w:t>e tolerance developed over time</w:t>
      </w:r>
      <w:r>
        <w:t xml:space="preserve"> and that the long-term safety profile of </w:t>
      </w:r>
      <w:proofErr w:type="spellStart"/>
      <w:r>
        <w:t>mepolizumab</w:t>
      </w:r>
      <w:proofErr w:type="spellEnd"/>
      <w:r>
        <w:t xml:space="preserve"> was similar to that observed in the severe asthma pla</w:t>
      </w:r>
      <w:r w:rsidR="006850B7">
        <w:t xml:space="preserve">cebo </w:t>
      </w:r>
      <w:r>
        <w:t>controlled studies.</w:t>
      </w:r>
    </w:p>
    <w:p w14:paraId="4DC3F9A1" w14:textId="62370D83" w:rsidR="00245E7E" w:rsidRDefault="006850B7" w:rsidP="00245E7E">
      <w:r>
        <w:t>The sponsor</w:t>
      </w:r>
      <w:r w:rsidR="00245E7E">
        <w:t xml:space="preserve"> will continue to monitor safety of </w:t>
      </w:r>
      <w:proofErr w:type="spellStart"/>
      <w:r w:rsidR="00245E7E">
        <w:t>mepolizumab</w:t>
      </w:r>
      <w:proofErr w:type="spellEnd"/>
      <w:r w:rsidR="00245E7E">
        <w:t xml:space="preserve"> across all indications studied, including EGPA via ongoing proactive pharmacovigilance activities. These include implementation of the </w:t>
      </w:r>
      <w:r w:rsidR="00C508F3">
        <w:t>RMP</w:t>
      </w:r>
      <w:r w:rsidR="00245E7E">
        <w:t xml:space="preserve"> and </w:t>
      </w:r>
      <w:r w:rsidR="00C508F3">
        <w:t>ASA</w:t>
      </w:r>
      <w:r w:rsidR="00245E7E">
        <w:t>, spontaneous adverse event monitoring and safety reporting as required.</w:t>
      </w:r>
    </w:p>
    <w:p w14:paraId="724C81AF" w14:textId="77777777" w:rsidR="00245E7E" w:rsidRDefault="002B3D99" w:rsidP="00232508">
      <w:pPr>
        <w:pStyle w:val="Heading6"/>
      </w:pPr>
      <w:r>
        <w:t xml:space="preserve">Attachment 1: </w:t>
      </w:r>
      <w:r w:rsidR="00245E7E">
        <w:t>B</w:t>
      </w:r>
      <w:r>
        <w:t xml:space="preserve">ody of Request for ACM Advice: </w:t>
      </w:r>
      <w:r w:rsidR="00245E7E">
        <w:t>Discussion</w:t>
      </w:r>
    </w:p>
    <w:p w14:paraId="7C17FB80" w14:textId="77777777" w:rsidR="00245E7E" w:rsidRDefault="006850B7" w:rsidP="00245E7E">
      <w:r>
        <w:t>The sponsor</w:t>
      </w:r>
      <w:r w:rsidR="00245E7E">
        <w:t xml:space="preserve"> wishes to clarify specific comments made by the Delegate in the </w:t>
      </w:r>
      <w:r w:rsidR="00126A5E">
        <w:t>‘</w:t>
      </w:r>
      <w:r w:rsidR="00245E7E">
        <w:t>Discussion</w:t>
      </w:r>
      <w:r w:rsidR="00126A5E">
        <w:t>’</w:t>
      </w:r>
      <w:r w:rsidR="00245E7E">
        <w:t xml:space="preserve"> where these have not been addressed either in the </w:t>
      </w:r>
      <w:r w:rsidR="00126A5E">
        <w:t>‘</w:t>
      </w:r>
      <w:r w:rsidR="00245E7E">
        <w:t>Summary of issues</w:t>
      </w:r>
      <w:r w:rsidR="00126A5E">
        <w:t>’</w:t>
      </w:r>
      <w:r w:rsidR="00245E7E">
        <w:t xml:space="preserve"> or </w:t>
      </w:r>
      <w:r w:rsidR="00126A5E">
        <w:t>‘</w:t>
      </w:r>
      <w:r w:rsidR="00245E7E">
        <w:t>Advice sought</w:t>
      </w:r>
      <w:r w:rsidR="00126A5E">
        <w:t>’</w:t>
      </w:r>
      <w:r w:rsidR="00245E7E">
        <w:t>.</w:t>
      </w:r>
    </w:p>
    <w:p w14:paraId="3F18511D" w14:textId="77777777" w:rsidR="00245E7E" w:rsidRPr="00232508" w:rsidRDefault="00245E7E" w:rsidP="00A51C94">
      <w:pPr>
        <w:pStyle w:val="Numberbullet2"/>
        <w:numPr>
          <w:ilvl w:val="1"/>
          <w:numId w:val="23"/>
        </w:numPr>
        <w:rPr>
          <w:b/>
          <w:i/>
        </w:rPr>
      </w:pPr>
      <w:r w:rsidRPr="00232508">
        <w:rPr>
          <w:b/>
          <w:i/>
        </w:rPr>
        <w:t>PK model: It is unclear if and how the use of oral corticosteroids was used in the PK/PD model and how this may affect the results of the simulations used with this model.</w:t>
      </w:r>
    </w:p>
    <w:p w14:paraId="22ECA9DE" w14:textId="05234AE9" w:rsidR="00245E7E" w:rsidRDefault="006850B7" w:rsidP="00245E7E">
      <w:r>
        <w:t xml:space="preserve">The dose </w:t>
      </w:r>
      <w:r w:rsidR="00245E7E">
        <w:t xml:space="preserve">response meta-analysis described in </w:t>
      </w:r>
      <w:r w:rsidR="00C508F3">
        <w:t xml:space="preserve">Report </w:t>
      </w:r>
      <w:r w:rsidR="00245E7E">
        <w:t xml:space="preserve">2015N238375_00 included data from 16 studies in the clinical development of </w:t>
      </w:r>
      <w:proofErr w:type="spellStart"/>
      <w:r w:rsidR="00245E7E">
        <w:t>mepolizumab</w:t>
      </w:r>
      <w:proofErr w:type="spellEnd"/>
      <w:r w:rsidR="00245E7E">
        <w:t xml:space="preserve"> in various eosinophilic conditions. Generally, patients entering investigational clinical trials with </w:t>
      </w:r>
      <w:proofErr w:type="spellStart"/>
      <w:r w:rsidR="00245E7E">
        <w:t>mepolizumab</w:t>
      </w:r>
      <w:proofErr w:type="spellEnd"/>
      <w:r w:rsidR="00245E7E">
        <w:t xml:space="preserve"> are on </w:t>
      </w:r>
      <w:r w:rsidR="0051271B">
        <w:t xml:space="preserve">standard of care </w:t>
      </w:r>
      <w:r w:rsidR="00245E7E">
        <w:t>therapy which in the case of hyper eosinophilic conditions such as EGPA or HES, aim at controllin</w:t>
      </w:r>
      <w:r>
        <w:t>g eosinophilia. Although the blood eosinophil counts</w:t>
      </w:r>
      <w:r w:rsidR="00245E7E">
        <w:t xml:space="preserve"> at study entry in the meta-analysis dataset ranged from 5 to 4</w:t>
      </w:r>
      <w:r>
        <w:t>,</w:t>
      </w:r>
      <w:r w:rsidR="00245E7E">
        <w:t>690 cells/</w:t>
      </w:r>
      <w:r w:rsidR="00C508F3">
        <w:t>µ</w:t>
      </w:r>
      <w:r w:rsidR="00245E7E">
        <w:t>L, there was limited observations ≥ 1000 cells/</w:t>
      </w:r>
      <w:proofErr w:type="spellStart"/>
      <w:r w:rsidR="00245E7E">
        <w:t>μL</w:t>
      </w:r>
      <w:proofErr w:type="spellEnd"/>
      <w:r w:rsidR="00245E7E">
        <w:t>. Since location of the dose response (ED</w:t>
      </w:r>
      <w:r w:rsidR="00245E7E" w:rsidRPr="006850B7">
        <w:rPr>
          <w:vertAlign w:val="subscript"/>
        </w:rPr>
        <w:t>50</w:t>
      </w:r>
      <w:r w:rsidR="00245E7E">
        <w:t xml:space="preserve">) and maximal </w:t>
      </w:r>
      <w:proofErr w:type="spellStart"/>
      <w:r w:rsidR="00245E7E">
        <w:t>mepolizumab</w:t>
      </w:r>
      <w:proofErr w:type="spellEnd"/>
      <w:r w:rsidR="00245E7E">
        <w:t xml:space="preserve"> inhibition were found to be dependent on baseline </w:t>
      </w:r>
      <w:r>
        <w:t xml:space="preserve">blood eosinophil counts, the dose </w:t>
      </w:r>
      <w:r w:rsidR="00245E7E">
        <w:t xml:space="preserve">response model from the meta-analysis was used to extrapolate beyond the baseline </w:t>
      </w:r>
      <w:r>
        <w:t>blood eosinophil counts</w:t>
      </w:r>
      <w:r w:rsidR="00245E7E">
        <w:t xml:space="preserve"> range included in the meta-analysis dataset to investigate the impact of baseline </w:t>
      </w:r>
      <w:r>
        <w:t>blood eosinophil counts</w:t>
      </w:r>
      <w:r w:rsidR="00245E7E">
        <w:t xml:space="preserve"> in untreated EGPA patients (</w:t>
      </w:r>
      <w:r w:rsidR="007B19BE">
        <w:t>that is</w:t>
      </w:r>
      <w:r w:rsidR="00245E7E">
        <w:t xml:space="preserve">, without OCS and cytotoxic </w:t>
      </w:r>
      <w:proofErr w:type="spellStart"/>
      <w:r w:rsidR="00245E7E">
        <w:t>immunosuppressants</w:t>
      </w:r>
      <w:proofErr w:type="spellEnd"/>
      <w:r w:rsidR="00245E7E">
        <w:t xml:space="preserve">). A range of baseline </w:t>
      </w:r>
      <w:r>
        <w:t>blood eosinophil counts</w:t>
      </w:r>
      <w:r w:rsidR="00245E7E">
        <w:t xml:space="preserve"> from 250 to 8</w:t>
      </w:r>
      <w:r>
        <w:t>,</w:t>
      </w:r>
      <w:r w:rsidR="00245E7E">
        <w:t>000 cells/</w:t>
      </w:r>
      <w:r w:rsidR="00C508F3">
        <w:t>µ</w:t>
      </w:r>
      <w:r w:rsidR="00245E7E">
        <w:t>L was explored by simulations with values ≥ 1000 cells/</w:t>
      </w:r>
      <w:r w:rsidR="00C508F3">
        <w:t>µ</w:t>
      </w:r>
      <w:r w:rsidR="00245E7E">
        <w:t xml:space="preserve">L being representative of untreated patients with HES or EGPA. This simulation was to account for the weaning of OCS and immunosuppressive therapies that </w:t>
      </w:r>
      <w:r w:rsidR="00245E7E">
        <w:lastRenderedPageBreak/>
        <w:t xml:space="preserve">could be expected during </w:t>
      </w:r>
      <w:proofErr w:type="spellStart"/>
      <w:r w:rsidR="00245E7E">
        <w:t>mepolizumab</w:t>
      </w:r>
      <w:proofErr w:type="spellEnd"/>
      <w:r w:rsidR="00245E7E">
        <w:t xml:space="preserve"> treatment. Since OCS and </w:t>
      </w:r>
      <w:proofErr w:type="spellStart"/>
      <w:r w:rsidR="00245E7E">
        <w:t>immunosuppressants</w:t>
      </w:r>
      <w:proofErr w:type="spellEnd"/>
      <w:r w:rsidR="00245E7E">
        <w:t xml:space="preserve"> reduce </w:t>
      </w:r>
      <w:r>
        <w:t>blood eosinophil counts</w:t>
      </w:r>
      <w:r w:rsidR="00245E7E">
        <w:t xml:space="preserve">, when being weaned off, the effect from these therapies would therefore need to be compensated by </w:t>
      </w:r>
      <w:proofErr w:type="spellStart"/>
      <w:r w:rsidR="00245E7E">
        <w:t>mepolizumab</w:t>
      </w:r>
      <w:proofErr w:type="spellEnd"/>
      <w:r w:rsidR="00245E7E">
        <w:t xml:space="preserve"> treatment.</w:t>
      </w:r>
    </w:p>
    <w:p w14:paraId="6C3D6570" w14:textId="0EED3073" w:rsidR="00245E7E" w:rsidRDefault="00245E7E" w:rsidP="00245E7E">
      <w:r>
        <w:t xml:space="preserve">The simulations showed that a </w:t>
      </w:r>
      <w:proofErr w:type="spellStart"/>
      <w:r>
        <w:t>mepolizumab</w:t>
      </w:r>
      <w:proofErr w:type="spellEnd"/>
      <w:r>
        <w:t xml:space="preserve"> dose of 300 mg SC would be required to achieve similar </w:t>
      </w:r>
      <w:r w:rsidR="006850B7">
        <w:t>blood eosinophil counts</w:t>
      </w:r>
      <w:r>
        <w:t xml:space="preserve"> reduction to that observed in patients with severe eosinophilic asthma (</w:t>
      </w:r>
      <w:r w:rsidR="007B19BE">
        <w:t>that is</w:t>
      </w:r>
      <w:r>
        <w:t>, 90% of the maximal</w:t>
      </w:r>
      <w:r w:rsidRPr="00245E7E">
        <w:t xml:space="preserve"> </w:t>
      </w:r>
      <w:proofErr w:type="spellStart"/>
      <w:r>
        <w:t>mepolizumab</w:t>
      </w:r>
      <w:proofErr w:type="spellEnd"/>
      <w:r>
        <w:t xml:space="preserve"> inhibitory effect) in subjects with increased baseline blood eosinophil counts of &gt;</w:t>
      </w:r>
      <w:r w:rsidR="006850B7">
        <w:t xml:space="preserve"> </w:t>
      </w:r>
      <w:r>
        <w:t>1500 cells/</w:t>
      </w:r>
      <w:r w:rsidR="00C508F3">
        <w:t>µ</w:t>
      </w:r>
      <w:r>
        <w:t>L.</w:t>
      </w:r>
    </w:p>
    <w:p w14:paraId="0A6977F2" w14:textId="77777777" w:rsidR="00245E7E" w:rsidRPr="00B30701" w:rsidRDefault="00245E7E" w:rsidP="00B30701">
      <w:pPr>
        <w:pStyle w:val="Numberbullet2"/>
        <w:rPr>
          <w:b/>
          <w:i/>
        </w:rPr>
      </w:pPr>
      <w:r w:rsidRPr="00B30701">
        <w:rPr>
          <w:b/>
          <w:i/>
        </w:rPr>
        <w:t>Dose: PD models do not show a relationship between higher exposure and greater eosinophil</w:t>
      </w:r>
      <w:r w:rsidR="00232508" w:rsidRPr="00B30701">
        <w:rPr>
          <w:b/>
          <w:i/>
        </w:rPr>
        <w:t xml:space="preserve"> </w:t>
      </w:r>
      <w:r w:rsidRPr="00B30701">
        <w:rPr>
          <w:b/>
          <w:i/>
        </w:rPr>
        <w:t>reduction.</w:t>
      </w:r>
    </w:p>
    <w:p w14:paraId="0B2B34F1" w14:textId="77777777" w:rsidR="00245E7E" w:rsidRDefault="006850B7" w:rsidP="00245E7E">
      <w:r>
        <w:t>The sponsor</w:t>
      </w:r>
      <w:r w:rsidR="00245E7E">
        <w:t xml:space="preserve"> would like to clarify that a relationship between </w:t>
      </w:r>
      <w:proofErr w:type="spellStart"/>
      <w:r w:rsidR="00245E7E">
        <w:t>mepolizumab</w:t>
      </w:r>
      <w:proofErr w:type="spellEnd"/>
      <w:r w:rsidR="00245E7E">
        <w:t xml:space="preserve"> dose (exposure) and blood eosinophi</w:t>
      </w:r>
      <w:r w:rsidR="00232508">
        <w:t xml:space="preserve">l </w:t>
      </w:r>
      <w:r w:rsidR="00245E7E">
        <w:t>count (</w:t>
      </w:r>
      <w:proofErr w:type="spellStart"/>
      <w:r w:rsidR="00245E7E">
        <w:t>pharmacodynamic</w:t>
      </w:r>
      <w:proofErr w:type="spellEnd"/>
      <w:r w:rsidR="00245E7E">
        <w:t>) has been established and this relationship has</w:t>
      </w:r>
      <w:r w:rsidR="00232508">
        <w:t xml:space="preserve"> been well characterised in the </w:t>
      </w:r>
      <w:r w:rsidR="00245E7E">
        <w:t>PK</w:t>
      </w:r>
      <w:r>
        <w:t>/PD S</w:t>
      </w:r>
      <w:r w:rsidR="00245E7E">
        <w:t>tudy MEA114092, submitted with the initial severe asthma appli</w:t>
      </w:r>
      <w:r w:rsidR="00232508">
        <w:t xml:space="preserve">cation. From the model the dose </w:t>
      </w:r>
      <w:r w:rsidR="00245E7E">
        <w:t xml:space="preserve">resulting in 90% of the maximal </w:t>
      </w:r>
      <w:proofErr w:type="spellStart"/>
      <w:r w:rsidR="00245E7E">
        <w:t>mepolizumab</w:t>
      </w:r>
      <w:proofErr w:type="spellEnd"/>
      <w:r w:rsidR="00245E7E">
        <w:t xml:space="preserve"> inhibitory effect was estimated to be 99 mg SC.</w:t>
      </w:r>
    </w:p>
    <w:p w14:paraId="139AB39B" w14:textId="77777777" w:rsidR="00245E7E" w:rsidRDefault="00245E7E" w:rsidP="00245E7E">
      <w:r>
        <w:t xml:space="preserve">Furthermore, an increase in </w:t>
      </w:r>
      <w:r w:rsidR="006850B7">
        <w:t>blood eosinophil counts</w:t>
      </w:r>
      <w:r>
        <w:t xml:space="preserve"> reduction with increase in dose wa</w:t>
      </w:r>
      <w:r w:rsidR="00232508">
        <w:t xml:space="preserve">s demonstrated between 75 mg IV </w:t>
      </w:r>
      <w:r>
        <w:t>dose (corresponding to 100 mg SC; the severe asthma dose) and 250 mg</w:t>
      </w:r>
      <w:r w:rsidR="006850B7">
        <w:t xml:space="preserve"> IV dose (corresponding to approximately </w:t>
      </w:r>
      <w:r w:rsidR="00232508">
        <w:t>300</w:t>
      </w:r>
      <w:r>
        <w:t xml:space="preserve">mg SC; the EGPA dose) in </w:t>
      </w:r>
      <w:r w:rsidR="006850B7">
        <w:t>the dose ranging severe asthma S</w:t>
      </w:r>
      <w:r>
        <w:t>tudy MEA112997.</w:t>
      </w:r>
    </w:p>
    <w:p w14:paraId="30E901AC" w14:textId="77777777" w:rsidR="00245E7E" w:rsidRDefault="00245E7E" w:rsidP="00245E7E">
      <w:r>
        <w:t>The reduction in blood eosinophils observed with the 300 mg SC dose</w:t>
      </w:r>
      <w:r w:rsidR="00232508">
        <w:t xml:space="preserve"> administered in the EGPA study </w:t>
      </w:r>
      <w:r>
        <w:t>was similar to that observed at 100 mg SC in patients with severe asthma, suggesting that patients wit</w:t>
      </w:r>
      <w:r w:rsidR="00232508">
        <w:t xml:space="preserve">h </w:t>
      </w:r>
      <w:r>
        <w:t>EGPA are harder to treat.</w:t>
      </w:r>
    </w:p>
    <w:p w14:paraId="75F1FE72" w14:textId="77777777" w:rsidR="00245E7E" w:rsidRPr="00B30701" w:rsidRDefault="00245E7E" w:rsidP="00B30701">
      <w:pPr>
        <w:pStyle w:val="Numberbullet2"/>
        <w:rPr>
          <w:b/>
          <w:i/>
        </w:rPr>
      </w:pPr>
      <w:r w:rsidRPr="00B30701">
        <w:rPr>
          <w:b/>
          <w:i/>
        </w:rPr>
        <w:t xml:space="preserve">Safety: There appears to be an increased risk of lymphomas in </w:t>
      </w:r>
      <w:r w:rsidR="00232508" w:rsidRPr="00B30701">
        <w:rPr>
          <w:b/>
          <w:i/>
        </w:rPr>
        <w:t xml:space="preserve">patients with </w:t>
      </w:r>
      <w:proofErr w:type="spellStart"/>
      <w:r w:rsidR="00232508" w:rsidRPr="00B30701">
        <w:rPr>
          <w:b/>
          <w:i/>
        </w:rPr>
        <w:t>hypereosinophilic</w:t>
      </w:r>
      <w:proofErr w:type="spellEnd"/>
      <w:r w:rsidR="00232508" w:rsidRPr="00B30701">
        <w:rPr>
          <w:b/>
          <w:i/>
        </w:rPr>
        <w:t xml:space="preserve"> </w:t>
      </w:r>
      <w:r w:rsidRPr="00B30701">
        <w:rPr>
          <w:b/>
          <w:i/>
        </w:rPr>
        <w:t xml:space="preserve">syndrome. It is unclear if the use of </w:t>
      </w:r>
      <w:proofErr w:type="spellStart"/>
      <w:r w:rsidRPr="00B30701">
        <w:rPr>
          <w:b/>
          <w:i/>
        </w:rPr>
        <w:t>mepolizumab</w:t>
      </w:r>
      <w:proofErr w:type="spellEnd"/>
      <w:r w:rsidRPr="00B30701">
        <w:rPr>
          <w:b/>
          <w:i/>
        </w:rPr>
        <w:t xml:space="preserve"> potentiates this.</w:t>
      </w:r>
    </w:p>
    <w:p w14:paraId="5FBB48E2" w14:textId="77777777" w:rsidR="00245E7E" w:rsidRDefault="006850B7" w:rsidP="00245E7E">
      <w:r>
        <w:t>Non</w:t>
      </w:r>
      <w:r w:rsidR="00245E7E">
        <w:t xml:space="preserve">clinical and clinical experience does not support a role for </w:t>
      </w:r>
      <w:proofErr w:type="spellStart"/>
      <w:r w:rsidR="00245E7E">
        <w:t>me</w:t>
      </w:r>
      <w:r w:rsidR="00232508">
        <w:t>polizumab</w:t>
      </w:r>
      <w:proofErr w:type="spellEnd"/>
      <w:r w:rsidR="00232508">
        <w:t xml:space="preserve"> in the development of </w:t>
      </w:r>
      <w:r w:rsidR="00245E7E">
        <w:t>malignancies. To date, there is no signal for increased risk of malign</w:t>
      </w:r>
      <w:r w:rsidR="00232508">
        <w:t xml:space="preserve">ancy in the </w:t>
      </w:r>
      <w:proofErr w:type="spellStart"/>
      <w:r w:rsidR="00232508">
        <w:t>mepolizumab</w:t>
      </w:r>
      <w:proofErr w:type="spellEnd"/>
      <w:r w:rsidR="00232508">
        <w:t xml:space="preserve"> treated </w:t>
      </w:r>
      <w:r w:rsidR="00245E7E">
        <w:t>patients. Subjects with lymphoproliferative HES or those with an a</w:t>
      </w:r>
      <w:r>
        <w:t xml:space="preserve">bnormal T </w:t>
      </w:r>
      <w:r w:rsidR="00232508">
        <w:t xml:space="preserve">cell phenotype are at </w:t>
      </w:r>
      <w:r>
        <w:t xml:space="preserve">increased risk of developing T </w:t>
      </w:r>
      <w:r w:rsidR="00245E7E">
        <w:t>cell lymphoma as part of the natural histo</w:t>
      </w:r>
      <w:r>
        <w:t xml:space="preserve">ry of the disease. While T </w:t>
      </w:r>
      <w:r w:rsidR="00232508">
        <w:t xml:space="preserve">cell </w:t>
      </w:r>
      <w:r w:rsidR="00245E7E">
        <w:t xml:space="preserve">lymphoma has been reported in HES patients receiving </w:t>
      </w:r>
      <w:proofErr w:type="spellStart"/>
      <w:r w:rsidR="00245E7E">
        <w:t>mepolizumab</w:t>
      </w:r>
      <w:proofErr w:type="spellEnd"/>
      <w:r w:rsidR="00245E7E">
        <w:t xml:space="preserve">, it is </w:t>
      </w:r>
      <w:r>
        <w:t xml:space="preserve">not known if the risk of T </w:t>
      </w:r>
      <w:r w:rsidR="00232508">
        <w:t xml:space="preserve">cell </w:t>
      </w:r>
      <w:r w:rsidR="00245E7E">
        <w:t>lymphoma in susceptible patients is increased by treatmen</w:t>
      </w:r>
      <w:r w:rsidR="00232508">
        <w:t xml:space="preserve">t with </w:t>
      </w:r>
      <w:proofErr w:type="spellStart"/>
      <w:r w:rsidR="00232508">
        <w:t>immunomodulators</w:t>
      </w:r>
      <w:proofErr w:type="spellEnd"/>
      <w:r w:rsidR="00232508">
        <w:t xml:space="preserve"> such as </w:t>
      </w:r>
      <w:proofErr w:type="spellStart"/>
      <w:r w:rsidR="00245E7E">
        <w:t>mepolizumab</w:t>
      </w:r>
      <w:proofErr w:type="spellEnd"/>
      <w:r w:rsidR="00245E7E">
        <w:t>.</w:t>
      </w:r>
    </w:p>
    <w:p w14:paraId="2EE7EE7A" w14:textId="4F3E6708" w:rsidR="00245E7E" w:rsidRDefault="00245E7E" w:rsidP="00B30701">
      <w:pPr>
        <w:pStyle w:val="Heading5"/>
      </w:pPr>
      <w:r>
        <w:t xml:space="preserve">Risk </w:t>
      </w:r>
      <w:r w:rsidR="00C86C73">
        <w:t>management plan</w:t>
      </w:r>
    </w:p>
    <w:p w14:paraId="12B49923" w14:textId="7454EBB6" w:rsidR="00245E7E" w:rsidRDefault="006850B7" w:rsidP="00245E7E">
      <w:r>
        <w:t>The sponsor</w:t>
      </w:r>
      <w:r w:rsidR="00245E7E">
        <w:t xml:space="preserve"> will implement the </w:t>
      </w:r>
      <w:proofErr w:type="spellStart"/>
      <w:r w:rsidR="00245E7E">
        <w:t>Nucala</w:t>
      </w:r>
      <w:proofErr w:type="spellEnd"/>
      <w:r w:rsidR="00245E7E">
        <w:t xml:space="preserve"> European Risk Management Plan</w:t>
      </w:r>
      <w:r w:rsidR="00232508">
        <w:t xml:space="preserve"> (EU RMP v</w:t>
      </w:r>
      <w:r w:rsidR="00C508F3">
        <w:t>ersion </w:t>
      </w:r>
      <w:r w:rsidR="00232508">
        <w:t xml:space="preserve">2 (dated 26 May 2017) </w:t>
      </w:r>
      <w:r w:rsidR="00245E7E">
        <w:t>with ASA (v</w:t>
      </w:r>
      <w:r w:rsidR="00C508F3">
        <w:t>ersion </w:t>
      </w:r>
      <w:r w:rsidR="00245E7E">
        <w:t>4, dated November 2017) both of which were submitted to the TGA on 30 November 2017.</w:t>
      </w:r>
    </w:p>
    <w:p w14:paraId="35638CE3" w14:textId="77777777" w:rsidR="00245E7E" w:rsidRDefault="00245E7E" w:rsidP="00B30701">
      <w:pPr>
        <w:pStyle w:val="Heading5"/>
      </w:pPr>
      <w:r>
        <w:t>Product Information (PI) and Consumer Medicine Information (CMI)</w:t>
      </w:r>
    </w:p>
    <w:p w14:paraId="4720AAA5" w14:textId="77777777" w:rsidR="00245E7E" w:rsidRDefault="00245E7E" w:rsidP="00245E7E">
      <w:r>
        <w:t xml:space="preserve">The PI has been updated as per the Delegate’s recommendations </w:t>
      </w:r>
      <w:r w:rsidR="006850B7">
        <w:t xml:space="preserve">and the sponsor </w:t>
      </w:r>
      <w:r>
        <w:t>commits to li</w:t>
      </w:r>
      <w:r w:rsidR="00232508">
        <w:t xml:space="preserve">aising with the </w:t>
      </w:r>
      <w:r>
        <w:t>TGA Delegate to finalise the PI and CMI to the satisfaction of the TGA.</w:t>
      </w:r>
    </w:p>
    <w:p w14:paraId="4B3F4F09" w14:textId="77777777" w:rsidR="00245E7E" w:rsidRDefault="00245E7E" w:rsidP="00B30701">
      <w:pPr>
        <w:pStyle w:val="Heading5"/>
      </w:pPr>
      <w:r>
        <w:t>Conclusion</w:t>
      </w:r>
    </w:p>
    <w:p w14:paraId="56C7F6F7" w14:textId="77777777" w:rsidR="00245E7E" w:rsidRDefault="006850B7" w:rsidP="00245E7E">
      <w:r>
        <w:t>The sponsor</w:t>
      </w:r>
      <w:r w:rsidR="00245E7E">
        <w:t xml:space="preserve"> is committed to developing and registering treatments for </w:t>
      </w:r>
      <w:r w:rsidR="00232508">
        <w:t>r</w:t>
      </w:r>
      <w:r>
        <w:t>are diseases such as EGPA. The sponsor</w:t>
      </w:r>
      <w:r w:rsidR="00232508">
        <w:t xml:space="preserve"> </w:t>
      </w:r>
      <w:r w:rsidR="00245E7E">
        <w:t xml:space="preserve">supports the Delegate’s recommendation to register the use of </w:t>
      </w:r>
      <w:proofErr w:type="spellStart"/>
      <w:r w:rsidR="00245E7E">
        <w:t>Nucala</w:t>
      </w:r>
      <w:proofErr w:type="spellEnd"/>
      <w:r w:rsidR="00245E7E">
        <w:t xml:space="preserve"> as</w:t>
      </w:r>
      <w:r w:rsidR="00232508">
        <w:t xml:space="preserve"> an add on treatment for adults </w:t>
      </w:r>
      <w:r w:rsidR="00245E7E">
        <w:t>with EGPA, which is aligned with the recommendation by the clinical ev</w:t>
      </w:r>
      <w:r w:rsidR="00232508">
        <w:t xml:space="preserve">aluator and trusts that the ACM </w:t>
      </w:r>
      <w:r w:rsidR="00245E7E">
        <w:t>will align with this recommendation.</w:t>
      </w:r>
    </w:p>
    <w:p w14:paraId="505A54BF" w14:textId="61600D86" w:rsidR="00245E7E" w:rsidRDefault="00245E7E" w:rsidP="00245E7E">
      <w:r>
        <w:t>T</w:t>
      </w:r>
      <w:r w:rsidR="006850B7">
        <w:t>he indication as proposed by the sponsor</w:t>
      </w:r>
      <w:r>
        <w:t>, affords physician’s flexibility and is sup</w:t>
      </w:r>
      <w:r w:rsidR="00232508">
        <w:t xml:space="preserve">ported by the efficacy data </w:t>
      </w:r>
      <w:r>
        <w:t>which demonstrated that remission was improved both clinically and stati</w:t>
      </w:r>
      <w:r w:rsidR="00232508">
        <w:t xml:space="preserve">stically significantly compared </w:t>
      </w:r>
      <w:r>
        <w:t xml:space="preserve">with </w:t>
      </w:r>
      <w:r w:rsidR="00C508F3">
        <w:t xml:space="preserve">standard of care </w:t>
      </w:r>
      <w:r>
        <w:t xml:space="preserve">treatment. The safety profile of </w:t>
      </w:r>
      <w:proofErr w:type="spellStart"/>
      <w:r>
        <w:lastRenderedPageBreak/>
        <w:t>mepolizumab</w:t>
      </w:r>
      <w:proofErr w:type="spellEnd"/>
      <w:r>
        <w:t xml:space="preserve"> in patients w</w:t>
      </w:r>
      <w:r w:rsidR="00232508">
        <w:t xml:space="preserve">ith EGPA was unchanged from the </w:t>
      </w:r>
      <w:r>
        <w:t xml:space="preserve">established safety profile for </w:t>
      </w:r>
      <w:proofErr w:type="spellStart"/>
      <w:r>
        <w:t>mepolizumab</w:t>
      </w:r>
      <w:proofErr w:type="spellEnd"/>
      <w:r>
        <w:t xml:space="preserve"> in patients with severe eosi</w:t>
      </w:r>
      <w:r w:rsidR="00232508">
        <w:t xml:space="preserve">nophilic asthma, for which long </w:t>
      </w:r>
      <w:r>
        <w:t>term data up to 4.5 years is available.</w:t>
      </w:r>
    </w:p>
    <w:p w14:paraId="3471F642" w14:textId="77777777" w:rsidR="00245E7E" w:rsidRPr="00681B98" w:rsidRDefault="006850B7" w:rsidP="00245E7E">
      <w:r>
        <w:t>The sponsor</w:t>
      </w:r>
      <w:r w:rsidR="00245E7E">
        <w:t xml:space="preserve"> believes that the registration of </w:t>
      </w:r>
      <w:proofErr w:type="spellStart"/>
      <w:r w:rsidR="00245E7E">
        <w:t>mepolizumab</w:t>
      </w:r>
      <w:proofErr w:type="spellEnd"/>
      <w:r w:rsidR="00245E7E">
        <w:t xml:space="preserve"> will provide a significa</w:t>
      </w:r>
      <w:r w:rsidR="00232508">
        <w:t xml:space="preserve">nt improvement in the treatment </w:t>
      </w:r>
      <w:r w:rsidR="00245E7E">
        <w:t>of patients with EGPA based on the well-documented positive benefit t</w:t>
      </w:r>
      <w:r w:rsidR="00232508">
        <w:t xml:space="preserve">o risk profile, the limitations </w:t>
      </w:r>
      <w:r w:rsidR="00245E7E">
        <w:t>associated with current therapeutic treatment options, the significant mo</w:t>
      </w:r>
      <w:r w:rsidR="00232508">
        <w:t xml:space="preserve">rbidity experienced by patients </w:t>
      </w:r>
      <w:r w:rsidR="00245E7E">
        <w:t>with EGPA and the medical need for additional therapeutic options.</w:t>
      </w:r>
    </w:p>
    <w:p w14:paraId="130117C6" w14:textId="77777777" w:rsidR="008E7846" w:rsidRDefault="008E7846" w:rsidP="008E7846">
      <w:pPr>
        <w:pStyle w:val="Heading4"/>
      </w:pPr>
      <w:r>
        <w:t>Advisory Committee Considerations</w:t>
      </w:r>
      <w:r w:rsidR="00456765">
        <w:rPr>
          <w:rStyle w:val="FootnoteReference"/>
        </w:rPr>
        <w:footnoteReference w:id="54"/>
      </w:r>
    </w:p>
    <w:p w14:paraId="2BF9B995" w14:textId="77777777" w:rsidR="008E7846" w:rsidRDefault="00456765" w:rsidP="006850B7">
      <w:r w:rsidRPr="00456765">
        <w:t>The Advisory Committee on Medicines (ACM), having considered the evaluations and the Delegate’s overview, as well as the sponsor’s response to these d</w:t>
      </w:r>
      <w:r w:rsidR="00B30701">
        <w:t>ocuments, advised the following.</w:t>
      </w:r>
    </w:p>
    <w:p w14:paraId="26515AE1" w14:textId="77777777" w:rsidR="00B30701" w:rsidRDefault="00B30701" w:rsidP="006850B7">
      <w:r>
        <w:t xml:space="preserve">The ACM taking into account the submitted evidence of efficacy, safety and quality, considered </w:t>
      </w:r>
      <w:proofErr w:type="spellStart"/>
      <w:r>
        <w:t>Nucala</w:t>
      </w:r>
      <w:proofErr w:type="spellEnd"/>
      <w:r>
        <w:t xml:space="preserve">, containing 100 mg </w:t>
      </w:r>
      <w:proofErr w:type="spellStart"/>
      <w:r>
        <w:t>mepolizumab</w:t>
      </w:r>
      <w:proofErr w:type="spellEnd"/>
      <w:r>
        <w:t xml:space="preserve"> powder for injection in a 10 mL vial, to have an overall positive benefit-risk prof</w:t>
      </w:r>
      <w:r w:rsidR="006850B7">
        <w:t>ile for the proposed indication:</w:t>
      </w:r>
    </w:p>
    <w:p w14:paraId="1A1823BC" w14:textId="77777777" w:rsidR="00B30701" w:rsidRPr="00B30701" w:rsidRDefault="00B30701" w:rsidP="00B30701">
      <w:pPr>
        <w:ind w:left="720"/>
        <w:rPr>
          <w:i/>
        </w:rPr>
      </w:pPr>
      <w:proofErr w:type="spellStart"/>
      <w:r w:rsidRPr="00B30701">
        <w:rPr>
          <w:i/>
        </w:rPr>
        <w:t>Nucala</w:t>
      </w:r>
      <w:proofErr w:type="spellEnd"/>
      <w:r w:rsidRPr="00B30701">
        <w:rPr>
          <w:i/>
        </w:rPr>
        <w:t xml:space="preserve"> is indicated as an add-on treatment for relapsing or refractory Eosinophilic Granulomatosis with </w:t>
      </w:r>
      <w:proofErr w:type="spellStart"/>
      <w:r w:rsidRPr="00B30701">
        <w:rPr>
          <w:i/>
        </w:rPr>
        <w:t>Polyangitis</w:t>
      </w:r>
      <w:proofErr w:type="spellEnd"/>
      <w:r w:rsidRPr="00B30701">
        <w:rPr>
          <w:i/>
        </w:rPr>
        <w:t xml:space="preserve"> (EGPA) in patients aged 18 years and over.</w:t>
      </w:r>
    </w:p>
    <w:p w14:paraId="2B1FAD67" w14:textId="77777777" w:rsidR="00B30701" w:rsidRDefault="00B30701" w:rsidP="00B30701">
      <w:r>
        <w:t>In providing this advice the ACM noted that:</w:t>
      </w:r>
    </w:p>
    <w:p w14:paraId="794C148B" w14:textId="77777777" w:rsidR="00B30701" w:rsidRDefault="00B30701" w:rsidP="006850B7">
      <w:pPr>
        <w:pStyle w:val="ListBullet"/>
      </w:pPr>
      <w:proofErr w:type="spellStart"/>
      <w:r>
        <w:t>Mepolizumab</w:t>
      </w:r>
      <w:proofErr w:type="spellEnd"/>
      <w:r>
        <w:t xml:space="preserve"> was approved in 2016 for use in eosinophilic asthma.</w:t>
      </w:r>
    </w:p>
    <w:p w14:paraId="76BD0750" w14:textId="77777777" w:rsidR="00B30701" w:rsidRDefault="00B30701" w:rsidP="006850B7">
      <w:pPr>
        <w:pStyle w:val="ListBullet"/>
      </w:pPr>
      <w:r>
        <w:t>EGPA is a rare condition</w:t>
      </w:r>
      <w:r w:rsidR="006850B7">
        <w:t xml:space="preserve"> in Australia and can be a life </w:t>
      </w:r>
      <w:r>
        <w:t>threatening disease.</w:t>
      </w:r>
    </w:p>
    <w:p w14:paraId="4CCE7AC7" w14:textId="77777777" w:rsidR="00B30701" w:rsidRDefault="00B30701" w:rsidP="006850B7">
      <w:pPr>
        <w:pStyle w:val="ListBullet"/>
      </w:pPr>
      <w:r>
        <w:t>A dose of 300 mg was used in the clinical study due to the presumption that a larger dose would be needed due to the higher amount of tissue eosinophils in EGPA. This was the only dose used in the study.</w:t>
      </w:r>
    </w:p>
    <w:p w14:paraId="284901BB" w14:textId="77777777" w:rsidR="00B30701" w:rsidRDefault="00B30701" w:rsidP="006850B7">
      <w:pPr>
        <w:pStyle w:val="ListBullet"/>
      </w:pPr>
      <w:r>
        <w:t>Patients with organ or life threatening conditions were excluded from the clinical trial.</w:t>
      </w:r>
    </w:p>
    <w:p w14:paraId="13D429D2" w14:textId="77777777" w:rsidR="00B30701" w:rsidRDefault="00B30701" w:rsidP="006850B7">
      <w:pPr>
        <w:pStyle w:val="ListBullet"/>
      </w:pPr>
      <w:r>
        <w:t xml:space="preserve">Treatment with </w:t>
      </w:r>
      <w:proofErr w:type="spellStart"/>
      <w:r>
        <w:t>mepolizumab</w:t>
      </w:r>
      <w:proofErr w:type="spellEnd"/>
      <w:r>
        <w:t xml:space="preserve"> for EGPA would likely be disease controlling rather than disease modifying.</w:t>
      </w:r>
    </w:p>
    <w:p w14:paraId="4D550A52" w14:textId="77777777" w:rsidR="00B30701" w:rsidRDefault="00B30701" w:rsidP="006850B7">
      <w:pPr>
        <w:pStyle w:val="ListBullet"/>
      </w:pPr>
      <w:r>
        <w:t>A number of endpoints were studied in the clinical trials, including total accrued weeks in remission, time to first relapse, and ability to wean glucocorticoids</w:t>
      </w:r>
    </w:p>
    <w:p w14:paraId="5279CBFF" w14:textId="77777777" w:rsidR="00B30701" w:rsidRDefault="006850B7" w:rsidP="006850B7">
      <w:pPr>
        <w:pStyle w:val="ListBullet"/>
      </w:pPr>
      <w:r>
        <w:t>The clinical Study MEA</w:t>
      </w:r>
      <w:r w:rsidR="00B30701">
        <w:t xml:space="preserve">115921 showed positive results for improvement in time in remission (odds ratio </w:t>
      </w:r>
      <w:r>
        <w:t xml:space="preserve">5.91 in favour of </w:t>
      </w:r>
      <w:proofErr w:type="spellStart"/>
      <w:r>
        <w:t>mepolizumab</w:t>
      </w:r>
      <w:proofErr w:type="spellEnd"/>
      <w:r>
        <w:t>),</w:t>
      </w:r>
      <w:r w:rsidR="00B30701">
        <w:t xml:space="preserve"> in addition 60% of patients receiving </w:t>
      </w:r>
      <w:proofErr w:type="spellStart"/>
      <w:r w:rsidR="00B30701">
        <w:t>mepolizumab</w:t>
      </w:r>
      <w:proofErr w:type="spellEnd"/>
      <w:r w:rsidR="00B30701">
        <w:t xml:space="preserve"> were able to decrease prednisolone use, compared to 33% of patients on the placebo.</w:t>
      </w:r>
    </w:p>
    <w:p w14:paraId="2593D82B" w14:textId="77777777" w:rsidR="00B30701" w:rsidRDefault="00B30701" w:rsidP="00B30701">
      <w:pPr>
        <w:pStyle w:val="Heading5"/>
      </w:pPr>
      <w:r>
        <w:t>Proposed conditions of registration</w:t>
      </w:r>
    </w:p>
    <w:p w14:paraId="33D8BDFE" w14:textId="24F575C7" w:rsidR="00B30701" w:rsidRDefault="00B30701" w:rsidP="00B30701">
      <w:r>
        <w:t xml:space="preserve">The ACM agreed with the </w:t>
      </w:r>
      <w:r w:rsidR="00C508F3">
        <w:t xml:space="preserve">Delegate </w:t>
      </w:r>
      <w:r>
        <w:t>on the proposed conditions of registration.</w:t>
      </w:r>
    </w:p>
    <w:p w14:paraId="1CFD80FB" w14:textId="77777777" w:rsidR="00B30701" w:rsidRDefault="00B30701" w:rsidP="00B30701">
      <w:pPr>
        <w:pStyle w:val="Heading5"/>
      </w:pPr>
      <w:r>
        <w:lastRenderedPageBreak/>
        <w:t>Proposed Product Information (PI)/ Consumer Medicine Information (CMI) amendments</w:t>
      </w:r>
    </w:p>
    <w:p w14:paraId="4449F081" w14:textId="77777777" w:rsidR="00B30701" w:rsidRDefault="00B30701" w:rsidP="006850B7">
      <w:r>
        <w:t xml:space="preserve">The ACM agreed with the delegate to the proposed amendments to the </w:t>
      </w:r>
      <w:r w:rsidR="006850B7">
        <w:t>PI</w:t>
      </w:r>
      <w:r>
        <w:t xml:space="preserve"> and </w:t>
      </w:r>
      <w:r w:rsidR="006850B7">
        <w:t>CMI</w:t>
      </w:r>
      <w:r>
        <w:t xml:space="preserve"> and specifically advised on the inclusion of the following:</w:t>
      </w:r>
    </w:p>
    <w:p w14:paraId="639C5E1A" w14:textId="77777777" w:rsidR="00B30701" w:rsidRDefault="00B30701" w:rsidP="006850B7">
      <w:pPr>
        <w:pStyle w:val="ListBullet"/>
      </w:pPr>
      <w:r>
        <w:t xml:space="preserve">A statement in the Precautions section of the PI and relevant sections of the CMI to reference the risk of increase in disease activity following withdrawal of </w:t>
      </w:r>
      <w:proofErr w:type="spellStart"/>
      <w:r>
        <w:t>mepolizumab</w:t>
      </w:r>
      <w:proofErr w:type="spellEnd"/>
      <w:r>
        <w:t>.</w:t>
      </w:r>
    </w:p>
    <w:p w14:paraId="00D2F21A" w14:textId="77777777" w:rsidR="00B30701" w:rsidRDefault="00B30701" w:rsidP="00B30701">
      <w:pPr>
        <w:pStyle w:val="Heading5"/>
      </w:pPr>
      <w:r>
        <w:t>Specific Advice</w:t>
      </w:r>
    </w:p>
    <w:p w14:paraId="379E7D14" w14:textId="77777777" w:rsidR="00B30701" w:rsidRDefault="00B30701" w:rsidP="00B30701">
      <w:r>
        <w:t>The ACM advised the following in response to the delegate’s specific questions on the submission:</w:t>
      </w:r>
    </w:p>
    <w:p w14:paraId="5631337E" w14:textId="77777777" w:rsidR="00B30701" w:rsidRPr="00B30701" w:rsidRDefault="00B30701" w:rsidP="00A51C94">
      <w:pPr>
        <w:pStyle w:val="Numberbullet0"/>
        <w:numPr>
          <w:ilvl w:val="0"/>
          <w:numId w:val="24"/>
        </w:numPr>
        <w:rPr>
          <w:b/>
          <w:i/>
        </w:rPr>
      </w:pPr>
      <w:r w:rsidRPr="00B30701">
        <w:rPr>
          <w:b/>
          <w:i/>
        </w:rPr>
        <w:t>All of the patients in the clinical trials were on glucocorticoids. Should this be included in the indication?</w:t>
      </w:r>
    </w:p>
    <w:p w14:paraId="38915C2A" w14:textId="77777777" w:rsidR="00B30701" w:rsidRDefault="00B30701" w:rsidP="00B30701">
      <w:r>
        <w:t xml:space="preserve">The ACM advised that the indication should not be too restrictive with respect to patients on glucocorticoids. The clinical trials indicated that patients on lower doses of steroids showed a greater benefit than patients on higher doses of steroids. The ACM also advised that, although advantageous to use </w:t>
      </w:r>
      <w:proofErr w:type="spellStart"/>
      <w:r>
        <w:t>mepolizumab</w:t>
      </w:r>
      <w:proofErr w:type="spellEnd"/>
      <w:r>
        <w:t xml:space="preserve"> alone without steroids, patients who haven’t achieved remission are likely to be on steroids.</w:t>
      </w:r>
    </w:p>
    <w:p w14:paraId="3B89869C" w14:textId="77777777" w:rsidR="00B30701" w:rsidRPr="00B30701" w:rsidRDefault="00B30701" w:rsidP="00B30701">
      <w:pPr>
        <w:pStyle w:val="Numberbullet0"/>
        <w:rPr>
          <w:b/>
          <w:i/>
        </w:rPr>
      </w:pPr>
      <w:r w:rsidRPr="00B30701">
        <w:rPr>
          <w:b/>
          <w:i/>
        </w:rPr>
        <w:t>Please comment on the exclusion of patients with organ threatening conditions in the clinical trial.</w:t>
      </w:r>
    </w:p>
    <w:p w14:paraId="25FDCFDD" w14:textId="77777777" w:rsidR="00B30701" w:rsidRDefault="00B30701" w:rsidP="00B30701">
      <w:r w:rsidRPr="006850B7">
        <w:t>The ACM advised that there is a different and established treatment for patients with organ threatening conditions. For these patients, evidence supports disease management with high dose steroids and cyclophosphamide</w:t>
      </w:r>
      <w:r>
        <w:t>.</w:t>
      </w:r>
    </w:p>
    <w:p w14:paraId="151C05D0" w14:textId="77777777" w:rsidR="00B30701" w:rsidRPr="00B30701" w:rsidRDefault="00B30701" w:rsidP="00B30701">
      <w:pPr>
        <w:pStyle w:val="Numberbullet0"/>
        <w:rPr>
          <w:b/>
          <w:i/>
        </w:rPr>
      </w:pPr>
      <w:r w:rsidRPr="00B30701">
        <w:rPr>
          <w:b/>
          <w:i/>
        </w:rPr>
        <w:t>What is the most clinically significant endpoint for studies in EGPA? Improvement in average BVAS or number of patients achieving remiss</w:t>
      </w:r>
      <w:r w:rsidR="006850B7">
        <w:rPr>
          <w:b/>
          <w:i/>
        </w:rPr>
        <w:t>ion or ability to wean steroids?</w:t>
      </w:r>
      <w:r w:rsidRPr="00B30701">
        <w:rPr>
          <w:b/>
          <w:i/>
        </w:rPr>
        <w:t xml:space="preserve"> Is BVAS useful to</w:t>
      </w:r>
      <w:r w:rsidR="006850B7">
        <w:rPr>
          <w:b/>
          <w:i/>
        </w:rPr>
        <w:t xml:space="preserve"> assess disease in all organs, for example</w:t>
      </w:r>
      <w:r w:rsidRPr="00B30701">
        <w:rPr>
          <w:b/>
          <w:i/>
        </w:rPr>
        <w:t xml:space="preserve"> eye, heart, nervous system?</w:t>
      </w:r>
    </w:p>
    <w:p w14:paraId="6F17BCB3" w14:textId="77777777" w:rsidR="00B30701" w:rsidRDefault="00B30701" w:rsidP="00B30701">
      <w:r>
        <w:t xml:space="preserve">The ACM advised that the </w:t>
      </w:r>
      <w:r w:rsidR="006850B7">
        <w:t>BVAS</w:t>
      </w:r>
      <w:r>
        <w:t xml:space="preserve"> was developed for clinical trials and is not routinely used by immunologists in clinical practice. Instead, clinical parameters are used and remission is measured by </w:t>
      </w:r>
      <w:r w:rsidR="006850B7">
        <w:t>end organ involvement. Both BVAS</w:t>
      </w:r>
      <w:r>
        <w:t xml:space="preserve"> and a reduction of steroid dose are clinically important endpoints.</w:t>
      </w:r>
    </w:p>
    <w:p w14:paraId="7CAF0B72" w14:textId="77777777" w:rsidR="00B30701" w:rsidRPr="00B30701" w:rsidRDefault="00B30701" w:rsidP="00B30701">
      <w:pPr>
        <w:pStyle w:val="Numberbullet0"/>
        <w:rPr>
          <w:b/>
          <w:i/>
        </w:rPr>
      </w:pPr>
      <w:r w:rsidRPr="00B30701">
        <w:rPr>
          <w:b/>
          <w:i/>
        </w:rPr>
        <w:t>How is disease activity assessed in clinical practice? Should treatment be directed by serum eosinophil count?</w:t>
      </w:r>
    </w:p>
    <w:p w14:paraId="62570E52" w14:textId="77777777" w:rsidR="00B30701" w:rsidRDefault="00B30701" w:rsidP="00B30701">
      <w:r>
        <w:t>Disease activity is assessed clinically in practice. The ACM advised that eosinophil count was not the best measure and that patients need to be able to reduce prednisolone doses to be considered in remission. For example, vasculitis may be treated by steroids but the patient may still have high eosinophilic levels.</w:t>
      </w:r>
    </w:p>
    <w:p w14:paraId="40CD4E02" w14:textId="77777777" w:rsidR="00B30701" w:rsidRDefault="00B30701" w:rsidP="00B30701">
      <w:pPr>
        <w:pStyle w:val="Heading5"/>
      </w:pPr>
      <w:r>
        <w:t>Conclusion</w:t>
      </w:r>
    </w:p>
    <w:p w14:paraId="1F3683FC" w14:textId="77777777" w:rsidR="00456765" w:rsidRPr="00833567" w:rsidRDefault="00B30701" w:rsidP="006850B7">
      <w:r>
        <w:t>The ACM advised that implementation by the sponsor of the recommendations outlined above to the satisfaction of the TGA, in addition to the evidence of efficacy and safety provided would support the safe and effective use of this product.</w:t>
      </w:r>
    </w:p>
    <w:p w14:paraId="09722B8C" w14:textId="77777777" w:rsidR="008E7846" w:rsidRPr="002E238E" w:rsidRDefault="008E7846" w:rsidP="008E7846">
      <w:pPr>
        <w:pStyle w:val="Heading3"/>
      </w:pPr>
      <w:bookmarkStart w:id="248" w:name="_Toc247691532"/>
      <w:bookmarkStart w:id="249" w:name="_Toc314842516"/>
      <w:bookmarkStart w:id="250" w:name="_Toc25227397"/>
      <w:bookmarkEnd w:id="104"/>
      <w:bookmarkEnd w:id="244"/>
      <w:bookmarkEnd w:id="245"/>
      <w:r>
        <w:t>Outcome</w:t>
      </w:r>
      <w:bookmarkEnd w:id="248"/>
      <w:bookmarkEnd w:id="249"/>
      <w:bookmarkEnd w:id="250"/>
    </w:p>
    <w:p w14:paraId="7BFD5AE5" w14:textId="77777777" w:rsidR="00D23139" w:rsidRPr="00D23139" w:rsidRDefault="00D23139" w:rsidP="00D23139">
      <w:bookmarkStart w:id="251" w:name="_Toc247691533"/>
      <w:bookmarkStart w:id="252" w:name="_Toc314842517"/>
      <w:r w:rsidRPr="00D23139">
        <w:t xml:space="preserve">Based on a review of quality, safety and efficacy, TGA approved the registration of </w:t>
      </w:r>
      <w:proofErr w:type="spellStart"/>
      <w:r w:rsidR="00135415">
        <w:rPr>
          <w:rFonts w:eastAsiaTheme="minorHAnsi" w:cs="Cambria"/>
        </w:rPr>
        <w:t>Nucala</w:t>
      </w:r>
      <w:proofErr w:type="spellEnd"/>
      <w:r w:rsidR="00135415">
        <w:rPr>
          <w:rFonts w:eastAsiaTheme="minorHAnsi" w:cs="Cambria"/>
        </w:rPr>
        <w:t xml:space="preserve"> (</w:t>
      </w:r>
      <w:proofErr w:type="spellStart"/>
      <w:r w:rsidR="00135415">
        <w:rPr>
          <w:rFonts w:eastAsiaTheme="minorHAnsi" w:cs="Cambria"/>
        </w:rPr>
        <w:t>mepolizumab</w:t>
      </w:r>
      <w:proofErr w:type="spellEnd"/>
      <w:r w:rsidR="00135415">
        <w:rPr>
          <w:rFonts w:eastAsiaTheme="minorHAnsi" w:cs="Cambria"/>
        </w:rPr>
        <w:t>) 100 mg powder for injection vial</w:t>
      </w:r>
      <w:r w:rsidRPr="00D23139">
        <w:t>, indicated for:</w:t>
      </w:r>
    </w:p>
    <w:p w14:paraId="4194F682" w14:textId="77777777" w:rsidR="00B30701" w:rsidRPr="00B30701" w:rsidRDefault="00B30701" w:rsidP="00B30701">
      <w:pPr>
        <w:ind w:left="720"/>
        <w:rPr>
          <w:i/>
        </w:rPr>
      </w:pPr>
      <w:r w:rsidRPr="00B30701">
        <w:rPr>
          <w:i/>
        </w:rPr>
        <w:t>Relapsed or refractory EGPA</w:t>
      </w:r>
    </w:p>
    <w:p w14:paraId="0AC1A1B0" w14:textId="747ECD57" w:rsidR="00D23139" w:rsidRPr="00B30701" w:rsidRDefault="00B30701" w:rsidP="00B30701">
      <w:pPr>
        <w:ind w:left="720"/>
        <w:rPr>
          <w:i/>
        </w:rPr>
      </w:pPr>
      <w:proofErr w:type="spellStart"/>
      <w:r w:rsidRPr="00B30701">
        <w:rPr>
          <w:i/>
        </w:rPr>
        <w:lastRenderedPageBreak/>
        <w:t>Nucala</w:t>
      </w:r>
      <w:proofErr w:type="spellEnd"/>
      <w:r w:rsidRPr="00B30701">
        <w:rPr>
          <w:i/>
        </w:rPr>
        <w:t xml:space="preserve"> is indicated as an add-on treatment for relapsing or refractory Eosinophilic Granulomatosis with </w:t>
      </w:r>
      <w:proofErr w:type="spellStart"/>
      <w:r w:rsidRPr="00B30701">
        <w:rPr>
          <w:i/>
        </w:rPr>
        <w:t>Polyangiitis</w:t>
      </w:r>
      <w:proofErr w:type="spellEnd"/>
      <w:r w:rsidRPr="00B30701">
        <w:rPr>
          <w:i/>
        </w:rPr>
        <w:t xml:space="preserve"> (EGPA) in adult patients aged 18 years and over (see section 5.1 </w:t>
      </w:r>
      <w:proofErr w:type="spellStart"/>
      <w:r w:rsidR="00C508F3" w:rsidRPr="00B30701">
        <w:rPr>
          <w:i/>
        </w:rPr>
        <w:t>Pharmacodynamic</w:t>
      </w:r>
      <w:proofErr w:type="spellEnd"/>
      <w:r w:rsidR="00C508F3" w:rsidRPr="00B30701">
        <w:rPr>
          <w:i/>
        </w:rPr>
        <w:t xml:space="preserve"> Properties </w:t>
      </w:r>
      <w:r w:rsidRPr="00B30701">
        <w:rPr>
          <w:i/>
        </w:rPr>
        <w:t>- Clinical Trials).</w:t>
      </w:r>
    </w:p>
    <w:p w14:paraId="416482DA" w14:textId="4B6EE2D1" w:rsidR="00B30701" w:rsidRDefault="006850B7" w:rsidP="00B30701">
      <w:r>
        <w:t xml:space="preserve">As such, the full indications </w:t>
      </w:r>
      <w:r w:rsidR="000B739D">
        <w:t>at this time were</w:t>
      </w:r>
      <w:r w:rsidR="00B30701">
        <w:t>:</w:t>
      </w:r>
    </w:p>
    <w:p w14:paraId="47FCBB96" w14:textId="77777777" w:rsidR="00B30701" w:rsidRPr="00B30701" w:rsidRDefault="00B30701" w:rsidP="00B30701">
      <w:pPr>
        <w:ind w:left="720"/>
        <w:rPr>
          <w:i/>
        </w:rPr>
      </w:pPr>
      <w:r w:rsidRPr="00B30701">
        <w:rPr>
          <w:i/>
        </w:rPr>
        <w:t>Severe refractory eosinophilic asthma</w:t>
      </w:r>
    </w:p>
    <w:p w14:paraId="45B553E4" w14:textId="73C9B999" w:rsidR="00B30701" w:rsidRPr="00B30701" w:rsidRDefault="00B30701" w:rsidP="00B30701">
      <w:pPr>
        <w:ind w:left="720"/>
        <w:rPr>
          <w:i/>
        </w:rPr>
      </w:pPr>
      <w:proofErr w:type="spellStart"/>
      <w:r w:rsidRPr="00B30701">
        <w:rPr>
          <w:i/>
        </w:rPr>
        <w:t>Nucala</w:t>
      </w:r>
      <w:proofErr w:type="spellEnd"/>
      <w:r w:rsidRPr="00B30701">
        <w:rPr>
          <w:i/>
        </w:rPr>
        <w:t xml:space="preserve"> is indicated as an add-on treatment for severe refractory eosinophilic asthma in patients aged 12 years and over (see Section 5.1 </w:t>
      </w:r>
      <w:proofErr w:type="spellStart"/>
      <w:r w:rsidR="00C508F3" w:rsidRPr="00B30701">
        <w:rPr>
          <w:i/>
        </w:rPr>
        <w:t>Pharmacodynamic</w:t>
      </w:r>
      <w:proofErr w:type="spellEnd"/>
      <w:r w:rsidR="00C508F3" w:rsidRPr="00B30701">
        <w:rPr>
          <w:i/>
        </w:rPr>
        <w:t xml:space="preserve"> Properties</w:t>
      </w:r>
      <w:r w:rsidRPr="00B30701">
        <w:rPr>
          <w:i/>
        </w:rPr>
        <w:t xml:space="preserve"> - Clinical Trials).</w:t>
      </w:r>
    </w:p>
    <w:p w14:paraId="586028F8" w14:textId="77777777" w:rsidR="00B30701" w:rsidRPr="00B30701" w:rsidRDefault="00B30701" w:rsidP="00B30701">
      <w:pPr>
        <w:ind w:left="720"/>
        <w:rPr>
          <w:i/>
        </w:rPr>
      </w:pPr>
      <w:r w:rsidRPr="00B30701">
        <w:rPr>
          <w:i/>
        </w:rPr>
        <w:t>Relapsed or refractory EGPA</w:t>
      </w:r>
    </w:p>
    <w:p w14:paraId="7C109572" w14:textId="34F02DFF" w:rsidR="00B30701" w:rsidRPr="00B30701" w:rsidRDefault="00B30701" w:rsidP="00B30701">
      <w:pPr>
        <w:ind w:left="720"/>
        <w:rPr>
          <w:i/>
        </w:rPr>
      </w:pPr>
      <w:proofErr w:type="spellStart"/>
      <w:r w:rsidRPr="00B30701">
        <w:rPr>
          <w:i/>
        </w:rPr>
        <w:t>Nucala</w:t>
      </w:r>
      <w:proofErr w:type="spellEnd"/>
      <w:r w:rsidRPr="00B30701">
        <w:rPr>
          <w:i/>
        </w:rPr>
        <w:t xml:space="preserve"> is indicated as an add-on treatment for relapsing or refractory Eosinophilic Granulomatosis with </w:t>
      </w:r>
      <w:proofErr w:type="spellStart"/>
      <w:r w:rsidRPr="00B30701">
        <w:rPr>
          <w:i/>
        </w:rPr>
        <w:t>Polyangiitis</w:t>
      </w:r>
      <w:proofErr w:type="spellEnd"/>
      <w:r w:rsidRPr="00B30701">
        <w:rPr>
          <w:i/>
        </w:rPr>
        <w:t xml:space="preserve"> (EGPA) in adult patients aged 18 years and over (see section 5.1 </w:t>
      </w:r>
      <w:proofErr w:type="spellStart"/>
      <w:r w:rsidR="00C508F3" w:rsidRPr="00B30701">
        <w:rPr>
          <w:i/>
        </w:rPr>
        <w:t>Pharmacodynamic</w:t>
      </w:r>
      <w:proofErr w:type="spellEnd"/>
      <w:r w:rsidR="00C508F3" w:rsidRPr="00B30701">
        <w:rPr>
          <w:i/>
        </w:rPr>
        <w:t xml:space="preserve"> Properties </w:t>
      </w:r>
      <w:r w:rsidRPr="00B30701">
        <w:rPr>
          <w:i/>
        </w:rPr>
        <w:t>- Clinical Trials).</w:t>
      </w:r>
    </w:p>
    <w:p w14:paraId="23423113" w14:textId="77777777" w:rsidR="00D23139" w:rsidRPr="00D23139" w:rsidRDefault="00D23139" w:rsidP="00D23139">
      <w:pPr>
        <w:pStyle w:val="Heading4"/>
      </w:pPr>
      <w:r w:rsidRPr="00D23139">
        <w:t>Specific conditions of registration applying to these goods</w:t>
      </w:r>
    </w:p>
    <w:p w14:paraId="3D6166B7" w14:textId="64196024" w:rsidR="00135415" w:rsidRDefault="00135415" w:rsidP="00FE176F">
      <w:pPr>
        <w:pStyle w:val="ListBullet"/>
      </w:pPr>
      <w:r>
        <w:t>Any changes to which the sponsor has agreed should be included in a revised RMP and ASA. However, irrespective of whether or not they are included in the currently available version of the RMP document, the agreed changes become part of the risk management system.</w:t>
      </w:r>
    </w:p>
    <w:p w14:paraId="5CAE58E4" w14:textId="6DE4FE43" w:rsidR="00D23139" w:rsidRDefault="00135415" w:rsidP="00FE176F">
      <w:pPr>
        <w:pStyle w:val="ListBullet"/>
        <w:numPr>
          <w:ilvl w:val="0"/>
          <w:numId w:val="0"/>
        </w:numPr>
        <w:ind w:left="360"/>
      </w:pPr>
      <w:r>
        <w:t xml:space="preserve">The </w:t>
      </w:r>
      <w:proofErr w:type="spellStart"/>
      <w:r w:rsidR="006850B7">
        <w:t>Nucala</w:t>
      </w:r>
      <w:proofErr w:type="spellEnd"/>
      <w:r>
        <w:t xml:space="preserve"> (</w:t>
      </w:r>
      <w:proofErr w:type="spellStart"/>
      <w:r>
        <w:t>mepolizumab</w:t>
      </w:r>
      <w:proofErr w:type="spellEnd"/>
      <w:r>
        <w:t>) EU-Risk Management Plan (EU-RMP), version 2, dated 26</w:t>
      </w:r>
      <w:r w:rsidR="00C508F3">
        <w:t> </w:t>
      </w:r>
      <w:r>
        <w:t>May</w:t>
      </w:r>
      <w:r w:rsidR="00C508F3">
        <w:t> </w:t>
      </w:r>
      <w:r>
        <w:t>2016 (data lock point 10 July 2014), with Australian Specific Annex, version 4.0, dated November 2017, included with submission PM-2017-04349-1-5, and any subsequent revisions, as agreed with the TGA will be implemented in Australia.</w:t>
      </w:r>
    </w:p>
    <w:p w14:paraId="2794F793" w14:textId="77777777" w:rsidR="00135415" w:rsidRDefault="00135415" w:rsidP="00FE176F">
      <w:pPr>
        <w:pStyle w:val="ListBullet"/>
        <w:numPr>
          <w:ilvl w:val="0"/>
          <w:numId w:val="0"/>
        </w:numPr>
        <w:ind w:left="360"/>
      </w:pPr>
      <w:r>
        <w:t>An obligatory component of risk management plans is routine pharmacovigilance. Routine pharmacovigilance includes the submission of periodic safety update reports (PSURs).</w:t>
      </w:r>
    </w:p>
    <w:p w14:paraId="18EA8697" w14:textId="77777777" w:rsidR="006850B7" w:rsidRDefault="006850B7" w:rsidP="00FE176F">
      <w:pPr>
        <w:pStyle w:val="ListBullet"/>
        <w:numPr>
          <w:ilvl w:val="0"/>
          <w:numId w:val="0"/>
        </w:numPr>
        <w:ind w:left="360"/>
        <w:rPr>
          <w:rFonts w:eastAsiaTheme="minorHAnsi" w:cs="Cambria"/>
        </w:rPr>
      </w:pPr>
      <w:r>
        <w:rPr>
          <w:rFonts w:eastAsiaTheme="minorHAnsi" w:cs="Cambria"/>
        </w:rPr>
        <w:t xml:space="preserve">Reports are to be provided in line with the current published list of EU reference dates and frequency of submission of PSURs until the period covered by such reports is not less than three years from the date of this approval letter. The reports are to at least meet the requirements for PSURs as described in the European Medicines Agency’s </w:t>
      </w:r>
      <w:r w:rsidRPr="006850B7">
        <w:t>Guideline on good pharmacovigilance practices (GVP) Module VII-periodic safety update report (Rev 1), Part VII.B Structures and processes</w:t>
      </w:r>
      <w:r>
        <w:rPr>
          <w:rFonts w:eastAsiaTheme="minorHAnsi" w:cs="Cambria"/>
        </w:rPr>
        <w:t>. Note that submission of a PSUR does not constitute an application to vary the registration.</w:t>
      </w:r>
    </w:p>
    <w:p w14:paraId="783A0D91" w14:textId="77777777" w:rsidR="008E7846" w:rsidRDefault="00A80B5B" w:rsidP="00D23139">
      <w:pPr>
        <w:pStyle w:val="Heading2"/>
      </w:pPr>
      <w:bookmarkStart w:id="253" w:name="_Toc25227398"/>
      <w:r>
        <w:t xml:space="preserve">Attachment 1. </w:t>
      </w:r>
      <w:r w:rsidR="008E7846">
        <w:t xml:space="preserve">Product </w:t>
      </w:r>
      <w:r w:rsidR="00AA0ED0">
        <w:t>I</w:t>
      </w:r>
      <w:r w:rsidR="008E7846">
        <w:t>nformation</w:t>
      </w:r>
      <w:bookmarkEnd w:id="251"/>
      <w:bookmarkEnd w:id="252"/>
      <w:bookmarkEnd w:id="253"/>
    </w:p>
    <w:p w14:paraId="66277526" w14:textId="77777777" w:rsidR="00C80137" w:rsidRDefault="006136D7" w:rsidP="00C80137">
      <w:pPr>
        <w:rPr>
          <w:color w:val="000000"/>
          <w:lang w:eastAsia="en-AU"/>
        </w:rPr>
      </w:pPr>
      <w:r w:rsidRPr="002B3624">
        <w:t xml:space="preserve">The </w:t>
      </w:r>
      <w:r>
        <w:t>PI</w:t>
      </w:r>
      <w:r w:rsidRPr="002B3624">
        <w:t xml:space="preserve"> for </w:t>
      </w:r>
      <w:proofErr w:type="spellStart"/>
      <w:r w:rsidR="00135415">
        <w:t>Nucala</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42" w:history="1">
        <w:r w:rsidR="007C6B9B" w:rsidRPr="007C6B9B">
          <w:rPr>
            <w:rStyle w:val="Hyperlink"/>
          </w:rPr>
          <w:t>https://www.tga.gov.au/product-information-pi</w:t>
        </w:r>
      </w:hyperlink>
      <w:r w:rsidR="00135415">
        <w:t>&gt;.</w:t>
      </w:r>
    </w:p>
    <w:p w14:paraId="12C62E37" w14:textId="77777777" w:rsidR="00291957" w:rsidRDefault="00291957" w:rsidP="009B2F11">
      <w:pPr>
        <w:autoSpaceDE w:val="0"/>
        <w:autoSpaceDN w:val="0"/>
        <w:adjustRightInd w:val="0"/>
        <w:spacing w:after="0"/>
        <w:rPr>
          <w:lang w:eastAsia="ja-JP"/>
        </w:rPr>
      </w:pPr>
    </w:p>
    <w:p w14:paraId="57E7ADAD" w14:textId="77777777" w:rsidR="00C80137" w:rsidRPr="001D043B" w:rsidRDefault="00C80137" w:rsidP="003A7F6C">
      <w:pPr>
        <w:pStyle w:val="TableTitle"/>
        <w:sectPr w:rsidR="00C80137" w:rsidRPr="001D043B" w:rsidSect="004101C8">
          <w:headerReference w:type="even" r:id="rId43"/>
          <w:headerReference w:type="default" r:id="rId44"/>
          <w:headerReference w:type="first" r:id="rId45"/>
          <w:footerReference w:type="first" r:id="rId46"/>
          <w:pgSz w:w="11906" w:h="16838" w:code="9"/>
          <w:pgMar w:top="709"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B77BDA9" w14:textId="77777777" w:rsidTr="00A05FA4">
        <w:trPr>
          <w:trHeight w:hRule="exact" w:val="704"/>
        </w:trPr>
        <w:tc>
          <w:tcPr>
            <w:tcW w:w="9175" w:type="dxa"/>
          </w:tcPr>
          <w:p w14:paraId="6DFE9A70" w14:textId="77777777" w:rsidR="001C32CD" w:rsidRPr="00487162" w:rsidRDefault="001C32CD" w:rsidP="00A05FA4">
            <w:pPr>
              <w:pStyle w:val="TGASignoff"/>
            </w:pPr>
            <w:r w:rsidRPr="00487162">
              <w:lastRenderedPageBreak/>
              <w:t>Therapeutic Goods Administration</w:t>
            </w:r>
          </w:p>
        </w:tc>
      </w:tr>
      <w:tr w:rsidR="001C32CD" w:rsidRPr="004C239D" w14:paraId="1D04BF7E" w14:textId="77777777" w:rsidTr="00A05FA4">
        <w:trPr>
          <w:trHeight w:val="1221"/>
        </w:trPr>
        <w:tc>
          <w:tcPr>
            <w:tcW w:w="9175" w:type="dxa"/>
            <w:tcMar>
              <w:top w:w="28" w:type="dxa"/>
            </w:tcMar>
          </w:tcPr>
          <w:p w14:paraId="1BB3E9B8" w14:textId="77777777" w:rsidR="001C32CD" w:rsidRPr="00487162" w:rsidRDefault="001C32CD" w:rsidP="00A05FA4">
            <w:pPr>
              <w:pStyle w:val="Address"/>
            </w:pPr>
            <w:r w:rsidRPr="00487162">
              <w:t>PO Box 100 Woden ACT 2606 Australia</w:t>
            </w:r>
          </w:p>
          <w:p w14:paraId="6019EBD8" w14:textId="77777777" w:rsidR="001C32CD" w:rsidRPr="00487162" w:rsidRDefault="001C32CD" w:rsidP="00A05FA4">
            <w:pPr>
              <w:pStyle w:val="Address"/>
            </w:pPr>
            <w:r w:rsidRPr="00487162">
              <w:t xml:space="preserve">Email: </w:t>
            </w:r>
            <w:hyperlink r:id="rId47" w:history="1">
              <w:r w:rsidRPr="004C239D">
                <w:rPr>
                  <w:rStyle w:val="Hyperlink"/>
                </w:rPr>
                <w:t>info@tga.gov.au</w:t>
              </w:r>
            </w:hyperlink>
            <w:r w:rsidRPr="00487162">
              <w:t xml:space="preserve">  Phone: 1800 020 653  Fax: 02 6232 8605</w:t>
            </w:r>
          </w:p>
          <w:p w14:paraId="5D79998E" w14:textId="77777777" w:rsidR="001C32CD" w:rsidRPr="004C239D" w:rsidRDefault="004101C8" w:rsidP="00A05FA4">
            <w:pPr>
              <w:pStyle w:val="Address"/>
              <w:spacing w:line="260" w:lineRule="atLeast"/>
              <w:rPr>
                <w:b/>
                <w:color w:val="0000FF"/>
                <w:u w:val="single"/>
              </w:rPr>
            </w:pPr>
            <w:hyperlink r:id="rId48" w:history="1">
              <w:r w:rsidR="007C6B9B" w:rsidRPr="007C6B9B">
                <w:rPr>
                  <w:rStyle w:val="Hyperlink"/>
                  <w:b/>
                </w:rPr>
                <w:t>https://www.tga.gov.au</w:t>
              </w:r>
            </w:hyperlink>
          </w:p>
        </w:tc>
      </w:tr>
    </w:tbl>
    <w:p w14:paraId="5A33159F" w14:textId="77777777" w:rsidR="00774E1D" w:rsidRPr="008A5E0B" w:rsidRDefault="00774E1D" w:rsidP="004C239D"/>
    <w:sectPr w:rsidR="00774E1D" w:rsidRPr="008A5E0B" w:rsidSect="001C32CD">
      <w:headerReference w:type="even" r:id="rId49"/>
      <w:headerReference w:type="default" r:id="rId50"/>
      <w:footerReference w:type="default" r:id="rId51"/>
      <w:headerReference w:type="first" r:id="rId52"/>
      <w:footerReference w:type="first" r:id="rId53"/>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D8B9F5" w16cid:durableId="213E0257"/>
  <w16cid:commentId w16cid:paraId="34A5AEDD" w16cid:durableId="213DFEE1"/>
  <w16cid:commentId w16cid:paraId="543FCADB" w16cid:durableId="213E0393"/>
  <w16cid:commentId w16cid:paraId="533233AB" w16cid:durableId="213E0167"/>
  <w16cid:commentId w16cid:paraId="1815433E" w16cid:durableId="213E02F4"/>
  <w16cid:commentId w16cid:paraId="252628AA" w16cid:durableId="213E02FF"/>
  <w16cid:commentId w16cid:paraId="09A72093" w16cid:durableId="213E032E"/>
  <w16cid:commentId w16cid:paraId="00F184B7" w16cid:durableId="213E04FB"/>
  <w16cid:commentId w16cid:paraId="4A02B27B" w16cid:durableId="213E050C"/>
  <w16cid:commentId w16cid:paraId="1AB3976E" w16cid:durableId="213E057B"/>
  <w16cid:commentId w16cid:paraId="5434848B" w16cid:durableId="213E060C"/>
  <w16cid:commentId w16cid:paraId="47F509BA" w16cid:durableId="213E018C"/>
  <w16cid:commentId w16cid:paraId="719481E0" w16cid:durableId="213E063B"/>
  <w16cid:commentId w16cid:paraId="1E82FFE9" w16cid:durableId="213E01F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7F3398" w14:textId="77777777" w:rsidR="004101C8" w:rsidRDefault="004101C8" w:rsidP="00C40A36">
      <w:pPr>
        <w:spacing w:after="0"/>
      </w:pPr>
      <w:r>
        <w:separator/>
      </w:r>
    </w:p>
  </w:endnote>
  <w:endnote w:type="continuationSeparator" w:id="0">
    <w:p w14:paraId="35D8506B" w14:textId="77777777" w:rsidR="004101C8" w:rsidRDefault="004101C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TimesNewRoman">
    <w:altName w:val="Yu Gothic UI"/>
    <w:panose1 w:val="00000000000000000000"/>
    <w:charset w:val="80"/>
    <w:family w:val="auto"/>
    <w:notTrueType/>
    <w:pitch w:val="default"/>
    <w:sig w:usb0="00000000" w:usb1="08070000" w:usb2="00000010" w:usb3="00000000" w:csb0="00020009" w:csb1="00000000"/>
  </w:font>
  <w:font w:name="AdvTT94c8263f.I">
    <w:panose1 w:val="00000000000000000000"/>
    <w:charset w:val="00"/>
    <w:family w:val="roman"/>
    <w:notTrueType/>
    <w:pitch w:val="default"/>
    <w:sig w:usb0="00000003" w:usb1="00000000" w:usb2="00000000" w:usb3="00000000" w:csb0="00000001" w:csb1="00000000"/>
  </w:font>
  <w:font w:name="AdvTT5235d5a9">
    <w:altName w:val="Cambria"/>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dvTT5235d5a9+fb">
    <w:panose1 w:val="00000000000000000000"/>
    <w:charset w:val="00"/>
    <w:family w:val="auto"/>
    <w:notTrueType/>
    <w:pitch w:val="default"/>
    <w:sig w:usb0="00000003" w:usb1="00000000" w:usb2="00000000" w:usb3="00000000" w:csb0="00000001" w:csb1="00000000"/>
  </w:font>
  <w:font w:name="AdvPECFB95">
    <w:altName w:val="Calibri"/>
    <w:panose1 w:val="00000000000000000000"/>
    <w:charset w:val="00"/>
    <w:family w:val="auto"/>
    <w:notTrueType/>
    <w:pitch w:val="default"/>
    <w:sig w:usb0="00000003" w:usb1="00000000" w:usb2="00000000" w:usb3="00000000" w:csb0="00000001" w:csb1="00000000"/>
  </w:font>
  <w:font w:name="AdvPECF93C">
    <w:altName w:val="Calibri"/>
    <w:panose1 w:val="00000000000000000000"/>
    <w:charset w:val="00"/>
    <w:family w:val="swiss"/>
    <w:notTrueType/>
    <w:pitch w:val="default"/>
    <w:sig w:usb0="00000003" w:usb1="00000000" w:usb2="00000000" w:usb3="00000000" w:csb0="00000001" w:csb1="00000000"/>
  </w:font>
  <w:font w:name="AdvPECF938">
    <w:altName w:val="Calibri"/>
    <w:panose1 w:val="00000000000000000000"/>
    <w:charset w:val="00"/>
    <w:family w:val="auto"/>
    <w:notTrueType/>
    <w:pitch w:val="default"/>
    <w:sig w:usb0="00000003" w:usb1="00000000" w:usb2="00000000" w:usb3="00000000" w:csb0="00000001" w:csb1="00000000"/>
  </w:font>
  <w:font w:name="AdvPECFD33">
    <w:altName w:val="Calibri"/>
    <w:panose1 w:val="00000000000000000000"/>
    <w:charset w:val="00"/>
    <w:family w:val="swiss"/>
    <w:notTrueType/>
    <w:pitch w:val="default"/>
    <w:sig w:usb0="00000003" w:usb1="00000000" w:usb2="00000000" w:usb3="00000000" w:csb0="00000001" w:csb1="00000000"/>
  </w:font>
  <w:font w:name="ArialNarrow">
    <w:altName w:val="MS Mincho"/>
    <w:panose1 w:val="00000000000000000000"/>
    <w:charset w:val="80"/>
    <w:family w:val="auto"/>
    <w:notTrueType/>
    <w:pitch w:val="default"/>
    <w:sig w:usb0="00000003" w:usb1="08070000" w:usb2="00000010" w:usb3="00000000" w:csb0="00020001" w:csb1="00000000"/>
  </w:font>
  <w:font w:name="Arial,Bold">
    <w:altName w:val="MS Mincho"/>
    <w:panose1 w:val="00000000000000000000"/>
    <w:charset w:val="80"/>
    <w:family w:val="auto"/>
    <w:notTrueType/>
    <w:pitch w:val="default"/>
    <w:sig w:usb0="00000001" w:usb1="08070000" w:usb2="00000010" w:usb3="00000000" w:csb0="00020000" w:csb1="00000000"/>
  </w:font>
  <w:font w:name="Cambria,Regular">
    <w:altName w:val="Cambria"/>
    <w:panose1 w:val="00000000000000000000"/>
    <w:charset w:val="00"/>
    <w:family w:val="auto"/>
    <w:notTrueType/>
    <w:pitch w:val="default"/>
    <w:sig w:usb0="00000003" w:usb1="00000000" w:usb2="00000000" w:usb3="00000000" w:csb0="00000001" w:csb1="00000000"/>
  </w:font>
  <w:font w:name="Calibri,Regular">
    <w:altName w:val="Calibri"/>
    <w:panose1 w:val="00000000000000000000"/>
    <w:charset w:val="00"/>
    <w:family w:val="auto"/>
    <w:notTrueType/>
    <w:pitch w:val="default"/>
    <w:sig w:usb0="00000003" w:usb1="00000000" w:usb2="00000000" w:usb3="00000000" w:csb0="00000001" w:csb1="00000000"/>
  </w:font>
  <w:font w:name="AdvTT5235d5a9+20">
    <w:altName w:val="Calibri"/>
    <w:panose1 w:val="00000000000000000000"/>
    <w:charset w:val="00"/>
    <w:family w:val="auto"/>
    <w:notTrueType/>
    <w:pitch w:val="default"/>
    <w:sig w:usb0="00000003" w:usb1="00000000" w:usb2="00000000" w:usb3="00000000" w:csb0="00000001" w:csb1="00000000"/>
  </w:font>
  <w:font w:name="OTNEJMQuadraat">
    <w:altName w:val="Yu Gothic"/>
    <w:panose1 w:val="00000000000000000000"/>
    <w:charset w:val="80"/>
    <w:family w:val="roman"/>
    <w:notTrueType/>
    <w:pitch w:val="default"/>
    <w:sig w:usb0="00000001" w:usb1="08070000" w:usb2="00000010" w:usb3="00000000" w:csb0="00020000" w:csb1="00000000"/>
  </w:font>
  <w:font w:name="ArialNarrow,Bold">
    <w:altName w:val="Arial"/>
    <w:panose1 w:val="00000000000000000000"/>
    <w:charset w:val="00"/>
    <w:family w:val="auto"/>
    <w:notTrueType/>
    <w:pitch w:val="default"/>
    <w:sig w:usb0="00000003" w:usb1="00000000" w:usb2="00000000" w:usb3="00000000" w:csb0="00000001" w:csb1="00000000"/>
  </w:font>
  <w:font w:name="TimesNewRoman,Italic">
    <w:altName w:val="MS Mincho"/>
    <w:panose1 w:val="00000000000000000000"/>
    <w:charset w:val="80"/>
    <w:family w:val="auto"/>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14494" w14:textId="77777777" w:rsidR="004101C8" w:rsidRDefault="004101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4101C8" w:rsidRPr="00487162" w14:paraId="5FC50469" w14:textId="77777777" w:rsidTr="00DB750B">
      <w:trPr>
        <w:trHeight w:val="269"/>
      </w:trPr>
      <w:tc>
        <w:tcPr>
          <w:tcW w:w="7371" w:type="dxa"/>
          <w:tcMar>
            <w:top w:w="142" w:type="dxa"/>
            <w:bottom w:w="0" w:type="dxa"/>
          </w:tcMar>
        </w:tcPr>
        <w:p w14:paraId="010AA50C" w14:textId="1BED555F" w:rsidR="004101C8" w:rsidRPr="00487162" w:rsidRDefault="004101C8" w:rsidP="00FE176F">
          <w:pPr>
            <w:pStyle w:val="Footer"/>
          </w:pPr>
          <w:r w:rsidRPr="00487162">
            <w:t>AusPA</w:t>
          </w:r>
          <w:r>
            <w:t xml:space="preserve">R - </w:t>
          </w:r>
          <w:proofErr w:type="spellStart"/>
          <w:r>
            <w:t>Nulcala</w:t>
          </w:r>
          <w:proofErr w:type="spellEnd"/>
          <w:r w:rsidRPr="00EF26DF">
            <w:t xml:space="preserve"> - </w:t>
          </w:r>
          <w:proofErr w:type="spellStart"/>
          <w:r w:rsidRPr="00EF26DF">
            <w:t>mepolizumab</w:t>
          </w:r>
          <w:proofErr w:type="spellEnd"/>
          <w:r w:rsidRPr="00EF26DF">
            <w:t xml:space="preserve"> - GlaxoSmithKline Australia Pty Ltd - PM-2017-04349-1-5</w:t>
          </w:r>
          <w:r>
            <w:br/>
            <w:t>FINAL 24 October 2019</w:t>
          </w:r>
        </w:p>
      </w:tc>
      <w:tc>
        <w:tcPr>
          <w:tcW w:w="1490" w:type="dxa"/>
          <w:tcMar>
            <w:top w:w="142" w:type="dxa"/>
            <w:bottom w:w="0" w:type="dxa"/>
          </w:tcMar>
        </w:tcPr>
        <w:p w14:paraId="106A7988" w14:textId="73CB92CF" w:rsidR="004101C8" w:rsidRPr="00487162" w:rsidRDefault="004101C8" w:rsidP="00DB750B">
          <w:pPr>
            <w:pStyle w:val="Footer"/>
            <w:jc w:val="right"/>
          </w:pPr>
          <w:r w:rsidRPr="00487162">
            <w:t xml:space="preserve">Page </w:t>
          </w:r>
          <w:r>
            <w:fldChar w:fldCharType="begin"/>
          </w:r>
          <w:r>
            <w:instrText xml:space="preserve"> PAGE  \* Arabic </w:instrText>
          </w:r>
          <w:r>
            <w:fldChar w:fldCharType="separate"/>
          </w:r>
          <w:r w:rsidR="00BC3D4E">
            <w:rPr>
              <w:noProof/>
            </w:rPr>
            <w:t>2</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BC3D4E">
            <w:rPr>
              <w:noProof/>
            </w:rPr>
            <w:t>85</w:t>
          </w:r>
          <w:r>
            <w:rPr>
              <w:noProof/>
            </w:rPr>
            <w:fldChar w:fldCharType="end"/>
          </w:r>
        </w:p>
      </w:tc>
    </w:tr>
  </w:tbl>
  <w:p w14:paraId="244729B8" w14:textId="77777777" w:rsidR="004101C8" w:rsidRDefault="004101C8"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4768B" w14:textId="77777777" w:rsidR="004101C8" w:rsidRDefault="004101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101C8" w:rsidRPr="00487162" w14:paraId="217BE3C8" w14:textId="77777777" w:rsidTr="00E45619">
      <w:trPr>
        <w:trHeight w:val="269"/>
      </w:trPr>
      <w:tc>
        <w:tcPr>
          <w:tcW w:w="4519" w:type="dxa"/>
          <w:tcBorders>
            <w:top w:val="single" w:sz="4" w:space="0" w:color="auto"/>
          </w:tcBorders>
          <w:tcMar>
            <w:top w:w="142" w:type="dxa"/>
            <w:bottom w:w="0" w:type="dxa"/>
          </w:tcMar>
        </w:tcPr>
        <w:p w14:paraId="32DB076B" w14:textId="77777777" w:rsidR="004101C8" w:rsidRPr="00487162" w:rsidRDefault="004101C8" w:rsidP="00FE1DEE">
          <w:pPr>
            <w:pStyle w:val="Footer"/>
          </w:pPr>
          <w:r w:rsidRPr="00487162">
            <w:t>Document title, Part #, Section # - Section title</w:t>
          </w:r>
        </w:p>
        <w:p w14:paraId="17B85B35" w14:textId="77777777" w:rsidR="004101C8" w:rsidRPr="00487162" w:rsidRDefault="004101C8" w:rsidP="00FE1DEE">
          <w:pPr>
            <w:pStyle w:val="Footer"/>
          </w:pPr>
          <w:r w:rsidRPr="00487162">
            <w:t>V1.0 October 2010</w:t>
          </w:r>
        </w:p>
      </w:tc>
      <w:tc>
        <w:tcPr>
          <w:tcW w:w="4342" w:type="dxa"/>
          <w:tcBorders>
            <w:top w:val="single" w:sz="4" w:space="0" w:color="auto"/>
          </w:tcBorders>
          <w:tcMar>
            <w:top w:w="142" w:type="dxa"/>
            <w:bottom w:w="0" w:type="dxa"/>
          </w:tcMar>
        </w:tcPr>
        <w:p w14:paraId="168FB0BC" w14:textId="77777777" w:rsidR="004101C8" w:rsidRPr="00487162" w:rsidRDefault="004101C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3</w:t>
          </w:r>
          <w:r>
            <w:rPr>
              <w:noProof/>
            </w:rPr>
            <w:fldChar w:fldCharType="end"/>
          </w:r>
        </w:p>
      </w:tc>
    </w:tr>
  </w:tbl>
  <w:p w14:paraId="28DE2E13" w14:textId="77777777" w:rsidR="004101C8" w:rsidRDefault="004101C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BFD52" w14:textId="77777777" w:rsidR="004101C8" w:rsidRPr="001C32CD" w:rsidRDefault="004101C8"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101C8" w14:paraId="22D56FF1" w14:textId="77777777" w:rsidTr="0010601F">
      <w:trPr>
        <w:trHeight w:val="108"/>
      </w:trPr>
      <w:tc>
        <w:tcPr>
          <w:tcW w:w="8875" w:type="dxa"/>
          <w:gridSpan w:val="2"/>
          <w:tcBorders>
            <w:bottom w:val="single" w:sz="4" w:space="0" w:color="auto"/>
          </w:tcBorders>
          <w:tcMar>
            <w:right w:w="284" w:type="dxa"/>
          </w:tcMar>
        </w:tcPr>
        <w:p w14:paraId="0A5D1363" w14:textId="77777777" w:rsidR="004101C8" w:rsidRDefault="004101C8" w:rsidP="006E08B3">
          <w:pPr>
            <w:pStyle w:val="Heading3"/>
          </w:pPr>
          <w:r>
            <w:t>Copyright</w:t>
          </w:r>
        </w:p>
        <w:p w14:paraId="2FBD79A8" w14:textId="77777777" w:rsidR="004101C8" w:rsidRDefault="004101C8" w:rsidP="006E08B3">
          <w:r>
            <w:rPr>
              <w:rFonts w:cs="Arial"/>
            </w:rPr>
            <w:t>©</w:t>
          </w:r>
          <w:r>
            <w:t xml:space="preserve"> Commonwealth of Australia (add year)</w:t>
          </w:r>
        </w:p>
        <w:p w14:paraId="12F100D2" w14:textId="77777777" w:rsidR="004101C8" w:rsidRDefault="004101C8" w:rsidP="006E08B3"/>
        <w:p w14:paraId="42B92326" w14:textId="77777777" w:rsidR="004101C8" w:rsidRDefault="004101C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3863EBF" w14:textId="77777777" w:rsidR="004101C8" w:rsidRDefault="004101C8" w:rsidP="006E08B3"/>
        <w:p w14:paraId="60220C56" w14:textId="77777777" w:rsidR="004101C8" w:rsidRDefault="004101C8" w:rsidP="006E08B3">
          <w:pPr>
            <w:pStyle w:val="Heading3"/>
          </w:pPr>
          <w:r>
            <w:t>Confidentiality</w:t>
          </w:r>
        </w:p>
        <w:p w14:paraId="15402F1D" w14:textId="77777777" w:rsidR="004101C8" w:rsidRDefault="004101C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A5C2647" w14:textId="77777777" w:rsidR="004101C8" w:rsidRDefault="004101C8" w:rsidP="006E08B3"/>
        <w:p w14:paraId="1C355B38" w14:textId="77777777" w:rsidR="004101C8" w:rsidRDefault="004101C8" w:rsidP="006E08B3">
          <w:r>
            <w:t>For submission made by individuals, all personal details, other than your name, will be removed from your submission before it is published on the TGA’s Internet site.</w:t>
          </w:r>
        </w:p>
        <w:p w14:paraId="45F93CA0" w14:textId="77777777" w:rsidR="004101C8" w:rsidRDefault="004101C8" w:rsidP="006E08B3"/>
        <w:p w14:paraId="05979255" w14:textId="77777777" w:rsidR="004101C8" w:rsidRDefault="004101C8"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4101C8" w14:paraId="5C689F84" w14:textId="77777777" w:rsidTr="0010601F">
      <w:trPr>
        <w:trHeight w:val="417"/>
      </w:trPr>
      <w:tc>
        <w:tcPr>
          <w:tcW w:w="4519" w:type="dxa"/>
          <w:tcBorders>
            <w:top w:val="single" w:sz="4" w:space="0" w:color="auto"/>
          </w:tcBorders>
          <w:tcMar>
            <w:top w:w="142" w:type="dxa"/>
            <w:bottom w:w="0" w:type="dxa"/>
          </w:tcMar>
        </w:tcPr>
        <w:p w14:paraId="713438B4" w14:textId="77777777" w:rsidR="004101C8" w:rsidRDefault="004101C8" w:rsidP="006E08B3">
          <w:r>
            <w:t>Document title, Part #, Section # - Section title</w:t>
          </w:r>
        </w:p>
        <w:p w14:paraId="7B704E85" w14:textId="77777777" w:rsidR="004101C8" w:rsidRDefault="004101C8" w:rsidP="006E08B3">
          <w:r>
            <w:t>V1.0 October 2010</w:t>
          </w:r>
        </w:p>
      </w:tc>
      <w:tc>
        <w:tcPr>
          <w:tcW w:w="4356" w:type="dxa"/>
          <w:tcBorders>
            <w:top w:val="single" w:sz="4" w:space="0" w:color="auto"/>
          </w:tcBorders>
          <w:tcMar>
            <w:top w:w="142" w:type="dxa"/>
            <w:bottom w:w="0" w:type="dxa"/>
          </w:tcMar>
        </w:tcPr>
        <w:p w14:paraId="1E812B58" w14:textId="77777777" w:rsidR="004101C8" w:rsidRDefault="004101C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3</w:t>
          </w:r>
          <w:r>
            <w:rPr>
              <w:noProof/>
            </w:rPr>
            <w:fldChar w:fldCharType="end"/>
          </w:r>
          <w:r>
            <w:t xml:space="preserve">  </w:t>
          </w:r>
        </w:p>
      </w:tc>
    </w:tr>
  </w:tbl>
  <w:p w14:paraId="34BC6EE9" w14:textId="77777777" w:rsidR="004101C8" w:rsidRDefault="004101C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91820" w14:textId="77777777" w:rsidR="004101C8" w:rsidRDefault="004101C8" w:rsidP="00C40A36">
      <w:pPr>
        <w:spacing w:after="0"/>
      </w:pPr>
      <w:r>
        <w:separator/>
      </w:r>
    </w:p>
  </w:footnote>
  <w:footnote w:type="continuationSeparator" w:id="0">
    <w:p w14:paraId="1BD314CE" w14:textId="77777777" w:rsidR="004101C8" w:rsidRDefault="004101C8" w:rsidP="00C40A36">
      <w:pPr>
        <w:spacing w:after="0"/>
      </w:pPr>
      <w:r>
        <w:continuationSeparator/>
      </w:r>
    </w:p>
  </w:footnote>
  <w:footnote w:id="1">
    <w:p w14:paraId="4E435610" w14:textId="6DBA0B80" w:rsidR="004101C8" w:rsidRPr="00583879" w:rsidRDefault="004101C8" w:rsidP="00583879">
      <w:pPr>
        <w:pStyle w:val="FootnoteText"/>
      </w:pPr>
      <w:r w:rsidRPr="00583879">
        <w:rPr>
          <w:rStyle w:val="FootnoteReference"/>
        </w:rPr>
        <w:footnoteRef/>
      </w:r>
      <w:r w:rsidRPr="00583879">
        <w:t xml:space="preserve"> Based on plasma AUC</w:t>
      </w:r>
      <w:r w:rsidRPr="00717E67">
        <w:rPr>
          <w:vertAlign w:val="subscript"/>
        </w:rPr>
        <w:t>0–4</w:t>
      </w:r>
      <w:r w:rsidRPr="00583879">
        <w:t xml:space="preserve"> week values at steady state of 809 </w:t>
      </w:r>
      <w:proofErr w:type="spellStart"/>
      <w:r w:rsidRPr="00583879">
        <w:t>mg·h</w:t>
      </w:r>
      <w:proofErr w:type="spellEnd"/>
      <w:r w:rsidRPr="00583879">
        <w:t>/mL in monkeys (Study RSD-100X0L), 28.1 </w:t>
      </w:r>
      <w:proofErr w:type="spellStart"/>
      <w:r w:rsidRPr="00583879">
        <w:t>mg·h</w:t>
      </w:r>
      <w:proofErr w:type="spellEnd"/>
      <w:r w:rsidRPr="00583879">
        <w:t>/mL at 300 mg SC in adult and adolescent patients (Study MEA</w:t>
      </w:r>
      <w:r>
        <w:t xml:space="preserve">115921) and 48.6 </w:t>
      </w:r>
      <w:proofErr w:type="spellStart"/>
      <w:r>
        <w:t>mg·h</w:t>
      </w:r>
      <w:proofErr w:type="spellEnd"/>
      <w:r>
        <w:t>/mL at 300 </w:t>
      </w:r>
      <w:r w:rsidRPr="00583879">
        <w:t xml:space="preserve">mg SC in children ≥ 40 kg (based on linear extrapolation of the AUC obtained at 100 mg </w:t>
      </w:r>
      <w:r>
        <w:t>(</w:t>
      </w:r>
      <w:r w:rsidRPr="00583879">
        <w:t>675 µ</w:t>
      </w:r>
      <w:proofErr w:type="spellStart"/>
      <w:r w:rsidRPr="00583879">
        <w:t>g·d</w:t>
      </w:r>
      <w:proofErr w:type="spellEnd"/>
      <w:r w:rsidRPr="00583879">
        <w:t>/mL</w:t>
      </w:r>
      <w:r>
        <w:t>)</w:t>
      </w:r>
      <w:r w:rsidRPr="00583879">
        <w:t xml:space="preserve"> in Study 200363).</w:t>
      </w:r>
    </w:p>
  </w:footnote>
  <w:footnote w:id="2">
    <w:p w14:paraId="0849860C" w14:textId="77777777" w:rsidR="004101C8" w:rsidRPr="00583879" w:rsidRDefault="004101C8" w:rsidP="00583879">
      <w:pPr>
        <w:pStyle w:val="FootnoteText"/>
      </w:pPr>
      <w:r w:rsidRPr="00583879">
        <w:rPr>
          <w:rStyle w:val="FootnoteReference"/>
        </w:rPr>
        <w:footnoteRef/>
      </w:r>
      <w:r w:rsidRPr="00583879">
        <w:t xml:space="preserve"> See Australia Specific Annex to the EU Risk Management Plan</w:t>
      </w:r>
    </w:p>
  </w:footnote>
  <w:footnote w:id="3">
    <w:p w14:paraId="07A832DC" w14:textId="77777777" w:rsidR="004101C8" w:rsidRPr="00C67BDE" w:rsidRDefault="004101C8" w:rsidP="00583879">
      <w:pPr>
        <w:pStyle w:val="FootnoteText"/>
      </w:pPr>
      <w:r w:rsidRPr="00583879">
        <w:rPr>
          <w:rStyle w:val="FootnoteReference"/>
        </w:rPr>
        <w:footnoteRef/>
      </w:r>
      <w:r w:rsidRPr="00583879">
        <w:t xml:space="preserve"> </w:t>
      </w:r>
      <w:proofErr w:type="spellStart"/>
      <w:r w:rsidRPr="00583879">
        <w:t>Ormerod</w:t>
      </w:r>
      <w:proofErr w:type="spellEnd"/>
      <w:r w:rsidRPr="00583879">
        <w:t>, A. and Cook, M. (2008). Epidemiology of primary systemic vasculitis in the Australian Capital Territory and south-eastern New South Wales, Internal Medicine Journal, 2008; 38: 816–823.</w:t>
      </w:r>
    </w:p>
  </w:footnote>
  <w:footnote w:id="4">
    <w:p w14:paraId="5AB3D3BF" w14:textId="77777777" w:rsidR="004101C8" w:rsidRPr="00C02779" w:rsidRDefault="004101C8" w:rsidP="00AF7B2C">
      <w:pPr>
        <w:pStyle w:val="FootnoteText"/>
        <w:rPr>
          <w:szCs w:val="18"/>
        </w:rPr>
      </w:pPr>
      <w:r w:rsidRPr="00C02779">
        <w:rPr>
          <w:rStyle w:val="FootnoteReference"/>
          <w:szCs w:val="18"/>
        </w:rPr>
        <w:footnoteRef/>
      </w:r>
      <w:r w:rsidRPr="00C02779">
        <w:rPr>
          <w:szCs w:val="18"/>
        </w:rPr>
        <w:t xml:space="preserve"> </w:t>
      </w:r>
      <w:proofErr w:type="spellStart"/>
      <w:r>
        <w:rPr>
          <w:rStyle w:val="refauthors"/>
          <w:szCs w:val="18"/>
        </w:rPr>
        <w:t>Comarmond</w:t>
      </w:r>
      <w:proofErr w:type="spellEnd"/>
      <w:r>
        <w:rPr>
          <w:rStyle w:val="refauthors"/>
          <w:szCs w:val="18"/>
        </w:rPr>
        <w:t xml:space="preserve">, C. </w:t>
      </w:r>
      <w:r w:rsidRPr="00C02779">
        <w:rPr>
          <w:rStyle w:val="refauthors"/>
          <w:szCs w:val="18"/>
        </w:rPr>
        <w:t>et al</w:t>
      </w:r>
      <w:r>
        <w:rPr>
          <w:rStyle w:val="refauthors"/>
          <w:szCs w:val="18"/>
        </w:rPr>
        <w:t>. (2013)</w:t>
      </w:r>
      <w:r w:rsidRPr="00C02779">
        <w:rPr>
          <w:rStyle w:val="refauthors"/>
          <w:szCs w:val="18"/>
        </w:rPr>
        <w:t xml:space="preserve">, </w:t>
      </w:r>
      <w:r w:rsidRPr="00C02779">
        <w:rPr>
          <w:rStyle w:val="reftitle"/>
          <w:szCs w:val="18"/>
        </w:rPr>
        <w:t xml:space="preserve">Eosinophilic granulomatosis with </w:t>
      </w:r>
      <w:proofErr w:type="spellStart"/>
      <w:r w:rsidRPr="00C02779">
        <w:rPr>
          <w:rStyle w:val="reftitle"/>
          <w:szCs w:val="18"/>
        </w:rPr>
        <w:t>polyangiitis</w:t>
      </w:r>
      <w:proofErr w:type="spellEnd"/>
      <w:r w:rsidRPr="00C02779">
        <w:rPr>
          <w:rStyle w:val="reftitle"/>
          <w:szCs w:val="18"/>
        </w:rPr>
        <w:t xml:space="preserve"> (</w:t>
      </w:r>
      <w:proofErr w:type="spellStart"/>
      <w:r w:rsidRPr="00C02779">
        <w:rPr>
          <w:rStyle w:val="reftitle"/>
          <w:szCs w:val="18"/>
        </w:rPr>
        <w:t>Churg</w:t>
      </w:r>
      <w:proofErr w:type="spellEnd"/>
      <w:r w:rsidRPr="00C02779">
        <w:rPr>
          <w:rStyle w:val="reftitle"/>
          <w:szCs w:val="18"/>
        </w:rPr>
        <w:t>–Strauss): clinical characteristics and long-term follow</w:t>
      </w:r>
      <w:r>
        <w:rPr>
          <w:rStyle w:val="reftitle"/>
          <w:szCs w:val="18"/>
        </w:rPr>
        <w:t xml:space="preserve"> </w:t>
      </w:r>
      <w:r w:rsidRPr="00C02779">
        <w:rPr>
          <w:rStyle w:val="reftitle"/>
          <w:szCs w:val="18"/>
        </w:rPr>
        <w:t xml:space="preserve">up of the 383 patients enrolled in the French Vasculitis Study Group cohort. </w:t>
      </w:r>
      <w:r w:rsidRPr="004467B1">
        <w:rPr>
          <w:rStyle w:val="refseriestitle"/>
          <w:i/>
          <w:szCs w:val="18"/>
        </w:rPr>
        <w:t>Arthritis Rheum</w:t>
      </w:r>
      <w:r w:rsidRPr="00C02779">
        <w:rPr>
          <w:rStyle w:val="reference0"/>
          <w:szCs w:val="18"/>
        </w:rPr>
        <w:t xml:space="preserve">. </w:t>
      </w:r>
      <w:r w:rsidRPr="00C02779">
        <w:rPr>
          <w:rStyle w:val="refseriesdate"/>
          <w:szCs w:val="18"/>
        </w:rPr>
        <w:t>2013</w:t>
      </w:r>
      <w:r w:rsidRPr="00C02779">
        <w:rPr>
          <w:rStyle w:val="reference0"/>
          <w:szCs w:val="18"/>
        </w:rPr>
        <w:t>;</w:t>
      </w:r>
      <w:r>
        <w:rPr>
          <w:rStyle w:val="reference0"/>
          <w:szCs w:val="18"/>
        </w:rPr>
        <w:t xml:space="preserve"> </w:t>
      </w:r>
      <w:r w:rsidRPr="00C02779">
        <w:rPr>
          <w:rStyle w:val="refseriesvolume"/>
          <w:szCs w:val="18"/>
        </w:rPr>
        <w:t>65</w:t>
      </w:r>
      <w:r w:rsidRPr="00C02779">
        <w:rPr>
          <w:rStyle w:val="reference0"/>
          <w:szCs w:val="18"/>
        </w:rPr>
        <w:t>:</w:t>
      </w:r>
      <w:r>
        <w:rPr>
          <w:rStyle w:val="reference0"/>
          <w:szCs w:val="18"/>
        </w:rPr>
        <w:t xml:space="preserve"> </w:t>
      </w:r>
      <w:r w:rsidRPr="00C02779">
        <w:rPr>
          <w:rStyle w:val="refpages"/>
          <w:szCs w:val="18"/>
        </w:rPr>
        <w:t>270–281</w:t>
      </w:r>
      <w:r>
        <w:rPr>
          <w:rStyle w:val="refpages"/>
          <w:szCs w:val="18"/>
        </w:rPr>
        <w:t>.</w:t>
      </w:r>
    </w:p>
  </w:footnote>
  <w:footnote w:id="5">
    <w:p w14:paraId="3FCF3E92" w14:textId="77777777" w:rsidR="004101C8" w:rsidRDefault="004101C8">
      <w:pPr>
        <w:pStyle w:val="FootnoteText"/>
      </w:pPr>
      <w:r>
        <w:rPr>
          <w:rStyle w:val="FootnoteReference"/>
        </w:rPr>
        <w:footnoteRef/>
      </w:r>
      <w:r>
        <w:t xml:space="preserve"> </w:t>
      </w:r>
      <w:proofErr w:type="spellStart"/>
      <w:r>
        <w:t>Gioffredi</w:t>
      </w:r>
      <w:proofErr w:type="spellEnd"/>
      <w:r>
        <w:t>, A. et al. (2014)</w:t>
      </w:r>
      <w:r w:rsidRPr="00786AEC">
        <w:t xml:space="preserve">. Eosinophilic granulomatosis with </w:t>
      </w:r>
      <w:proofErr w:type="spellStart"/>
      <w:r w:rsidRPr="00786AEC">
        <w:t>polyangiitis</w:t>
      </w:r>
      <w:proofErr w:type="spellEnd"/>
      <w:r w:rsidRPr="00786AEC">
        <w:t xml:space="preserve">: An overview. </w:t>
      </w:r>
      <w:r w:rsidRPr="004467B1">
        <w:rPr>
          <w:i/>
        </w:rPr>
        <w:t xml:space="preserve">Front </w:t>
      </w:r>
      <w:proofErr w:type="spellStart"/>
      <w:r w:rsidRPr="004467B1">
        <w:rPr>
          <w:i/>
        </w:rPr>
        <w:t>Immunol</w:t>
      </w:r>
      <w:proofErr w:type="spellEnd"/>
      <w:r>
        <w:t xml:space="preserve">, </w:t>
      </w:r>
      <w:r w:rsidRPr="00786AEC">
        <w:t>2014;</w:t>
      </w:r>
      <w:r>
        <w:t xml:space="preserve"> </w:t>
      </w:r>
      <w:r w:rsidRPr="00786AEC">
        <w:t>5:</w:t>
      </w:r>
      <w:r>
        <w:t xml:space="preserve"> 1-7.</w:t>
      </w:r>
    </w:p>
  </w:footnote>
  <w:footnote w:id="6">
    <w:p w14:paraId="0CA04E5E" w14:textId="77777777" w:rsidR="004101C8" w:rsidRPr="00803C74" w:rsidRDefault="004101C8" w:rsidP="00AF7B2C">
      <w:pPr>
        <w:spacing w:before="0" w:after="0"/>
        <w:rPr>
          <w:rStyle w:val="FootnoteTextChar"/>
        </w:rPr>
      </w:pPr>
      <w:r w:rsidRPr="00F26AA2">
        <w:rPr>
          <w:rStyle w:val="FootnoteReference"/>
          <w:sz w:val="20"/>
          <w:szCs w:val="20"/>
        </w:rPr>
        <w:footnoteRef/>
      </w:r>
      <w:r w:rsidRPr="00F26AA2">
        <w:rPr>
          <w:sz w:val="20"/>
          <w:szCs w:val="20"/>
        </w:rPr>
        <w:t xml:space="preserve"> </w:t>
      </w:r>
      <w:r w:rsidRPr="00803C74">
        <w:rPr>
          <w:rStyle w:val="FootnoteTextChar"/>
        </w:rPr>
        <w:t>American College of Rheumatology</w:t>
      </w:r>
      <w:r>
        <w:rPr>
          <w:rStyle w:val="FootnoteTextChar"/>
        </w:rPr>
        <w:t xml:space="preserve"> (ACR)</w:t>
      </w:r>
      <w:r w:rsidRPr="00803C74">
        <w:rPr>
          <w:rStyle w:val="FootnoteTextChar"/>
        </w:rPr>
        <w:t>-endo</w:t>
      </w:r>
      <w:r>
        <w:rPr>
          <w:rStyle w:val="FootnoteTextChar"/>
        </w:rPr>
        <w:t>r</w:t>
      </w:r>
      <w:r w:rsidRPr="00803C74">
        <w:rPr>
          <w:rStyle w:val="FootnoteTextChar"/>
        </w:rPr>
        <w:t xml:space="preserve">sed </w:t>
      </w:r>
      <w:r>
        <w:rPr>
          <w:rStyle w:val="FootnoteTextChar"/>
        </w:rPr>
        <w:t>criteria for rheumatic diseases. Accessed from the American College of Rheumatology website 24 July 2019.</w:t>
      </w:r>
    </w:p>
  </w:footnote>
  <w:footnote w:id="7">
    <w:p w14:paraId="7CEB3221" w14:textId="77777777" w:rsidR="004101C8" w:rsidRDefault="004101C8" w:rsidP="00AF7B2C">
      <w:pPr>
        <w:pStyle w:val="FootnoteText"/>
      </w:pPr>
      <w:r>
        <w:rPr>
          <w:rStyle w:val="FootnoteReference"/>
        </w:rPr>
        <w:footnoteRef/>
      </w:r>
      <w:r>
        <w:t xml:space="preserve"> </w:t>
      </w:r>
      <w:proofErr w:type="spellStart"/>
      <w:r>
        <w:rPr>
          <w:rStyle w:val="element-citation"/>
        </w:rPr>
        <w:t>Jennette</w:t>
      </w:r>
      <w:proofErr w:type="spellEnd"/>
      <w:r>
        <w:rPr>
          <w:rStyle w:val="element-citation"/>
        </w:rPr>
        <w:t xml:space="preserve">, J. C. et al. (1994). Nomenclature of systemic </w:t>
      </w:r>
      <w:proofErr w:type="spellStart"/>
      <w:r>
        <w:rPr>
          <w:rStyle w:val="element-citation"/>
        </w:rPr>
        <w:t>vasculitides</w:t>
      </w:r>
      <w:proofErr w:type="spellEnd"/>
      <w:r>
        <w:rPr>
          <w:rStyle w:val="element-citation"/>
        </w:rPr>
        <w:t xml:space="preserve">: The proposal of an international consensus conference. </w:t>
      </w:r>
      <w:r w:rsidRPr="00803C74">
        <w:rPr>
          <w:rStyle w:val="ref-journal"/>
          <w:i/>
        </w:rPr>
        <w:t>Arthritis Rheum</w:t>
      </w:r>
      <w:r>
        <w:rPr>
          <w:rStyle w:val="ref-journal"/>
        </w:rPr>
        <w:t xml:space="preserve">. </w:t>
      </w:r>
      <w:r>
        <w:rPr>
          <w:rStyle w:val="element-citation"/>
        </w:rPr>
        <w:t xml:space="preserve">1994; </w:t>
      </w:r>
      <w:r>
        <w:rPr>
          <w:rStyle w:val="ref-vol"/>
        </w:rPr>
        <w:t>37</w:t>
      </w:r>
      <w:r>
        <w:rPr>
          <w:rStyle w:val="element-citation"/>
        </w:rPr>
        <w:t>: 187–192.</w:t>
      </w:r>
    </w:p>
  </w:footnote>
  <w:footnote w:id="8">
    <w:p w14:paraId="65EF0EDA" w14:textId="77777777" w:rsidR="004101C8" w:rsidRPr="00E21BDA" w:rsidRDefault="004101C8" w:rsidP="00F920CA">
      <w:pPr>
        <w:pStyle w:val="FootnoteText"/>
        <w:rPr>
          <w:lang w:eastAsia="zh-CN"/>
        </w:rPr>
      </w:pPr>
      <w:r>
        <w:rPr>
          <w:rStyle w:val="FootnoteReference"/>
        </w:rPr>
        <w:footnoteRef/>
      </w:r>
      <w:r>
        <w:t xml:space="preserve"> </w:t>
      </w:r>
      <w:proofErr w:type="spellStart"/>
      <w:r w:rsidRPr="0022384F">
        <w:rPr>
          <w:lang w:eastAsia="zh-CN"/>
        </w:rPr>
        <w:t>Jennette</w:t>
      </w:r>
      <w:proofErr w:type="spellEnd"/>
      <w:r>
        <w:rPr>
          <w:lang w:eastAsia="zh-CN"/>
        </w:rPr>
        <w:t>,</w:t>
      </w:r>
      <w:r w:rsidRPr="0022384F">
        <w:rPr>
          <w:lang w:eastAsia="zh-CN"/>
        </w:rPr>
        <w:t xml:space="preserve"> J</w:t>
      </w:r>
      <w:r>
        <w:rPr>
          <w:lang w:eastAsia="zh-CN"/>
        </w:rPr>
        <w:t>.</w:t>
      </w:r>
      <w:r w:rsidRPr="0022384F">
        <w:rPr>
          <w:lang w:eastAsia="zh-CN"/>
        </w:rPr>
        <w:t>C</w:t>
      </w:r>
      <w:r>
        <w:rPr>
          <w:lang w:eastAsia="zh-CN"/>
        </w:rPr>
        <w:t xml:space="preserve"> (2013)</w:t>
      </w:r>
      <w:r w:rsidRPr="0022384F">
        <w:rPr>
          <w:lang w:eastAsia="zh-CN"/>
        </w:rPr>
        <w:t xml:space="preserve">. Overview of the 2012 Revised International Chapel Hill Consensus Conference Nomenclature of </w:t>
      </w:r>
      <w:proofErr w:type="spellStart"/>
      <w:r w:rsidRPr="0022384F">
        <w:rPr>
          <w:lang w:eastAsia="zh-CN"/>
        </w:rPr>
        <w:t>Vasculitides</w:t>
      </w:r>
      <w:proofErr w:type="spellEnd"/>
      <w:r w:rsidRPr="0022384F">
        <w:rPr>
          <w:lang w:eastAsia="zh-CN"/>
        </w:rPr>
        <w:t xml:space="preserve">. </w:t>
      </w:r>
      <w:r w:rsidRPr="0022384F">
        <w:rPr>
          <w:i/>
          <w:iCs/>
          <w:lang w:eastAsia="zh-CN"/>
        </w:rPr>
        <w:t>Clinical and experimental nephrology</w:t>
      </w:r>
      <w:r w:rsidRPr="0022384F">
        <w:rPr>
          <w:lang w:eastAsia="zh-CN"/>
        </w:rPr>
        <w:t>. 2013;</w:t>
      </w:r>
      <w:r>
        <w:rPr>
          <w:lang w:eastAsia="zh-CN"/>
        </w:rPr>
        <w:t xml:space="preserve"> 17</w:t>
      </w:r>
      <w:r w:rsidRPr="0022384F">
        <w:rPr>
          <w:lang w:eastAsia="zh-CN"/>
        </w:rPr>
        <w:t>:</w:t>
      </w:r>
      <w:r>
        <w:rPr>
          <w:lang w:eastAsia="zh-CN"/>
        </w:rPr>
        <w:t xml:space="preserve"> </w:t>
      </w:r>
      <w:r w:rsidRPr="0022384F">
        <w:rPr>
          <w:lang w:eastAsia="zh-CN"/>
        </w:rPr>
        <w:t>603-606</w:t>
      </w:r>
      <w:r>
        <w:rPr>
          <w:lang w:eastAsia="zh-CN"/>
        </w:rPr>
        <w:t>.</w:t>
      </w:r>
    </w:p>
  </w:footnote>
  <w:footnote w:id="9">
    <w:p w14:paraId="1F19AC92" w14:textId="77777777" w:rsidR="004101C8" w:rsidRDefault="004101C8" w:rsidP="00F920CA">
      <w:pPr>
        <w:pStyle w:val="FootnoteText"/>
      </w:pPr>
      <w:r>
        <w:rPr>
          <w:rStyle w:val="FootnoteReference"/>
        </w:rPr>
        <w:footnoteRef/>
      </w:r>
      <w:r>
        <w:t xml:space="preserve"> </w:t>
      </w:r>
      <w:r w:rsidRPr="00484A32">
        <w:t xml:space="preserve">Groh, </w:t>
      </w:r>
      <w:r>
        <w:t xml:space="preserve">M. </w:t>
      </w:r>
      <w:r w:rsidRPr="00484A32">
        <w:t>et al.</w:t>
      </w:r>
      <w:r>
        <w:t xml:space="preserve"> (2015).</w:t>
      </w:r>
      <w:r w:rsidRPr="00484A32">
        <w:t xml:space="preserve"> Eosinophilic granulomatosis with </w:t>
      </w:r>
      <w:proofErr w:type="spellStart"/>
      <w:r w:rsidRPr="00484A32">
        <w:t>polyangiitis</w:t>
      </w:r>
      <w:proofErr w:type="spellEnd"/>
      <w:r w:rsidRPr="00484A32">
        <w:t xml:space="preserve"> (</w:t>
      </w:r>
      <w:proofErr w:type="spellStart"/>
      <w:r w:rsidRPr="00484A32">
        <w:t>Churg</w:t>
      </w:r>
      <w:proofErr w:type="spellEnd"/>
      <w:r w:rsidRPr="00484A32">
        <w:t xml:space="preserve">–Strauss) (EGPA) Consensus Task Force recommendations for evaluation and management. European </w:t>
      </w:r>
      <w:r>
        <w:t>Journal of Internal Medicine, 2015; 26: 545–553.</w:t>
      </w:r>
    </w:p>
  </w:footnote>
  <w:footnote w:id="10">
    <w:p w14:paraId="36FE1BAE" w14:textId="77777777" w:rsidR="004101C8" w:rsidRDefault="004101C8" w:rsidP="00B534FA">
      <w:pPr>
        <w:pStyle w:val="FootnoteText"/>
      </w:pPr>
      <w:r>
        <w:rPr>
          <w:rStyle w:val="FootnoteReference"/>
        </w:rPr>
        <w:footnoteRef/>
      </w:r>
      <w:r>
        <w:t xml:space="preserve"> </w:t>
      </w:r>
      <w:r>
        <w:rPr>
          <w:lang w:eastAsia="en-AU"/>
        </w:rPr>
        <w:t xml:space="preserve">Grayson, P.C. </w:t>
      </w:r>
      <w:r w:rsidRPr="00DF137C">
        <w:rPr>
          <w:lang w:eastAsia="en-AU"/>
        </w:rPr>
        <w:t>et al.</w:t>
      </w:r>
      <w:r>
        <w:rPr>
          <w:lang w:eastAsia="en-AU"/>
        </w:rPr>
        <w:t xml:space="preserve"> (2015). </w:t>
      </w:r>
      <w:r w:rsidRPr="00DF137C">
        <w:rPr>
          <w:lang w:eastAsia="en-AU"/>
        </w:rPr>
        <w:t xml:space="preserve">Value of commonly measured laboratory tests as biomarkers of disease activity and predictors of relapse in eosinophilic granulomatosis with </w:t>
      </w:r>
      <w:proofErr w:type="spellStart"/>
      <w:r w:rsidRPr="00DF137C">
        <w:rPr>
          <w:lang w:eastAsia="en-AU"/>
        </w:rPr>
        <w:t>polyang</w:t>
      </w:r>
      <w:r>
        <w:rPr>
          <w:lang w:eastAsia="en-AU"/>
        </w:rPr>
        <w:t>iitis</w:t>
      </w:r>
      <w:proofErr w:type="spellEnd"/>
      <w:r>
        <w:rPr>
          <w:lang w:eastAsia="en-AU"/>
        </w:rPr>
        <w:t xml:space="preserve">, </w:t>
      </w:r>
      <w:r w:rsidRPr="00B534FA">
        <w:rPr>
          <w:i/>
          <w:lang w:eastAsia="en-AU"/>
        </w:rPr>
        <w:t>Rheumatology</w:t>
      </w:r>
      <w:r>
        <w:rPr>
          <w:lang w:eastAsia="en-AU"/>
        </w:rPr>
        <w:t xml:space="preserve">, 2015; 54: </w:t>
      </w:r>
      <w:r w:rsidRPr="00DF137C">
        <w:rPr>
          <w:lang w:eastAsia="en-AU"/>
        </w:rPr>
        <w:t>1351-</w:t>
      </w:r>
      <w:r>
        <w:rPr>
          <w:lang w:eastAsia="en-AU"/>
        </w:rPr>
        <w:t>1359).</w:t>
      </w:r>
    </w:p>
  </w:footnote>
  <w:footnote w:id="11">
    <w:p w14:paraId="4D78B65B" w14:textId="77777777" w:rsidR="004101C8" w:rsidRPr="00862B50" w:rsidRDefault="004101C8" w:rsidP="00B534FA">
      <w:pPr>
        <w:pStyle w:val="FootnoteText"/>
      </w:pPr>
      <w:r w:rsidRPr="00862B50">
        <w:rPr>
          <w:rStyle w:val="FootnoteReference"/>
          <w:sz w:val="20"/>
        </w:rPr>
        <w:footnoteRef/>
      </w:r>
      <w:r w:rsidRPr="00862B50">
        <w:t xml:space="preserve"> </w:t>
      </w:r>
      <w:proofErr w:type="spellStart"/>
      <w:r w:rsidRPr="00862B50">
        <w:rPr>
          <w:rFonts w:eastAsiaTheme="minorHAnsi" w:cs="AdvPECF93C"/>
        </w:rPr>
        <w:t>Hellmich</w:t>
      </w:r>
      <w:proofErr w:type="spellEnd"/>
      <w:r>
        <w:rPr>
          <w:rFonts w:eastAsiaTheme="minorHAnsi" w:cs="AdvPECF93C"/>
        </w:rPr>
        <w:t>, B. et al. (2007)</w:t>
      </w:r>
      <w:r w:rsidRPr="00862B50">
        <w:rPr>
          <w:rFonts w:eastAsiaTheme="minorHAnsi" w:cs="AdvPECF938"/>
        </w:rPr>
        <w:t xml:space="preserve">. EULAR recommendations for conducting clinical studies and/or clinical trials in systemic vasculitis: focus on anti-neutrophil cytoplasm antibody-associated vasculitis. </w:t>
      </w:r>
      <w:r w:rsidRPr="00B534FA">
        <w:rPr>
          <w:rFonts w:eastAsiaTheme="minorHAnsi" w:cs="AdvPECFD33"/>
          <w:i/>
        </w:rPr>
        <w:t>Ann Rheum Dis</w:t>
      </w:r>
      <w:r w:rsidRPr="00862B50">
        <w:rPr>
          <w:rFonts w:eastAsiaTheme="minorHAnsi" w:cs="AdvPECFD33"/>
        </w:rPr>
        <w:t xml:space="preserve"> </w:t>
      </w:r>
      <w:r w:rsidRPr="00862B50">
        <w:rPr>
          <w:rFonts w:eastAsiaTheme="minorHAnsi" w:cs="AdvPECF938"/>
        </w:rPr>
        <w:t>2007;</w:t>
      </w:r>
      <w:r>
        <w:rPr>
          <w:rFonts w:eastAsiaTheme="minorHAnsi" w:cs="AdvPECF938"/>
        </w:rPr>
        <w:t xml:space="preserve"> </w:t>
      </w:r>
      <w:r w:rsidRPr="00862B50">
        <w:rPr>
          <w:rFonts w:eastAsiaTheme="minorHAnsi" w:cs="AdvPECF93C"/>
        </w:rPr>
        <w:t>66</w:t>
      </w:r>
      <w:r w:rsidRPr="00862B50">
        <w:rPr>
          <w:rFonts w:eastAsiaTheme="minorHAnsi" w:cs="AdvPECF938"/>
        </w:rPr>
        <w:t>:</w:t>
      </w:r>
      <w:r>
        <w:rPr>
          <w:rFonts w:eastAsiaTheme="minorHAnsi" w:cs="AdvPECF938"/>
        </w:rPr>
        <w:t xml:space="preserve"> </w:t>
      </w:r>
      <w:r w:rsidRPr="00862B50">
        <w:rPr>
          <w:rFonts w:eastAsiaTheme="minorHAnsi" w:cs="AdvPECF938"/>
        </w:rPr>
        <w:t>605–</w:t>
      </w:r>
      <w:r>
        <w:rPr>
          <w:rFonts w:eastAsiaTheme="minorHAnsi" w:cs="AdvPECF938"/>
        </w:rPr>
        <w:t>617.</w:t>
      </w:r>
    </w:p>
  </w:footnote>
  <w:footnote w:id="12">
    <w:p w14:paraId="2AF89A3A" w14:textId="77777777" w:rsidR="004101C8" w:rsidRPr="00862B50" w:rsidRDefault="004101C8" w:rsidP="00B534FA">
      <w:pPr>
        <w:pStyle w:val="FootnoteText"/>
      </w:pPr>
      <w:r w:rsidRPr="00862B50">
        <w:rPr>
          <w:rStyle w:val="FootnoteReference"/>
        </w:rPr>
        <w:footnoteRef/>
      </w:r>
      <w:r w:rsidRPr="00862B50">
        <w:t xml:space="preserve"> Disease Scoring page. Accessed </w:t>
      </w:r>
      <w:r>
        <w:t>at the website of the European Vasculitis Society, 24 June 2019.</w:t>
      </w:r>
    </w:p>
  </w:footnote>
  <w:footnote w:id="13">
    <w:p w14:paraId="1E415C65" w14:textId="77777777" w:rsidR="004101C8" w:rsidRDefault="004101C8" w:rsidP="00B534FA">
      <w:pPr>
        <w:pStyle w:val="FootnoteText"/>
      </w:pPr>
      <w:r>
        <w:rPr>
          <w:rStyle w:val="FootnoteReference"/>
        </w:rPr>
        <w:footnoteRef/>
      </w:r>
      <w:r>
        <w:t xml:space="preserve"> </w:t>
      </w:r>
      <w:proofErr w:type="spellStart"/>
      <w:r>
        <w:rPr>
          <w:rFonts w:cs="Arial"/>
          <w:lang w:eastAsia="en-AU"/>
        </w:rPr>
        <w:t>Mukhtyar</w:t>
      </w:r>
      <w:proofErr w:type="spellEnd"/>
      <w:r>
        <w:rPr>
          <w:rFonts w:cs="Arial"/>
          <w:lang w:eastAsia="en-AU"/>
        </w:rPr>
        <w:t>, C. et al (2009</w:t>
      </w:r>
      <w:r w:rsidRPr="00A25382">
        <w:rPr>
          <w:rFonts w:cs="Arial"/>
          <w:lang w:eastAsia="en-AU"/>
        </w:rPr>
        <w:t xml:space="preserve">). </w:t>
      </w:r>
      <w:r>
        <w:rPr>
          <w:rFonts w:cs="Arial"/>
          <w:lang w:eastAsia="en-AU"/>
        </w:rPr>
        <w:t>‘</w:t>
      </w:r>
      <w:r w:rsidRPr="00A25382">
        <w:rPr>
          <w:rFonts w:cs="Arial"/>
          <w:lang w:eastAsia="en-AU"/>
        </w:rPr>
        <w:t>Modification and validation of the Birmingham Vasculitis Activity Score (version 3)</w:t>
      </w:r>
      <w:r w:rsidRPr="00FE52CF">
        <w:rPr>
          <w:rFonts w:cs="Arial"/>
          <w:lang w:eastAsia="en-AU"/>
        </w:rPr>
        <w:t xml:space="preserve"> </w:t>
      </w:r>
      <w:r w:rsidRPr="00B534FA">
        <w:rPr>
          <w:rFonts w:cs="Arial"/>
          <w:i/>
          <w:lang w:eastAsia="en-AU"/>
        </w:rPr>
        <w:t>Ann Rheum Dis</w:t>
      </w:r>
      <w:r>
        <w:rPr>
          <w:rFonts w:cs="Arial"/>
          <w:lang w:eastAsia="en-AU"/>
        </w:rPr>
        <w:t>. 2009; 68: 1827-1832.</w:t>
      </w:r>
    </w:p>
  </w:footnote>
  <w:footnote w:id="14">
    <w:p w14:paraId="4C824071" w14:textId="77777777" w:rsidR="004101C8" w:rsidRDefault="004101C8" w:rsidP="00AF7B2C">
      <w:pPr>
        <w:pStyle w:val="FootnoteText"/>
        <w:rPr>
          <w:lang w:eastAsia="en-AU"/>
        </w:rPr>
      </w:pPr>
      <w:r>
        <w:rPr>
          <w:rStyle w:val="FootnoteReference"/>
        </w:rPr>
        <w:footnoteRef/>
      </w:r>
      <w:r>
        <w:t xml:space="preserve"> </w:t>
      </w:r>
      <w:r w:rsidRPr="00DD5BAD">
        <w:rPr>
          <w:lang w:eastAsia="en-AU"/>
        </w:rPr>
        <w:t>Yates</w:t>
      </w:r>
      <w:r>
        <w:rPr>
          <w:lang w:eastAsia="en-AU"/>
        </w:rPr>
        <w:t>, M.</w:t>
      </w:r>
      <w:r w:rsidRPr="00DD5BAD">
        <w:rPr>
          <w:lang w:eastAsia="en-AU"/>
        </w:rPr>
        <w:t xml:space="preserve"> et al </w:t>
      </w:r>
      <w:r>
        <w:rPr>
          <w:lang w:eastAsia="en-AU"/>
        </w:rPr>
        <w:t xml:space="preserve">(2016). </w:t>
      </w:r>
      <w:r w:rsidRPr="00DD5BAD">
        <w:rPr>
          <w:lang w:eastAsia="en-AU"/>
        </w:rPr>
        <w:t>EULAR/ERA-EDTA recommendations for the management of ANCA-associated vasculitis</w:t>
      </w:r>
      <w:r>
        <w:rPr>
          <w:lang w:eastAsia="en-AU"/>
        </w:rPr>
        <w:t>,</w:t>
      </w:r>
      <w:r w:rsidRPr="00DD5BAD">
        <w:rPr>
          <w:lang w:eastAsia="en-AU"/>
        </w:rPr>
        <w:t xml:space="preserve"> </w:t>
      </w:r>
      <w:r w:rsidRPr="00A30BE2">
        <w:rPr>
          <w:i/>
          <w:lang w:eastAsia="en-AU"/>
        </w:rPr>
        <w:t>Annals of the Rheumatic Diseases</w:t>
      </w:r>
      <w:r>
        <w:rPr>
          <w:lang w:eastAsia="en-AU"/>
        </w:rPr>
        <w:t>,</w:t>
      </w:r>
      <w:r w:rsidRPr="00DD5BAD">
        <w:rPr>
          <w:lang w:eastAsia="en-AU"/>
        </w:rPr>
        <w:t xml:space="preserve"> 2016;</w:t>
      </w:r>
      <w:r>
        <w:rPr>
          <w:lang w:eastAsia="en-AU"/>
        </w:rPr>
        <w:t xml:space="preserve"> </w:t>
      </w:r>
      <w:r w:rsidRPr="00DD5BAD">
        <w:rPr>
          <w:lang w:eastAsia="en-AU"/>
        </w:rPr>
        <w:t>75:</w:t>
      </w:r>
      <w:r>
        <w:rPr>
          <w:lang w:eastAsia="en-AU"/>
        </w:rPr>
        <w:t xml:space="preserve"> </w:t>
      </w:r>
      <w:r w:rsidRPr="00DD5BAD">
        <w:rPr>
          <w:lang w:eastAsia="en-AU"/>
        </w:rPr>
        <w:t>1583-1594</w:t>
      </w:r>
      <w:r>
        <w:rPr>
          <w:lang w:eastAsia="en-AU"/>
        </w:rPr>
        <w:t>.</w:t>
      </w:r>
    </w:p>
  </w:footnote>
  <w:footnote w:id="15">
    <w:p w14:paraId="3BEF2045" w14:textId="77777777" w:rsidR="004101C8" w:rsidRDefault="004101C8" w:rsidP="00287ABC">
      <w:pPr>
        <w:pStyle w:val="FootnoteText"/>
      </w:pPr>
      <w:r>
        <w:rPr>
          <w:rStyle w:val="FootnoteReference"/>
        </w:rPr>
        <w:footnoteRef/>
      </w:r>
      <w:r>
        <w:t xml:space="preserve"> </w:t>
      </w:r>
      <w:proofErr w:type="spellStart"/>
      <w:r>
        <w:t>Mukhtyar</w:t>
      </w:r>
      <w:proofErr w:type="spellEnd"/>
      <w:r>
        <w:t xml:space="preserve">, et. al. (2009). </w:t>
      </w:r>
      <w:r w:rsidRPr="00F9714E">
        <w:rPr>
          <w:lang w:eastAsia="zh-CN"/>
        </w:rPr>
        <w:t>European League Against Rheumatism (EULAR) recommendations for the for the management of small and medium vess</w:t>
      </w:r>
      <w:r>
        <w:rPr>
          <w:lang w:eastAsia="zh-CN"/>
        </w:rPr>
        <w:t xml:space="preserve">el vasculitis. </w:t>
      </w:r>
      <w:r w:rsidRPr="00B837D6">
        <w:rPr>
          <w:i/>
          <w:lang w:eastAsia="zh-CN"/>
        </w:rPr>
        <w:t>Ann Rheum Dis</w:t>
      </w:r>
      <w:r>
        <w:rPr>
          <w:lang w:eastAsia="zh-CN"/>
        </w:rPr>
        <w:t>, 2009; 68: 310-317.</w:t>
      </w:r>
    </w:p>
  </w:footnote>
  <w:footnote w:id="16">
    <w:p w14:paraId="5FB5BC26" w14:textId="77777777" w:rsidR="004101C8" w:rsidRPr="009C467A" w:rsidRDefault="004101C8" w:rsidP="00287ABC">
      <w:pPr>
        <w:pStyle w:val="FootnoteText"/>
      </w:pPr>
      <w:r w:rsidRPr="009C467A">
        <w:rPr>
          <w:rStyle w:val="FootnoteReference"/>
        </w:rPr>
        <w:footnoteRef/>
      </w:r>
      <w:r w:rsidRPr="009C467A">
        <w:t xml:space="preserve"> FDA approved label for Ritux</w:t>
      </w:r>
      <w:r>
        <w:t>imab, dated 9/2013, accessed from the FDA website.</w:t>
      </w:r>
    </w:p>
  </w:footnote>
  <w:footnote w:id="17">
    <w:p w14:paraId="59FFE9C6" w14:textId="77777777" w:rsidR="004101C8" w:rsidRPr="009C467A" w:rsidRDefault="004101C8" w:rsidP="00287ABC">
      <w:pPr>
        <w:pStyle w:val="FootnoteText"/>
      </w:pPr>
      <w:r w:rsidRPr="009C467A">
        <w:rPr>
          <w:rStyle w:val="FootnoteReference"/>
        </w:rPr>
        <w:footnoteRef/>
      </w:r>
      <w:r>
        <w:t xml:space="preserve"> </w:t>
      </w:r>
      <w:proofErr w:type="spellStart"/>
      <w:r>
        <w:t>Mabthera</w:t>
      </w:r>
      <w:proofErr w:type="spellEnd"/>
      <w:r>
        <w:t xml:space="preserve"> (Rituximab), accessed from the EMA website.</w:t>
      </w:r>
    </w:p>
  </w:footnote>
  <w:footnote w:id="18">
    <w:p w14:paraId="49B84751" w14:textId="77777777" w:rsidR="004101C8" w:rsidRPr="009C467A" w:rsidRDefault="004101C8" w:rsidP="00287ABC">
      <w:pPr>
        <w:pStyle w:val="FootnoteText"/>
      </w:pPr>
      <w:r w:rsidRPr="009C467A">
        <w:rPr>
          <w:rStyle w:val="FootnoteReference"/>
        </w:rPr>
        <w:footnoteRef/>
      </w:r>
      <w:r w:rsidRPr="009C467A">
        <w:t xml:space="preserve"> TGA appro</w:t>
      </w:r>
      <w:r>
        <w:t>ved PI for Rituximab (</w:t>
      </w:r>
      <w:proofErr w:type="spellStart"/>
      <w:r>
        <w:t>Mabthera</w:t>
      </w:r>
      <w:proofErr w:type="spellEnd"/>
      <w:r>
        <w:t>).</w:t>
      </w:r>
    </w:p>
  </w:footnote>
  <w:footnote w:id="19">
    <w:p w14:paraId="3D94C7F7" w14:textId="77777777" w:rsidR="004101C8" w:rsidRPr="00287ABC" w:rsidRDefault="004101C8" w:rsidP="00287ABC">
      <w:pPr>
        <w:pStyle w:val="FootnoteText"/>
      </w:pPr>
      <w:r w:rsidRPr="00287ABC">
        <w:rPr>
          <w:rStyle w:val="FootnoteReference"/>
          <w:szCs w:val="18"/>
        </w:rPr>
        <w:footnoteRef/>
      </w:r>
      <w:r w:rsidRPr="00287ABC">
        <w:t xml:space="preserve"> Kahn, J</w:t>
      </w:r>
      <w:r>
        <w:t>.</w:t>
      </w:r>
      <w:r w:rsidRPr="00287ABC">
        <w:t>E</w:t>
      </w:r>
      <w:r>
        <w:t>.</w:t>
      </w:r>
      <w:r w:rsidRPr="00287ABC">
        <w:t xml:space="preserve"> et</w:t>
      </w:r>
      <w:r>
        <w:t>.</w:t>
      </w:r>
      <w:r w:rsidRPr="00287ABC">
        <w:t xml:space="preserve"> al. </w:t>
      </w:r>
      <w:r>
        <w:t xml:space="preserve">(2010). </w:t>
      </w:r>
      <w:r w:rsidRPr="00287ABC">
        <w:t xml:space="preserve">Sustained response to </w:t>
      </w:r>
      <w:proofErr w:type="spellStart"/>
      <w:r w:rsidRPr="00287ABC">
        <w:t>mepolizumab</w:t>
      </w:r>
      <w:proofErr w:type="spellEnd"/>
      <w:r w:rsidRPr="00287ABC">
        <w:t xml:space="preserve"> in refractory </w:t>
      </w:r>
      <w:proofErr w:type="spellStart"/>
      <w:r w:rsidRPr="00287ABC">
        <w:t>Churg</w:t>
      </w:r>
      <w:proofErr w:type="spellEnd"/>
      <w:r w:rsidRPr="00287ABC">
        <w:t xml:space="preserve">-Strauss syndrome. </w:t>
      </w:r>
      <w:r w:rsidRPr="006844DE">
        <w:rPr>
          <w:i/>
        </w:rPr>
        <w:t xml:space="preserve">J Allergy </w:t>
      </w:r>
      <w:proofErr w:type="spellStart"/>
      <w:r w:rsidRPr="006844DE">
        <w:rPr>
          <w:i/>
        </w:rPr>
        <w:t>Clin</w:t>
      </w:r>
      <w:proofErr w:type="spellEnd"/>
      <w:r w:rsidRPr="006844DE">
        <w:rPr>
          <w:i/>
        </w:rPr>
        <w:t xml:space="preserve"> </w:t>
      </w:r>
      <w:proofErr w:type="spellStart"/>
      <w:r w:rsidRPr="006844DE">
        <w:rPr>
          <w:i/>
        </w:rPr>
        <w:t>Immunol</w:t>
      </w:r>
      <w:proofErr w:type="spellEnd"/>
      <w:r>
        <w:t>, 2010; 125: 267-270.</w:t>
      </w:r>
    </w:p>
  </w:footnote>
  <w:footnote w:id="20">
    <w:p w14:paraId="0FC82AE5" w14:textId="77777777" w:rsidR="004101C8" w:rsidRPr="00287ABC" w:rsidRDefault="004101C8" w:rsidP="00287ABC">
      <w:pPr>
        <w:pStyle w:val="FootnoteText"/>
      </w:pPr>
      <w:r w:rsidRPr="00287ABC">
        <w:rPr>
          <w:rStyle w:val="FootnoteReference"/>
          <w:szCs w:val="18"/>
        </w:rPr>
        <w:footnoteRef/>
      </w:r>
      <w:r w:rsidRPr="00287ABC">
        <w:t xml:space="preserve"> </w:t>
      </w:r>
      <w:proofErr w:type="spellStart"/>
      <w:r w:rsidRPr="00287ABC">
        <w:rPr>
          <w:rStyle w:val="previewtxt"/>
          <w:szCs w:val="18"/>
        </w:rPr>
        <w:t>Marigowda</w:t>
      </w:r>
      <w:proofErr w:type="spellEnd"/>
      <w:r>
        <w:rPr>
          <w:rStyle w:val="previewtxt"/>
          <w:szCs w:val="18"/>
        </w:rPr>
        <w:t>,</w:t>
      </w:r>
      <w:r w:rsidRPr="00287ABC">
        <w:rPr>
          <w:rStyle w:val="previewtxt"/>
          <w:szCs w:val="18"/>
        </w:rPr>
        <w:t xml:space="preserve"> G.</w:t>
      </w:r>
      <w:r>
        <w:rPr>
          <w:rStyle w:val="previewtxt"/>
          <w:szCs w:val="18"/>
        </w:rPr>
        <w:t xml:space="preserve"> et. al. (2010). </w:t>
      </w:r>
      <w:proofErr w:type="spellStart"/>
      <w:r w:rsidRPr="00287ABC">
        <w:rPr>
          <w:rStyle w:val="citeddoctitle"/>
          <w:szCs w:val="18"/>
        </w:rPr>
        <w:t>Mepolizumab</w:t>
      </w:r>
      <w:proofErr w:type="spellEnd"/>
      <w:r w:rsidRPr="00287ABC">
        <w:rPr>
          <w:rStyle w:val="citeddoctitle"/>
          <w:szCs w:val="18"/>
        </w:rPr>
        <w:t xml:space="preserve"> as a steroid-sparing treatment option in patients with </w:t>
      </w:r>
      <w:proofErr w:type="spellStart"/>
      <w:r w:rsidRPr="00287ABC">
        <w:rPr>
          <w:rStyle w:val="citeddoctitle"/>
          <w:szCs w:val="18"/>
        </w:rPr>
        <w:t>Churg</w:t>
      </w:r>
      <w:proofErr w:type="spellEnd"/>
      <w:r w:rsidRPr="00287ABC">
        <w:rPr>
          <w:rStyle w:val="citeddoctitle"/>
          <w:szCs w:val="18"/>
        </w:rPr>
        <w:t>-Strauss syndrome</w:t>
      </w:r>
      <w:r>
        <w:t xml:space="preserve">. </w:t>
      </w:r>
      <w:r w:rsidRPr="00287ABC">
        <w:rPr>
          <w:rStyle w:val="querysrchtext"/>
          <w:i/>
          <w:iCs/>
          <w:szCs w:val="18"/>
        </w:rPr>
        <w:t>Journal of Allergy and Clinical Immunology</w:t>
      </w:r>
      <w:r w:rsidRPr="00287ABC">
        <w:rPr>
          <w:rStyle w:val="querysrchtext"/>
          <w:szCs w:val="18"/>
        </w:rPr>
        <w:t>,</w:t>
      </w:r>
      <w:r>
        <w:rPr>
          <w:rStyle w:val="querysrchtext"/>
          <w:szCs w:val="18"/>
        </w:rPr>
        <w:t xml:space="preserve"> 2010; 125: 1336-1343.</w:t>
      </w:r>
    </w:p>
  </w:footnote>
  <w:footnote w:id="21">
    <w:p w14:paraId="0D2256B5" w14:textId="77777777" w:rsidR="004101C8" w:rsidRPr="00287ABC" w:rsidRDefault="004101C8" w:rsidP="00287ABC">
      <w:pPr>
        <w:pStyle w:val="FootnoteText"/>
      </w:pPr>
      <w:r w:rsidRPr="00287ABC">
        <w:rPr>
          <w:rStyle w:val="FootnoteReference"/>
          <w:szCs w:val="18"/>
        </w:rPr>
        <w:footnoteRef/>
      </w:r>
      <w:r w:rsidRPr="00287ABC">
        <w:t xml:space="preserve"> REOVAS study. Description accessed at</w:t>
      </w:r>
      <w:r>
        <w:t xml:space="preserve"> the clinicaltrials.gov website, 24 July 2019.</w:t>
      </w:r>
    </w:p>
  </w:footnote>
  <w:footnote w:id="22">
    <w:p w14:paraId="7965041D" w14:textId="77777777" w:rsidR="004101C8" w:rsidRPr="00287ABC" w:rsidRDefault="004101C8" w:rsidP="00287ABC">
      <w:pPr>
        <w:pStyle w:val="FootnoteText"/>
      </w:pPr>
      <w:r w:rsidRPr="00287ABC">
        <w:rPr>
          <w:rStyle w:val="FootnoteReference"/>
          <w:szCs w:val="18"/>
        </w:rPr>
        <w:footnoteRef/>
      </w:r>
      <w:r w:rsidRPr="00287ABC">
        <w:t xml:space="preserve"> </w:t>
      </w:r>
      <w:proofErr w:type="spellStart"/>
      <w:r>
        <w:t>Detoraki</w:t>
      </w:r>
      <w:proofErr w:type="spellEnd"/>
      <w:r>
        <w:t xml:space="preserve">, A. et. al. (2016). </w:t>
      </w:r>
      <w:proofErr w:type="spellStart"/>
      <w:r w:rsidRPr="00287ABC">
        <w:t>Omalizumab</w:t>
      </w:r>
      <w:proofErr w:type="spellEnd"/>
      <w:r w:rsidRPr="00287ABC">
        <w:t xml:space="preserve"> in patients with eosinophilic granulo</w:t>
      </w:r>
      <w:r>
        <w:t xml:space="preserve">matosis with </w:t>
      </w:r>
      <w:proofErr w:type="spellStart"/>
      <w:r>
        <w:t>polyangiitis</w:t>
      </w:r>
      <w:proofErr w:type="spellEnd"/>
      <w:r>
        <w:t xml:space="preserve">: a 36 month follow </w:t>
      </w:r>
      <w:r w:rsidRPr="00287ABC">
        <w:t xml:space="preserve">up study. </w:t>
      </w:r>
      <w:r w:rsidRPr="00287ABC">
        <w:rPr>
          <w:rStyle w:val="journalname"/>
          <w:szCs w:val="18"/>
        </w:rPr>
        <w:t>Journal of Asthma</w:t>
      </w:r>
      <w:r>
        <w:rPr>
          <w:rStyle w:val="journalname"/>
          <w:szCs w:val="18"/>
        </w:rPr>
        <w:t>, 2016;</w:t>
      </w:r>
      <w:r w:rsidRPr="00287ABC">
        <w:t xml:space="preserve"> </w:t>
      </w:r>
      <w:r>
        <w:rPr>
          <w:rStyle w:val="volume"/>
          <w:szCs w:val="18"/>
        </w:rPr>
        <w:t>53: 201-206.</w:t>
      </w:r>
    </w:p>
  </w:footnote>
  <w:footnote w:id="23">
    <w:p w14:paraId="335BCCBD" w14:textId="77777777" w:rsidR="004101C8" w:rsidRPr="0028351A" w:rsidRDefault="004101C8" w:rsidP="00AF7B2C">
      <w:pPr>
        <w:pStyle w:val="FootnoteText"/>
        <w:rPr>
          <w:szCs w:val="18"/>
        </w:rPr>
      </w:pPr>
      <w:r w:rsidRPr="0028351A">
        <w:rPr>
          <w:rStyle w:val="FootnoteReference"/>
          <w:szCs w:val="18"/>
        </w:rPr>
        <w:footnoteRef/>
      </w:r>
      <w:r w:rsidRPr="0028351A">
        <w:rPr>
          <w:szCs w:val="18"/>
        </w:rPr>
        <w:t xml:space="preserve"> </w:t>
      </w:r>
      <w:r>
        <w:rPr>
          <w:szCs w:val="18"/>
        </w:rPr>
        <w:t xml:space="preserve">European Medicines Agency (EMA), </w:t>
      </w:r>
      <w:r w:rsidRPr="0025461C">
        <w:rPr>
          <w:szCs w:val="18"/>
        </w:rPr>
        <w:t>Committee for Medicinal Products for Human Use</w:t>
      </w:r>
      <w:r>
        <w:rPr>
          <w:szCs w:val="18"/>
        </w:rPr>
        <w:t xml:space="preserve"> (CHMP). </w:t>
      </w:r>
      <w:r w:rsidRPr="0028351A">
        <w:rPr>
          <w:rFonts w:asciiTheme="minorHAnsi" w:eastAsia="Times New Roman" w:hAnsiTheme="minorHAnsi"/>
          <w:szCs w:val="18"/>
          <w:lang w:eastAsia="en-AU"/>
        </w:rPr>
        <w:t>Guideline on the role of pharmacokinetics in the development of medicinal produc</w:t>
      </w:r>
      <w:r>
        <w:rPr>
          <w:rFonts w:asciiTheme="minorHAnsi" w:eastAsia="Times New Roman" w:hAnsiTheme="minorHAnsi"/>
          <w:szCs w:val="18"/>
          <w:lang w:eastAsia="en-AU"/>
        </w:rPr>
        <w:t xml:space="preserve">ts in the paediatric population, 28 June 2006, </w:t>
      </w:r>
      <w:r w:rsidRPr="0028351A">
        <w:rPr>
          <w:szCs w:val="18"/>
        </w:rPr>
        <w:t>EMEA/CHM</w:t>
      </w:r>
      <w:r>
        <w:rPr>
          <w:szCs w:val="18"/>
        </w:rPr>
        <w:t>P/EWP/147013/2004.</w:t>
      </w:r>
    </w:p>
  </w:footnote>
  <w:footnote w:id="24">
    <w:p w14:paraId="63CA4068" w14:textId="77777777" w:rsidR="004101C8" w:rsidRDefault="004101C8" w:rsidP="00AF7B2C">
      <w:pPr>
        <w:pStyle w:val="FootnoteText"/>
      </w:pPr>
      <w:r w:rsidRPr="0028351A">
        <w:rPr>
          <w:rStyle w:val="FootnoteReference"/>
          <w:szCs w:val="18"/>
        </w:rPr>
        <w:footnoteRef/>
      </w:r>
      <w:r w:rsidRPr="0028351A">
        <w:rPr>
          <w:szCs w:val="18"/>
        </w:rPr>
        <w:t xml:space="preserve"> </w:t>
      </w:r>
      <w:r>
        <w:rPr>
          <w:szCs w:val="18"/>
        </w:rPr>
        <w:t xml:space="preserve">European Medicines Agency (EMA) </w:t>
      </w:r>
      <w:r w:rsidRPr="0025461C">
        <w:rPr>
          <w:szCs w:val="18"/>
        </w:rPr>
        <w:t xml:space="preserve">Committee for Proprietary Medicinal Products </w:t>
      </w:r>
      <w:r>
        <w:rPr>
          <w:szCs w:val="18"/>
        </w:rPr>
        <w:t xml:space="preserve">(CPMP). </w:t>
      </w:r>
      <w:r w:rsidRPr="0028351A">
        <w:rPr>
          <w:rFonts w:asciiTheme="minorHAnsi" w:eastAsia="Times New Roman" w:hAnsiTheme="minorHAnsi"/>
          <w:szCs w:val="18"/>
          <w:lang w:eastAsia="en-AU"/>
        </w:rPr>
        <w:t>Note for guidance on clinical investigation of medicinal products in the paediatric population</w:t>
      </w:r>
      <w:r>
        <w:rPr>
          <w:rFonts w:asciiTheme="minorHAnsi" w:eastAsia="Times New Roman" w:hAnsiTheme="minorHAnsi"/>
          <w:szCs w:val="18"/>
          <w:lang w:eastAsia="en-AU"/>
        </w:rPr>
        <w:t>, July 2000,</w:t>
      </w:r>
      <w:r w:rsidRPr="0028351A">
        <w:rPr>
          <w:rFonts w:asciiTheme="minorHAnsi" w:eastAsia="Times New Roman" w:hAnsiTheme="minorHAnsi"/>
          <w:szCs w:val="18"/>
          <w:lang w:eastAsia="en-AU"/>
        </w:rPr>
        <w:t xml:space="preserve"> </w:t>
      </w:r>
      <w:r>
        <w:rPr>
          <w:szCs w:val="18"/>
        </w:rPr>
        <w:t>CPMP/ICH/2711/99.</w:t>
      </w:r>
    </w:p>
  </w:footnote>
  <w:footnote w:id="25">
    <w:p w14:paraId="6115B623" w14:textId="77777777" w:rsidR="004101C8" w:rsidRDefault="004101C8">
      <w:pPr>
        <w:pStyle w:val="FootnoteText"/>
      </w:pPr>
      <w:r>
        <w:rPr>
          <w:rStyle w:val="FootnoteReference"/>
        </w:rPr>
        <w:footnoteRef/>
      </w:r>
      <w:r>
        <w:t xml:space="preserve"> </w:t>
      </w:r>
      <w:r>
        <w:rPr>
          <w:szCs w:val="18"/>
        </w:rPr>
        <w:t xml:space="preserve">European Medicines Agency (EMA) </w:t>
      </w:r>
      <w:r w:rsidRPr="0025461C">
        <w:rPr>
          <w:szCs w:val="18"/>
        </w:rPr>
        <w:t xml:space="preserve">Committee for Proprietary Medicinal Products </w:t>
      </w:r>
      <w:r>
        <w:rPr>
          <w:szCs w:val="18"/>
        </w:rPr>
        <w:t xml:space="preserve">(CPMP). </w:t>
      </w:r>
      <w:r w:rsidRPr="0025461C">
        <w:rPr>
          <w:rFonts w:cs="Arial"/>
          <w:lang w:eastAsia="en-AU"/>
        </w:rPr>
        <w:t>Points to consider on application with 1. Meta-analyses; 2. One pivotal study</w:t>
      </w:r>
      <w:r>
        <w:rPr>
          <w:rFonts w:cs="Arial"/>
          <w:lang w:eastAsia="en-AU"/>
        </w:rPr>
        <w:t xml:space="preserve">, May 2001, </w:t>
      </w:r>
      <w:r w:rsidRPr="0025461C">
        <w:t>CPMP/EWP/2330/99</w:t>
      </w:r>
      <w:r>
        <w:t>.</w:t>
      </w:r>
    </w:p>
  </w:footnote>
  <w:footnote w:id="26">
    <w:p w14:paraId="18F94D2F" w14:textId="77777777" w:rsidR="004101C8" w:rsidRDefault="004101C8">
      <w:pPr>
        <w:pStyle w:val="FootnoteText"/>
      </w:pPr>
      <w:r>
        <w:rPr>
          <w:rStyle w:val="FootnoteReference"/>
        </w:rPr>
        <w:footnoteRef/>
      </w:r>
      <w:r>
        <w:t xml:space="preserve"> </w:t>
      </w:r>
      <w:r>
        <w:rPr>
          <w:szCs w:val="18"/>
        </w:rPr>
        <w:t xml:space="preserve">European Medicines Agency (EMA). </w:t>
      </w:r>
      <w:r w:rsidRPr="0025461C">
        <w:rPr>
          <w:szCs w:val="18"/>
        </w:rPr>
        <w:t>Concept paper on extrapolation of efficacy and sa</w:t>
      </w:r>
      <w:r>
        <w:rPr>
          <w:szCs w:val="18"/>
        </w:rPr>
        <w:t xml:space="preserve">fety in medicine development. 23 April 2013, </w:t>
      </w:r>
      <w:r w:rsidRPr="0025461C">
        <w:rPr>
          <w:szCs w:val="18"/>
        </w:rPr>
        <w:t>EMA/129698/2012</w:t>
      </w:r>
      <w:r>
        <w:rPr>
          <w:szCs w:val="18"/>
        </w:rPr>
        <w:t>.</w:t>
      </w:r>
    </w:p>
  </w:footnote>
  <w:footnote w:id="27">
    <w:p w14:paraId="2F12D034" w14:textId="77777777" w:rsidR="004101C8" w:rsidRDefault="004101C8" w:rsidP="00583879">
      <w:pPr>
        <w:pStyle w:val="FootnoteText"/>
      </w:pPr>
      <w:r>
        <w:rPr>
          <w:rStyle w:val="FootnoteReference"/>
        </w:rPr>
        <w:footnoteRef/>
      </w:r>
      <w:r>
        <w:t xml:space="preserve"> European Medicines Agency (EMA). Reflection paper on the use of extrapolation in the development of medicines for paediatrics, </w:t>
      </w:r>
      <w:r w:rsidRPr="00583879">
        <w:t>Draft dated October 2017; not included in TGA Clinical Efficacy and Safety Guidelines</w:t>
      </w:r>
      <w:r>
        <w:t>.</w:t>
      </w:r>
    </w:p>
  </w:footnote>
  <w:footnote w:id="28">
    <w:p w14:paraId="7FCA2358" w14:textId="77777777" w:rsidR="004101C8" w:rsidRPr="00583879" w:rsidRDefault="004101C8" w:rsidP="00583879">
      <w:pPr>
        <w:pStyle w:val="FootnoteText"/>
      </w:pPr>
      <w:r w:rsidRPr="00583879">
        <w:rPr>
          <w:rStyle w:val="FootnoteReference"/>
          <w:vertAlign w:val="baseline"/>
        </w:rPr>
        <w:footnoteRef/>
      </w:r>
      <w:r w:rsidRPr="00583879">
        <w:t xml:space="preserve"> </w:t>
      </w:r>
      <w:proofErr w:type="spellStart"/>
      <w:r>
        <w:t>Hellmich</w:t>
      </w:r>
      <w:proofErr w:type="spellEnd"/>
      <w:r>
        <w:t xml:space="preserve">, B. </w:t>
      </w:r>
      <w:r w:rsidRPr="00583879">
        <w:t xml:space="preserve">et al. </w:t>
      </w:r>
      <w:r>
        <w:t xml:space="preserve">(2007). </w:t>
      </w:r>
      <w:r w:rsidRPr="00583879">
        <w:t xml:space="preserve">EULAR recommendations for conducting clinical studies and/or clinical trials in systemic vasculitis: focus on anti-neutrophil cytoplasm antibody-associated vasculitis. </w:t>
      </w:r>
      <w:r w:rsidRPr="00583879">
        <w:rPr>
          <w:i/>
        </w:rPr>
        <w:t>Ann Rheum Dis</w:t>
      </w:r>
      <w:r>
        <w:t xml:space="preserve">, </w:t>
      </w:r>
      <w:r w:rsidRPr="00583879">
        <w:t>2007;</w:t>
      </w:r>
      <w:r>
        <w:t xml:space="preserve"> </w:t>
      </w:r>
      <w:r w:rsidRPr="00583879">
        <w:t>66:</w:t>
      </w:r>
      <w:r>
        <w:t xml:space="preserve"> </w:t>
      </w:r>
      <w:r w:rsidRPr="00583879">
        <w:t>605–</w:t>
      </w:r>
      <w:r>
        <w:t>6</w:t>
      </w:r>
      <w:r w:rsidRPr="00583879">
        <w:t>17.</w:t>
      </w:r>
    </w:p>
  </w:footnote>
  <w:footnote w:id="29">
    <w:p w14:paraId="08BAD99D" w14:textId="77777777" w:rsidR="004101C8" w:rsidRPr="00F72401" w:rsidRDefault="004101C8" w:rsidP="00F72401">
      <w:pPr>
        <w:pStyle w:val="Notes"/>
        <w:rPr>
          <w:rStyle w:val="FootnoteTextChar"/>
        </w:rPr>
      </w:pPr>
      <w:r>
        <w:rPr>
          <w:rStyle w:val="FootnoteReference"/>
        </w:rPr>
        <w:footnoteRef/>
      </w:r>
      <w:r>
        <w:t xml:space="preserve"> </w:t>
      </w:r>
      <w:r w:rsidRPr="00F72401">
        <w:rPr>
          <w:rStyle w:val="FootnoteTextChar"/>
        </w:rPr>
        <w:t xml:space="preserve">AusPAR </w:t>
      </w:r>
      <w:proofErr w:type="spellStart"/>
      <w:r w:rsidRPr="00F72401">
        <w:rPr>
          <w:rStyle w:val="FootnoteTextChar"/>
        </w:rPr>
        <w:t>Mepolizumab</w:t>
      </w:r>
      <w:proofErr w:type="spellEnd"/>
      <w:r w:rsidRPr="00F72401">
        <w:rPr>
          <w:rStyle w:val="FootnoteTextChar"/>
        </w:rPr>
        <w:t xml:space="preserve"> (PM-2014-03872-1-5). Accessed at </w:t>
      </w:r>
      <w:hyperlink r:id="rId1" w:history="1">
        <w:r w:rsidRPr="00F72401">
          <w:rPr>
            <w:rStyle w:val="FootnoteTextChar"/>
          </w:rPr>
          <w:t>the</w:t>
        </w:r>
      </w:hyperlink>
      <w:r w:rsidRPr="00F72401">
        <w:rPr>
          <w:rStyle w:val="FootnoteTextChar"/>
        </w:rPr>
        <w:t xml:space="preserve"> TGA website.</w:t>
      </w:r>
    </w:p>
  </w:footnote>
  <w:footnote w:id="30">
    <w:p w14:paraId="033B0C38" w14:textId="77777777" w:rsidR="004101C8" w:rsidRDefault="004101C8" w:rsidP="00687AEC">
      <w:pPr>
        <w:pStyle w:val="FootnoteText"/>
      </w:pPr>
      <w:r>
        <w:rPr>
          <w:rStyle w:val="FootnoteReference"/>
        </w:rPr>
        <w:footnoteRef/>
      </w:r>
      <w:r>
        <w:t xml:space="preserve"> </w:t>
      </w:r>
      <w:r>
        <w:rPr>
          <w:rFonts w:asciiTheme="minorHAnsi" w:hAnsiTheme="minorHAnsi"/>
          <w:lang w:eastAsia="en-AU"/>
        </w:rPr>
        <w:t>FDA Clinical Pharmacology Review for the asthma indication submission 2014. Accessed at the FDA website.</w:t>
      </w:r>
    </w:p>
  </w:footnote>
  <w:footnote w:id="31">
    <w:p w14:paraId="0B506BF5" w14:textId="77777777" w:rsidR="004101C8" w:rsidRPr="00C04361" w:rsidRDefault="004101C8" w:rsidP="00687AEC">
      <w:pPr>
        <w:pStyle w:val="FootnoteText"/>
        <w:rPr>
          <w:rFonts w:asciiTheme="minorHAnsi" w:eastAsia="Times New Roman" w:hAnsiTheme="minorHAnsi"/>
          <w:lang w:eastAsia="en-AU"/>
        </w:rPr>
      </w:pPr>
      <w:r>
        <w:rPr>
          <w:rStyle w:val="FootnoteReference"/>
        </w:rPr>
        <w:footnoteRef/>
      </w:r>
      <w:r>
        <w:t xml:space="preserve"> </w:t>
      </w:r>
      <w:r>
        <w:rPr>
          <w:rFonts w:asciiTheme="minorHAnsi" w:eastAsia="Times New Roman" w:hAnsiTheme="minorHAnsi"/>
          <w:lang w:eastAsia="en-AU"/>
        </w:rPr>
        <w:t>Stein, M.L. et al. (2018), Anti–IL-5 (</w:t>
      </w:r>
      <w:proofErr w:type="spellStart"/>
      <w:r>
        <w:rPr>
          <w:rFonts w:asciiTheme="minorHAnsi" w:eastAsia="Times New Roman" w:hAnsiTheme="minorHAnsi"/>
          <w:lang w:eastAsia="en-AU"/>
        </w:rPr>
        <w:t>mepolizumab</w:t>
      </w:r>
      <w:proofErr w:type="spellEnd"/>
      <w:r>
        <w:rPr>
          <w:rFonts w:asciiTheme="minorHAnsi" w:eastAsia="Times New Roman" w:hAnsiTheme="minorHAnsi"/>
          <w:lang w:eastAsia="en-AU"/>
        </w:rPr>
        <w:t xml:space="preserve">) therapy reduces eosinophil activation </w:t>
      </w:r>
      <w:r>
        <w:rPr>
          <w:rFonts w:asciiTheme="minorHAnsi" w:eastAsia="Times New Roman" w:hAnsiTheme="minorHAnsi"/>
          <w:i/>
          <w:iCs/>
          <w:lang w:eastAsia="en-AU"/>
        </w:rPr>
        <w:t>ex vivo</w:t>
      </w:r>
      <w:r>
        <w:rPr>
          <w:rFonts w:asciiTheme="minorHAnsi" w:eastAsia="Times New Roman" w:hAnsiTheme="minorHAnsi"/>
          <w:lang w:eastAsia="en-AU"/>
        </w:rPr>
        <w:t xml:space="preserve"> and increases IL-5 and IL-5 receptor levels. </w:t>
      </w:r>
      <w:r>
        <w:rPr>
          <w:rFonts w:asciiTheme="minorHAnsi" w:eastAsia="Times New Roman" w:hAnsiTheme="minorHAnsi"/>
          <w:i/>
          <w:iCs/>
          <w:lang w:eastAsia="en-AU"/>
        </w:rPr>
        <w:t>The Journal of allergy and clinical immunology</w:t>
      </w:r>
      <w:r>
        <w:rPr>
          <w:rFonts w:asciiTheme="minorHAnsi" w:eastAsia="Times New Roman" w:hAnsiTheme="minorHAnsi"/>
          <w:lang w:eastAsia="en-AU"/>
        </w:rPr>
        <w:t>. 2008; 121:1473-1483.</w:t>
      </w:r>
    </w:p>
  </w:footnote>
  <w:footnote w:id="32">
    <w:p w14:paraId="274A3E8B" w14:textId="77777777" w:rsidR="004101C8" w:rsidRDefault="004101C8" w:rsidP="00A8334D">
      <w:pPr>
        <w:pStyle w:val="FootnoteText"/>
      </w:pPr>
      <w:r>
        <w:rPr>
          <w:rStyle w:val="FootnoteReference"/>
        </w:rPr>
        <w:footnoteRef/>
      </w:r>
      <w:r>
        <w:t xml:space="preserve"> See ARTG entry 277279 at the TGA website.</w:t>
      </w:r>
    </w:p>
  </w:footnote>
  <w:footnote w:id="33">
    <w:p w14:paraId="664E2F3B" w14:textId="77777777" w:rsidR="004101C8" w:rsidRDefault="004101C8" w:rsidP="00A8334D">
      <w:pPr>
        <w:pStyle w:val="FootnoteText"/>
      </w:pPr>
      <w:r>
        <w:rPr>
          <w:rStyle w:val="FootnoteReference"/>
        </w:rPr>
        <w:footnoteRef/>
      </w:r>
      <w:r>
        <w:t xml:space="preserve"> FDA Label for </w:t>
      </w:r>
      <w:proofErr w:type="spellStart"/>
      <w:r>
        <w:t>Benralizumab</w:t>
      </w:r>
      <w:proofErr w:type="spellEnd"/>
      <w:r>
        <w:t>. Accessed at the FDA website.</w:t>
      </w:r>
    </w:p>
  </w:footnote>
  <w:footnote w:id="34">
    <w:p w14:paraId="6076C5BB" w14:textId="77777777" w:rsidR="004101C8" w:rsidRPr="00F528C9" w:rsidRDefault="004101C8" w:rsidP="00F528C9">
      <w:pPr>
        <w:pStyle w:val="FootnoteText"/>
      </w:pPr>
      <w:r w:rsidRPr="00F528C9">
        <w:rPr>
          <w:rStyle w:val="FootnoteReference"/>
        </w:rPr>
        <w:footnoteRef/>
      </w:r>
      <w:r w:rsidRPr="00F528C9">
        <w:rPr>
          <w:rStyle w:val="FootnoteReference"/>
        </w:rPr>
        <w:t xml:space="preserve"> </w:t>
      </w:r>
      <w:r w:rsidRPr="00F528C9">
        <w:t xml:space="preserve">Kim, S. et al. (2010). </w:t>
      </w:r>
      <w:proofErr w:type="spellStart"/>
      <w:r w:rsidRPr="00F528C9">
        <w:t>Mepolizumab</w:t>
      </w:r>
      <w:proofErr w:type="spellEnd"/>
      <w:r w:rsidRPr="00F528C9">
        <w:t xml:space="preserve"> as a steroid-sparing treatment option in patients with </w:t>
      </w:r>
      <w:proofErr w:type="spellStart"/>
      <w:r w:rsidRPr="00F528C9">
        <w:t>Churg</w:t>
      </w:r>
      <w:proofErr w:type="spellEnd"/>
      <w:r w:rsidRPr="00F528C9">
        <w:t xml:space="preserve">-Strauss Syndrome. J Allergy </w:t>
      </w:r>
      <w:proofErr w:type="spellStart"/>
      <w:r w:rsidRPr="00F528C9">
        <w:t>Clin</w:t>
      </w:r>
      <w:proofErr w:type="spellEnd"/>
      <w:r w:rsidRPr="00F528C9">
        <w:t xml:space="preserve"> </w:t>
      </w:r>
      <w:proofErr w:type="spellStart"/>
      <w:r w:rsidRPr="00F528C9">
        <w:t>Immunol</w:t>
      </w:r>
      <w:proofErr w:type="spellEnd"/>
      <w:r w:rsidRPr="00F528C9">
        <w:t>, 2010; 125: 1336-1343.</w:t>
      </w:r>
    </w:p>
  </w:footnote>
  <w:footnote w:id="35">
    <w:p w14:paraId="478C909E" w14:textId="77777777" w:rsidR="004101C8" w:rsidRPr="00F528C9" w:rsidRDefault="004101C8" w:rsidP="00F528C9">
      <w:pPr>
        <w:pStyle w:val="FootnoteText"/>
      </w:pPr>
      <w:r w:rsidRPr="00F528C9">
        <w:rPr>
          <w:rStyle w:val="FootnoteReference"/>
        </w:rPr>
        <w:footnoteRef/>
      </w:r>
      <w:r w:rsidRPr="00F528C9">
        <w:rPr>
          <w:rStyle w:val="FootnoteReference"/>
        </w:rPr>
        <w:t xml:space="preserve"> </w:t>
      </w:r>
      <w:proofErr w:type="spellStart"/>
      <w:r w:rsidRPr="00F528C9">
        <w:t>Moosig</w:t>
      </w:r>
      <w:proofErr w:type="spellEnd"/>
      <w:r w:rsidRPr="00F528C9">
        <w:t xml:space="preserve">, F. et al. (2011). Targeting interleukin-5 in refractory and relapsing </w:t>
      </w:r>
      <w:proofErr w:type="spellStart"/>
      <w:r w:rsidRPr="00F528C9">
        <w:t>Churg</w:t>
      </w:r>
      <w:proofErr w:type="spellEnd"/>
      <w:r w:rsidRPr="00F528C9">
        <w:t xml:space="preserve">–Strauss Syndrome. Ann </w:t>
      </w:r>
      <w:proofErr w:type="spellStart"/>
      <w:r w:rsidRPr="00F528C9">
        <w:t>Int</w:t>
      </w:r>
      <w:proofErr w:type="spellEnd"/>
      <w:r w:rsidRPr="00F528C9">
        <w:t xml:space="preserve"> Med, 2011; 155: 341-343.</w:t>
      </w:r>
    </w:p>
  </w:footnote>
  <w:footnote w:id="36">
    <w:p w14:paraId="7694D6A3" w14:textId="77777777" w:rsidR="004101C8" w:rsidRDefault="004101C8" w:rsidP="00E03BA3">
      <w:pPr>
        <w:pStyle w:val="FootnoteText"/>
      </w:pPr>
      <w:r>
        <w:rPr>
          <w:rStyle w:val="FootnoteReference"/>
        </w:rPr>
        <w:footnoteRef/>
      </w:r>
      <w:r>
        <w:t xml:space="preserve"> Cohen, P. et al. (2007). </w:t>
      </w:r>
      <w:proofErr w:type="spellStart"/>
      <w:r>
        <w:t>Churg</w:t>
      </w:r>
      <w:proofErr w:type="spellEnd"/>
      <w:r>
        <w:rPr>
          <w:rFonts w:cs="AdvTT5235d5a9+20"/>
        </w:rPr>
        <w:t>–</w:t>
      </w:r>
      <w:r>
        <w:t xml:space="preserve">Strauss syndrome with poor-prognosis factors: a prospective </w:t>
      </w:r>
      <w:proofErr w:type="spellStart"/>
      <w:r>
        <w:t>multicenter</w:t>
      </w:r>
      <w:proofErr w:type="spellEnd"/>
      <w:r>
        <w:t xml:space="preserve"> trial comparing glucocorticoids and six or twelve cyclophosphamide pulses in forty-eight patients. </w:t>
      </w:r>
      <w:r w:rsidRPr="00E03BA3">
        <w:rPr>
          <w:i/>
        </w:rPr>
        <w:t>Arthritis Rheum</w:t>
      </w:r>
      <w:r>
        <w:t>, 2007; 57: 686</w:t>
      </w:r>
      <w:r>
        <w:rPr>
          <w:rFonts w:cs="AdvTT5235d5a9+20"/>
        </w:rPr>
        <w:t>–6</w:t>
      </w:r>
      <w:r>
        <w:t>93.</w:t>
      </w:r>
    </w:p>
  </w:footnote>
  <w:footnote w:id="37">
    <w:p w14:paraId="46FB11DE" w14:textId="77777777" w:rsidR="004101C8" w:rsidRDefault="004101C8" w:rsidP="00E03BA3">
      <w:pPr>
        <w:pStyle w:val="FootnoteText"/>
      </w:pPr>
      <w:r>
        <w:rPr>
          <w:rStyle w:val="FootnoteReference"/>
        </w:rPr>
        <w:footnoteRef/>
      </w:r>
      <w:r>
        <w:t xml:space="preserve"> </w:t>
      </w:r>
      <w:proofErr w:type="spellStart"/>
      <w:r>
        <w:t>Hiemstra</w:t>
      </w:r>
      <w:proofErr w:type="spellEnd"/>
      <w:r>
        <w:t xml:space="preserve">, T. F. et al (2010). </w:t>
      </w:r>
      <w:proofErr w:type="spellStart"/>
      <w:r>
        <w:t>Mycophenolate</w:t>
      </w:r>
      <w:proofErr w:type="spellEnd"/>
      <w:r>
        <w:t xml:space="preserve"> </w:t>
      </w:r>
      <w:proofErr w:type="spellStart"/>
      <w:r>
        <w:t>mofetil</w:t>
      </w:r>
      <w:proofErr w:type="spellEnd"/>
      <w:r>
        <w:t xml:space="preserve"> versus azathioprine for remission maintenance in </w:t>
      </w:r>
      <w:proofErr w:type="spellStart"/>
      <w:r>
        <w:t>antineutrophil</w:t>
      </w:r>
      <w:proofErr w:type="spellEnd"/>
      <w:r>
        <w:t xml:space="preserve"> cytoplasmic antibody-associated vasculitis: a randomized controlled trial. </w:t>
      </w:r>
      <w:r w:rsidRPr="00E03BA3">
        <w:rPr>
          <w:i/>
        </w:rPr>
        <w:t>JAMA</w:t>
      </w:r>
      <w:r>
        <w:t>, 2010; 304: 2381</w:t>
      </w:r>
      <w:r>
        <w:rPr>
          <w:rFonts w:cs="AdvTT5235d5a9+20"/>
        </w:rPr>
        <w:t>–238</w:t>
      </w:r>
      <w:r>
        <w:t>8</w:t>
      </w:r>
    </w:p>
  </w:footnote>
  <w:footnote w:id="38">
    <w:p w14:paraId="28E945CB" w14:textId="77777777" w:rsidR="004101C8" w:rsidRDefault="004101C8" w:rsidP="00E03BA3">
      <w:pPr>
        <w:pStyle w:val="FootnoteText"/>
      </w:pPr>
      <w:r>
        <w:rPr>
          <w:rStyle w:val="FootnoteReference"/>
        </w:rPr>
        <w:footnoteRef/>
      </w:r>
      <w:r>
        <w:t xml:space="preserve"> Bel, E.H. et al. (2014); SIRIUS Investigators. Oral glucocorticoid-sparing effect of </w:t>
      </w:r>
      <w:proofErr w:type="spellStart"/>
      <w:r>
        <w:t>mepolizumab</w:t>
      </w:r>
      <w:proofErr w:type="spellEnd"/>
      <w:r>
        <w:t xml:space="preserve"> in eosinophilic asthma. </w:t>
      </w:r>
      <w:r w:rsidRPr="005344E4">
        <w:rPr>
          <w:i/>
        </w:rPr>
        <w:t xml:space="preserve">N </w:t>
      </w:r>
      <w:proofErr w:type="spellStart"/>
      <w:r w:rsidRPr="005344E4">
        <w:rPr>
          <w:i/>
        </w:rPr>
        <w:t>Engl</w:t>
      </w:r>
      <w:proofErr w:type="spellEnd"/>
      <w:r w:rsidRPr="005344E4">
        <w:rPr>
          <w:i/>
        </w:rPr>
        <w:t xml:space="preserve"> J Med</w:t>
      </w:r>
      <w:r>
        <w:t>, 2014; 371: 1189-1197.</w:t>
      </w:r>
    </w:p>
  </w:footnote>
  <w:footnote w:id="39">
    <w:p w14:paraId="182755EA" w14:textId="77777777" w:rsidR="004101C8" w:rsidRPr="005344E4" w:rsidRDefault="004101C8" w:rsidP="00190952">
      <w:pPr>
        <w:autoSpaceDE w:val="0"/>
        <w:autoSpaceDN w:val="0"/>
        <w:adjustRightInd w:val="0"/>
        <w:spacing w:before="0" w:after="0" w:line="240" w:lineRule="auto"/>
        <w:rPr>
          <w:rStyle w:val="FootnoteTextChar"/>
        </w:rPr>
      </w:pPr>
      <w:r w:rsidRPr="005344E4">
        <w:rPr>
          <w:rStyle w:val="FootnoteReference"/>
        </w:rPr>
        <w:footnoteRef/>
      </w:r>
      <w:r>
        <w:t xml:space="preserve"> </w:t>
      </w:r>
      <w:proofErr w:type="spellStart"/>
      <w:r w:rsidRPr="005344E4">
        <w:rPr>
          <w:rStyle w:val="FootnoteTextChar"/>
        </w:rPr>
        <w:t>Haldar</w:t>
      </w:r>
      <w:proofErr w:type="spellEnd"/>
      <w:r w:rsidRPr="005344E4">
        <w:rPr>
          <w:rStyle w:val="FootnoteTextChar"/>
        </w:rPr>
        <w:t xml:space="preserve">, P. et al. (2014). Outcomes after cessation of </w:t>
      </w:r>
      <w:proofErr w:type="spellStart"/>
      <w:r w:rsidRPr="005344E4">
        <w:rPr>
          <w:rStyle w:val="FootnoteTextChar"/>
        </w:rPr>
        <w:t>mepolizumab</w:t>
      </w:r>
      <w:proofErr w:type="spellEnd"/>
      <w:r w:rsidRPr="005344E4">
        <w:rPr>
          <w:rStyle w:val="FootnoteTextChar"/>
        </w:rPr>
        <w:t xml:space="preserve"> therapy in s</w:t>
      </w:r>
      <w:r>
        <w:rPr>
          <w:rStyle w:val="FootnoteTextChar"/>
        </w:rPr>
        <w:t>evere eosinophilic asthma: a 12 </w:t>
      </w:r>
      <w:r w:rsidRPr="005344E4">
        <w:rPr>
          <w:rStyle w:val="FootnoteTextChar"/>
        </w:rPr>
        <w:t xml:space="preserve">month follow up analysis </w:t>
      </w:r>
      <w:r>
        <w:rPr>
          <w:rStyle w:val="FootnoteTextChar"/>
        </w:rPr>
        <w:t>(</w:t>
      </w:r>
      <w:r w:rsidRPr="005344E4">
        <w:rPr>
          <w:rStyle w:val="FootnoteTextChar"/>
        </w:rPr>
        <w:t>letter</w:t>
      </w:r>
      <w:r>
        <w:rPr>
          <w:rStyle w:val="FootnoteTextChar"/>
        </w:rPr>
        <w:t>)</w:t>
      </w:r>
      <w:r w:rsidRPr="005344E4">
        <w:rPr>
          <w:rStyle w:val="FootnoteTextChar"/>
        </w:rPr>
        <w:t xml:space="preserve">. </w:t>
      </w:r>
      <w:r w:rsidRPr="005344E4">
        <w:rPr>
          <w:rStyle w:val="FootnoteTextChar"/>
          <w:i/>
        </w:rPr>
        <w:t xml:space="preserve">J Allergy </w:t>
      </w:r>
      <w:proofErr w:type="spellStart"/>
      <w:r w:rsidRPr="005344E4">
        <w:rPr>
          <w:rStyle w:val="FootnoteTextChar"/>
          <w:i/>
        </w:rPr>
        <w:t>Clin</w:t>
      </w:r>
      <w:proofErr w:type="spellEnd"/>
      <w:r w:rsidRPr="005344E4">
        <w:rPr>
          <w:rStyle w:val="FootnoteTextChar"/>
          <w:i/>
        </w:rPr>
        <w:t xml:space="preserve"> </w:t>
      </w:r>
      <w:proofErr w:type="spellStart"/>
      <w:r w:rsidRPr="005344E4">
        <w:rPr>
          <w:rStyle w:val="FootnoteTextChar"/>
          <w:i/>
        </w:rPr>
        <w:t>Immunol</w:t>
      </w:r>
      <w:proofErr w:type="spellEnd"/>
      <w:r w:rsidRPr="005344E4">
        <w:rPr>
          <w:rStyle w:val="FootnoteTextChar"/>
        </w:rPr>
        <w:t>, 2014; 133: 921-023.</w:t>
      </w:r>
    </w:p>
  </w:footnote>
  <w:footnote w:id="40">
    <w:p w14:paraId="3817AB54" w14:textId="77777777" w:rsidR="004101C8" w:rsidRPr="00E77EAC" w:rsidRDefault="004101C8" w:rsidP="00E77EAC">
      <w:pPr>
        <w:pStyle w:val="FootnoteText"/>
        <w:rPr>
          <w:rStyle w:val="FootnoteTextChar"/>
        </w:rPr>
      </w:pPr>
      <w:r>
        <w:rPr>
          <w:rStyle w:val="FootnoteReference"/>
        </w:rPr>
        <w:footnoteRef/>
      </w:r>
      <w:r>
        <w:t xml:space="preserve"> </w:t>
      </w:r>
      <w:r w:rsidRPr="00E77EAC">
        <w:rPr>
          <w:rStyle w:val="FootnoteTextChar"/>
        </w:rPr>
        <w:t xml:space="preserve">Winthrop, K.L.et al. (2015). Opportunistic infections and biologic therapies in immune-mediated inflammatory diseases: consensus recommendations for infection reporting during clinical trials and </w:t>
      </w:r>
      <w:proofErr w:type="spellStart"/>
      <w:r w:rsidRPr="00E77EAC">
        <w:rPr>
          <w:rStyle w:val="FootnoteTextChar"/>
        </w:rPr>
        <w:t>postmarketing</w:t>
      </w:r>
      <w:proofErr w:type="spellEnd"/>
      <w:r w:rsidRPr="00E77EAC">
        <w:rPr>
          <w:rStyle w:val="FootnoteTextChar"/>
        </w:rPr>
        <w:t xml:space="preserve"> surveillance. </w:t>
      </w:r>
      <w:r w:rsidRPr="004D0059">
        <w:rPr>
          <w:rStyle w:val="FootnoteTextChar"/>
          <w:i/>
        </w:rPr>
        <w:t>Ann Rheum Dis</w:t>
      </w:r>
      <w:r w:rsidRPr="00E77EAC">
        <w:rPr>
          <w:rStyle w:val="FootnoteTextChar"/>
        </w:rPr>
        <w:t>, 2015; 74 :2107-2116.</w:t>
      </w:r>
    </w:p>
  </w:footnote>
  <w:footnote w:id="41">
    <w:p w14:paraId="7F148DA1" w14:textId="77777777" w:rsidR="004101C8" w:rsidRDefault="004101C8" w:rsidP="002005CD">
      <w:pPr>
        <w:pStyle w:val="FootnoteText"/>
      </w:pPr>
      <w:r>
        <w:rPr>
          <w:rStyle w:val="FootnoteReference"/>
        </w:rPr>
        <w:footnoteRef/>
      </w:r>
      <w:r>
        <w:t xml:space="preserve"> </w:t>
      </w:r>
      <w:proofErr w:type="spellStart"/>
      <w:r>
        <w:t>Centers</w:t>
      </w:r>
      <w:proofErr w:type="spellEnd"/>
      <w:r>
        <w:t xml:space="preserve"> for Disease Control and Prevention (CDC): Herpes Zoster.; accessed Jan 2018 at </w:t>
      </w:r>
      <w:r w:rsidRPr="004D0059">
        <w:t>https://www.cdc.gov/shingles/hcp/clinical-overview.html</w:t>
      </w:r>
      <w:r>
        <w:t>.</w:t>
      </w:r>
    </w:p>
  </w:footnote>
  <w:footnote w:id="42">
    <w:p w14:paraId="528A4AB4" w14:textId="77777777" w:rsidR="004101C8" w:rsidRDefault="004101C8" w:rsidP="005252BF">
      <w:pPr>
        <w:pStyle w:val="FootnoteText"/>
        <w:rPr>
          <w:lang w:eastAsia="en-AU"/>
        </w:rPr>
      </w:pPr>
      <w:r>
        <w:rPr>
          <w:rStyle w:val="FootnoteReference"/>
        </w:rPr>
        <w:footnoteRef/>
      </w:r>
      <w:r>
        <w:t xml:space="preserve"> </w:t>
      </w:r>
      <w:r w:rsidRPr="0009075B">
        <w:t>SEER Cancer Statistics Review 1975-2014</w:t>
      </w:r>
      <w:r>
        <w:t xml:space="preserve">, browse for </w:t>
      </w:r>
      <w:r w:rsidRPr="0009075B">
        <w:t>Table 19.26 All Lymphoid Neoplasms With Detailed Non-Hodgkin Lymphoma Subtypes</w:t>
      </w:r>
      <w:r>
        <w:t xml:space="preserve">. </w:t>
      </w:r>
      <w:r w:rsidRPr="0009075B">
        <w:t xml:space="preserve">Accessed Jan 2018 at </w:t>
      </w:r>
      <w:r w:rsidRPr="005252BF">
        <w:rPr>
          <w:lang w:eastAsia="en-AU"/>
        </w:rPr>
        <w:t>https://seer.cancer.gov/csr/1975_2014/</w:t>
      </w:r>
    </w:p>
  </w:footnote>
  <w:footnote w:id="43">
    <w:p w14:paraId="1E60C6EA" w14:textId="77777777" w:rsidR="004101C8" w:rsidRDefault="004101C8" w:rsidP="005252BF">
      <w:pPr>
        <w:pStyle w:val="FootnoteText"/>
      </w:pPr>
      <w:r>
        <w:rPr>
          <w:rStyle w:val="FootnoteReference"/>
        </w:rPr>
        <w:footnoteRef/>
      </w:r>
      <w:r>
        <w:t xml:space="preserve"> FDA approved label for </w:t>
      </w:r>
      <w:proofErr w:type="spellStart"/>
      <w:r>
        <w:t>Reslizumab</w:t>
      </w:r>
      <w:proofErr w:type="spellEnd"/>
      <w:r>
        <w:t>. Accessed at the FDA website.</w:t>
      </w:r>
    </w:p>
  </w:footnote>
  <w:footnote w:id="44">
    <w:p w14:paraId="01BBCB97" w14:textId="77777777" w:rsidR="004101C8" w:rsidRPr="00C87909" w:rsidRDefault="004101C8" w:rsidP="005252BF">
      <w:pPr>
        <w:pStyle w:val="FootnoteText"/>
        <w:rPr>
          <w:rFonts w:asciiTheme="minorHAnsi" w:hAnsiTheme="minorHAnsi" w:cs="Calibri"/>
        </w:rPr>
      </w:pPr>
      <w:r>
        <w:rPr>
          <w:rStyle w:val="FootnoteReference"/>
        </w:rPr>
        <w:footnoteRef/>
      </w:r>
      <w:r>
        <w:t xml:space="preserve"> </w:t>
      </w:r>
      <w:r w:rsidRPr="00C87909">
        <w:rPr>
          <w:rFonts w:asciiTheme="minorHAnsi" w:hAnsiTheme="minorHAnsi" w:cs="Calibri"/>
        </w:rPr>
        <w:t xml:space="preserve">Murphy, </w:t>
      </w:r>
      <w:r>
        <w:rPr>
          <w:rFonts w:asciiTheme="minorHAnsi" w:hAnsiTheme="minorHAnsi" w:cs="Calibri"/>
        </w:rPr>
        <w:t>K. et al. (2017),</w:t>
      </w:r>
      <w:r w:rsidRPr="00C87909">
        <w:rPr>
          <w:rFonts w:asciiTheme="minorHAnsi" w:hAnsiTheme="minorHAnsi" w:cs="Calibri"/>
        </w:rPr>
        <w:t xml:space="preserve"> Long-term Safety and Efficacy of </w:t>
      </w:r>
      <w:proofErr w:type="spellStart"/>
      <w:r w:rsidRPr="00C87909">
        <w:rPr>
          <w:rFonts w:asciiTheme="minorHAnsi" w:hAnsiTheme="minorHAnsi" w:cs="Calibri"/>
        </w:rPr>
        <w:t>Reslizumab</w:t>
      </w:r>
      <w:proofErr w:type="spellEnd"/>
      <w:r w:rsidRPr="00C87909">
        <w:rPr>
          <w:rFonts w:asciiTheme="minorHAnsi" w:hAnsiTheme="minorHAnsi" w:cs="Calibri"/>
        </w:rPr>
        <w:t xml:space="preserve"> in Patients with Eosinophilic Asthma</w:t>
      </w:r>
      <w:r w:rsidRPr="00E648EC">
        <w:rPr>
          <w:rFonts w:asciiTheme="minorHAnsi" w:hAnsiTheme="minorHAnsi" w:cs="Calibri"/>
          <w:i/>
        </w:rPr>
        <w:t xml:space="preserve">, J Allergy </w:t>
      </w:r>
      <w:proofErr w:type="spellStart"/>
      <w:r w:rsidRPr="00E648EC">
        <w:rPr>
          <w:rFonts w:asciiTheme="minorHAnsi" w:hAnsiTheme="minorHAnsi" w:cs="Calibri"/>
          <w:i/>
        </w:rPr>
        <w:t>Clin</w:t>
      </w:r>
      <w:proofErr w:type="spellEnd"/>
      <w:r w:rsidRPr="00E648EC">
        <w:rPr>
          <w:rFonts w:asciiTheme="minorHAnsi" w:hAnsiTheme="minorHAnsi" w:cs="Calibri"/>
          <w:i/>
        </w:rPr>
        <w:t xml:space="preserve"> </w:t>
      </w:r>
      <w:proofErr w:type="spellStart"/>
      <w:r w:rsidRPr="00E648EC">
        <w:rPr>
          <w:rFonts w:asciiTheme="minorHAnsi" w:hAnsiTheme="minorHAnsi" w:cs="Calibri"/>
          <w:i/>
        </w:rPr>
        <w:t>Immunol</w:t>
      </w:r>
      <w:proofErr w:type="spellEnd"/>
      <w:r w:rsidRPr="00E648EC">
        <w:rPr>
          <w:rFonts w:asciiTheme="minorHAnsi" w:hAnsiTheme="minorHAnsi" w:cs="Calibri"/>
          <w:i/>
        </w:rPr>
        <w:t>: In Practice</w:t>
      </w:r>
      <w:r>
        <w:rPr>
          <w:rFonts w:asciiTheme="minorHAnsi" w:hAnsiTheme="minorHAnsi" w:cs="Calibri"/>
        </w:rPr>
        <w:t>, 2017; 5: 1572-1581.</w:t>
      </w:r>
    </w:p>
  </w:footnote>
  <w:footnote w:id="45">
    <w:p w14:paraId="1C7E0566" w14:textId="77777777" w:rsidR="004101C8" w:rsidRPr="0008700A" w:rsidRDefault="004101C8" w:rsidP="0008700A">
      <w:pPr>
        <w:pStyle w:val="FootnoteText"/>
      </w:pPr>
      <w:r w:rsidRPr="0008700A">
        <w:rPr>
          <w:rStyle w:val="FootnoteReference"/>
        </w:rPr>
        <w:footnoteRef/>
      </w:r>
      <w:r w:rsidRPr="0008700A">
        <w:t xml:space="preserve"> </w:t>
      </w:r>
      <w:proofErr w:type="spellStart"/>
      <w:r w:rsidRPr="0008700A">
        <w:t>Haldar</w:t>
      </w:r>
      <w:proofErr w:type="spellEnd"/>
      <w:r w:rsidRPr="0008700A">
        <w:t xml:space="preserve">, </w:t>
      </w:r>
      <w:r>
        <w:t xml:space="preserve">P. </w:t>
      </w:r>
      <w:r w:rsidRPr="0008700A">
        <w:t xml:space="preserve">et al. </w:t>
      </w:r>
      <w:r>
        <w:t xml:space="preserve">(2014). </w:t>
      </w:r>
      <w:r w:rsidRPr="0008700A">
        <w:t xml:space="preserve">Outcomes after cessation of </w:t>
      </w:r>
      <w:proofErr w:type="spellStart"/>
      <w:r w:rsidRPr="0008700A">
        <w:t>mepolizumab</w:t>
      </w:r>
      <w:proofErr w:type="spellEnd"/>
      <w:r w:rsidRPr="0008700A">
        <w:t xml:space="preserve"> therapy in severe eosinophilic asthma: A 12-month follow-up analysis</w:t>
      </w:r>
      <w:r>
        <w:t>,</w:t>
      </w:r>
      <w:r w:rsidRPr="0008700A">
        <w:t xml:space="preserve"> </w:t>
      </w:r>
      <w:r w:rsidRPr="0008700A">
        <w:rPr>
          <w:i/>
        </w:rPr>
        <w:t xml:space="preserve">J Allergy </w:t>
      </w:r>
      <w:proofErr w:type="spellStart"/>
      <w:r w:rsidRPr="0008700A">
        <w:rPr>
          <w:i/>
        </w:rPr>
        <w:t>Clin</w:t>
      </w:r>
      <w:proofErr w:type="spellEnd"/>
      <w:r w:rsidRPr="0008700A">
        <w:rPr>
          <w:i/>
        </w:rPr>
        <w:t xml:space="preserve"> </w:t>
      </w:r>
      <w:proofErr w:type="spellStart"/>
      <w:r w:rsidRPr="0008700A">
        <w:rPr>
          <w:i/>
        </w:rPr>
        <w:t>Immunol</w:t>
      </w:r>
      <w:proofErr w:type="spellEnd"/>
      <w:r>
        <w:t>, 2014; 133:</w:t>
      </w:r>
      <w:r w:rsidRPr="0008700A">
        <w:t xml:space="preserve"> </w:t>
      </w:r>
      <w:r>
        <w:t>921-923.</w:t>
      </w:r>
    </w:p>
  </w:footnote>
  <w:footnote w:id="46">
    <w:p w14:paraId="29A1CD9C" w14:textId="77777777" w:rsidR="004101C8" w:rsidRDefault="004101C8" w:rsidP="0008700A">
      <w:pPr>
        <w:pStyle w:val="FootnoteText"/>
      </w:pPr>
      <w:r w:rsidRPr="0008700A">
        <w:rPr>
          <w:rStyle w:val="FootnoteReference"/>
        </w:rPr>
        <w:footnoteRef/>
      </w:r>
      <w:r w:rsidRPr="0008700A">
        <w:t xml:space="preserve"> </w:t>
      </w:r>
      <w:r w:rsidRPr="0008700A">
        <w:rPr>
          <w:rStyle w:val="refauthors"/>
        </w:rPr>
        <w:t>Kim, Y.J</w:t>
      </w:r>
      <w:r>
        <w:rPr>
          <w:rStyle w:val="refauthors"/>
        </w:rPr>
        <w:t xml:space="preserve">. et al. (2004). </w:t>
      </w:r>
      <w:r w:rsidRPr="0008700A">
        <w:rPr>
          <w:rStyle w:val="reftitle"/>
        </w:rPr>
        <w:t xml:space="preserve">Rebound eosinophilia after treatment of </w:t>
      </w:r>
      <w:proofErr w:type="spellStart"/>
      <w:r w:rsidRPr="0008700A">
        <w:rPr>
          <w:rStyle w:val="reftitle"/>
        </w:rPr>
        <w:t>hypereosinophilic</w:t>
      </w:r>
      <w:proofErr w:type="spellEnd"/>
      <w:r w:rsidRPr="0008700A">
        <w:rPr>
          <w:rStyle w:val="reftitle"/>
        </w:rPr>
        <w:t xml:space="preserve"> syndrome and eosinophilic gastroenteritis with monoclonal anti-IL-5 antibody SCH55700. </w:t>
      </w:r>
      <w:r w:rsidRPr="0008700A">
        <w:rPr>
          <w:rStyle w:val="refseriestitle"/>
          <w:i/>
        </w:rPr>
        <w:t xml:space="preserve">J Allergy </w:t>
      </w:r>
      <w:proofErr w:type="spellStart"/>
      <w:r w:rsidRPr="0008700A">
        <w:rPr>
          <w:rStyle w:val="refseriestitle"/>
          <w:i/>
        </w:rPr>
        <w:t>Clin</w:t>
      </w:r>
      <w:proofErr w:type="spellEnd"/>
      <w:r w:rsidRPr="0008700A">
        <w:rPr>
          <w:rStyle w:val="refseriestitle"/>
          <w:i/>
        </w:rPr>
        <w:t xml:space="preserve"> </w:t>
      </w:r>
      <w:proofErr w:type="spellStart"/>
      <w:r w:rsidRPr="0008700A">
        <w:rPr>
          <w:rStyle w:val="refseriestitle"/>
          <w:i/>
        </w:rPr>
        <w:t>Immunol</w:t>
      </w:r>
      <w:proofErr w:type="spellEnd"/>
      <w:r>
        <w:rPr>
          <w:rStyle w:val="reference0"/>
        </w:rPr>
        <w:t>,</w:t>
      </w:r>
      <w:r w:rsidRPr="0008700A">
        <w:rPr>
          <w:rStyle w:val="reference0"/>
        </w:rPr>
        <w:t xml:space="preserve"> </w:t>
      </w:r>
      <w:r w:rsidRPr="0008700A">
        <w:rPr>
          <w:rStyle w:val="refseriesdate"/>
        </w:rPr>
        <w:t>2004</w:t>
      </w:r>
      <w:r w:rsidRPr="0008700A">
        <w:rPr>
          <w:rStyle w:val="reference0"/>
        </w:rPr>
        <w:t>;</w:t>
      </w:r>
      <w:r>
        <w:rPr>
          <w:rStyle w:val="reference0"/>
        </w:rPr>
        <w:t xml:space="preserve"> </w:t>
      </w:r>
      <w:r w:rsidRPr="0008700A">
        <w:rPr>
          <w:rStyle w:val="refseriesvolume"/>
        </w:rPr>
        <w:t>114</w:t>
      </w:r>
      <w:r w:rsidRPr="0008700A">
        <w:rPr>
          <w:rStyle w:val="reference0"/>
        </w:rPr>
        <w:t>:</w:t>
      </w:r>
      <w:r>
        <w:rPr>
          <w:rStyle w:val="reference0"/>
        </w:rPr>
        <w:t xml:space="preserve"> </w:t>
      </w:r>
      <w:r w:rsidRPr="0008700A">
        <w:rPr>
          <w:rStyle w:val="refpages"/>
        </w:rPr>
        <w:t>1449–1455</w:t>
      </w:r>
      <w:r>
        <w:t>.</w:t>
      </w:r>
    </w:p>
  </w:footnote>
  <w:footnote w:id="47">
    <w:p w14:paraId="3F59A2F4" w14:textId="77777777" w:rsidR="004101C8" w:rsidRDefault="004101C8" w:rsidP="00184739">
      <w:pPr>
        <w:pStyle w:val="FootnoteText"/>
      </w:pPr>
      <w:r>
        <w:rPr>
          <w:rStyle w:val="FootnoteReference"/>
        </w:rPr>
        <w:footnoteRef/>
      </w:r>
      <w:r>
        <w:t xml:space="preserve"> During the course of evaluation, this indication was subsequently changed to include adults patients only.</w:t>
      </w:r>
    </w:p>
  </w:footnote>
  <w:footnote w:id="48">
    <w:p w14:paraId="6CCD36D7" w14:textId="77777777" w:rsidR="004101C8" w:rsidRPr="00B45264" w:rsidRDefault="004101C8" w:rsidP="00B45264">
      <w:pPr>
        <w:pStyle w:val="FootnoteText"/>
      </w:pPr>
      <w:r>
        <w:rPr>
          <w:rStyle w:val="FootnoteReference"/>
        </w:rPr>
        <w:footnoteRef/>
      </w:r>
      <w:r>
        <w:t xml:space="preserve"> </w:t>
      </w:r>
      <w:proofErr w:type="spellStart"/>
      <w:r>
        <w:t>Polzer</w:t>
      </w:r>
      <w:proofErr w:type="spellEnd"/>
      <w:r>
        <w:t>, K. et al. (2008)</w:t>
      </w:r>
      <w:r w:rsidRPr="00225BAE">
        <w:t>. Eotaxin-3 is invo</w:t>
      </w:r>
      <w:r>
        <w:t xml:space="preserve">lved in </w:t>
      </w:r>
      <w:proofErr w:type="spellStart"/>
      <w:r>
        <w:t>Churg</w:t>
      </w:r>
      <w:proofErr w:type="spellEnd"/>
      <w:r>
        <w:t>-Strauss syndrome-</w:t>
      </w:r>
      <w:r w:rsidRPr="00225BAE">
        <w:t xml:space="preserve">a serum marker closely correlating with disease activity. </w:t>
      </w:r>
      <w:r w:rsidRPr="00B45264">
        <w:rPr>
          <w:i/>
        </w:rPr>
        <w:t>Rheumatology (Oxford)</w:t>
      </w:r>
      <w:r>
        <w:t>. 2008</w:t>
      </w:r>
      <w:r w:rsidRPr="00225BAE">
        <w:t>;</w:t>
      </w:r>
      <w:r>
        <w:t xml:space="preserve"> 47</w:t>
      </w:r>
      <w:r w:rsidRPr="00225BAE">
        <w:t>:</w:t>
      </w:r>
      <w:r>
        <w:t xml:space="preserve"> </w:t>
      </w:r>
      <w:r w:rsidRPr="00225BAE">
        <w:t>804-</w:t>
      </w:r>
      <w:r>
        <w:t>80</w:t>
      </w:r>
      <w:r w:rsidRPr="00225BAE">
        <w:t>8</w:t>
      </w:r>
      <w:r>
        <w:t>.</w:t>
      </w:r>
    </w:p>
  </w:footnote>
  <w:footnote w:id="49">
    <w:p w14:paraId="17BDCBE5" w14:textId="77777777" w:rsidR="004101C8" w:rsidRPr="00B45264" w:rsidRDefault="004101C8" w:rsidP="00B45264">
      <w:pPr>
        <w:pStyle w:val="FootnoteText"/>
        <w:rPr>
          <w:szCs w:val="18"/>
          <w:lang w:eastAsia="ja-JP"/>
        </w:rPr>
      </w:pPr>
      <w:r>
        <w:rPr>
          <w:rStyle w:val="FootnoteReference"/>
        </w:rPr>
        <w:footnoteRef/>
      </w:r>
      <w:r>
        <w:t xml:space="preserve"> </w:t>
      </w:r>
      <w:proofErr w:type="spellStart"/>
      <w:r>
        <w:rPr>
          <w:szCs w:val="18"/>
        </w:rPr>
        <w:t>Vaglio</w:t>
      </w:r>
      <w:proofErr w:type="spellEnd"/>
      <w:r>
        <w:rPr>
          <w:szCs w:val="18"/>
        </w:rPr>
        <w:t>, A. et al (2013)</w:t>
      </w:r>
      <w:r w:rsidRPr="00225BAE">
        <w:rPr>
          <w:szCs w:val="18"/>
        </w:rPr>
        <w:t xml:space="preserve">. </w:t>
      </w:r>
      <w:r w:rsidRPr="00225BAE">
        <w:rPr>
          <w:rStyle w:val="articletitle"/>
          <w:szCs w:val="18"/>
        </w:rPr>
        <w:t xml:space="preserve">Eosinophilic granulomatosis with </w:t>
      </w:r>
      <w:proofErr w:type="spellStart"/>
      <w:r w:rsidRPr="00225BAE">
        <w:rPr>
          <w:rStyle w:val="articletitle"/>
          <w:szCs w:val="18"/>
        </w:rPr>
        <w:t>polyangiitis</w:t>
      </w:r>
      <w:proofErr w:type="spellEnd"/>
      <w:r w:rsidRPr="00225BAE">
        <w:rPr>
          <w:rStyle w:val="articletitle"/>
          <w:szCs w:val="18"/>
        </w:rPr>
        <w:t xml:space="preserve"> (</w:t>
      </w:r>
      <w:proofErr w:type="spellStart"/>
      <w:r w:rsidRPr="00225BAE">
        <w:rPr>
          <w:rStyle w:val="articletitle"/>
          <w:szCs w:val="18"/>
        </w:rPr>
        <w:t>Churg</w:t>
      </w:r>
      <w:proofErr w:type="spellEnd"/>
      <w:r w:rsidRPr="00225BAE">
        <w:rPr>
          <w:rStyle w:val="articletitle"/>
          <w:szCs w:val="18"/>
        </w:rPr>
        <w:t>–Strauss): state of the art</w:t>
      </w:r>
      <w:r w:rsidRPr="00225BAE">
        <w:rPr>
          <w:szCs w:val="18"/>
        </w:rPr>
        <w:t xml:space="preserve">. </w:t>
      </w:r>
      <w:r w:rsidRPr="00225BAE">
        <w:rPr>
          <w:i/>
          <w:iCs/>
          <w:szCs w:val="18"/>
        </w:rPr>
        <w:t>Allergy</w:t>
      </w:r>
      <w:r>
        <w:rPr>
          <w:szCs w:val="18"/>
        </w:rPr>
        <w:t xml:space="preserve">, </w:t>
      </w:r>
      <w:r w:rsidRPr="00225BAE">
        <w:rPr>
          <w:rStyle w:val="pubyear"/>
          <w:szCs w:val="18"/>
        </w:rPr>
        <w:t>2013</w:t>
      </w:r>
      <w:r w:rsidRPr="00225BAE">
        <w:rPr>
          <w:szCs w:val="18"/>
        </w:rPr>
        <w:t xml:space="preserve">; </w:t>
      </w:r>
      <w:r w:rsidRPr="00225BAE">
        <w:rPr>
          <w:rStyle w:val="vol"/>
          <w:szCs w:val="18"/>
        </w:rPr>
        <w:t>68</w:t>
      </w:r>
      <w:r w:rsidRPr="00225BAE">
        <w:rPr>
          <w:szCs w:val="18"/>
        </w:rPr>
        <w:t>: 261–27</w:t>
      </w:r>
      <w:r>
        <w:rPr>
          <w:szCs w:val="18"/>
        </w:rPr>
        <w:t>3.</w:t>
      </w:r>
    </w:p>
  </w:footnote>
  <w:footnote w:id="50">
    <w:p w14:paraId="6743D858" w14:textId="77777777" w:rsidR="004101C8" w:rsidRPr="00AA026D" w:rsidRDefault="004101C8" w:rsidP="00AA026D">
      <w:pPr>
        <w:pStyle w:val="FootnoteText"/>
      </w:pPr>
      <w:r w:rsidRPr="00AA026D">
        <w:rPr>
          <w:rStyle w:val="FootnoteReference"/>
        </w:rPr>
        <w:footnoteRef/>
      </w:r>
      <w:r w:rsidRPr="00AA026D">
        <w:rPr>
          <w:rStyle w:val="FootnoteReference"/>
        </w:rPr>
        <w:t xml:space="preserve"> </w:t>
      </w:r>
      <w:r w:rsidRPr="00AA026D">
        <w:t xml:space="preserve">SEER Cancer Statistics Review 1975-2014, browse for Table 19.26 All Lymphoid Neoplasms With Detailed Non-Hodgkin Lymphoma Subtypes. Accessed Jan 2018 at </w:t>
      </w:r>
      <w:r w:rsidRPr="00AA026D">
        <w:rPr>
          <w:rStyle w:val="Hyperlink"/>
          <w:color w:val="auto"/>
          <w:u w:val="none"/>
        </w:rPr>
        <w:t>https://seer.cancer.gov/csr/1975_2014/</w:t>
      </w:r>
    </w:p>
  </w:footnote>
  <w:footnote w:id="51">
    <w:p w14:paraId="30CFA51A" w14:textId="77777777" w:rsidR="004101C8" w:rsidRDefault="004101C8">
      <w:pPr>
        <w:pStyle w:val="FootnoteText"/>
      </w:pPr>
      <w:r>
        <w:rPr>
          <w:rStyle w:val="FootnoteReference"/>
        </w:rPr>
        <w:footnoteRef/>
      </w:r>
      <w:r>
        <w:t xml:space="preserve"> ANSM = </w:t>
      </w:r>
      <w:proofErr w:type="spellStart"/>
      <w:r w:rsidRPr="00AA026D">
        <w:rPr>
          <w:rFonts w:eastAsia="TimesNewRoman" w:cs="TimesNewRoman"/>
        </w:rPr>
        <w:t>Agence</w:t>
      </w:r>
      <w:proofErr w:type="spellEnd"/>
      <w:r w:rsidRPr="00AA026D">
        <w:rPr>
          <w:rFonts w:eastAsia="TimesNewRoman" w:cs="TimesNewRoman"/>
        </w:rPr>
        <w:t xml:space="preserve"> </w:t>
      </w:r>
      <w:proofErr w:type="spellStart"/>
      <w:r w:rsidRPr="00AA026D">
        <w:rPr>
          <w:rFonts w:eastAsia="TimesNewRoman" w:cs="TimesNewRoman"/>
        </w:rPr>
        <w:t>Nationale</w:t>
      </w:r>
      <w:proofErr w:type="spellEnd"/>
      <w:r w:rsidRPr="00AA026D">
        <w:rPr>
          <w:rFonts w:eastAsia="TimesNewRoman" w:cs="TimesNewRoman"/>
        </w:rPr>
        <w:t xml:space="preserve"> de </w:t>
      </w:r>
      <w:proofErr w:type="spellStart"/>
      <w:r w:rsidRPr="00AA026D">
        <w:rPr>
          <w:rFonts w:eastAsia="TimesNewRoman" w:cs="TimesNewRoman"/>
        </w:rPr>
        <w:t>Sécurité</w:t>
      </w:r>
      <w:proofErr w:type="spellEnd"/>
      <w:r w:rsidRPr="00AA026D">
        <w:rPr>
          <w:rFonts w:eastAsia="TimesNewRoman" w:cs="TimesNewRoman"/>
        </w:rPr>
        <w:t xml:space="preserve"> du </w:t>
      </w:r>
      <w:proofErr w:type="spellStart"/>
      <w:r w:rsidRPr="00AA026D">
        <w:rPr>
          <w:rFonts w:eastAsia="TimesNewRoman" w:cs="TimesNewRoman"/>
        </w:rPr>
        <w:t>Médicament</w:t>
      </w:r>
      <w:proofErr w:type="spellEnd"/>
      <w:r w:rsidRPr="00AA026D">
        <w:rPr>
          <w:rFonts w:eastAsia="TimesNewRoman" w:cs="TimesNewRoman"/>
        </w:rPr>
        <w:t xml:space="preserve"> et des </w:t>
      </w:r>
      <w:proofErr w:type="spellStart"/>
      <w:r w:rsidRPr="00AA026D">
        <w:rPr>
          <w:rFonts w:eastAsia="TimesNewRoman" w:cs="TimesNewRoman"/>
        </w:rPr>
        <w:t>Produits</w:t>
      </w:r>
      <w:proofErr w:type="spellEnd"/>
      <w:r w:rsidRPr="00AA026D">
        <w:rPr>
          <w:rFonts w:eastAsia="TimesNewRoman" w:cs="TimesNewRoman"/>
        </w:rPr>
        <w:t xml:space="preserve"> de Santé</w:t>
      </w:r>
    </w:p>
  </w:footnote>
  <w:footnote w:id="52">
    <w:p w14:paraId="28FD96F6" w14:textId="77777777" w:rsidR="004101C8" w:rsidRDefault="004101C8" w:rsidP="00015382">
      <w:pPr>
        <w:pStyle w:val="FootnoteText"/>
      </w:pPr>
      <w:r>
        <w:rPr>
          <w:rStyle w:val="FootnoteReference"/>
        </w:rPr>
        <w:footnoteRef/>
      </w:r>
      <w:r>
        <w:t xml:space="preserve"> </w:t>
      </w:r>
      <w:proofErr w:type="spellStart"/>
      <w:r>
        <w:t>Khoury</w:t>
      </w:r>
      <w:proofErr w:type="spellEnd"/>
      <w:r>
        <w:t xml:space="preserve">, P. (2017). Mini-Review: Lymphocytic variant HES, </w:t>
      </w:r>
      <w:r w:rsidRPr="00AA026D">
        <w:rPr>
          <w:i/>
        </w:rPr>
        <w:t xml:space="preserve">The </w:t>
      </w:r>
      <w:proofErr w:type="spellStart"/>
      <w:r w:rsidRPr="00AA026D">
        <w:rPr>
          <w:i/>
        </w:rPr>
        <w:t>Hematologist</w:t>
      </w:r>
      <w:proofErr w:type="spellEnd"/>
      <w:r>
        <w:t>, 2017; 14.</w:t>
      </w:r>
    </w:p>
  </w:footnote>
  <w:footnote w:id="53">
    <w:p w14:paraId="36755FF7" w14:textId="7106198C" w:rsidR="004101C8" w:rsidRPr="00FE176F" w:rsidRDefault="004101C8">
      <w:pPr>
        <w:pStyle w:val="FootnoteText"/>
        <w:rPr>
          <w:lang w:val="en-GB"/>
        </w:rPr>
      </w:pPr>
      <w:r>
        <w:rPr>
          <w:rStyle w:val="FootnoteReference"/>
        </w:rPr>
        <w:footnoteRef/>
      </w:r>
      <w:r>
        <w:t xml:space="preserve"> BVAS is</w:t>
      </w:r>
      <w:r w:rsidRPr="000E2A2B">
        <w:t xml:space="preserve"> a measure of EGPA activity and 0 indicates no disease activity.</w:t>
      </w:r>
    </w:p>
  </w:footnote>
  <w:footnote w:id="54">
    <w:p w14:paraId="23951DE8" w14:textId="77777777" w:rsidR="004101C8" w:rsidRDefault="004101C8"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2AA90C26" w14:textId="77777777" w:rsidR="004101C8" w:rsidRPr="00456765" w:rsidRDefault="004101C8"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77C14" w14:textId="77777777" w:rsidR="004101C8" w:rsidRDefault="004101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64306" w14:textId="77777777" w:rsidR="004101C8" w:rsidRDefault="004101C8"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C0C5E" w14:textId="77777777" w:rsidR="004101C8" w:rsidRDefault="004101C8">
    <w:pPr>
      <w:rPr>
        <w:noProof/>
        <w:lang w:eastAsia="en-AU"/>
      </w:rPr>
    </w:pPr>
    <w:r w:rsidRPr="00347824">
      <w:rPr>
        <w:noProof/>
        <w:lang w:eastAsia="en-AU"/>
      </w:rPr>
      <w:drawing>
        <wp:anchor distT="0" distB="0" distL="114300" distR="114300" simplePos="0" relativeHeight="251658240" behindDoc="1" locked="0" layoutInCell="1" allowOverlap="1" wp14:anchorId="612916F0" wp14:editId="0061D83F">
          <wp:simplePos x="0" y="0"/>
          <wp:positionH relativeFrom="column">
            <wp:posOffset>-1089660</wp:posOffset>
          </wp:positionH>
          <wp:positionV relativeFrom="paragraph">
            <wp:posOffset>-585470</wp:posOffset>
          </wp:positionV>
          <wp:extent cx="7572375" cy="10706100"/>
          <wp:effectExtent l="19050" t="0" r="0" b="0"/>
          <wp:wrapNone/>
          <wp:docPr id="2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1F33058" w14:textId="77777777" w:rsidR="004101C8" w:rsidRDefault="004101C8" w:rsidP="00593AD1">
    <w:pPr>
      <w:pStyle w:val="HeaderNoLine"/>
    </w:pPr>
    <w:r>
      <w:rPr>
        <w:noProof/>
        <w:lang w:eastAsia="en-AU"/>
      </w:rPr>
      <w:drawing>
        <wp:inline distT="0" distB="0" distL="0" distR="0" wp14:anchorId="44B1A14F" wp14:editId="6D8624EC">
          <wp:extent cx="5400675" cy="7639050"/>
          <wp:effectExtent l="0" t="0" r="9525" b="0"/>
          <wp:docPr id="25" name="Picture 25"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95DDE" w14:textId="77777777" w:rsidR="004101C8" w:rsidRDefault="004101C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42C63" w14:textId="77777777" w:rsidR="004101C8" w:rsidRDefault="004101C8">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F3935" w14:textId="77777777" w:rsidR="004101C8" w:rsidRDefault="004101C8">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4A09B" w14:textId="77777777" w:rsidR="004101C8" w:rsidRDefault="004101C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F5F33" w14:textId="77777777" w:rsidR="004101C8" w:rsidRDefault="004101C8"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6DE33" w14:textId="77777777" w:rsidR="004101C8" w:rsidRDefault="004101C8" w:rsidP="006E08B3">
    <w:r>
      <w:t>Therapeutic Goods Administration</w:t>
    </w:r>
  </w:p>
  <w:p w14:paraId="63D709D7" w14:textId="77777777" w:rsidR="004101C8" w:rsidRDefault="004101C8"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B3DFA"/>
    <w:multiLevelType w:val="hybridMultilevel"/>
    <w:tmpl w:val="AACE3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FE0127"/>
    <w:multiLevelType w:val="hybridMultilevel"/>
    <w:tmpl w:val="8B56E8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579651F"/>
    <w:multiLevelType w:val="hybridMultilevel"/>
    <w:tmpl w:val="39E2120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21D2E240">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8F13E9"/>
    <w:multiLevelType w:val="multilevel"/>
    <w:tmpl w:val="B7302404"/>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B0846BC"/>
    <w:multiLevelType w:val="hybridMultilevel"/>
    <w:tmpl w:val="AD2E51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277E9E"/>
    <w:multiLevelType w:val="hybridMultilevel"/>
    <w:tmpl w:val="38744A24"/>
    <w:lvl w:ilvl="0" w:tplc="95C66CC4">
      <w:numFmt w:val="bullet"/>
      <w:lvlText w:val="-"/>
      <w:lvlJc w:val="left"/>
      <w:pPr>
        <w:ind w:left="720" w:hanging="360"/>
      </w:pPr>
      <w:rPr>
        <w:rFonts w:ascii="Cambria" w:eastAsia="MS Mincho" w:hAnsi="Cambria" w:cs="Times New Roman" w:hint="default"/>
        <w:sz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653F29"/>
    <w:multiLevelType w:val="hybridMultilevel"/>
    <w:tmpl w:val="A29E0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E046EC"/>
    <w:multiLevelType w:val="hybridMultilevel"/>
    <w:tmpl w:val="528882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9F4A09"/>
    <w:multiLevelType w:val="hybridMultilevel"/>
    <w:tmpl w:val="1362F7D8"/>
    <w:lvl w:ilvl="0" w:tplc="EBEC6F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440E00DF"/>
    <w:multiLevelType w:val="hybridMultilevel"/>
    <w:tmpl w:val="3D707E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61B2E84"/>
    <w:multiLevelType w:val="hybridMultilevel"/>
    <w:tmpl w:val="943E7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9B15D7"/>
    <w:multiLevelType w:val="hybridMultilevel"/>
    <w:tmpl w:val="C1626062"/>
    <w:lvl w:ilvl="0" w:tplc="04CEB5FC">
      <w:start w:val="1"/>
      <w:numFmt w:val="bullet"/>
      <w:pStyle w:val="Bulletpoint"/>
      <w:lvlText w:val=""/>
      <w:lvlJc w:val="left"/>
      <w:pPr>
        <w:tabs>
          <w:tab w:val="num" w:pos="1041"/>
        </w:tabs>
        <w:ind w:left="1041" w:hanging="227"/>
      </w:pPr>
      <w:rPr>
        <w:rFonts w:ascii="Symbol" w:hAnsi="Symbol" w:hint="default"/>
        <w:position w:val="0"/>
        <w:sz w:val="22"/>
        <w:szCs w:val="22"/>
      </w:rPr>
    </w:lvl>
    <w:lvl w:ilvl="1" w:tplc="0C090003">
      <w:start w:val="1"/>
      <w:numFmt w:val="bullet"/>
      <w:lvlText w:val="o"/>
      <w:lvlJc w:val="left"/>
      <w:pPr>
        <w:tabs>
          <w:tab w:val="num" w:pos="2112"/>
        </w:tabs>
        <w:ind w:left="2112" w:hanging="360"/>
      </w:pPr>
      <w:rPr>
        <w:rFonts w:ascii="Courier New" w:hAnsi="Courier New" w:cs="Symbol" w:hint="default"/>
      </w:rPr>
    </w:lvl>
    <w:lvl w:ilvl="2" w:tplc="0C090005" w:tentative="1">
      <w:start w:val="1"/>
      <w:numFmt w:val="bullet"/>
      <w:lvlText w:val=""/>
      <w:lvlJc w:val="left"/>
      <w:pPr>
        <w:tabs>
          <w:tab w:val="num" w:pos="2832"/>
        </w:tabs>
        <w:ind w:left="2832" w:hanging="360"/>
      </w:pPr>
      <w:rPr>
        <w:rFonts w:ascii="Wingdings" w:hAnsi="Wingdings" w:hint="default"/>
      </w:rPr>
    </w:lvl>
    <w:lvl w:ilvl="3" w:tplc="0C090001" w:tentative="1">
      <w:start w:val="1"/>
      <w:numFmt w:val="bullet"/>
      <w:lvlText w:val=""/>
      <w:lvlJc w:val="left"/>
      <w:pPr>
        <w:tabs>
          <w:tab w:val="num" w:pos="3552"/>
        </w:tabs>
        <w:ind w:left="3552" w:hanging="360"/>
      </w:pPr>
      <w:rPr>
        <w:rFonts w:ascii="Symbol" w:hAnsi="Symbol" w:hint="default"/>
      </w:rPr>
    </w:lvl>
    <w:lvl w:ilvl="4" w:tplc="0C090003" w:tentative="1">
      <w:start w:val="1"/>
      <w:numFmt w:val="bullet"/>
      <w:lvlText w:val="o"/>
      <w:lvlJc w:val="left"/>
      <w:pPr>
        <w:tabs>
          <w:tab w:val="num" w:pos="4272"/>
        </w:tabs>
        <w:ind w:left="4272" w:hanging="360"/>
      </w:pPr>
      <w:rPr>
        <w:rFonts w:ascii="Courier New" w:hAnsi="Courier New" w:cs="Symbol" w:hint="default"/>
      </w:rPr>
    </w:lvl>
    <w:lvl w:ilvl="5" w:tplc="0C090005" w:tentative="1">
      <w:start w:val="1"/>
      <w:numFmt w:val="bullet"/>
      <w:lvlText w:val=""/>
      <w:lvlJc w:val="left"/>
      <w:pPr>
        <w:tabs>
          <w:tab w:val="num" w:pos="4992"/>
        </w:tabs>
        <w:ind w:left="4992" w:hanging="360"/>
      </w:pPr>
      <w:rPr>
        <w:rFonts w:ascii="Wingdings" w:hAnsi="Wingdings" w:hint="default"/>
      </w:rPr>
    </w:lvl>
    <w:lvl w:ilvl="6" w:tplc="0C090001" w:tentative="1">
      <w:start w:val="1"/>
      <w:numFmt w:val="bullet"/>
      <w:lvlText w:val=""/>
      <w:lvlJc w:val="left"/>
      <w:pPr>
        <w:tabs>
          <w:tab w:val="num" w:pos="5712"/>
        </w:tabs>
        <w:ind w:left="5712" w:hanging="360"/>
      </w:pPr>
      <w:rPr>
        <w:rFonts w:ascii="Symbol" w:hAnsi="Symbol" w:hint="default"/>
      </w:rPr>
    </w:lvl>
    <w:lvl w:ilvl="7" w:tplc="0C090003" w:tentative="1">
      <w:start w:val="1"/>
      <w:numFmt w:val="bullet"/>
      <w:lvlText w:val="o"/>
      <w:lvlJc w:val="left"/>
      <w:pPr>
        <w:tabs>
          <w:tab w:val="num" w:pos="6432"/>
        </w:tabs>
        <w:ind w:left="6432" w:hanging="360"/>
      </w:pPr>
      <w:rPr>
        <w:rFonts w:ascii="Courier New" w:hAnsi="Courier New" w:cs="Symbol" w:hint="default"/>
      </w:rPr>
    </w:lvl>
    <w:lvl w:ilvl="8" w:tplc="0C090005" w:tentative="1">
      <w:start w:val="1"/>
      <w:numFmt w:val="bullet"/>
      <w:lvlText w:val=""/>
      <w:lvlJc w:val="left"/>
      <w:pPr>
        <w:tabs>
          <w:tab w:val="num" w:pos="7152"/>
        </w:tabs>
        <w:ind w:left="7152" w:hanging="360"/>
      </w:pPr>
      <w:rPr>
        <w:rFonts w:ascii="Wingdings" w:hAnsi="Wingdings" w:hint="default"/>
      </w:rPr>
    </w:lvl>
  </w:abstractNum>
  <w:abstractNum w:abstractNumId="14" w15:restartNumberingAfterBreak="0">
    <w:nsid w:val="490626AD"/>
    <w:multiLevelType w:val="hybridMultilevel"/>
    <w:tmpl w:val="D312D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3D678B"/>
    <w:multiLevelType w:val="hybridMultilevel"/>
    <w:tmpl w:val="F92EE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F8226F"/>
    <w:multiLevelType w:val="hybridMultilevel"/>
    <w:tmpl w:val="7FBE1A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85782B"/>
    <w:multiLevelType w:val="hybridMultilevel"/>
    <w:tmpl w:val="F61C2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DE5795"/>
    <w:multiLevelType w:val="hybridMultilevel"/>
    <w:tmpl w:val="9B48A5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6C4F60"/>
    <w:multiLevelType w:val="hybridMultilevel"/>
    <w:tmpl w:val="FDF8A398"/>
    <w:lvl w:ilvl="0" w:tplc="9B80E94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2F5689"/>
    <w:multiLevelType w:val="hybridMultilevel"/>
    <w:tmpl w:val="56960D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AC3FF8"/>
    <w:multiLevelType w:val="hybridMultilevel"/>
    <w:tmpl w:val="F1EC988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DF57EEE"/>
    <w:multiLevelType w:val="hybridMultilevel"/>
    <w:tmpl w:val="92CC3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4"/>
  </w:num>
  <w:num w:numId="4">
    <w:abstractNumId w:val="2"/>
  </w:num>
  <w:num w:numId="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3"/>
  </w:num>
  <w:num w:numId="7">
    <w:abstractNumId w:val="11"/>
  </w:num>
  <w:num w:numId="8">
    <w:abstractNumId w:val="23"/>
  </w:num>
  <w:num w:numId="9">
    <w:abstractNumId w:val="21"/>
  </w:num>
  <w:num w:numId="10">
    <w:abstractNumId w:val="8"/>
  </w:num>
  <w:num w:numId="11">
    <w:abstractNumId w:val="1"/>
  </w:num>
  <w:num w:numId="12">
    <w:abstractNumId w:val="16"/>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0"/>
  </w:num>
  <w:num w:numId="16">
    <w:abstractNumId w:val="3"/>
  </w:num>
  <w:num w:numId="17">
    <w:abstractNumId w:val="7"/>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2"/>
  </w:num>
  <w:num w:numId="21">
    <w:abstractNumId w:val="19"/>
  </w:num>
  <w:num w:numId="22">
    <w:abstractNumId w:val="6"/>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20"/>
  </w:num>
  <w:num w:numId="27">
    <w:abstractNumId w:val="12"/>
  </w:num>
  <w:num w:numId="28">
    <w:abstractNumId w:val="14"/>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049"/>
    <w:rsid w:val="00001050"/>
    <w:rsid w:val="00002031"/>
    <w:rsid w:val="00004734"/>
    <w:rsid w:val="00006B22"/>
    <w:rsid w:val="00011091"/>
    <w:rsid w:val="000119B7"/>
    <w:rsid w:val="0001276A"/>
    <w:rsid w:val="00015382"/>
    <w:rsid w:val="00021D4A"/>
    <w:rsid w:val="000246AE"/>
    <w:rsid w:val="00025C67"/>
    <w:rsid w:val="00026317"/>
    <w:rsid w:val="000432C5"/>
    <w:rsid w:val="00044772"/>
    <w:rsid w:val="0004541C"/>
    <w:rsid w:val="00052152"/>
    <w:rsid w:val="00054729"/>
    <w:rsid w:val="0005559E"/>
    <w:rsid w:val="000604D6"/>
    <w:rsid w:val="000626F6"/>
    <w:rsid w:val="0006691A"/>
    <w:rsid w:val="000669F8"/>
    <w:rsid w:val="0007214B"/>
    <w:rsid w:val="000734D8"/>
    <w:rsid w:val="00077775"/>
    <w:rsid w:val="00077958"/>
    <w:rsid w:val="0008700A"/>
    <w:rsid w:val="00090471"/>
    <w:rsid w:val="00092A22"/>
    <w:rsid w:val="00096AA7"/>
    <w:rsid w:val="000A3AED"/>
    <w:rsid w:val="000A647E"/>
    <w:rsid w:val="000B3532"/>
    <w:rsid w:val="000B3A75"/>
    <w:rsid w:val="000B4DF9"/>
    <w:rsid w:val="000B739D"/>
    <w:rsid w:val="000C00C2"/>
    <w:rsid w:val="000C068C"/>
    <w:rsid w:val="000C690F"/>
    <w:rsid w:val="000D00B9"/>
    <w:rsid w:val="000D0557"/>
    <w:rsid w:val="000D1295"/>
    <w:rsid w:val="000D391B"/>
    <w:rsid w:val="000D394A"/>
    <w:rsid w:val="000D3D6D"/>
    <w:rsid w:val="000D4FC7"/>
    <w:rsid w:val="000E2A2B"/>
    <w:rsid w:val="000E6196"/>
    <w:rsid w:val="000F4869"/>
    <w:rsid w:val="000F5B42"/>
    <w:rsid w:val="000F6E6F"/>
    <w:rsid w:val="00105503"/>
    <w:rsid w:val="0010601F"/>
    <w:rsid w:val="0010624A"/>
    <w:rsid w:val="0010788A"/>
    <w:rsid w:val="00107A31"/>
    <w:rsid w:val="00110EA5"/>
    <w:rsid w:val="00112F56"/>
    <w:rsid w:val="0011613A"/>
    <w:rsid w:val="00116BEB"/>
    <w:rsid w:val="0012138F"/>
    <w:rsid w:val="00124ACD"/>
    <w:rsid w:val="00125318"/>
    <w:rsid w:val="00126A5E"/>
    <w:rsid w:val="001305A2"/>
    <w:rsid w:val="0013292F"/>
    <w:rsid w:val="00133238"/>
    <w:rsid w:val="00133A1B"/>
    <w:rsid w:val="00135415"/>
    <w:rsid w:val="0014197B"/>
    <w:rsid w:val="001447CD"/>
    <w:rsid w:val="001516B1"/>
    <w:rsid w:val="001547A0"/>
    <w:rsid w:val="00154EBB"/>
    <w:rsid w:val="00156316"/>
    <w:rsid w:val="0015647D"/>
    <w:rsid w:val="001604BA"/>
    <w:rsid w:val="00161181"/>
    <w:rsid w:val="00162D14"/>
    <w:rsid w:val="00163780"/>
    <w:rsid w:val="00165389"/>
    <w:rsid w:val="0017693F"/>
    <w:rsid w:val="0018110E"/>
    <w:rsid w:val="00181684"/>
    <w:rsid w:val="001843C6"/>
    <w:rsid w:val="00184739"/>
    <w:rsid w:val="001850E0"/>
    <w:rsid w:val="00190952"/>
    <w:rsid w:val="001A03AF"/>
    <w:rsid w:val="001A2158"/>
    <w:rsid w:val="001A525F"/>
    <w:rsid w:val="001B09F9"/>
    <w:rsid w:val="001B4E8B"/>
    <w:rsid w:val="001B5C90"/>
    <w:rsid w:val="001B6448"/>
    <w:rsid w:val="001C32CD"/>
    <w:rsid w:val="001D2984"/>
    <w:rsid w:val="001E07CF"/>
    <w:rsid w:val="001E59F1"/>
    <w:rsid w:val="001F2CEE"/>
    <w:rsid w:val="001F49EB"/>
    <w:rsid w:val="001F6CBA"/>
    <w:rsid w:val="002005CD"/>
    <w:rsid w:val="00201D4E"/>
    <w:rsid w:val="00203270"/>
    <w:rsid w:val="002076C9"/>
    <w:rsid w:val="00220B8A"/>
    <w:rsid w:val="002257F3"/>
    <w:rsid w:val="00232508"/>
    <w:rsid w:val="00233456"/>
    <w:rsid w:val="002339A5"/>
    <w:rsid w:val="00233A22"/>
    <w:rsid w:val="002352B4"/>
    <w:rsid w:val="0024077F"/>
    <w:rsid w:val="00245E7E"/>
    <w:rsid w:val="00251E01"/>
    <w:rsid w:val="0025461C"/>
    <w:rsid w:val="00257848"/>
    <w:rsid w:val="00260E16"/>
    <w:rsid w:val="0027084A"/>
    <w:rsid w:val="00280265"/>
    <w:rsid w:val="00286434"/>
    <w:rsid w:val="00286C59"/>
    <w:rsid w:val="00287ABC"/>
    <w:rsid w:val="002904F2"/>
    <w:rsid w:val="00291957"/>
    <w:rsid w:val="00293070"/>
    <w:rsid w:val="002942D1"/>
    <w:rsid w:val="0029501A"/>
    <w:rsid w:val="002A0E61"/>
    <w:rsid w:val="002A3721"/>
    <w:rsid w:val="002A3AE2"/>
    <w:rsid w:val="002B1638"/>
    <w:rsid w:val="002B2435"/>
    <w:rsid w:val="002B3624"/>
    <w:rsid w:val="002B3D99"/>
    <w:rsid w:val="002C4984"/>
    <w:rsid w:val="002D0952"/>
    <w:rsid w:val="002E1651"/>
    <w:rsid w:val="002E1CAF"/>
    <w:rsid w:val="002E40B3"/>
    <w:rsid w:val="002E4BF6"/>
    <w:rsid w:val="002E4C9A"/>
    <w:rsid w:val="002F11F8"/>
    <w:rsid w:val="002F268D"/>
    <w:rsid w:val="002F3F56"/>
    <w:rsid w:val="002F44B5"/>
    <w:rsid w:val="002F5122"/>
    <w:rsid w:val="00311AC0"/>
    <w:rsid w:val="003176FC"/>
    <w:rsid w:val="0032583B"/>
    <w:rsid w:val="00326788"/>
    <w:rsid w:val="00327883"/>
    <w:rsid w:val="00330337"/>
    <w:rsid w:val="00335504"/>
    <w:rsid w:val="00340C18"/>
    <w:rsid w:val="003442FD"/>
    <w:rsid w:val="00347824"/>
    <w:rsid w:val="00350567"/>
    <w:rsid w:val="003521E8"/>
    <w:rsid w:val="003627CD"/>
    <w:rsid w:val="00362E89"/>
    <w:rsid w:val="00370CE3"/>
    <w:rsid w:val="00371594"/>
    <w:rsid w:val="003728F3"/>
    <w:rsid w:val="003735BC"/>
    <w:rsid w:val="0037496E"/>
    <w:rsid w:val="00374A2B"/>
    <w:rsid w:val="00376A8B"/>
    <w:rsid w:val="00383221"/>
    <w:rsid w:val="00386150"/>
    <w:rsid w:val="003874CE"/>
    <w:rsid w:val="00390900"/>
    <w:rsid w:val="003A4529"/>
    <w:rsid w:val="003A4599"/>
    <w:rsid w:val="003A7F6C"/>
    <w:rsid w:val="003B4D60"/>
    <w:rsid w:val="003B7E39"/>
    <w:rsid w:val="003C58DC"/>
    <w:rsid w:val="003D1E62"/>
    <w:rsid w:val="003D20A6"/>
    <w:rsid w:val="003E0B99"/>
    <w:rsid w:val="003E2486"/>
    <w:rsid w:val="003E3208"/>
    <w:rsid w:val="003E741D"/>
    <w:rsid w:val="003F0B04"/>
    <w:rsid w:val="0040134E"/>
    <w:rsid w:val="004101C8"/>
    <w:rsid w:val="0041629C"/>
    <w:rsid w:val="00421D8B"/>
    <w:rsid w:val="004334C7"/>
    <w:rsid w:val="00440A2D"/>
    <w:rsid w:val="00441C3F"/>
    <w:rsid w:val="004467B1"/>
    <w:rsid w:val="0045186A"/>
    <w:rsid w:val="004564A7"/>
    <w:rsid w:val="00456765"/>
    <w:rsid w:val="004617BF"/>
    <w:rsid w:val="00462BF5"/>
    <w:rsid w:val="00463658"/>
    <w:rsid w:val="004637A0"/>
    <w:rsid w:val="004722CC"/>
    <w:rsid w:val="004741CC"/>
    <w:rsid w:val="00491260"/>
    <w:rsid w:val="004936E4"/>
    <w:rsid w:val="00494E60"/>
    <w:rsid w:val="004956EA"/>
    <w:rsid w:val="00497487"/>
    <w:rsid w:val="004A2EC2"/>
    <w:rsid w:val="004A6189"/>
    <w:rsid w:val="004A7390"/>
    <w:rsid w:val="004B7B76"/>
    <w:rsid w:val="004C239D"/>
    <w:rsid w:val="004C2DCA"/>
    <w:rsid w:val="004C61D2"/>
    <w:rsid w:val="004D0059"/>
    <w:rsid w:val="004D6DFB"/>
    <w:rsid w:val="004E460E"/>
    <w:rsid w:val="004E6D17"/>
    <w:rsid w:val="004F0C4A"/>
    <w:rsid w:val="004F0F38"/>
    <w:rsid w:val="004F47D6"/>
    <w:rsid w:val="00500337"/>
    <w:rsid w:val="00501610"/>
    <w:rsid w:val="00501921"/>
    <w:rsid w:val="0051271B"/>
    <w:rsid w:val="005252BF"/>
    <w:rsid w:val="00527CFC"/>
    <w:rsid w:val="00530354"/>
    <w:rsid w:val="005344E4"/>
    <w:rsid w:val="005351FE"/>
    <w:rsid w:val="0053625B"/>
    <w:rsid w:val="005434C6"/>
    <w:rsid w:val="00543B39"/>
    <w:rsid w:val="00546154"/>
    <w:rsid w:val="00550096"/>
    <w:rsid w:val="00555280"/>
    <w:rsid w:val="00557FF9"/>
    <w:rsid w:val="00562327"/>
    <w:rsid w:val="00566A9D"/>
    <w:rsid w:val="005711D5"/>
    <w:rsid w:val="00571E52"/>
    <w:rsid w:val="005758C9"/>
    <w:rsid w:val="00576378"/>
    <w:rsid w:val="00577130"/>
    <w:rsid w:val="00577945"/>
    <w:rsid w:val="00577E38"/>
    <w:rsid w:val="00583879"/>
    <w:rsid w:val="00585180"/>
    <w:rsid w:val="00585322"/>
    <w:rsid w:val="005857C6"/>
    <w:rsid w:val="00592F6E"/>
    <w:rsid w:val="00593AD1"/>
    <w:rsid w:val="00595B30"/>
    <w:rsid w:val="005A0E6D"/>
    <w:rsid w:val="005A68B6"/>
    <w:rsid w:val="005C0DC9"/>
    <w:rsid w:val="005C30DA"/>
    <w:rsid w:val="005C5570"/>
    <w:rsid w:val="005C79A4"/>
    <w:rsid w:val="005C7A5F"/>
    <w:rsid w:val="005D5442"/>
    <w:rsid w:val="005D5781"/>
    <w:rsid w:val="005E04B6"/>
    <w:rsid w:val="005E60EB"/>
    <w:rsid w:val="00603F32"/>
    <w:rsid w:val="00605AD4"/>
    <w:rsid w:val="006136D7"/>
    <w:rsid w:val="0061627D"/>
    <w:rsid w:val="006206A3"/>
    <w:rsid w:val="00624472"/>
    <w:rsid w:val="0062511D"/>
    <w:rsid w:val="00625A6E"/>
    <w:rsid w:val="00625C41"/>
    <w:rsid w:val="00630847"/>
    <w:rsid w:val="00632398"/>
    <w:rsid w:val="00640FC3"/>
    <w:rsid w:val="00642020"/>
    <w:rsid w:val="0065337B"/>
    <w:rsid w:val="00653385"/>
    <w:rsid w:val="0065419D"/>
    <w:rsid w:val="006603BC"/>
    <w:rsid w:val="006604D8"/>
    <w:rsid w:val="00664A5B"/>
    <w:rsid w:val="0066735C"/>
    <w:rsid w:val="00670377"/>
    <w:rsid w:val="006763D2"/>
    <w:rsid w:val="0067675C"/>
    <w:rsid w:val="00676B0E"/>
    <w:rsid w:val="00680C08"/>
    <w:rsid w:val="00681B98"/>
    <w:rsid w:val="00681F6C"/>
    <w:rsid w:val="006844DE"/>
    <w:rsid w:val="006850B7"/>
    <w:rsid w:val="006879B1"/>
    <w:rsid w:val="00687AEC"/>
    <w:rsid w:val="006916A0"/>
    <w:rsid w:val="00691D02"/>
    <w:rsid w:val="00691F36"/>
    <w:rsid w:val="006931B1"/>
    <w:rsid w:val="006A15C0"/>
    <w:rsid w:val="006A5639"/>
    <w:rsid w:val="006A58A8"/>
    <w:rsid w:val="006B4682"/>
    <w:rsid w:val="006C3E2A"/>
    <w:rsid w:val="006C43D4"/>
    <w:rsid w:val="006C642F"/>
    <w:rsid w:val="006D03E5"/>
    <w:rsid w:val="006D5D3E"/>
    <w:rsid w:val="006E08B3"/>
    <w:rsid w:val="006F17AC"/>
    <w:rsid w:val="006F25B8"/>
    <w:rsid w:val="006F2CFF"/>
    <w:rsid w:val="006F572E"/>
    <w:rsid w:val="007046D6"/>
    <w:rsid w:val="00705DB0"/>
    <w:rsid w:val="00707CC4"/>
    <w:rsid w:val="00715059"/>
    <w:rsid w:val="00717B06"/>
    <w:rsid w:val="00717E67"/>
    <w:rsid w:val="00722B57"/>
    <w:rsid w:val="00724C2A"/>
    <w:rsid w:val="00727D33"/>
    <w:rsid w:val="00730F8A"/>
    <w:rsid w:val="007331F3"/>
    <w:rsid w:val="007340AC"/>
    <w:rsid w:val="00735A8C"/>
    <w:rsid w:val="00737255"/>
    <w:rsid w:val="0074253D"/>
    <w:rsid w:val="0074429B"/>
    <w:rsid w:val="0074535C"/>
    <w:rsid w:val="00745D5B"/>
    <w:rsid w:val="00756A66"/>
    <w:rsid w:val="007615BC"/>
    <w:rsid w:val="00762F05"/>
    <w:rsid w:val="007652FF"/>
    <w:rsid w:val="00770CAC"/>
    <w:rsid w:val="00770EF1"/>
    <w:rsid w:val="00772F3A"/>
    <w:rsid w:val="00773EF7"/>
    <w:rsid w:val="00774624"/>
    <w:rsid w:val="00774E1D"/>
    <w:rsid w:val="00775D7E"/>
    <w:rsid w:val="007765D8"/>
    <w:rsid w:val="0077675A"/>
    <w:rsid w:val="00780355"/>
    <w:rsid w:val="007819FD"/>
    <w:rsid w:val="00785717"/>
    <w:rsid w:val="00785721"/>
    <w:rsid w:val="00793A59"/>
    <w:rsid w:val="00796840"/>
    <w:rsid w:val="007A46F5"/>
    <w:rsid w:val="007A6505"/>
    <w:rsid w:val="007B19BE"/>
    <w:rsid w:val="007B4049"/>
    <w:rsid w:val="007B6132"/>
    <w:rsid w:val="007B6E9F"/>
    <w:rsid w:val="007C1216"/>
    <w:rsid w:val="007C1AF7"/>
    <w:rsid w:val="007C49E8"/>
    <w:rsid w:val="007C6397"/>
    <w:rsid w:val="007C6B9B"/>
    <w:rsid w:val="007C738F"/>
    <w:rsid w:val="007E055F"/>
    <w:rsid w:val="008023AC"/>
    <w:rsid w:val="00803C74"/>
    <w:rsid w:val="00805D27"/>
    <w:rsid w:val="00806DCB"/>
    <w:rsid w:val="00821776"/>
    <w:rsid w:val="008301EA"/>
    <w:rsid w:val="008318B3"/>
    <w:rsid w:val="008321F5"/>
    <w:rsid w:val="00832369"/>
    <w:rsid w:val="00833567"/>
    <w:rsid w:val="00834660"/>
    <w:rsid w:val="00836BC2"/>
    <w:rsid w:val="0085156D"/>
    <w:rsid w:val="0085159D"/>
    <w:rsid w:val="00852B28"/>
    <w:rsid w:val="00853171"/>
    <w:rsid w:val="0085641B"/>
    <w:rsid w:val="00857136"/>
    <w:rsid w:val="00875A6B"/>
    <w:rsid w:val="00881E4F"/>
    <w:rsid w:val="00885B11"/>
    <w:rsid w:val="00886D15"/>
    <w:rsid w:val="00887DD8"/>
    <w:rsid w:val="00891BA9"/>
    <w:rsid w:val="00894519"/>
    <w:rsid w:val="00896018"/>
    <w:rsid w:val="008960DD"/>
    <w:rsid w:val="0089635C"/>
    <w:rsid w:val="008A2B9D"/>
    <w:rsid w:val="008A3D9F"/>
    <w:rsid w:val="008A5E0B"/>
    <w:rsid w:val="008A6D59"/>
    <w:rsid w:val="008B4B03"/>
    <w:rsid w:val="008B596B"/>
    <w:rsid w:val="008B596F"/>
    <w:rsid w:val="008B7469"/>
    <w:rsid w:val="008C159F"/>
    <w:rsid w:val="008C1623"/>
    <w:rsid w:val="008C1850"/>
    <w:rsid w:val="008C51A9"/>
    <w:rsid w:val="008C5920"/>
    <w:rsid w:val="008D17E7"/>
    <w:rsid w:val="008D6CF4"/>
    <w:rsid w:val="008E7846"/>
    <w:rsid w:val="008F02E5"/>
    <w:rsid w:val="008F1CCC"/>
    <w:rsid w:val="008F2967"/>
    <w:rsid w:val="008F6943"/>
    <w:rsid w:val="00902A21"/>
    <w:rsid w:val="00902D69"/>
    <w:rsid w:val="0091523F"/>
    <w:rsid w:val="00920330"/>
    <w:rsid w:val="00921024"/>
    <w:rsid w:val="009219D7"/>
    <w:rsid w:val="00922D53"/>
    <w:rsid w:val="00923B70"/>
    <w:rsid w:val="00924482"/>
    <w:rsid w:val="00930237"/>
    <w:rsid w:val="0093067E"/>
    <w:rsid w:val="00937C17"/>
    <w:rsid w:val="00940A89"/>
    <w:rsid w:val="00941F77"/>
    <w:rsid w:val="00946EA5"/>
    <w:rsid w:val="00954304"/>
    <w:rsid w:val="00956E9F"/>
    <w:rsid w:val="00961BD1"/>
    <w:rsid w:val="00963C08"/>
    <w:rsid w:val="00966718"/>
    <w:rsid w:val="009752A5"/>
    <w:rsid w:val="00982FEF"/>
    <w:rsid w:val="0098585A"/>
    <w:rsid w:val="009943FE"/>
    <w:rsid w:val="009A4CED"/>
    <w:rsid w:val="009A690D"/>
    <w:rsid w:val="009B1D12"/>
    <w:rsid w:val="009B2F11"/>
    <w:rsid w:val="009B416B"/>
    <w:rsid w:val="009B6D3F"/>
    <w:rsid w:val="009C4BD5"/>
    <w:rsid w:val="009D1CAA"/>
    <w:rsid w:val="009D7B77"/>
    <w:rsid w:val="009E0BB0"/>
    <w:rsid w:val="009E3FBB"/>
    <w:rsid w:val="009F5623"/>
    <w:rsid w:val="009F7353"/>
    <w:rsid w:val="00A04F85"/>
    <w:rsid w:val="00A05FA4"/>
    <w:rsid w:val="00A102E4"/>
    <w:rsid w:val="00A12C42"/>
    <w:rsid w:val="00A14DF7"/>
    <w:rsid w:val="00A22D57"/>
    <w:rsid w:val="00A24C48"/>
    <w:rsid w:val="00A30BE2"/>
    <w:rsid w:val="00A3246D"/>
    <w:rsid w:val="00A36FA7"/>
    <w:rsid w:val="00A44DDB"/>
    <w:rsid w:val="00A475B7"/>
    <w:rsid w:val="00A47AF7"/>
    <w:rsid w:val="00A47C3E"/>
    <w:rsid w:val="00A50226"/>
    <w:rsid w:val="00A51C94"/>
    <w:rsid w:val="00A608DC"/>
    <w:rsid w:val="00A60BAD"/>
    <w:rsid w:val="00A74898"/>
    <w:rsid w:val="00A77F87"/>
    <w:rsid w:val="00A80B5B"/>
    <w:rsid w:val="00A8334D"/>
    <w:rsid w:val="00A84E36"/>
    <w:rsid w:val="00A91EEC"/>
    <w:rsid w:val="00A947B6"/>
    <w:rsid w:val="00A964D1"/>
    <w:rsid w:val="00AA026D"/>
    <w:rsid w:val="00AA0ED0"/>
    <w:rsid w:val="00AA67E4"/>
    <w:rsid w:val="00AC2B40"/>
    <w:rsid w:val="00AC2BB2"/>
    <w:rsid w:val="00AC2C3C"/>
    <w:rsid w:val="00AC512D"/>
    <w:rsid w:val="00AD0083"/>
    <w:rsid w:val="00AD3935"/>
    <w:rsid w:val="00AD6CBD"/>
    <w:rsid w:val="00AE65EB"/>
    <w:rsid w:val="00AE67A7"/>
    <w:rsid w:val="00AF1D94"/>
    <w:rsid w:val="00AF60C5"/>
    <w:rsid w:val="00AF7B2C"/>
    <w:rsid w:val="00B009C6"/>
    <w:rsid w:val="00B01548"/>
    <w:rsid w:val="00B052F0"/>
    <w:rsid w:val="00B06E03"/>
    <w:rsid w:val="00B0793A"/>
    <w:rsid w:val="00B13CF0"/>
    <w:rsid w:val="00B13EBD"/>
    <w:rsid w:val="00B209EB"/>
    <w:rsid w:val="00B21D29"/>
    <w:rsid w:val="00B25034"/>
    <w:rsid w:val="00B30701"/>
    <w:rsid w:val="00B33588"/>
    <w:rsid w:val="00B33863"/>
    <w:rsid w:val="00B35479"/>
    <w:rsid w:val="00B37D17"/>
    <w:rsid w:val="00B4175E"/>
    <w:rsid w:val="00B41C85"/>
    <w:rsid w:val="00B4206F"/>
    <w:rsid w:val="00B45264"/>
    <w:rsid w:val="00B452CE"/>
    <w:rsid w:val="00B534FA"/>
    <w:rsid w:val="00B54C25"/>
    <w:rsid w:val="00B75FFB"/>
    <w:rsid w:val="00B76B91"/>
    <w:rsid w:val="00B77EB1"/>
    <w:rsid w:val="00B811C6"/>
    <w:rsid w:val="00B837D6"/>
    <w:rsid w:val="00B855B0"/>
    <w:rsid w:val="00B92E08"/>
    <w:rsid w:val="00B948A2"/>
    <w:rsid w:val="00BB389D"/>
    <w:rsid w:val="00BC10B1"/>
    <w:rsid w:val="00BC3D4E"/>
    <w:rsid w:val="00BC622A"/>
    <w:rsid w:val="00BE0559"/>
    <w:rsid w:val="00BE0A78"/>
    <w:rsid w:val="00BE242D"/>
    <w:rsid w:val="00BE79F0"/>
    <w:rsid w:val="00BF046D"/>
    <w:rsid w:val="00BF1190"/>
    <w:rsid w:val="00BF3774"/>
    <w:rsid w:val="00BF5D04"/>
    <w:rsid w:val="00C009AA"/>
    <w:rsid w:val="00C1164D"/>
    <w:rsid w:val="00C148C3"/>
    <w:rsid w:val="00C16861"/>
    <w:rsid w:val="00C30C1D"/>
    <w:rsid w:val="00C33647"/>
    <w:rsid w:val="00C346AB"/>
    <w:rsid w:val="00C404A6"/>
    <w:rsid w:val="00C40A36"/>
    <w:rsid w:val="00C44419"/>
    <w:rsid w:val="00C45E7B"/>
    <w:rsid w:val="00C4608D"/>
    <w:rsid w:val="00C471B1"/>
    <w:rsid w:val="00C508F3"/>
    <w:rsid w:val="00C52E24"/>
    <w:rsid w:val="00C6316B"/>
    <w:rsid w:val="00C634A9"/>
    <w:rsid w:val="00C64586"/>
    <w:rsid w:val="00C65567"/>
    <w:rsid w:val="00C67BDE"/>
    <w:rsid w:val="00C70D53"/>
    <w:rsid w:val="00C73D0B"/>
    <w:rsid w:val="00C762CD"/>
    <w:rsid w:val="00C772FF"/>
    <w:rsid w:val="00C80137"/>
    <w:rsid w:val="00C801AF"/>
    <w:rsid w:val="00C80256"/>
    <w:rsid w:val="00C86C73"/>
    <w:rsid w:val="00C90516"/>
    <w:rsid w:val="00C94CD4"/>
    <w:rsid w:val="00C9747E"/>
    <w:rsid w:val="00CB6BC0"/>
    <w:rsid w:val="00CC1AA7"/>
    <w:rsid w:val="00CC1B7C"/>
    <w:rsid w:val="00CC727F"/>
    <w:rsid w:val="00CC7C8D"/>
    <w:rsid w:val="00CE227B"/>
    <w:rsid w:val="00CE3457"/>
    <w:rsid w:val="00CF15C3"/>
    <w:rsid w:val="00CF2B6F"/>
    <w:rsid w:val="00CF2F3E"/>
    <w:rsid w:val="00CF58B6"/>
    <w:rsid w:val="00D0062D"/>
    <w:rsid w:val="00D017ED"/>
    <w:rsid w:val="00D040D3"/>
    <w:rsid w:val="00D04C65"/>
    <w:rsid w:val="00D06C4A"/>
    <w:rsid w:val="00D1372F"/>
    <w:rsid w:val="00D153D8"/>
    <w:rsid w:val="00D201D2"/>
    <w:rsid w:val="00D224FE"/>
    <w:rsid w:val="00D23139"/>
    <w:rsid w:val="00D425BB"/>
    <w:rsid w:val="00D453FA"/>
    <w:rsid w:val="00D63D68"/>
    <w:rsid w:val="00D6493E"/>
    <w:rsid w:val="00D7195D"/>
    <w:rsid w:val="00D7301E"/>
    <w:rsid w:val="00D837EF"/>
    <w:rsid w:val="00D83AE1"/>
    <w:rsid w:val="00D84518"/>
    <w:rsid w:val="00D855D4"/>
    <w:rsid w:val="00D902C9"/>
    <w:rsid w:val="00D93466"/>
    <w:rsid w:val="00DA1124"/>
    <w:rsid w:val="00DB06B8"/>
    <w:rsid w:val="00DB6124"/>
    <w:rsid w:val="00DB750B"/>
    <w:rsid w:val="00DB75B7"/>
    <w:rsid w:val="00DC032C"/>
    <w:rsid w:val="00DC0A2F"/>
    <w:rsid w:val="00DC5D3D"/>
    <w:rsid w:val="00DC6E02"/>
    <w:rsid w:val="00DD28CD"/>
    <w:rsid w:val="00DD64CE"/>
    <w:rsid w:val="00DE02AE"/>
    <w:rsid w:val="00DE39D1"/>
    <w:rsid w:val="00DF1D7F"/>
    <w:rsid w:val="00DF4BE4"/>
    <w:rsid w:val="00E02382"/>
    <w:rsid w:val="00E02FB4"/>
    <w:rsid w:val="00E03BA3"/>
    <w:rsid w:val="00E13FC7"/>
    <w:rsid w:val="00E20571"/>
    <w:rsid w:val="00E235F7"/>
    <w:rsid w:val="00E23659"/>
    <w:rsid w:val="00E239D4"/>
    <w:rsid w:val="00E26130"/>
    <w:rsid w:val="00E40B22"/>
    <w:rsid w:val="00E44ED1"/>
    <w:rsid w:val="00E45619"/>
    <w:rsid w:val="00E4588F"/>
    <w:rsid w:val="00E46DA3"/>
    <w:rsid w:val="00E51BB1"/>
    <w:rsid w:val="00E55CB0"/>
    <w:rsid w:val="00E624A5"/>
    <w:rsid w:val="00E648EC"/>
    <w:rsid w:val="00E64BA4"/>
    <w:rsid w:val="00E7344E"/>
    <w:rsid w:val="00E74F26"/>
    <w:rsid w:val="00E75477"/>
    <w:rsid w:val="00E77EAC"/>
    <w:rsid w:val="00E807F4"/>
    <w:rsid w:val="00E82665"/>
    <w:rsid w:val="00E94B81"/>
    <w:rsid w:val="00EA71E5"/>
    <w:rsid w:val="00EB0798"/>
    <w:rsid w:val="00EB40AD"/>
    <w:rsid w:val="00EB586E"/>
    <w:rsid w:val="00EB5FC8"/>
    <w:rsid w:val="00EC463D"/>
    <w:rsid w:val="00EC7A85"/>
    <w:rsid w:val="00ED2922"/>
    <w:rsid w:val="00ED3CAD"/>
    <w:rsid w:val="00ED5A41"/>
    <w:rsid w:val="00ED7231"/>
    <w:rsid w:val="00EE0638"/>
    <w:rsid w:val="00EE1DE8"/>
    <w:rsid w:val="00EE27C2"/>
    <w:rsid w:val="00EF26DF"/>
    <w:rsid w:val="00EF4BAD"/>
    <w:rsid w:val="00EF59DC"/>
    <w:rsid w:val="00F033EC"/>
    <w:rsid w:val="00F04F68"/>
    <w:rsid w:val="00F119EF"/>
    <w:rsid w:val="00F12670"/>
    <w:rsid w:val="00F14B27"/>
    <w:rsid w:val="00F30907"/>
    <w:rsid w:val="00F3148D"/>
    <w:rsid w:val="00F325C5"/>
    <w:rsid w:val="00F32FE0"/>
    <w:rsid w:val="00F35298"/>
    <w:rsid w:val="00F3740D"/>
    <w:rsid w:val="00F45E39"/>
    <w:rsid w:val="00F47333"/>
    <w:rsid w:val="00F47E37"/>
    <w:rsid w:val="00F528C9"/>
    <w:rsid w:val="00F533B8"/>
    <w:rsid w:val="00F53C07"/>
    <w:rsid w:val="00F54B65"/>
    <w:rsid w:val="00F640B6"/>
    <w:rsid w:val="00F66DF2"/>
    <w:rsid w:val="00F71739"/>
    <w:rsid w:val="00F72401"/>
    <w:rsid w:val="00F80E40"/>
    <w:rsid w:val="00F848D9"/>
    <w:rsid w:val="00F920CA"/>
    <w:rsid w:val="00F9311E"/>
    <w:rsid w:val="00FA06C6"/>
    <w:rsid w:val="00FA4A74"/>
    <w:rsid w:val="00FA4FA6"/>
    <w:rsid w:val="00FA5069"/>
    <w:rsid w:val="00FA5B82"/>
    <w:rsid w:val="00FA639E"/>
    <w:rsid w:val="00FB09B4"/>
    <w:rsid w:val="00FC1FCA"/>
    <w:rsid w:val="00FC25E4"/>
    <w:rsid w:val="00FC34E4"/>
    <w:rsid w:val="00FC4EF7"/>
    <w:rsid w:val="00FD0824"/>
    <w:rsid w:val="00FD119B"/>
    <w:rsid w:val="00FD1EDC"/>
    <w:rsid w:val="00FD64C0"/>
    <w:rsid w:val="00FE176F"/>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1476E35"/>
  <w15:docId w15:val="{44D861A4-8479-4DF1-9A3F-079E43157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9095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101C8"/>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3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330337"/>
    <w:pPr>
      <w:spacing w:before="0" w:after="180" w:line="252" w:lineRule="auto"/>
    </w:pPr>
    <w:rPr>
      <w:rFonts w:eastAsia="Times New Roman"/>
      <w:snapToGrid w:val="0"/>
      <w:kern w:val="16"/>
      <w:szCs w:val="24"/>
    </w:rPr>
  </w:style>
  <w:style w:type="character" w:customStyle="1" w:styleId="StandardChar">
    <w:name w:val="Standard Char"/>
    <w:basedOn w:val="DefaultParagraphFont"/>
    <w:link w:val="Standard"/>
    <w:rsid w:val="00330337"/>
    <w:rPr>
      <w:rFonts w:ascii="Cambria" w:eastAsia="Times New Roman" w:hAnsi="Cambria" w:cs="Times New Roman"/>
      <w:snapToGrid w:val="0"/>
      <w:kern w:val="16"/>
      <w:szCs w:val="24"/>
    </w:rPr>
  </w:style>
  <w:style w:type="character" w:customStyle="1" w:styleId="TabletextChar">
    <w:name w:val="Table text Char"/>
    <w:basedOn w:val="DefaultParagraphFont"/>
    <w:link w:val="Tabletext"/>
    <w:rsid w:val="00330337"/>
    <w:rPr>
      <w:rFonts w:ascii="Cambria" w:eastAsia="Cambria" w:hAnsi="Cambria" w:cs="Times New Roman"/>
      <w:sz w:val="19"/>
    </w:rPr>
  </w:style>
  <w:style w:type="paragraph" w:customStyle="1" w:styleId="Bulletpoint">
    <w:name w:val="Bullet point"/>
    <w:basedOn w:val="Standard"/>
    <w:rsid w:val="00330337"/>
    <w:pPr>
      <w:numPr>
        <w:numId w:val="6"/>
      </w:numPr>
      <w:tabs>
        <w:tab w:val="clear" w:pos="1041"/>
        <w:tab w:val="num" w:pos="360"/>
        <w:tab w:val="left" w:pos="397"/>
      </w:tabs>
      <w:ind w:left="368" w:hanging="198"/>
    </w:pPr>
  </w:style>
  <w:style w:type="paragraph" w:customStyle="1" w:styleId="TableHeader">
    <w:name w:val="Table Header"/>
    <w:basedOn w:val="Normal"/>
    <w:rsid w:val="00330337"/>
    <w:pPr>
      <w:keepNext/>
      <w:keepLines/>
      <w:widowControl w:val="0"/>
      <w:spacing w:before="60" w:after="60" w:line="200" w:lineRule="exact"/>
      <w:jc w:val="center"/>
    </w:pPr>
    <w:rPr>
      <w:rFonts w:eastAsia="MS Mincho" w:cstheme="minorBidi"/>
      <w:b/>
      <w:kern w:val="2"/>
      <w:sz w:val="19"/>
      <w:szCs w:val="19"/>
    </w:rPr>
  </w:style>
  <w:style w:type="paragraph" w:styleId="ListParagraph">
    <w:name w:val="List Paragraph"/>
    <w:basedOn w:val="Normal"/>
    <w:uiPriority w:val="34"/>
    <w:qFormat/>
    <w:rsid w:val="00AF7B2C"/>
    <w:pPr>
      <w:ind w:left="720"/>
      <w:contextualSpacing/>
    </w:pPr>
  </w:style>
  <w:style w:type="character" w:customStyle="1" w:styleId="reference0">
    <w:name w:val="reference"/>
    <w:basedOn w:val="DefaultParagraphFont"/>
    <w:rsid w:val="00AF7B2C"/>
  </w:style>
  <w:style w:type="character" w:customStyle="1" w:styleId="refauthors">
    <w:name w:val="refauthors"/>
    <w:basedOn w:val="DefaultParagraphFont"/>
    <w:rsid w:val="00AF7B2C"/>
  </w:style>
  <w:style w:type="character" w:customStyle="1" w:styleId="reftitle">
    <w:name w:val="reftitle"/>
    <w:basedOn w:val="DefaultParagraphFont"/>
    <w:rsid w:val="00AF7B2C"/>
  </w:style>
  <w:style w:type="character" w:customStyle="1" w:styleId="refseriestitle">
    <w:name w:val="refseriestitle"/>
    <w:basedOn w:val="DefaultParagraphFont"/>
    <w:rsid w:val="00AF7B2C"/>
  </w:style>
  <w:style w:type="character" w:customStyle="1" w:styleId="refseriesdate">
    <w:name w:val="refseriesdate"/>
    <w:basedOn w:val="DefaultParagraphFont"/>
    <w:rsid w:val="00AF7B2C"/>
  </w:style>
  <w:style w:type="character" w:customStyle="1" w:styleId="refseriesvolume">
    <w:name w:val="refseriesvolume"/>
    <w:basedOn w:val="DefaultParagraphFont"/>
    <w:rsid w:val="00AF7B2C"/>
  </w:style>
  <w:style w:type="character" w:customStyle="1" w:styleId="refpages">
    <w:name w:val="refpages"/>
    <w:basedOn w:val="DefaultParagraphFont"/>
    <w:rsid w:val="00AF7B2C"/>
  </w:style>
  <w:style w:type="character" w:customStyle="1" w:styleId="element-citation">
    <w:name w:val="element-citation"/>
    <w:basedOn w:val="DefaultParagraphFont"/>
    <w:rsid w:val="00AF7B2C"/>
  </w:style>
  <w:style w:type="character" w:customStyle="1" w:styleId="ref-journal">
    <w:name w:val="ref-journal"/>
    <w:basedOn w:val="DefaultParagraphFont"/>
    <w:rsid w:val="00AF7B2C"/>
  </w:style>
  <w:style w:type="character" w:customStyle="1" w:styleId="ref-vol">
    <w:name w:val="ref-vol"/>
    <w:basedOn w:val="DefaultParagraphFont"/>
    <w:rsid w:val="00AF7B2C"/>
  </w:style>
  <w:style w:type="character" w:styleId="Emphasis">
    <w:name w:val="Emphasis"/>
    <w:basedOn w:val="DefaultParagraphFont"/>
    <w:uiPriority w:val="20"/>
    <w:qFormat/>
    <w:rsid w:val="00AF7B2C"/>
    <w:rPr>
      <w:i/>
      <w:iCs/>
    </w:rPr>
  </w:style>
  <w:style w:type="character" w:customStyle="1" w:styleId="citeddoctitle">
    <w:name w:val="citeddoctitle"/>
    <w:basedOn w:val="DefaultParagraphFont"/>
    <w:rsid w:val="00AF7B2C"/>
  </w:style>
  <w:style w:type="character" w:customStyle="1" w:styleId="querysrchtext">
    <w:name w:val="querysrchtext"/>
    <w:basedOn w:val="DefaultParagraphFont"/>
    <w:rsid w:val="00AF7B2C"/>
  </w:style>
  <w:style w:type="character" w:customStyle="1" w:styleId="previewtxt">
    <w:name w:val="previewtxt"/>
    <w:basedOn w:val="DefaultParagraphFont"/>
    <w:rsid w:val="00AF7B2C"/>
  </w:style>
  <w:style w:type="character" w:customStyle="1" w:styleId="entryauthor">
    <w:name w:val="entryauthor"/>
    <w:basedOn w:val="DefaultParagraphFont"/>
    <w:rsid w:val="00AF7B2C"/>
  </w:style>
  <w:style w:type="character" w:customStyle="1" w:styleId="journalname">
    <w:name w:val="journalname"/>
    <w:basedOn w:val="DefaultParagraphFont"/>
    <w:rsid w:val="00AF7B2C"/>
  </w:style>
  <w:style w:type="character" w:customStyle="1" w:styleId="volume">
    <w:name w:val="volume"/>
    <w:basedOn w:val="DefaultParagraphFont"/>
    <w:rsid w:val="00AF7B2C"/>
  </w:style>
  <w:style w:type="paragraph" w:customStyle="1" w:styleId="Comment1">
    <w:name w:val="Comment 1"/>
    <w:basedOn w:val="Normal"/>
    <w:next w:val="Normal"/>
    <w:qFormat/>
    <w:rsid w:val="00A8334D"/>
    <w:pPr>
      <w:tabs>
        <w:tab w:val="left" w:pos="0"/>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40" w:after="240" w:line="240" w:lineRule="auto"/>
    </w:pPr>
    <w:rPr>
      <w:rFonts w:ascii="Calibri" w:eastAsia="Times New Roman" w:hAnsi="Calibri" w:cs="Calibri"/>
      <w:kern w:val="16"/>
      <w:szCs w:val="20"/>
      <w:lang w:eastAsia="en-AU"/>
    </w:rPr>
  </w:style>
  <w:style w:type="paragraph" w:customStyle="1" w:styleId="Default">
    <w:name w:val="Default"/>
    <w:rsid w:val="002005CD"/>
    <w:pPr>
      <w:autoSpaceDE w:val="0"/>
      <w:autoSpaceDN w:val="0"/>
      <w:adjustRightInd w:val="0"/>
      <w:spacing w:after="0" w:line="240" w:lineRule="auto"/>
    </w:pPr>
    <w:rPr>
      <w:rFonts w:ascii="Arial" w:hAnsi="Arial" w:cs="Arial"/>
      <w:color w:val="000000"/>
      <w:sz w:val="24"/>
      <w:szCs w:val="24"/>
    </w:rPr>
  </w:style>
  <w:style w:type="character" w:customStyle="1" w:styleId="ABN">
    <w:name w:val="ABN"/>
    <w:basedOn w:val="DefaultParagraphFont"/>
    <w:uiPriority w:val="1"/>
    <w:qFormat/>
    <w:rsid w:val="00833567"/>
    <w:rPr>
      <w:rFonts w:ascii="Arial" w:hAnsi="Arial"/>
      <w:color w:val="002C47"/>
      <w:sz w:val="14"/>
    </w:rPr>
  </w:style>
  <w:style w:type="paragraph" w:customStyle="1" w:styleId="TableHeading">
    <w:name w:val="Table Heading"/>
    <w:basedOn w:val="Normal"/>
    <w:rsid w:val="00966718"/>
    <w:rPr>
      <w:rFonts w:ascii="Calibri" w:eastAsia="Calibri" w:hAnsi="Calibri"/>
      <w:b/>
      <w:color w:val="FFFFFF"/>
      <w:sz w:val="20"/>
    </w:rPr>
  </w:style>
  <w:style w:type="paragraph" w:customStyle="1" w:styleId="Tabletitle0">
    <w:name w:val="Table title"/>
    <w:basedOn w:val="Normal"/>
    <w:next w:val="Normal"/>
    <w:rsid w:val="00966718"/>
    <w:pPr>
      <w:keepNext/>
      <w:spacing w:after="180"/>
      <w:outlineLvl w:val="4"/>
    </w:pPr>
    <w:rPr>
      <w:rFonts w:cstheme="minorBidi"/>
      <w:b/>
    </w:rPr>
  </w:style>
  <w:style w:type="paragraph" w:customStyle="1" w:styleId="Bullet2">
    <w:name w:val="Bullet 2"/>
    <w:basedOn w:val="Normal"/>
    <w:rsid w:val="00966718"/>
    <w:pPr>
      <w:numPr>
        <w:numId w:val="25"/>
      </w:numPr>
      <w:spacing w:after="0" w:line="240" w:lineRule="auto"/>
    </w:pPr>
    <w:rPr>
      <w:rFonts w:eastAsia="Times New Roman"/>
      <w:kern w:val="24"/>
      <w:szCs w:val="24"/>
      <w:lang w:eastAsia="en-AU"/>
    </w:rPr>
  </w:style>
  <w:style w:type="paragraph" w:customStyle="1" w:styleId="Instructions1">
    <w:name w:val="Instructions 1"/>
    <w:basedOn w:val="Normal"/>
    <w:qFormat/>
    <w:rsid w:val="00966718"/>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966718"/>
    <w:pPr>
      <w:numPr>
        <w:numId w:val="2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autoRedefine/>
    <w:uiPriority w:val="39"/>
    <w:unhideWhenUsed/>
    <w:rsid w:val="00966718"/>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966718"/>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966718"/>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966718"/>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966718"/>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966718"/>
    <w:pPr>
      <w:spacing w:before="0" w:after="100" w:line="276" w:lineRule="auto"/>
      <w:ind w:left="1760"/>
    </w:pPr>
    <w:rPr>
      <w:rFonts w:asciiTheme="minorHAnsi" w:eastAsiaTheme="minorEastAsia" w:hAnsiTheme="minorHAnsi" w:cstheme="minorBidi"/>
      <w:lang w:eastAsia="en-AU"/>
    </w:rPr>
  </w:style>
  <w:style w:type="paragraph" w:styleId="NormalWeb">
    <w:name w:val="Normal (Web)"/>
    <w:basedOn w:val="Normal"/>
    <w:uiPriority w:val="99"/>
    <w:semiHidden/>
    <w:unhideWhenUsed/>
    <w:rsid w:val="00966718"/>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textbox">
    <w:name w:val="textbox"/>
    <w:basedOn w:val="Normal"/>
    <w:rsid w:val="00966718"/>
    <w:pPr>
      <w:spacing w:before="100" w:beforeAutospacing="1" w:after="100" w:afterAutospacing="1" w:line="240" w:lineRule="auto"/>
    </w:pPr>
    <w:rPr>
      <w:rFonts w:ascii="Times New Roman" w:eastAsia="Times New Roman" w:hAnsi="Times New Roman"/>
      <w:sz w:val="24"/>
      <w:szCs w:val="24"/>
      <w:lang w:eastAsia="zh-CN"/>
    </w:rPr>
  </w:style>
  <w:style w:type="character" w:customStyle="1" w:styleId="nowrap">
    <w:name w:val="nowrap"/>
    <w:basedOn w:val="DefaultParagraphFont"/>
    <w:rsid w:val="00966718"/>
  </w:style>
  <w:style w:type="character" w:customStyle="1" w:styleId="UnresolvedMention1">
    <w:name w:val="Unresolved Mention1"/>
    <w:basedOn w:val="DefaultParagraphFont"/>
    <w:uiPriority w:val="99"/>
    <w:semiHidden/>
    <w:unhideWhenUsed/>
    <w:rsid w:val="00966718"/>
    <w:rPr>
      <w:color w:val="808080"/>
      <w:shd w:val="clear" w:color="auto" w:fill="E6E6E6"/>
    </w:rPr>
  </w:style>
  <w:style w:type="character" w:customStyle="1" w:styleId="highwire-citation-authors">
    <w:name w:val="highwire-citation-authors"/>
    <w:basedOn w:val="DefaultParagraphFont"/>
    <w:rsid w:val="00966718"/>
  </w:style>
  <w:style w:type="character" w:customStyle="1" w:styleId="highwire-citation-author">
    <w:name w:val="highwire-citation-author"/>
    <w:basedOn w:val="DefaultParagraphFont"/>
    <w:rsid w:val="00966718"/>
  </w:style>
  <w:style w:type="character" w:customStyle="1" w:styleId="nlm-surname">
    <w:name w:val="nlm-surname"/>
    <w:basedOn w:val="DefaultParagraphFont"/>
    <w:rsid w:val="00966718"/>
  </w:style>
  <w:style w:type="character" w:customStyle="1" w:styleId="citation-et">
    <w:name w:val="citation-et"/>
    <w:basedOn w:val="DefaultParagraphFont"/>
    <w:rsid w:val="00966718"/>
  </w:style>
  <w:style w:type="character" w:customStyle="1" w:styleId="highwire-cite-metadata-journal">
    <w:name w:val="highwire-cite-metadata-journal"/>
    <w:basedOn w:val="DefaultParagraphFont"/>
    <w:rsid w:val="00966718"/>
  </w:style>
  <w:style w:type="character" w:customStyle="1" w:styleId="highwire-cite-metadata-year">
    <w:name w:val="highwire-cite-metadata-year"/>
    <w:basedOn w:val="DefaultParagraphFont"/>
    <w:rsid w:val="00966718"/>
  </w:style>
  <w:style w:type="character" w:customStyle="1" w:styleId="highwire-cite-metadata-volume">
    <w:name w:val="highwire-cite-metadata-volume"/>
    <w:basedOn w:val="DefaultParagraphFont"/>
    <w:rsid w:val="00966718"/>
  </w:style>
  <w:style w:type="character" w:customStyle="1" w:styleId="highwire-cite-metadata-pages">
    <w:name w:val="highwire-cite-metadata-pages"/>
    <w:basedOn w:val="DefaultParagraphFont"/>
    <w:rsid w:val="00966718"/>
  </w:style>
  <w:style w:type="character" w:styleId="HTMLCite">
    <w:name w:val="HTML Cite"/>
    <w:basedOn w:val="DefaultParagraphFont"/>
    <w:uiPriority w:val="99"/>
    <w:semiHidden/>
    <w:unhideWhenUsed/>
    <w:rsid w:val="00966718"/>
    <w:rPr>
      <w:i/>
      <w:iCs/>
    </w:rPr>
  </w:style>
  <w:style w:type="paragraph" w:styleId="TableofFigures">
    <w:name w:val="table of figures"/>
    <w:basedOn w:val="Normal"/>
    <w:next w:val="Normal"/>
    <w:uiPriority w:val="99"/>
    <w:unhideWhenUsed/>
    <w:rsid w:val="00966718"/>
    <w:pPr>
      <w:spacing w:after="0"/>
    </w:pPr>
  </w:style>
  <w:style w:type="character" w:customStyle="1" w:styleId="refcomment">
    <w:name w:val="refcomment"/>
    <w:basedOn w:val="DefaultParagraphFont"/>
    <w:rsid w:val="00966718"/>
  </w:style>
  <w:style w:type="character" w:customStyle="1" w:styleId="citationsource-journal">
    <w:name w:val="citation_source-journal"/>
    <w:basedOn w:val="DefaultParagraphFont"/>
    <w:rsid w:val="00966718"/>
  </w:style>
  <w:style w:type="character" w:customStyle="1" w:styleId="nlmyear">
    <w:name w:val="nlm_year"/>
    <w:basedOn w:val="DefaultParagraphFont"/>
    <w:rsid w:val="00966718"/>
  </w:style>
  <w:style w:type="character" w:customStyle="1" w:styleId="nlmfpage">
    <w:name w:val="nlm_fpage"/>
    <w:basedOn w:val="DefaultParagraphFont"/>
    <w:rsid w:val="00966718"/>
  </w:style>
  <w:style w:type="character" w:customStyle="1" w:styleId="nlmlpage">
    <w:name w:val="nlm_lpage"/>
    <w:basedOn w:val="DefaultParagraphFont"/>
    <w:rsid w:val="00966718"/>
  </w:style>
  <w:style w:type="paragraph" w:styleId="BodyText2">
    <w:name w:val="Body Text 2"/>
    <w:basedOn w:val="Normal"/>
    <w:link w:val="BodyText2Char"/>
    <w:rsid w:val="00966718"/>
    <w:pPr>
      <w:overflowPunct w:val="0"/>
      <w:autoSpaceDE w:val="0"/>
      <w:autoSpaceDN w:val="0"/>
      <w:adjustRightInd w:val="0"/>
      <w:spacing w:before="0" w:after="0" w:line="240" w:lineRule="auto"/>
      <w:textAlignment w:val="baseline"/>
    </w:pPr>
    <w:rPr>
      <w:rFonts w:ascii="Times New Roman" w:eastAsia="Times New Roman" w:hAnsi="Times New Roman"/>
      <w:sz w:val="24"/>
      <w:szCs w:val="20"/>
      <w:lang w:val="en-US"/>
    </w:rPr>
  </w:style>
  <w:style w:type="character" w:customStyle="1" w:styleId="BodyText2Char">
    <w:name w:val="Body Text 2 Char"/>
    <w:basedOn w:val="DefaultParagraphFont"/>
    <w:link w:val="BodyText2"/>
    <w:rsid w:val="00966718"/>
    <w:rPr>
      <w:rFonts w:ascii="Times New Roman" w:eastAsia="Times New Roman" w:hAnsi="Times New Roman" w:cs="Times New Roman"/>
      <w:sz w:val="24"/>
      <w:szCs w:val="20"/>
      <w:lang w:val="en-US"/>
    </w:rPr>
  </w:style>
  <w:style w:type="character" w:customStyle="1" w:styleId="UnresolvedMention2">
    <w:name w:val="Unresolved Mention2"/>
    <w:basedOn w:val="DefaultParagraphFont"/>
    <w:uiPriority w:val="99"/>
    <w:semiHidden/>
    <w:unhideWhenUsed/>
    <w:rsid w:val="00966718"/>
    <w:rPr>
      <w:color w:val="808080"/>
      <w:shd w:val="clear" w:color="auto" w:fill="E6E6E6"/>
    </w:rPr>
  </w:style>
  <w:style w:type="character" w:customStyle="1" w:styleId="articletitle">
    <w:name w:val="articletitle"/>
    <w:basedOn w:val="DefaultParagraphFont"/>
    <w:rsid w:val="00966718"/>
  </w:style>
  <w:style w:type="character" w:customStyle="1" w:styleId="pubyear">
    <w:name w:val="pubyear"/>
    <w:basedOn w:val="DefaultParagraphFont"/>
    <w:rsid w:val="00966718"/>
  </w:style>
  <w:style w:type="character" w:customStyle="1" w:styleId="vol">
    <w:name w:val="vol"/>
    <w:basedOn w:val="DefaultParagraphFont"/>
    <w:rsid w:val="00966718"/>
  </w:style>
  <w:style w:type="paragraph" w:styleId="HTMLPreformatted">
    <w:name w:val="HTML Preformatted"/>
    <w:basedOn w:val="Normal"/>
    <w:link w:val="HTMLPreformattedChar"/>
    <w:uiPriority w:val="99"/>
    <w:semiHidden/>
    <w:unhideWhenUsed/>
    <w:rsid w:val="00966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966718"/>
    <w:rPr>
      <w:rFonts w:ascii="Courier New" w:eastAsia="Times New Roman" w:hAnsi="Courier New" w:cs="Courier New"/>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55923">
      <w:bodyDiv w:val="1"/>
      <w:marLeft w:val="0"/>
      <w:marRight w:val="0"/>
      <w:marTop w:val="0"/>
      <w:marBottom w:val="0"/>
      <w:divBdr>
        <w:top w:val="none" w:sz="0" w:space="0" w:color="auto"/>
        <w:left w:val="none" w:sz="0" w:space="0" w:color="auto"/>
        <w:bottom w:val="none" w:sz="0" w:space="0" w:color="auto"/>
        <w:right w:val="none" w:sz="0" w:space="0" w:color="auto"/>
      </w:divBdr>
    </w:div>
    <w:div w:id="512501911">
      <w:bodyDiv w:val="1"/>
      <w:marLeft w:val="0"/>
      <w:marRight w:val="0"/>
      <w:marTop w:val="0"/>
      <w:marBottom w:val="0"/>
      <w:divBdr>
        <w:top w:val="none" w:sz="0" w:space="0" w:color="auto"/>
        <w:left w:val="none" w:sz="0" w:space="0" w:color="auto"/>
        <w:bottom w:val="none" w:sz="0" w:space="0" w:color="auto"/>
        <w:right w:val="none" w:sz="0" w:space="0" w:color="auto"/>
      </w:divBdr>
    </w:div>
    <w:div w:id="656497962">
      <w:bodyDiv w:val="1"/>
      <w:marLeft w:val="0"/>
      <w:marRight w:val="0"/>
      <w:marTop w:val="0"/>
      <w:marBottom w:val="0"/>
      <w:divBdr>
        <w:top w:val="none" w:sz="0" w:space="0" w:color="auto"/>
        <w:left w:val="none" w:sz="0" w:space="0" w:color="auto"/>
        <w:bottom w:val="none" w:sz="0" w:space="0" w:color="auto"/>
        <w:right w:val="none" w:sz="0" w:space="0" w:color="auto"/>
      </w:divBdr>
    </w:div>
    <w:div w:id="1271549689">
      <w:bodyDiv w:val="1"/>
      <w:marLeft w:val="0"/>
      <w:marRight w:val="0"/>
      <w:marTop w:val="0"/>
      <w:marBottom w:val="0"/>
      <w:divBdr>
        <w:top w:val="none" w:sz="0" w:space="0" w:color="auto"/>
        <w:left w:val="none" w:sz="0" w:space="0" w:color="auto"/>
        <w:bottom w:val="none" w:sz="0" w:space="0" w:color="auto"/>
        <w:right w:val="none" w:sz="0" w:space="0" w:color="auto"/>
      </w:divBdr>
    </w:div>
    <w:div w:id="1322076386">
      <w:bodyDiv w:val="1"/>
      <w:marLeft w:val="0"/>
      <w:marRight w:val="0"/>
      <w:marTop w:val="0"/>
      <w:marBottom w:val="0"/>
      <w:divBdr>
        <w:top w:val="none" w:sz="0" w:space="0" w:color="auto"/>
        <w:left w:val="none" w:sz="0" w:space="0" w:color="auto"/>
        <w:bottom w:val="none" w:sz="0" w:space="0" w:color="auto"/>
        <w:right w:val="none" w:sz="0" w:space="0" w:color="auto"/>
      </w:divBdr>
    </w:div>
    <w:div w:id="1323773069">
      <w:bodyDiv w:val="1"/>
      <w:marLeft w:val="0"/>
      <w:marRight w:val="0"/>
      <w:marTop w:val="0"/>
      <w:marBottom w:val="0"/>
      <w:divBdr>
        <w:top w:val="none" w:sz="0" w:space="0" w:color="auto"/>
        <w:left w:val="none" w:sz="0" w:space="0" w:color="auto"/>
        <w:bottom w:val="none" w:sz="0" w:space="0" w:color="auto"/>
        <w:right w:val="none" w:sz="0" w:space="0" w:color="auto"/>
      </w:divBdr>
    </w:div>
    <w:div w:id="1340039839">
      <w:bodyDiv w:val="1"/>
      <w:marLeft w:val="0"/>
      <w:marRight w:val="0"/>
      <w:marTop w:val="0"/>
      <w:marBottom w:val="0"/>
      <w:divBdr>
        <w:top w:val="none" w:sz="0" w:space="0" w:color="auto"/>
        <w:left w:val="none" w:sz="0" w:space="0" w:color="auto"/>
        <w:bottom w:val="none" w:sz="0" w:space="0" w:color="auto"/>
        <w:right w:val="none" w:sz="0" w:space="0" w:color="auto"/>
      </w:divBdr>
    </w:div>
    <w:div w:id="1842743361">
      <w:bodyDiv w:val="1"/>
      <w:marLeft w:val="0"/>
      <w:marRight w:val="0"/>
      <w:marTop w:val="0"/>
      <w:marBottom w:val="0"/>
      <w:divBdr>
        <w:top w:val="none" w:sz="0" w:space="0" w:color="auto"/>
        <w:left w:val="none" w:sz="0" w:space="0" w:color="auto"/>
        <w:bottom w:val="none" w:sz="0" w:space="0" w:color="auto"/>
        <w:right w:val="none" w:sz="0" w:space="0" w:color="auto"/>
      </w:divBdr>
    </w:div>
    <w:div w:id="1866825446">
      <w:bodyDiv w:val="1"/>
      <w:marLeft w:val="0"/>
      <w:marRight w:val="0"/>
      <w:marTop w:val="0"/>
      <w:marBottom w:val="0"/>
      <w:divBdr>
        <w:top w:val="none" w:sz="0" w:space="0" w:color="auto"/>
        <w:left w:val="none" w:sz="0" w:space="0" w:color="auto"/>
        <w:bottom w:val="none" w:sz="0" w:space="0" w:color="auto"/>
        <w:right w:val="none" w:sz="0" w:space="0" w:color="auto"/>
      </w:divBdr>
    </w:div>
    <w:div w:id="200404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www.tga.gov.au/product-information-pi" TargetMode="External"/><Relationship Id="rId47" Type="http://schemas.openxmlformats.org/officeDocument/2006/relationships/hyperlink" Target="mailto:info@tga.gov.au" TargetMode="External"/><Relationship Id="rId50" Type="http://schemas.openxmlformats.org/officeDocument/2006/relationships/header" Target="header8.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6.xml"/><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7.xml"/><Relationship Id="rId57" Type="http://schemas.microsoft.com/office/2016/09/relationships/commentsIds" Target="commentsIds.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eader" Target="header5.xml"/><Relationship Id="rId52"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4.xml"/><Relationship Id="rId48" Type="http://schemas.openxmlformats.org/officeDocument/2006/relationships/hyperlink" Target="https://www.tga.gov.au" TargetMode="External"/><Relationship Id="rId8" Type="http://schemas.openxmlformats.org/officeDocument/2006/relationships/hyperlink" Target="https://www.tga.gov.au" TargetMode="External"/><Relationship Id="rId51" Type="http://schemas.openxmlformats.org/officeDocument/2006/relationships/footer" Target="footer5.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auspar/auspar-mepolizumab-rch"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GUL\AppData\Local\Hewlett-Packard\HP%20TRIM\TEMP\HPTRIM.712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D8660-5B18-42DE-A351-CC817147B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96</TotalTime>
  <Pages>85</Pages>
  <Words>31559</Words>
  <Characters>179890</Characters>
  <Application>Microsoft Office Word</Application>
  <DocSecurity>0</DocSecurity>
  <Lines>1499</Lines>
  <Paragraphs>422</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211027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Mepolizumab</dc:title>
  <dc:subject>prescription medicines</dc:subject>
  <dc:creator>Therapeutic Goods Administration</dc:creator>
  <cp:keywords/>
  <cp:lastPrinted>2015-09-22T23:39:00Z</cp:lastPrinted>
  <dcterms:created xsi:type="dcterms:W3CDTF">2019-11-20T22:40:00Z</dcterms:created>
  <dcterms:modified xsi:type="dcterms:W3CDTF">2019-11-21T00:16:00Z</dcterms:modified>
  <cp:category/>
</cp:coreProperties>
</file>