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tblGrid>
      <w:tr w:rsidR="008E7846" w:rsidRPr="00487162" w:rsidTr="000D5093">
        <w:trPr>
          <w:trHeight w:val="1863"/>
        </w:trPr>
        <w:tc>
          <w:tcPr>
            <w:tcW w:w="5778" w:type="dxa"/>
            <w:tcBorders>
              <w:top w:val="nil"/>
              <w:left w:val="nil"/>
              <w:bottom w:val="nil"/>
              <w:right w:val="nil"/>
            </w:tcBorders>
          </w:tcPr>
          <w:p w:rsidR="008E7846" w:rsidRPr="0017078F" w:rsidRDefault="003E799E" w:rsidP="003E799E">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xml:space="preserve">: </w:t>
            </w:r>
            <w:r w:rsidR="000D5093">
              <w:rPr>
                <w:rFonts w:ascii="Arial" w:hAnsi="Arial" w:cs="Arial"/>
                <w:b/>
                <w:color w:val="002C47"/>
                <w:sz w:val="36"/>
                <w:szCs w:val="36"/>
              </w:rPr>
              <w:t>10 November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0921EA">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r w:rsidRPr="000921EA">
              <w:rPr>
                <w:color w:val="FFFFFF" w:themeColor="background1"/>
                <w:lang w:val="en-US"/>
              </w:rPr>
              <w:t xml:space="preserve">for </w:t>
            </w:r>
            <w:r w:rsidR="000921EA" w:rsidRPr="000921EA">
              <w:rPr>
                <w:color w:val="FFFFFF" w:themeColor="background1"/>
                <w:lang w:val="en-US"/>
              </w:rPr>
              <w:t>Meningococcal (Groups A, C, W-135</w:t>
            </w:r>
            <w:r w:rsidR="000921EA">
              <w:rPr>
                <w:color w:val="FFFFFF" w:themeColor="background1"/>
                <w:lang w:val="en-US"/>
              </w:rPr>
              <w:t>, Y</w:t>
            </w:r>
            <w:r w:rsidR="000921EA" w:rsidRPr="000921EA">
              <w:rPr>
                <w:color w:val="FFFFFF" w:themeColor="background1"/>
                <w:lang w:val="en-US"/>
              </w:rPr>
              <w:t>)</w:t>
            </w:r>
            <w:r w:rsidR="000921EA">
              <w:rPr>
                <w:color w:val="FFFFFF" w:themeColor="background1"/>
                <w:lang w:val="en-US"/>
              </w:rPr>
              <w:t xml:space="preserve"> </w:t>
            </w:r>
            <w:r w:rsidR="000921EA" w:rsidRPr="000921EA">
              <w:rPr>
                <w:color w:val="FFFFFF" w:themeColor="background1"/>
                <w:lang w:val="en-US"/>
              </w:rPr>
              <w:t xml:space="preserve">Polysaccharide Tetanus </w:t>
            </w:r>
            <w:proofErr w:type="spellStart"/>
            <w:r w:rsidR="000921EA" w:rsidRPr="000921EA">
              <w:rPr>
                <w:color w:val="FFFFFF" w:themeColor="background1"/>
                <w:lang w:val="en-US"/>
              </w:rPr>
              <w:t>Toxoid</w:t>
            </w:r>
            <w:proofErr w:type="spellEnd"/>
            <w:r w:rsidR="000921EA" w:rsidRPr="000921EA">
              <w:rPr>
                <w:color w:val="FFFFFF" w:themeColor="background1"/>
                <w:lang w:val="en-US"/>
              </w:rPr>
              <w:t xml:space="preserve"> Conjugate Vaccine</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proofErr w:type="spellStart"/>
            <w:r w:rsidR="003E799E">
              <w:rPr>
                <w:color w:val="FFFFFF" w:themeColor="background1"/>
              </w:rPr>
              <w:t>Nimenrix</w:t>
            </w:r>
            <w:proofErr w:type="spellEnd"/>
          </w:p>
        </w:tc>
      </w:tr>
      <w:tr w:rsidR="00E07F15" w:rsidRPr="00B64760" w:rsidTr="00E07F15">
        <w:trPr>
          <w:trHeight w:val="486"/>
        </w:trPr>
        <w:tc>
          <w:tcPr>
            <w:tcW w:w="9079" w:type="dxa"/>
          </w:tcPr>
          <w:p w:rsidR="00E07F15" w:rsidRPr="008E7846" w:rsidRDefault="00E07F15" w:rsidP="00352A81">
            <w:pPr>
              <w:pStyle w:val="Subtitle"/>
              <w:rPr>
                <w:color w:val="FFFFFF" w:themeColor="background1"/>
              </w:rPr>
            </w:pPr>
            <w:r w:rsidRPr="008E7846">
              <w:rPr>
                <w:color w:val="FFFFFF" w:themeColor="background1"/>
              </w:rPr>
              <w:t xml:space="preserve">Sponsor: </w:t>
            </w:r>
            <w:r w:rsidR="003E799E" w:rsidRPr="003E799E">
              <w:rPr>
                <w:color w:val="FFFFFF" w:themeColor="background1"/>
              </w:rPr>
              <w:t>GlaxoSmithKline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A066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FA066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A066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A066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A0669">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3E799E">
      <w:pPr>
        <w:pStyle w:val="LegalSubheading"/>
        <w:spacing w:before="4200"/>
      </w:pPr>
      <w:r w:rsidRPr="00DF1D7F">
        <w:t>Cop</w:t>
      </w:r>
      <w:r w:rsidR="00396F90">
        <w:t>yr</w:t>
      </w:r>
      <w:r w:rsidRPr="00DF1D7F">
        <w:t>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This work is cop</w:t>
      </w:r>
      <w:r w:rsidR="00396F90">
        <w:rPr>
          <w:rFonts w:cs="Arial"/>
          <w:lang w:val="en-GB"/>
        </w:rPr>
        <w:t>yr</w:t>
      </w:r>
      <w:r w:rsidRPr="00191B3B">
        <w:rPr>
          <w:rFonts w:cs="Arial"/>
          <w:lang w:val="en-GB"/>
        </w:rPr>
        <w:t>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w:t>
      </w:r>
      <w:r w:rsidR="00AC5AE1">
        <w:rPr>
          <w:rFonts w:cs="Arial"/>
          <w:lang w:val="en-GB"/>
        </w:rPr>
        <w:t>y</w:t>
      </w:r>
      <w:r w:rsidR="00396F90">
        <w:rPr>
          <w:rFonts w:cs="Arial"/>
          <w:lang w:val="en-GB"/>
        </w:rPr>
        <w:t>r</w:t>
      </w:r>
      <w:r w:rsidRPr="00191B3B">
        <w:rPr>
          <w:rFonts w:cs="Arial"/>
          <w:lang w:val="en-GB"/>
        </w:rPr>
        <w:t xml:space="preserve">ight notice and all disclaimer notices as part of that reproduction. Apart from rights to use as permitted by the </w:t>
      </w:r>
      <w:r w:rsidRPr="00191B3B">
        <w:rPr>
          <w:rFonts w:cs="Arial"/>
          <w:i/>
          <w:lang w:val="en-GB"/>
        </w:rPr>
        <w:t>Cop</w:t>
      </w:r>
      <w:r w:rsidR="00396F90">
        <w:rPr>
          <w:rFonts w:cs="Arial"/>
          <w:i/>
          <w:lang w:val="en-GB"/>
        </w:rPr>
        <w:t>yr</w:t>
      </w:r>
      <w:r w:rsidRPr="00191B3B">
        <w:rPr>
          <w:rFonts w:cs="Arial"/>
          <w:i/>
          <w:lang w:val="en-GB"/>
        </w:rPr>
        <w:t>ight Act 1968</w:t>
      </w:r>
      <w:r w:rsidRPr="00191B3B">
        <w:rPr>
          <w:rFonts w:cs="Arial"/>
          <w:lang w:val="en-GB"/>
        </w:rPr>
        <w:t xml:space="preserve"> or allowed by this cop</w:t>
      </w:r>
      <w:r w:rsidR="00396F90">
        <w:rPr>
          <w:rFonts w:cs="Arial"/>
          <w:lang w:val="en-GB"/>
        </w:rPr>
        <w:t>yr</w:t>
      </w:r>
      <w:r w:rsidRPr="00191B3B">
        <w:rPr>
          <w:rFonts w:cs="Arial"/>
          <w:lang w:val="en-GB"/>
        </w:rPr>
        <w:t>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w:t>
      </w:r>
      <w:r w:rsidR="00396F90">
        <w:rPr>
          <w:rFonts w:cs="Arial"/>
          <w:lang w:val="en-GB"/>
        </w:rPr>
        <w:t>yr</w:t>
      </w:r>
      <w:r w:rsidRPr="00191B3B">
        <w:rPr>
          <w:rFonts w:cs="Arial"/>
          <w:lang w:val="en-GB"/>
        </w:rPr>
        <w:t xml:space="preserve">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00AC5AE1" w:rsidRPr="0079365D">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D7FC5" w:rsidRDefault="00C131DD">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5123723" w:history="1">
            <w:r w:rsidR="00AD7FC5" w:rsidRPr="00F421C8">
              <w:rPr>
                <w:rStyle w:val="Hyperlink"/>
                <w:noProof/>
              </w:rPr>
              <w:t>List of abbreviations</w:t>
            </w:r>
            <w:r w:rsidR="00AD7FC5">
              <w:rPr>
                <w:noProof/>
                <w:webHidden/>
              </w:rPr>
              <w:tab/>
            </w:r>
            <w:r>
              <w:rPr>
                <w:noProof/>
                <w:webHidden/>
              </w:rPr>
              <w:fldChar w:fldCharType="begin"/>
            </w:r>
            <w:r w:rsidR="00AD7FC5">
              <w:rPr>
                <w:noProof/>
                <w:webHidden/>
              </w:rPr>
              <w:instrText xml:space="preserve"> PAGEREF _Toc375123723 \h </w:instrText>
            </w:r>
            <w:r>
              <w:rPr>
                <w:noProof/>
                <w:webHidden/>
              </w:rPr>
            </w:r>
            <w:r>
              <w:rPr>
                <w:noProof/>
                <w:webHidden/>
              </w:rPr>
              <w:fldChar w:fldCharType="separate"/>
            </w:r>
            <w:r w:rsidR="00AD7FC5">
              <w:rPr>
                <w:noProof/>
                <w:webHidden/>
              </w:rPr>
              <w:t>4</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24" w:history="1">
            <w:r w:rsidR="00AD7FC5" w:rsidRPr="00F421C8">
              <w:rPr>
                <w:rStyle w:val="Hyperlink"/>
                <w:noProof/>
                <w:lang w:eastAsia="en-AU"/>
              </w:rPr>
              <w:t>1.</w:t>
            </w:r>
            <w:r w:rsidR="00AD7FC5">
              <w:rPr>
                <w:rFonts w:asciiTheme="minorHAnsi" w:eastAsiaTheme="minorEastAsia" w:hAnsiTheme="minorHAnsi" w:cstheme="minorBidi"/>
                <w:b w:val="0"/>
                <w:noProof/>
                <w:sz w:val="22"/>
                <w:lang w:eastAsia="en-AU"/>
              </w:rPr>
              <w:tab/>
            </w:r>
            <w:r w:rsidR="00AD7FC5" w:rsidRPr="00F421C8">
              <w:rPr>
                <w:rStyle w:val="Hyperlink"/>
                <w:noProof/>
                <w:lang w:eastAsia="en-AU"/>
              </w:rPr>
              <w:t>Introduction</w:t>
            </w:r>
            <w:r w:rsidR="00AD7FC5">
              <w:rPr>
                <w:noProof/>
                <w:webHidden/>
              </w:rPr>
              <w:tab/>
            </w:r>
            <w:r>
              <w:rPr>
                <w:noProof/>
                <w:webHidden/>
              </w:rPr>
              <w:fldChar w:fldCharType="begin"/>
            </w:r>
            <w:r w:rsidR="00AD7FC5">
              <w:rPr>
                <w:noProof/>
                <w:webHidden/>
              </w:rPr>
              <w:instrText xml:space="preserve"> PAGEREF _Toc375123724 \h </w:instrText>
            </w:r>
            <w:r>
              <w:rPr>
                <w:noProof/>
                <w:webHidden/>
              </w:rPr>
            </w:r>
            <w:r>
              <w:rPr>
                <w:noProof/>
                <w:webHidden/>
              </w:rPr>
              <w:fldChar w:fldCharType="separate"/>
            </w:r>
            <w:r w:rsidR="00AD7FC5">
              <w:rPr>
                <w:noProof/>
                <w:webHidden/>
              </w:rPr>
              <w:t>6</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25" w:history="1">
            <w:r w:rsidR="00AD7FC5" w:rsidRPr="00F421C8">
              <w:rPr>
                <w:rStyle w:val="Hyperlink"/>
                <w:noProof/>
              </w:rPr>
              <w:t>2.</w:t>
            </w:r>
            <w:r w:rsidR="00AD7FC5">
              <w:rPr>
                <w:rFonts w:asciiTheme="minorHAnsi" w:eastAsiaTheme="minorEastAsia" w:hAnsiTheme="minorHAnsi" w:cstheme="minorBidi"/>
                <w:b w:val="0"/>
                <w:noProof/>
                <w:sz w:val="22"/>
                <w:lang w:eastAsia="en-AU"/>
              </w:rPr>
              <w:tab/>
            </w:r>
            <w:r w:rsidR="00AD7FC5" w:rsidRPr="00F421C8">
              <w:rPr>
                <w:rStyle w:val="Hyperlink"/>
                <w:noProof/>
              </w:rPr>
              <w:t>Clinical rationale</w:t>
            </w:r>
            <w:r w:rsidR="00AD7FC5">
              <w:rPr>
                <w:noProof/>
                <w:webHidden/>
              </w:rPr>
              <w:tab/>
            </w:r>
            <w:r>
              <w:rPr>
                <w:noProof/>
                <w:webHidden/>
              </w:rPr>
              <w:fldChar w:fldCharType="begin"/>
            </w:r>
            <w:r w:rsidR="00AD7FC5">
              <w:rPr>
                <w:noProof/>
                <w:webHidden/>
              </w:rPr>
              <w:instrText xml:space="preserve"> PAGEREF _Toc375123725 \h </w:instrText>
            </w:r>
            <w:r>
              <w:rPr>
                <w:noProof/>
                <w:webHidden/>
              </w:rPr>
            </w:r>
            <w:r>
              <w:rPr>
                <w:noProof/>
                <w:webHidden/>
              </w:rPr>
              <w:fldChar w:fldCharType="separate"/>
            </w:r>
            <w:r w:rsidR="00AD7FC5">
              <w:rPr>
                <w:noProof/>
                <w:webHidden/>
              </w:rPr>
              <w:t>6</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26" w:history="1">
            <w:r w:rsidR="00AD7FC5" w:rsidRPr="00F421C8">
              <w:rPr>
                <w:rStyle w:val="Hyperlink"/>
                <w:noProof/>
                <w:lang w:eastAsia="en-AU"/>
              </w:rPr>
              <w:t>3.</w:t>
            </w:r>
            <w:r w:rsidR="00AD7FC5">
              <w:rPr>
                <w:rFonts w:asciiTheme="minorHAnsi" w:eastAsiaTheme="minorEastAsia" w:hAnsiTheme="minorHAnsi" w:cstheme="minorBidi"/>
                <w:b w:val="0"/>
                <w:noProof/>
                <w:sz w:val="22"/>
                <w:lang w:eastAsia="en-AU"/>
              </w:rPr>
              <w:tab/>
            </w:r>
            <w:r w:rsidR="00AD7FC5" w:rsidRPr="00F421C8">
              <w:rPr>
                <w:rStyle w:val="Hyperlink"/>
                <w:noProof/>
                <w:lang w:eastAsia="en-AU"/>
              </w:rPr>
              <w:t>Contents of the clinical dossier</w:t>
            </w:r>
            <w:r w:rsidR="00AD7FC5">
              <w:rPr>
                <w:noProof/>
                <w:webHidden/>
              </w:rPr>
              <w:tab/>
            </w:r>
            <w:r>
              <w:rPr>
                <w:noProof/>
                <w:webHidden/>
              </w:rPr>
              <w:fldChar w:fldCharType="begin"/>
            </w:r>
            <w:r w:rsidR="00AD7FC5">
              <w:rPr>
                <w:noProof/>
                <w:webHidden/>
              </w:rPr>
              <w:instrText xml:space="preserve"> PAGEREF _Toc375123726 \h </w:instrText>
            </w:r>
            <w:r>
              <w:rPr>
                <w:noProof/>
                <w:webHidden/>
              </w:rPr>
            </w:r>
            <w:r>
              <w:rPr>
                <w:noProof/>
                <w:webHidden/>
              </w:rPr>
              <w:fldChar w:fldCharType="separate"/>
            </w:r>
            <w:r w:rsidR="00AD7FC5">
              <w:rPr>
                <w:noProof/>
                <w:webHidden/>
              </w:rPr>
              <w:t>7</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27" w:history="1">
            <w:r w:rsidR="00AD7FC5" w:rsidRPr="00F421C8">
              <w:rPr>
                <w:rStyle w:val="Hyperlink"/>
                <w:noProof/>
              </w:rPr>
              <w:t>3.1.</w:t>
            </w:r>
            <w:r w:rsidR="00AD7FC5">
              <w:rPr>
                <w:rFonts w:asciiTheme="minorHAnsi" w:eastAsiaTheme="minorEastAsia" w:hAnsiTheme="minorHAnsi" w:cstheme="minorBidi"/>
                <w:noProof/>
                <w:lang w:eastAsia="en-AU"/>
              </w:rPr>
              <w:tab/>
            </w:r>
            <w:r w:rsidR="00AD7FC5" w:rsidRPr="00F421C8">
              <w:rPr>
                <w:rStyle w:val="Hyperlink"/>
                <w:noProof/>
              </w:rPr>
              <w:t>Scope of the clinical dossier</w:t>
            </w:r>
            <w:r w:rsidR="00AD7FC5">
              <w:rPr>
                <w:noProof/>
                <w:webHidden/>
              </w:rPr>
              <w:tab/>
            </w:r>
            <w:r>
              <w:rPr>
                <w:noProof/>
                <w:webHidden/>
              </w:rPr>
              <w:fldChar w:fldCharType="begin"/>
            </w:r>
            <w:r w:rsidR="00AD7FC5">
              <w:rPr>
                <w:noProof/>
                <w:webHidden/>
              </w:rPr>
              <w:instrText xml:space="preserve"> PAGEREF _Toc375123727 \h </w:instrText>
            </w:r>
            <w:r>
              <w:rPr>
                <w:noProof/>
                <w:webHidden/>
              </w:rPr>
            </w:r>
            <w:r>
              <w:rPr>
                <w:noProof/>
                <w:webHidden/>
              </w:rPr>
              <w:fldChar w:fldCharType="separate"/>
            </w:r>
            <w:r w:rsidR="00AD7FC5">
              <w:rPr>
                <w:noProof/>
                <w:webHidden/>
              </w:rPr>
              <w:t>7</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28" w:history="1">
            <w:r w:rsidR="00AD7FC5" w:rsidRPr="00F421C8">
              <w:rPr>
                <w:rStyle w:val="Hyperlink"/>
                <w:noProof/>
              </w:rPr>
              <w:t>3.2.</w:t>
            </w:r>
            <w:r w:rsidR="00AD7FC5">
              <w:rPr>
                <w:rFonts w:asciiTheme="minorHAnsi" w:eastAsiaTheme="minorEastAsia" w:hAnsiTheme="minorHAnsi" w:cstheme="minorBidi"/>
                <w:noProof/>
                <w:lang w:eastAsia="en-AU"/>
              </w:rPr>
              <w:tab/>
            </w:r>
            <w:r w:rsidR="00AD7FC5" w:rsidRPr="00F421C8">
              <w:rPr>
                <w:rStyle w:val="Hyperlink"/>
                <w:noProof/>
              </w:rPr>
              <w:t>Paediatric data</w:t>
            </w:r>
            <w:r w:rsidR="00AD7FC5">
              <w:rPr>
                <w:noProof/>
                <w:webHidden/>
              </w:rPr>
              <w:tab/>
            </w:r>
            <w:r>
              <w:rPr>
                <w:noProof/>
                <w:webHidden/>
              </w:rPr>
              <w:fldChar w:fldCharType="begin"/>
            </w:r>
            <w:r w:rsidR="00AD7FC5">
              <w:rPr>
                <w:noProof/>
                <w:webHidden/>
              </w:rPr>
              <w:instrText xml:space="preserve"> PAGEREF _Toc375123728 \h </w:instrText>
            </w:r>
            <w:r>
              <w:rPr>
                <w:noProof/>
                <w:webHidden/>
              </w:rPr>
            </w:r>
            <w:r>
              <w:rPr>
                <w:noProof/>
                <w:webHidden/>
              </w:rPr>
              <w:fldChar w:fldCharType="separate"/>
            </w:r>
            <w:r w:rsidR="00AD7FC5">
              <w:rPr>
                <w:noProof/>
                <w:webHidden/>
              </w:rPr>
              <w:t>8</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29" w:history="1">
            <w:r w:rsidR="00AD7FC5" w:rsidRPr="00F421C8">
              <w:rPr>
                <w:rStyle w:val="Hyperlink"/>
                <w:noProof/>
              </w:rPr>
              <w:t>3.3.</w:t>
            </w:r>
            <w:r w:rsidR="00AD7FC5">
              <w:rPr>
                <w:rFonts w:asciiTheme="minorHAnsi" w:eastAsiaTheme="minorEastAsia" w:hAnsiTheme="minorHAnsi" w:cstheme="minorBidi"/>
                <w:noProof/>
                <w:lang w:eastAsia="en-AU"/>
              </w:rPr>
              <w:tab/>
            </w:r>
            <w:r w:rsidR="00AD7FC5" w:rsidRPr="00F421C8">
              <w:rPr>
                <w:rStyle w:val="Hyperlink"/>
                <w:noProof/>
              </w:rPr>
              <w:t>Good clinical practice</w:t>
            </w:r>
            <w:r w:rsidR="00AD7FC5">
              <w:rPr>
                <w:noProof/>
                <w:webHidden/>
              </w:rPr>
              <w:tab/>
            </w:r>
            <w:r>
              <w:rPr>
                <w:noProof/>
                <w:webHidden/>
              </w:rPr>
              <w:fldChar w:fldCharType="begin"/>
            </w:r>
            <w:r w:rsidR="00AD7FC5">
              <w:rPr>
                <w:noProof/>
                <w:webHidden/>
              </w:rPr>
              <w:instrText xml:space="preserve"> PAGEREF _Toc375123729 \h </w:instrText>
            </w:r>
            <w:r>
              <w:rPr>
                <w:noProof/>
                <w:webHidden/>
              </w:rPr>
            </w:r>
            <w:r>
              <w:rPr>
                <w:noProof/>
                <w:webHidden/>
              </w:rPr>
              <w:fldChar w:fldCharType="separate"/>
            </w:r>
            <w:r w:rsidR="00AD7FC5">
              <w:rPr>
                <w:noProof/>
                <w:webHidden/>
              </w:rPr>
              <w:t>8</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30" w:history="1">
            <w:r w:rsidR="00AD7FC5" w:rsidRPr="00F421C8">
              <w:rPr>
                <w:rStyle w:val="Hyperlink"/>
                <w:noProof/>
              </w:rPr>
              <w:t>4.</w:t>
            </w:r>
            <w:r w:rsidR="00AD7FC5">
              <w:rPr>
                <w:rFonts w:asciiTheme="minorHAnsi" w:eastAsiaTheme="minorEastAsia" w:hAnsiTheme="minorHAnsi" w:cstheme="minorBidi"/>
                <w:b w:val="0"/>
                <w:noProof/>
                <w:sz w:val="22"/>
                <w:lang w:eastAsia="en-AU"/>
              </w:rPr>
              <w:tab/>
            </w:r>
            <w:r w:rsidR="00AD7FC5" w:rsidRPr="00F421C8">
              <w:rPr>
                <w:rStyle w:val="Hyperlink"/>
                <w:noProof/>
              </w:rPr>
              <w:t>Pharmacokinetics</w:t>
            </w:r>
            <w:r w:rsidR="00AD7FC5">
              <w:rPr>
                <w:noProof/>
                <w:webHidden/>
              </w:rPr>
              <w:tab/>
            </w:r>
            <w:r>
              <w:rPr>
                <w:noProof/>
                <w:webHidden/>
              </w:rPr>
              <w:fldChar w:fldCharType="begin"/>
            </w:r>
            <w:r w:rsidR="00AD7FC5">
              <w:rPr>
                <w:noProof/>
                <w:webHidden/>
              </w:rPr>
              <w:instrText xml:space="preserve"> PAGEREF _Toc375123730 \h </w:instrText>
            </w:r>
            <w:r>
              <w:rPr>
                <w:noProof/>
                <w:webHidden/>
              </w:rPr>
            </w:r>
            <w:r>
              <w:rPr>
                <w:noProof/>
                <w:webHidden/>
              </w:rPr>
              <w:fldChar w:fldCharType="separate"/>
            </w:r>
            <w:r w:rsidR="00AD7FC5">
              <w:rPr>
                <w:noProof/>
                <w:webHidden/>
              </w:rPr>
              <w:t>9</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31" w:history="1">
            <w:r w:rsidR="00AD7FC5" w:rsidRPr="00F421C8">
              <w:rPr>
                <w:rStyle w:val="Hyperlink"/>
                <w:noProof/>
              </w:rPr>
              <w:t>5.</w:t>
            </w:r>
            <w:r w:rsidR="00AD7FC5">
              <w:rPr>
                <w:rFonts w:asciiTheme="minorHAnsi" w:eastAsiaTheme="minorEastAsia" w:hAnsiTheme="minorHAnsi" w:cstheme="minorBidi"/>
                <w:b w:val="0"/>
                <w:noProof/>
                <w:sz w:val="22"/>
                <w:lang w:eastAsia="en-AU"/>
              </w:rPr>
              <w:tab/>
            </w:r>
            <w:r w:rsidR="00AD7FC5" w:rsidRPr="00F421C8">
              <w:rPr>
                <w:rStyle w:val="Hyperlink"/>
                <w:noProof/>
              </w:rPr>
              <w:t>Pharmacodynamics</w:t>
            </w:r>
            <w:r w:rsidR="00AD7FC5">
              <w:rPr>
                <w:noProof/>
                <w:webHidden/>
              </w:rPr>
              <w:tab/>
            </w:r>
            <w:r>
              <w:rPr>
                <w:noProof/>
                <w:webHidden/>
              </w:rPr>
              <w:fldChar w:fldCharType="begin"/>
            </w:r>
            <w:r w:rsidR="00AD7FC5">
              <w:rPr>
                <w:noProof/>
                <w:webHidden/>
              </w:rPr>
              <w:instrText xml:space="preserve"> PAGEREF _Toc375123731 \h </w:instrText>
            </w:r>
            <w:r>
              <w:rPr>
                <w:noProof/>
                <w:webHidden/>
              </w:rPr>
            </w:r>
            <w:r>
              <w:rPr>
                <w:noProof/>
                <w:webHidden/>
              </w:rPr>
              <w:fldChar w:fldCharType="separate"/>
            </w:r>
            <w:r w:rsidR="00AD7FC5">
              <w:rPr>
                <w:noProof/>
                <w:webHidden/>
              </w:rPr>
              <w:t>9</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32" w:history="1">
            <w:r w:rsidR="00AD7FC5" w:rsidRPr="00F421C8">
              <w:rPr>
                <w:rStyle w:val="Hyperlink"/>
                <w:noProof/>
              </w:rPr>
              <w:t>5.1.</w:t>
            </w:r>
            <w:r w:rsidR="00AD7FC5">
              <w:rPr>
                <w:rFonts w:asciiTheme="minorHAnsi" w:eastAsiaTheme="minorEastAsia" w:hAnsiTheme="minorHAnsi" w:cstheme="minorBidi"/>
                <w:noProof/>
                <w:lang w:eastAsia="en-AU"/>
              </w:rPr>
              <w:tab/>
            </w:r>
            <w:r w:rsidR="00AD7FC5" w:rsidRPr="00F421C8">
              <w:rPr>
                <w:rStyle w:val="Hyperlink"/>
                <w:noProof/>
              </w:rPr>
              <w:t>Studies providing pharmacodynamic data</w:t>
            </w:r>
            <w:r w:rsidR="00AD7FC5">
              <w:rPr>
                <w:noProof/>
                <w:webHidden/>
              </w:rPr>
              <w:tab/>
            </w:r>
            <w:r>
              <w:rPr>
                <w:noProof/>
                <w:webHidden/>
              </w:rPr>
              <w:fldChar w:fldCharType="begin"/>
            </w:r>
            <w:r w:rsidR="00AD7FC5">
              <w:rPr>
                <w:noProof/>
                <w:webHidden/>
              </w:rPr>
              <w:instrText xml:space="preserve"> PAGEREF _Toc375123732 \h </w:instrText>
            </w:r>
            <w:r>
              <w:rPr>
                <w:noProof/>
                <w:webHidden/>
              </w:rPr>
            </w:r>
            <w:r>
              <w:rPr>
                <w:noProof/>
                <w:webHidden/>
              </w:rPr>
              <w:fldChar w:fldCharType="separate"/>
            </w:r>
            <w:r w:rsidR="00AD7FC5">
              <w:rPr>
                <w:noProof/>
                <w:webHidden/>
              </w:rPr>
              <w:t>9</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33" w:history="1">
            <w:r w:rsidR="00AD7FC5" w:rsidRPr="00F421C8">
              <w:rPr>
                <w:rStyle w:val="Hyperlink"/>
                <w:noProof/>
              </w:rPr>
              <w:t>5.2.</w:t>
            </w:r>
            <w:r w:rsidR="00AD7FC5">
              <w:rPr>
                <w:rFonts w:asciiTheme="minorHAnsi" w:eastAsiaTheme="minorEastAsia" w:hAnsiTheme="minorHAnsi" w:cstheme="minorBidi"/>
                <w:noProof/>
                <w:lang w:eastAsia="en-AU"/>
              </w:rPr>
              <w:tab/>
            </w:r>
            <w:r w:rsidR="00AD7FC5" w:rsidRPr="00F421C8">
              <w:rPr>
                <w:rStyle w:val="Hyperlink"/>
                <w:noProof/>
              </w:rPr>
              <w:t>Summary of pharmacodynamics</w:t>
            </w:r>
            <w:r w:rsidR="00AD7FC5">
              <w:rPr>
                <w:noProof/>
                <w:webHidden/>
              </w:rPr>
              <w:tab/>
            </w:r>
            <w:r>
              <w:rPr>
                <w:noProof/>
                <w:webHidden/>
              </w:rPr>
              <w:fldChar w:fldCharType="begin"/>
            </w:r>
            <w:r w:rsidR="00AD7FC5">
              <w:rPr>
                <w:noProof/>
                <w:webHidden/>
              </w:rPr>
              <w:instrText xml:space="preserve"> PAGEREF _Toc375123733 \h </w:instrText>
            </w:r>
            <w:r>
              <w:rPr>
                <w:noProof/>
                <w:webHidden/>
              </w:rPr>
            </w:r>
            <w:r>
              <w:rPr>
                <w:noProof/>
                <w:webHidden/>
              </w:rPr>
              <w:fldChar w:fldCharType="separate"/>
            </w:r>
            <w:r w:rsidR="00AD7FC5">
              <w:rPr>
                <w:noProof/>
                <w:webHidden/>
              </w:rPr>
              <w:t>9</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34" w:history="1">
            <w:r w:rsidR="00AD7FC5" w:rsidRPr="00F421C8">
              <w:rPr>
                <w:rStyle w:val="Hyperlink"/>
                <w:noProof/>
              </w:rPr>
              <w:t>5.3.</w:t>
            </w:r>
            <w:r w:rsidR="00AD7FC5">
              <w:rPr>
                <w:rFonts w:asciiTheme="minorHAnsi" w:eastAsiaTheme="minorEastAsia" w:hAnsiTheme="minorHAnsi" w:cstheme="minorBidi"/>
                <w:noProof/>
                <w:lang w:eastAsia="en-AU"/>
              </w:rPr>
              <w:tab/>
            </w:r>
            <w:r w:rsidR="00AD7FC5" w:rsidRPr="00F421C8">
              <w:rPr>
                <w:rStyle w:val="Hyperlink"/>
                <w:noProof/>
              </w:rPr>
              <w:t>Evaluator’s overall conclusions on pharmacodynamics</w:t>
            </w:r>
            <w:r w:rsidR="00AD7FC5">
              <w:rPr>
                <w:noProof/>
                <w:webHidden/>
              </w:rPr>
              <w:tab/>
            </w:r>
            <w:r>
              <w:rPr>
                <w:noProof/>
                <w:webHidden/>
              </w:rPr>
              <w:fldChar w:fldCharType="begin"/>
            </w:r>
            <w:r w:rsidR="00AD7FC5">
              <w:rPr>
                <w:noProof/>
                <w:webHidden/>
              </w:rPr>
              <w:instrText xml:space="preserve"> PAGEREF _Toc375123734 \h </w:instrText>
            </w:r>
            <w:r>
              <w:rPr>
                <w:noProof/>
                <w:webHidden/>
              </w:rPr>
            </w:r>
            <w:r>
              <w:rPr>
                <w:noProof/>
                <w:webHidden/>
              </w:rPr>
              <w:fldChar w:fldCharType="separate"/>
            </w:r>
            <w:r w:rsidR="00AD7FC5">
              <w:rPr>
                <w:noProof/>
                <w:webHidden/>
              </w:rPr>
              <w:t>14</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35" w:history="1">
            <w:r w:rsidR="00AD7FC5" w:rsidRPr="00F421C8">
              <w:rPr>
                <w:rStyle w:val="Hyperlink"/>
                <w:noProof/>
              </w:rPr>
              <w:t>6.</w:t>
            </w:r>
            <w:r w:rsidR="00AD7FC5">
              <w:rPr>
                <w:rFonts w:asciiTheme="minorHAnsi" w:eastAsiaTheme="minorEastAsia" w:hAnsiTheme="minorHAnsi" w:cstheme="minorBidi"/>
                <w:b w:val="0"/>
                <w:noProof/>
                <w:sz w:val="22"/>
                <w:lang w:eastAsia="en-AU"/>
              </w:rPr>
              <w:tab/>
            </w:r>
            <w:r w:rsidR="00AD7FC5" w:rsidRPr="00F421C8">
              <w:rPr>
                <w:rStyle w:val="Hyperlink"/>
                <w:noProof/>
              </w:rPr>
              <w:t>Dosage selection for the pivotal studies</w:t>
            </w:r>
            <w:r w:rsidR="00AD7FC5">
              <w:rPr>
                <w:noProof/>
                <w:webHidden/>
              </w:rPr>
              <w:tab/>
            </w:r>
            <w:r>
              <w:rPr>
                <w:noProof/>
                <w:webHidden/>
              </w:rPr>
              <w:fldChar w:fldCharType="begin"/>
            </w:r>
            <w:r w:rsidR="00AD7FC5">
              <w:rPr>
                <w:noProof/>
                <w:webHidden/>
              </w:rPr>
              <w:instrText xml:space="preserve"> PAGEREF _Toc375123735 \h </w:instrText>
            </w:r>
            <w:r>
              <w:rPr>
                <w:noProof/>
                <w:webHidden/>
              </w:rPr>
            </w:r>
            <w:r>
              <w:rPr>
                <w:noProof/>
                <w:webHidden/>
              </w:rPr>
              <w:fldChar w:fldCharType="separate"/>
            </w:r>
            <w:r w:rsidR="00AD7FC5">
              <w:rPr>
                <w:noProof/>
                <w:webHidden/>
              </w:rPr>
              <w:t>15</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36" w:history="1">
            <w:r w:rsidR="00AD7FC5" w:rsidRPr="00F421C8">
              <w:rPr>
                <w:rStyle w:val="Hyperlink"/>
                <w:noProof/>
              </w:rPr>
              <w:t>7.</w:t>
            </w:r>
            <w:r w:rsidR="00AD7FC5">
              <w:rPr>
                <w:rFonts w:asciiTheme="minorHAnsi" w:eastAsiaTheme="minorEastAsia" w:hAnsiTheme="minorHAnsi" w:cstheme="minorBidi"/>
                <w:b w:val="0"/>
                <w:noProof/>
                <w:sz w:val="22"/>
                <w:lang w:eastAsia="en-AU"/>
              </w:rPr>
              <w:tab/>
            </w:r>
            <w:r w:rsidR="00AD7FC5" w:rsidRPr="00F421C8">
              <w:rPr>
                <w:rStyle w:val="Hyperlink"/>
                <w:noProof/>
              </w:rPr>
              <w:t>Clinical efficacy</w:t>
            </w:r>
            <w:r w:rsidR="00AD7FC5">
              <w:rPr>
                <w:noProof/>
                <w:webHidden/>
              </w:rPr>
              <w:tab/>
            </w:r>
            <w:r>
              <w:rPr>
                <w:noProof/>
                <w:webHidden/>
              </w:rPr>
              <w:fldChar w:fldCharType="begin"/>
            </w:r>
            <w:r w:rsidR="00AD7FC5">
              <w:rPr>
                <w:noProof/>
                <w:webHidden/>
              </w:rPr>
              <w:instrText xml:space="preserve"> PAGEREF _Toc375123736 \h </w:instrText>
            </w:r>
            <w:r>
              <w:rPr>
                <w:noProof/>
                <w:webHidden/>
              </w:rPr>
            </w:r>
            <w:r>
              <w:rPr>
                <w:noProof/>
                <w:webHidden/>
              </w:rPr>
              <w:fldChar w:fldCharType="separate"/>
            </w:r>
            <w:r w:rsidR="00AD7FC5">
              <w:rPr>
                <w:noProof/>
                <w:webHidden/>
              </w:rPr>
              <w:t>15</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37" w:history="1">
            <w:r w:rsidR="00AD7FC5" w:rsidRPr="00F421C8">
              <w:rPr>
                <w:rStyle w:val="Hyperlink"/>
                <w:noProof/>
              </w:rPr>
              <w:t>7.1.</w:t>
            </w:r>
            <w:r w:rsidR="00AD7FC5">
              <w:rPr>
                <w:rFonts w:asciiTheme="minorHAnsi" w:eastAsiaTheme="minorEastAsia" w:hAnsiTheme="minorHAnsi" w:cstheme="minorBidi"/>
                <w:noProof/>
                <w:lang w:eastAsia="en-AU"/>
              </w:rPr>
              <w:tab/>
            </w:r>
            <w:r w:rsidR="00AD7FC5" w:rsidRPr="00F421C8">
              <w:rPr>
                <w:rStyle w:val="Hyperlink"/>
                <w:noProof/>
              </w:rPr>
              <w:t>Pivotal efficacy studies</w:t>
            </w:r>
            <w:r w:rsidR="00AD7FC5">
              <w:rPr>
                <w:noProof/>
                <w:webHidden/>
              </w:rPr>
              <w:tab/>
            </w:r>
            <w:r>
              <w:rPr>
                <w:noProof/>
                <w:webHidden/>
              </w:rPr>
              <w:fldChar w:fldCharType="begin"/>
            </w:r>
            <w:r w:rsidR="00AD7FC5">
              <w:rPr>
                <w:noProof/>
                <w:webHidden/>
              </w:rPr>
              <w:instrText xml:space="preserve"> PAGEREF _Toc375123737 \h </w:instrText>
            </w:r>
            <w:r>
              <w:rPr>
                <w:noProof/>
                <w:webHidden/>
              </w:rPr>
            </w:r>
            <w:r>
              <w:rPr>
                <w:noProof/>
                <w:webHidden/>
              </w:rPr>
              <w:fldChar w:fldCharType="separate"/>
            </w:r>
            <w:r w:rsidR="00AD7FC5">
              <w:rPr>
                <w:noProof/>
                <w:webHidden/>
              </w:rPr>
              <w:t>35</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38" w:history="1">
            <w:r w:rsidR="00AD7FC5" w:rsidRPr="00F421C8">
              <w:rPr>
                <w:rStyle w:val="Hyperlink"/>
                <w:noProof/>
              </w:rPr>
              <w:t>7.2.</w:t>
            </w:r>
            <w:r w:rsidR="00AD7FC5">
              <w:rPr>
                <w:rFonts w:asciiTheme="minorHAnsi" w:eastAsiaTheme="minorEastAsia" w:hAnsiTheme="minorHAnsi" w:cstheme="minorBidi"/>
                <w:noProof/>
                <w:lang w:eastAsia="en-AU"/>
              </w:rPr>
              <w:tab/>
            </w:r>
            <w:r w:rsidR="00AD7FC5" w:rsidRPr="00F421C8">
              <w:rPr>
                <w:rStyle w:val="Hyperlink"/>
                <w:noProof/>
              </w:rPr>
              <w:t>Other efficacy studies</w:t>
            </w:r>
            <w:r w:rsidR="00AD7FC5">
              <w:rPr>
                <w:noProof/>
                <w:webHidden/>
              </w:rPr>
              <w:tab/>
            </w:r>
            <w:r>
              <w:rPr>
                <w:noProof/>
                <w:webHidden/>
              </w:rPr>
              <w:fldChar w:fldCharType="begin"/>
            </w:r>
            <w:r w:rsidR="00AD7FC5">
              <w:rPr>
                <w:noProof/>
                <w:webHidden/>
              </w:rPr>
              <w:instrText xml:space="preserve"> PAGEREF _Toc375123738 \h </w:instrText>
            </w:r>
            <w:r>
              <w:rPr>
                <w:noProof/>
                <w:webHidden/>
              </w:rPr>
            </w:r>
            <w:r>
              <w:rPr>
                <w:noProof/>
                <w:webHidden/>
              </w:rPr>
              <w:fldChar w:fldCharType="separate"/>
            </w:r>
            <w:r w:rsidR="00AD7FC5">
              <w:rPr>
                <w:noProof/>
                <w:webHidden/>
              </w:rPr>
              <w:t>36</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39" w:history="1">
            <w:r w:rsidR="00AD7FC5" w:rsidRPr="00F421C8">
              <w:rPr>
                <w:rStyle w:val="Hyperlink"/>
                <w:noProof/>
              </w:rPr>
              <w:t>7.3.</w:t>
            </w:r>
            <w:r w:rsidR="00AD7FC5">
              <w:rPr>
                <w:rFonts w:asciiTheme="minorHAnsi" w:eastAsiaTheme="minorEastAsia" w:hAnsiTheme="minorHAnsi" w:cstheme="minorBidi"/>
                <w:noProof/>
                <w:lang w:eastAsia="en-AU"/>
              </w:rPr>
              <w:tab/>
            </w:r>
            <w:r w:rsidR="00AD7FC5" w:rsidRPr="00F421C8">
              <w:rPr>
                <w:rStyle w:val="Hyperlink"/>
                <w:noProof/>
              </w:rPr>
              <w:t>Analyses performed across trials (pooled analyses and meta-analyses)</w:t>
            </w:r>
            <w:r w:rsidR="00AD7FC5">
              <w:rPr>
                <w:noProof/>
                <w:webHidden/>
              </w:rPr>
              <w:tab/>
            </w:r>
            <w:r>
              <w:rPr>
                <w:noProof/>
                <w:webHidden/>
              </w:rPr>
              <w:fldChar w:fldCharType="begin"/>
            </w:r>
            <w:r w:rsidR="00AD7FC5">
              <w:rPr>
                <w:noProof/>
                <w:webHidden/>
              </w:rPr>
              <w:instrText xml:space="preserve"> PAGEREF _Toc375123739 \h </w:instrText>
            </w:r>
            <w:r>
              <w:rPr>
                <w:noProof/>
                <w:webHidden/>
              </w:rPr>
            </w:r>
            <w:r>
              <w:rPr>
                <w:noProof/>
                <w:webHidden/>
              </w:rPr>
              <w:fldChar w:fldCharType="separate"/>
            </w:r>
            <w:r w:rsidR="00AD7FC5">
              <w:rPr>
                <w:noProof/>
                <w:webHidden/>
              </w:rPr>
              <w:t>37</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0" w:history="1">
            <w:r w:rsidR="00AD7FC5" w:rsidRPr="00F421C8">
              <w:rPr>
                <w:rStyle w:val="Hyperlink"/>
                <w:noProof/>
              </w:rPr>
              <w:t>7.4.</w:t>
            </w:r>
            <w:r w:rsidR="00AD7FC5">
              <w:rPr>
                <w:rFonts w:asciiTheme="minorHAnsi" w:eastAsiaTheme="minorEastAsia" w:hAnsiTheme="minorHAnsi" w:cstheme="minorBidi"/>
                <w:noProof/>
                <w:lang w:eastAsia="en-AU"/>
              </w:rPr>
              <w:tab/>
            </w:r>
            <w:r w:rsidR="00AD7FC5" w:rsidRPr="00F421C8">
              <w:rPr>
                <w:rStyle w:val="Hyperlink"/>
                <w:noProof/>
              </w:rPr>
              <w:t>Evaluator’s conclusions on clinical efficacy: Conclusions on protective efficacy</w:t>
            </w:r>
            <w:r w:rsidR="00AD7FC5">
              <w:rPr>
                <w:noProof/>
                <w:webHidden/>
              </w:rPr>
              <w:tab/>
            </w:r>
            <w:r>
              <w:rPr>
                <w:noProof/>
                <w:webHidden/>
              </w:rPr>
              <w:fldChar w:fldCharType="begin"/>
            </w:r>
            <w:r w:rsidR="00AD7FC5">
              <w:rPr>
                <w:noProof/>
                <w:webHidden/>
              </w:rPr>
              <w:instrText xml:space="preserve"> PAGEREF _Toc375123740 \h </w:instrText>
            </w:r>
            <w:r>
              <w:rPr>
                <w:noProof/>
                <w:webHidden/>
              </w:rPr>
            </w:r>
            <w:r>
              <w:rPr>
                <w:noProof/>
                <w:webHidden/>
              </w:rPr>
              <w:fldChar w:fldCharType="separate"/>
            </w:r>
            <w:r w:rsidR="00AD7FC5">
              <w:rPr>
                <w:noProof/>
                <w:webHidden/>
              </w:rPr>
              <w:t>39</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41" w:history="1">
            <w:r w:rsidR="00AD7FC5" w:rsidRPr="00F421C8">
              <w:rPr>
                <w:rStyle w:val="Hyperlink"/>
                <w:noProof/>
              </w:rPr>
              <w:t>8.</w:t>
            </w:r>
            <w:r w:rsidR="00AD7FC5">
              <w:rPr>
                <w:rFonts w:asciiTheme="minorHAnsi" w:eastAsiaTheme="minorEastAsia" w:hAnsiTheme="minorHAnsi" w:cstheme="minorBidi"/>
                <w:b w:val="0"/>
                <w:noProof/>
                <w:sz w:val="22"/>
                <w:lang w:eastAsia="en-AU"/>
              </w:rPr>
              <w:tab/>
            </w:r>
            <w:r w:rsidR="00AD7FC5" w:rsidRPr="00F421C8">
              <w:rPr>
                <w:rStyle w:val="Hyperlink"/>
                <w:noProof/>
              </w:rPr>
              <w:t>Clinical safety</w:t>
            </w:r>
            <w:r w:rsidR="00AD7FC5">
              <w:rPr>
                <w:noProof/>
                <w:webHidden/>
              </w:rPr>
              <w:tab/>
            </w:r>
            <w:r>
              <w:rPr>
                <w:noProof/>
                <w:webHidden/>
              </w:rPr>
              <w:fldChar w:fldCharType="begin"/>
            </w:r>
            <w:r w:rsidR="00AD7FC5">
              <w:rPr>
                <w:noProof/>
                <w:webHidden/>
              </w:rPr>
              <w:instrText xml:space="preserve"> PAGEREF _Toc375123741 \h </w:instrText>
            </w:r>
            <w:r>
              <w:rPr>
                <w:noProof/>
                <w:webHidden/>
              </w:rPr>
            </w:r>
            <w:r>
              <w:rPr>
                <w:noProof/>
                <w:webHidden/>
              </w:rPr>
              <w:fldChar w:fldCharType="separate"/>
            </w:r>
            <w:r w:rsidR="00AD7FC5">
              <w:rPr>
                <w:noProof/>
                <w:webHidden/>
              </w:rPr>
              <w:t>40</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2" w:history="1">
            <w:r w:rsidR="00AD7FC5" w:rsidRPr="00F421C8">
              <w:rPr>
                <w:rStyle w:val="Hyperlink"/>
                <w:noProof/>
              </w:rPr>
              <w:t>8.1.</w:t>
            </w:r>
            <w:r w:rsidR="00AD7FC5">
              <w:rPr>
                <w:rFonts w:asciiTheme="minorHAnsi" w:eastAsiaTheme="minorEastAsia" w:hAnsiTheme="minorHAnsi" w:cstheme="minorBidi"/>
                <w:noProof/>
                <w:lang w:eastAsia="en-AU"/>
              </w:rPr>
              <w:tab/>
            </w:r>
            <w:r w:rsidR="00AD7FC5" w:rsidRPr="00F421C8">
              <w:rPr>
                <w:rStyle w:val="Hyperlink"/>
                <w:noProof/>
              </w:rPr>
              <w:t>Studies providing evaluable safety data</w:t>
            </w:r>
            <w:r w:rsidR="00AD7FC5">
              <w:rPr>
                <w:noProof/>
                <w:webHidden/>
              </w:rPr>
              <w:tab/>
            </w:r>
            <w:r>
              <w:rPr>
                <w:noProof/>
                <w:webHidden/>
              </w:rPr>
              <w:fldChar w:fldCharType="begin"/>
            </w:r>
            <w:r w:rsidR="00AD7FC5">
              <w:rPr>
                <w:noProof/>
                <w:webHidden/>
              </w:rPr>
              <w:instrText xml:space="preserve"> PAGEREF _Toc375123742 \h </w:instrText>
            </w:r>
            <w:r>
              <w:rPr>
                <w:noProof/>
                <w:webHidden/>
              </w:rPr>
            </w:r>
            <w:r>
              <w:rPr>
                <w:noProof/>
                <w:webHidden/>
              </w:rPr>
              <w:fldChar w:fldCharType="separate"/>
            </w:r>
            <w:r w:rsidR="00AD7FC5">
              <w:rPr>
                <w:noProof/>
                <w:webHidden/>
              </w:rPr>
              <w:t>40</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3" w:history="1">
            <w:r w:rsidR="00AD7FC5" w:rsidRPr="00F421C8">
              <w:rPr>
                <w:rStyle w:val="Hyperlink"/>
                <w:noProof/>
              </w:rPr>
              <w:t>8.2.</w:t>
            </w:r>
            <w:r w:rsidR="00AD7FC5">
              <w:rPr>
                <w:rFonts w:asciiTheme="minorHAnsi" w:eastAsiaTheme="minorEastAsia" w:hAnsiTheme="minorHAnsi" w:cstheme="minorBidi"/>
                <w:noProof/>
                <w:lang w:eastAsia="en-AU"/>
              </w:rPr>
              <w:tab/>
            </w:r>
            <w:r w:rsidR="00AD7FC5" w:rsidRPr="00F421C8">
              <w:rPr>
                <w:rStyle w:val="Hyperlink"/>
                <w:noProof/>
              </w:rPr>
              <w:t>Overall extent of exposure</w:t>
            </w:r>
            <w:r w:rsidR="00AD7FC5">
              <w:rPr>
                <w:noProof/>
                <w:webHidden/>
              </w:rPr>
              <w:tab/>
            </w:r>
            <w:r>
              <w:rPr>
                <w:noProof/>
                <w:webHidden/>
              </w:rPr>
              <w:fldChar w:fldCharType="begin"/>
            </w:r>
            <w:r w:rsidR="00AD7FC5">
              <w:rPr>
                <w:noProof/>
                <w:webHidden/>
              </w:rPr>
              <w:instrText xml:space="preserve"> PAGEREF _Toc375123743 \h </w:instrText>
            </w:r>
            <w:r>
              <w:rPr>
                <w:noProof/>
                <w:webHidden/>
              </w:rPr>
            </w:r>
            <w:r>
              <w:rPr>
                <w:noProof/>
                <w:webHidden/>
              </w:rPr>
              <w:fldChar w:fldCharType="separate"/>
            </w:r>
            <w:r w:rsidR="00AD7FC5">
              <w:rPr>
                <w:noProof/>
                <w:webHidden/>
              </w:rPr>
              <w:t>42</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4" w:history="1">
            <w:r w:rsidR="00AD7FC5" w:rsidRPr="00F421C8">
              <w:rPr>
                <w:rStyle w:val="Hyperlink"/>
                <w:noProof/>
              </w:rPr>
              <w:t>8.3.</w:t>
            </w:r>
            <w:r w:rsidR="00AD7FC5">
              <w:rPr>
                <w:rFonts w:asciiTheme="minorHAnsi" w:eastAsiaTheme="minorEastAsia" w:hAnsiTheme="minorHAnsi" w:cstheme="minorBidi"/>
                <w:noProof/>
                <w:lang w:eastAsia="en-AU"/>
              </w:rPr>
              <w:tab/>
            </w:r>
            <w:r w:rsidR="00AD7FC5" w:rsidRPr="00F421C8">
              <w:rPr>
                <w:rStyle w:val="Hyperlink"/>
                <w:noProof/>
              </w:rPr>
              <w:t>Adverse events</w:t>
            </w:r>
            <w:r w:rsidR="00AD7FC5">
              <w:rPr>
                <w:noProof/>
                <w:webHidden/>
              </w:rPr>
              <w:tab/>
            </w:r>
            <w:r>
              <w:rPr>
                <w:noProof/>
                <w:webHidden/>
              </w:rPr>
              <w:fldChar w:fldCharType="begin"/>
            </w:r>
            <w:r w:rsidR="00AD7FC5">
              <w:rPr>
                <w:noProof/>
                <w:webHidden/>
              </w:rPr>
              <w:instrText xml:space="preserve"> PAGEREF _Toc375123744 \h </w:instrText>
            </w:r>
            <w:r>
              <w:rPr>
                <w:noProof/>
                <w:webHidden/>
              </w:rPr>
            </w:r>
            <w:r>
              <w:rPr>
                <w:noProof/>
                <w:webHidden/>
              </w:rPr>
              <w:fldChar w:fldCharType="separate"/>
            </w:r>
            <w:r w:rsidR="00AD7FC5">
              <w:rPr>
                <w:noProof/>
                <w:webHidden/>
              </w:rPr>
              <w:t>42</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5" w:history="1">
            <w:r w:rsidR="00AD7FC5" w:rsidRPr="00F421C8">
              <w:rPr>
                <w:rStyle w:val="Hyperlink"/>
                <w:noProof/>
              </w:rPr>
              <w:t>8.4.</w:t>
            </w:r>
            <w:r w:rsidR="00AD7FC5">
              <w:rPr>
                <w:rFonts w:asciiTheme="minorHAnsi" w:eastAsiaTheme="minorEastAsia" w:hAnsiTheme="minorHAnsi" w:cstheme="minorBidi"/>
                <w:noProof/>
                <w:lang w:eastAsia="en-AU"/>
              </w:rPr>
              <w:tab/>
            </w:r>
            <w:r w:rsidR="00AD7FC5" w:rsidRPr="00F421C8">
              <w:rPr>
                <w:rStyle w:val="Hyperlink"/>
                <w:noProof/>
              </w:rPr>
              <w:t>Laboratory tests</w:t>
            </w:r>
            <w:r w:rsidR="00AD7FC5">
              <w:rPr>
                <w:noProof/>
                <w:webHidden/>
              </w:rPr>
              <w:tab/>
            </w:r>
            <w:r>
              <w:rPr>
                <w:noProof/>
                <w:webHidden/>
              </w:rPr>
              <w:fldChar w:fldCharType="begin"/>
            </w:r>
            <w:r w:rsidR="00AD7FC5">
              <w:rPr>
                <w:noProof/>
                <w:webHidden/>
              </w:rPr>
              <w:instrText xml:space="preserve"> PAGEREF _Toc375123745 \h </w:instrText>
            </w:r>
            <w:r>
              <w:rPr>
                <w:noProof/>
                <w:webHidden/>
              </w:rPr>
            </w:r>
            <w:r>
              <w:rPr>
                <w:noProof/>
                <w:webHidden/>
              </w:rPr>
              <w:fldChar w:fldCharType="separate"/>
            </w:r>
            <w:r w:rsidR="00AD7FC5">
              <w:rPr>
                <w:noProof/>
                <w:webHidden/>
              </w:rPr>
              <w:t>48</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6" w:history="1">
            <w:r w:rsidR="00AD7FC5" w:rsidRPr="00F421C8">
              <w:rPr>
                <w:rStyle w:val="Hyperlink"/>
                <w:noProof/>
              </w:rPr>
              <w:t>8.5.</w:t>
            </w:r>
            <w:r w:rsidR="00AD7FC5">
              <w:rPr>
                <w:rFonts w:asciiTheme="minorHAnsi" w:eastAsiaTheme="minorEastAsia" w:hAnsiTheme="minorHAnsi" w:cstheme="minorBidi"/>
                <w:noProof/>
                <w:lang w:eastAsia="en-AU"/>
              </w:rPr>
              <w:tab/>
            </w:r>
            <w:r w:rsidR="00AD7FC5" w:rsidRPr="00F421C8">
              <w:rPr>
                <w:rStyle w:val="Hyperlink"/>
                <w:noProof/>
              </w:rPr>
              <w:t>Drug-drug interactions – co-administered vaccines</w:t>
            </w:r>
            <w:r w:rsidR="00AD7FC5">
              <w:rPr>
                <w:noProof/>
                <w:webHidden/>
              </w:rPr>
              <w:tab/>
            </w:r>
            <w:r>
              <w:rPr>
                <w:noProof/>
                <w:webHidden/>
              </w:rPr>
              <w:fldChar w:fldCharType="begin"/>
            </w:r>
            <w:r w:rsidR="00AD7FC5">
              <w:rPr>
                <w:noProof/>
                <w:webHidden/>
              </w:rPr>
              <w:instrText xml:space="preserve"> PAGEREF _Toc375123746 \h </w:instrText>
            </w:r>
            <w:r>
              <w:rPr>
                <w:noProof/>
                <w:webHidden/>
              </w:rPr>
            </w:r>
            <w:r>
              <w:rPr>
                <w:noProof/>
                <w:webHidden/>
              </w:rPr>
              <w:fldChar w:fldCharType="separate"/>
            </w:r>
            <w:r w:rsidR="00AD7FC5">
              <w:rPr>
                <w:noProof/>
                <w:webHidden/>
              </w:rPr>
              <w:t>48</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7" w:history="1">
            <w:r w:rsidR="00AD7FC5" w:rsidRPr="00F421C8">
              <w:rPr>
                <w:rStyle w:val="Hyperlink"/>
                <w:noProof/>
              </w:rPr>
              <w:t>8.6.</w:t>
            </w:r>
            <w:r w:rsidR="00AD7FC5">
              <w:rPr>
                <w:rFonts w:asciiTheme="minorHAnsi" w:eastAsiaTheme="minorEastAsia" w:hAnsiTheme="minorHAnsi" w:cstheme="minorBidi"/>
                <w:noProof/>
                <w:lang w:eastAsia="en-AU"/>
              </w:rPr>
              <w:tab/>
            </w:r>
            <w:r w:rsidR="00AD7FC5" w:rsidRPr="00F421C8">
              <w:rPr>
                <w:rStyle w:val="Hyperlink"/>
                <w:noProof/>
              </w:rPr>
              <w:t>Pregnancy</w:t>
            </w:r>
            <w:r w:rsidR="00AD7FC5">
              <w:rPr>
                <w:noProof/>
                <w:webHidden/>
              </w:rPr>
              <w:tab/>
            </w:r>
            <w:r>
              <w:rPr>
                <w:noProof/>
                <w:webHidden/>
              </w:rPr>
              <w:fldChar w:fldCharType="begin"/>
            </w:r>
            <w:r w:rsidR="00AD7FC5">
              <w:rPr>
                <w:noProof/>
                <w:webHidden/>
              </w:rPr>
              <w:instrText xml:space="preserve"> PAGEREF _Toc375123747 \h </w:instrText>
            </w:r>
            <w:r>
              <w:rPr>
                <w:noProof/>
                <w:webHidden/>
              </w:rPr>
            </w:r>
            <w:r>
              <w:rPr>
                <w:noProof/>
                <w:webHidden/>
              </w:rPr>
              <w:fldChar w:fldCharType="separate"/>
            </w:r>
            <w:r w:rsidR="00AD7FC5">
              <w:rPr>
                <w:noProof/>
                <w:webHidden/>
              </w:rPr>
              <w:t>49</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8" w:history="1">
            <w:r w:rsidR="00AD7FC5" w:rsidRPr="00F421C8">
              <w:rPr>
                <w:rStyle w:val="Hyperlink"/>
                <w:noProof/>
              </w:rPr>
              <w:t>8.7.</w:t>
            </w:r>
            <w:r w:rsidR="00AD7FC5">
              <w:rPr>
                <w:rFonts w:asciiTheme="minorHAnsi" w:eastAsiaTheme="minorEastAsia" w:hAnsiTheme="minorHAnsi" w:cstheme="minorBidi"/>
                <w:noProof/>
                <w:lang w:eastAsia="en-AU"/>
              </w:rPr>
              <w:tab/>
            </w:r>
            <w:r w:rsidR="00AD7FC5" w:rsidRPr="00F421C8">
              <w:rPr>
                <w:rStyle w:val="Hyperlink"/>
                <w:noProof/>
              </w:rPr>
              <w:t>Post-marketing experience</w:t>
            </w:r>
            <w:r w:rsidR="00AD7FC5">
              <w:rPr>
                <w:noProof/>
                <w:webHidden/>
              </w:rPr>
              <w:tab/>
            </w:r>
            <w:r>
              <w:rPr>
                <w:noProof/>
                <w:webHidden/>
              </w:rPr>
              <w:fldChar w:fldCharType="begin"/>
            </w:r>
            <w:r w:rsidR="00AD7FC5">
              <w:rPr>
                <w:noProof/>
                <w:webHidden/>
              </w:rPr>
              <w:instrText xml:space="preserve"> PAGEREF _Toc375123748 \h </w:instrText>
            </w:r>
            <w:r>
              <w:rPr>
                <w:noProof/>
                <w:webHidden/>
              </w:rPr>
            </w:r>
            <w:r>
              <w:rPr>
                <w:noProof/>
                <w:webHidden/>
              </w:rPr>
              <w:fldChar w:fldCharType="separate"/>
            </w:r>
            <w:r w:rsidR="00AD7FC5">
              <w:rPr>
                <w:noProof/>
                <w:webHidden/>
              </w:rPr>
              <w:t>49</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49" w:history="1">
            <w:r w:rsidR="00AD7FC5" w:rsidRPr="00F421C8">
              <w:rPr>
                <w:rStyle w:val="Hyperlink"/>
                <w:noProof/>
              </w:rPr>
              <w:t>8.8.</w:t>
            </w:r>
            <w:r w:rsidR="00AD7FC5">
              <w:rPr>
                <w:rFonts w:asciiTheme="minorHAnsi" w:eastAsiaTheme="minorEastAsia" w:hAnsiTheme="minorHAnsi" w:cstheme="minorBidi"/>
                <w:noProof/>
                <w:lang w:eastAsia="en-AU"/>
              </w:rPr>
              <w:tab/>
            </w:r>
            <w:r w:rsidR="00AD7FC5" w:rsidRPr="00F421C8">
              <w:rPr>
                <w:rStyle w:val="Hyperlink"/>
                <w:noProof/>
              </w:rPr>
              <w:t>Safety issues with the potential for major regulatory impact</w:t>
            </w:r>
            <w:r w:rsidR="00AD7FC5">
              <w:rPr>
                <w:noProof/>
                <w:webHidden/>
              </w:rPr>
              <w:tab/>
            </w:r>
            <w:r>
              <w:rPr>
                <w:noProof/>
                <w:webHidden/>
              </w:rPr>
              <w:fldChar w:fldCharType="begin"/>
            </w:r>
            <w:r w:rsidR="00AD7FC5">
              <w:rPr>
                <w:noProof/>
                <w:webHidden/>
              </w:rPr>
              <w:instrText xml:space="preserve"> PAGEREF _Toc375123749 \h </w:instrText>
            </w:r>
            <w:r>
              <w:rPr>
                <w:noProof/>
                <w:webHidden/>
              </w:rPr>
            </w:r>
            <w:r>
              <w:rPr>
                <w:noProof/>
                <w:webHidden/>
              </w:rPr>
              <w:fldChar w:fldCharType="separate"/>
            </w:r>
            <w:r w:rsidR="00AD7FC5">
              <w:rPr>
                <w:noProof/>
                <w:webHidden/>
              </w:rPr>
              <w:t>49</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50" w:history="1">
            <w:r w:rsidR="00AD7FC5" w:rsidRPr="00F421C8">
              <w:rPr>
                <w:rStyle w:val="Hyperlink"/>
                <w:noProof/>
              </w:rPr>
              <w:t>8.9.</w:t>
            </w:r>
            <w:r w:rsidR="00AD7FC5">
              <w:rPr>
                <w:rFonts w:asciiTheme="minorHAnsi" w:eastAsiaTheme="minorEastAsia" w:hAnsiTheme="minorHAnsi" w:cstheme="minorBidi"/>
                <w:noProof/>
                <w:lang w:eastAsia="en-AU"/>
              </w:rPr>
              <w:tab/>
            </w:r>
            <w:r w:rsidR="00AD7FC5" w:rsidRPr="00F421C8">
              <w:rPr>
                <w:rStyle w:val="Hyperlink"/>
                <w:noProof/>
              </w:rPr>
              <w:t>Other safety issues</w:t>
            </w:r>
            <w:r w:rsidR="00AD7FC5">
              <w:rPr>
                <w:noProof/>
                <w:webHidden/>
              </w:rPr>
              <w:tab/>
            </w:r>
            <w:r>
              <w:rPr>
                <w:noProof/>
                <w:webHidden/>
              </w:rPr>
              <w:fldChar w:fldCharType="begin"/>
            </w:r>
            <w:r w:rsidR="00AD7FC5">
              <w:rPr>
                <w:noProof/>
                <w:webHidden/>
              </w:rPr>
              <w:instrText xml:space="preserve"> PAGEREF _Toc375123750 \h </w:instrText>
            </w:r>
            <w:r>
              <w:rPr>
                <w:noProof/>
                <w:webHidden/>
              </w:rPr>
            </w:r>
            <w:r>
              <w:rPr>
                <w:noProof/>
                <w:webHidden/>
              </w:rPr>
              <w:fldChar w:fldCharType="separate"/>
            </w:r>
            <w:r w:rsidR="00AD7FC5">
              <w:rPr>
                <w:noProof/>
                <w:webHidden/>
              </w:rPr>
              <w:t>49</w:t>
            </w:r>
            <w:r>
              <w:rPr>
                <w:noProof/>
                <w:webHidden/>
              </w:rPr>
              <w:fldChar w:fldCharType="end"/>
            </w:r>
          </w:hyperlink>
        </w:p>
        <w:p w:rsidR="00AD7FC5" w:rsidRDefault="00C131DD">
          <w:pPr>
            <w:pStyle w:val="TOC3"/>
            <w:tabs>
              <w:tab w:val="left" w:pos="1697"/>
            </w:tabs>
            <w:rPr>
              <w:rFonts w:asciiTheme="minorHAnsi" w:eastAsiaTheme="minorEastAsia" w:hAnsiTheme="minorHAnsi" w:cstheme="minorBidi"/>
              <w:noProof/>
              <w:lang w:eastAsia="en-AU"/>
            </w:rPr>
          </w:pPr>
          <w:hyperlink w:anchor="_Toc375123751" w:history="1">
            <w:r w:rsidR="00AD7FC5" w:rsidRPr="00F421C8">
              <w:rPr>
                <w:rStyle w:val="Hyperlink"/>
                <w:noProof/>
              </w:rPr>
              <w:t>8.10.</w:t>
            </w:r>
            <w:r w:rsidR="00AD7FC5">
              <w:rPr>
                <w:rFonts w:asciiTheme="minorHAnsi" w:eastAsiaTheme="minorEastAsia" w:hAnsiTheme="minorHAnsi" w:cstheme="minorBidi"/>
                <w:noProof/>
                <w:lang w:eastAsia="en-AU"/>
              </w:rPr>
              <w:tab/>
            </w:r>
            <w:r w:rsidR="00AD7FC5" w:rsidRPr="00F421C8">
              <w:rPr>
                <w:rStyle w:val="Hyperlink"/>
                <w:noProof/>
              </w:rPr>
              <w:t>Safety related to drug-drug interactions and other interactions</w:t>
            </w:r>
            <w:r w:rsidR="00AD7FC5">
              <w:rPr>
                <w:noProof/>
                <w:webHidden/>
              </w:rPr>
              <w:tab/>
            </w:r>
            <w:r>
              <w:rPr>
                <w:noProof/>
                <w:webHidden/>
              </w:rPr>
              <w:fldChar w:fldCharType="begin"/>
            </w:r>
            <w:r w:rsidR="00AD7FC5">
              <w:rPr>
                <w:noProof/>
                <w:webHidden/>
              </w:rPr>
              <w:instrText xml:space="preserve"> PAGEREF _Toc375123751 \h </w:instrText>
            </w:r>
            <w:r>
              <w:rPr>
                <w:noProof/>
                <w:webHidden/>
              </w:rPr>
            </w:r>
            <w:r>
              <w:rPr>
                <w:noProof/>
                <w:webHidden/>
              </w:rPr>
              <w:fldChar w:fldCharType="separate"/>
            </w:r>
            <w:r w:rsidR="00AD7FC5">
              <w:rPr>
                <w:noProof/>
                <w:webHidden/>
              </w:rPr>
              <w:t>50</w:t>
            </w:r>
            <w:r>
              <w:rPr>
                <w:noProof/>
                <w:webHidden/>
              </w:rPr>
              <w:fldChar w:fldCharType="end"/>
            </w:r>
          </w:hyperlink>
        </w:p>
        <w:p w:rsidR="00AD7FC5" w:rsidRDefault="00C131DD">
          <w:pPr>
            <w:pStyle w:val="TOC3"/>
            <w:tabs>
              <w:tab w:val="left" w:pos="1697"/>
            </w:tabs>
            <w:rPr>
              <w:rFonts w:asciiTheme="minorHAnsi" w:eastAsiaTheme="minorEastAsia" w:hAnsiTheme="minorHAnsi" w:cstheme="minorBidi"/>
              <w:noProof/>
              <w:lang w:eastAsia="en-AU"/>
            </w:rPr>
          </w:pPr>
          <w:hyperlink w:anchor="_Toc375123752" w:history="1">
            <w:r w:rsidR="00AD7FC5" w:rsidRPr="00F421C8">
              <w:rPr>
                <w:rStyle w:val="Hyperlink"/>
                <w:noProof/>
              </w:rPr>
              <w:t>8.11.</w:t>
            </w:r>
            <w:r w:rsidR="00AD7FC5">
              <w:rPr>
                <w:rFonts w:asciiTheme="minorHAnsi" w:eastAsiaTheme="minorEastAsia" w:hAnsiTheme="minorHAnsi" w:cstheme="minorBidi"/>
                <w:noProof/>
                <w:lang w:eastAsia="en-AU"/>
              </w:rPr>
              <w:tab/>
            </w:r>
            <w:r w:rsidR="00AD7FC5" w:rsidRPr="00F421C8">
              <w:rPr>
                <w:rStyle w:val="Hyperlink"/>
                <w:noProof/>
              </w:rPr>
              <w:t>Other safety issue</w:t>
            </w:r>
            <w:r w:rsidR="00AD7FC5">
              <w:rPr>
                <w:noProof/>
                <w:webHidden/>
              </w:rPr>
              <w:tab/>
            </w:r>
            <w:r>
              <w:rPr>
                <w:noProof/>
                <w:webHidden/>
              </w:rPr>
              <w:fldChar w:fldCharType="begin"/>
            </w:r>
            <w:r w:rsidR="00AD7FC5">
              <w:rPr>
                <w:noProof/>
                <w:webHidden/>
              </w:rPr>
              <w:instrText xml:space="preserve"> PAGEREF _Toc375123752 \h </w:instrText>
            </w:r>
            <w:r>
              <w:rPr>
                <w:noProof/>
                <w:webHidden/>
              </w:rPr>
            </w:r>
            <w:r>
              <w:rPr>
                <w:noProof/>
                <w:webHidden/>
              </w:rPr>
              <w:fldChar w:fldCharType="separate"/>
            </w:r>
            <w:r w:rsidR="00AD7FC5">
              <w:rPr>
                <w:noProof/>
                <w:webHidden/>
              </w:rPr>
              <w:t>50</w:t>
            </w:r>
            <w:r>
              <w:rPr>
                <w:noProof/>
                <w:webHidden/>
              </w:rPr>
              <w:fldChar w:fldCharType="end"/>
            </w:r>
          </w:hyperlink>
        </w:p>
        <w:p w:rsidR="00AD7FC5" w:rsidRDefault="00C131DD">
          <w:pPr>
            <w:pStyle w:val="TOC3"/>
            <w:tabs>
              <w:tab w:val="left" w:pos="1697"/>
            </w:tabs>
            <w:rPr>
              <w:rFonts w:asciiTheme="minorHAnsi" w:eastAsiaTheme="minorEastAsia" w:hAnsiTheme="minorHAnsi" w:cstheme="minorBidi"/>
              <w:noProof/>
              <w:lang w:eastAsia="en-AU"/>
            </w:rPr>
          </w:pPr>
          <w:hyperlink w:anchor="_Toc375123753" w:history="1">
            <w:r w:rsidR="00AD7FC5" w:rsidRPr="00F421C8">
              <w:rPr>
                <w:rStyle w:val="Hyperlink"/>
                <w:noProof/>
              </w:rPr>
              <w:t>8.12.</w:t>
            </w:r>
            <w:r w:rsidR="00AD7FC5">
              <w:rPr>
                <w:rFonts w:asciiTheme="minorHAnsi" w:eastAsiaTheme="minorEastAsia" w:hAnsiTheme="minorHAnsi" w:cstheme="minorBidi"/>
                <w:noProof/>
                <w:lang w:eastAsia="en-AU"/>
              </w:rPr>
              <w:tab/>
            </w:r>
            <w:r w:rsidR="00AD7FC5" w:rsidRPr="00F421C8">
              <w:rPr>
                <w:rStyle w:val="Hyperlink"/>
                <w:noProof/>
              </w:rPr>
              <w:t>Evaluator’s overall conclusions on clinical safety</w:t>
            </w:r>
            <w:r w:rsidR="00AD7FC5">
              <w:rPr>
                <w:noProof/>
                <w:webHidden/>
              </w:rPr>
              <w:tab/>
            </w:r>
            <w:r>
              <w:rPr>
                <w:noProof/>
                <w:webHidden/>
              </w:rPr>
              <w:fldChar w:fldCharType="begin"/>
            </w:r>
            <w:r w:rsidR="00AD7FC5">
              <w:rPr>
                <w:noProof/>
                <w:webHidden/>
              </w:rPr>
              <w:instrText xml:space="preserve"> PAGEREF _Toc375123753 \h </w:instrText>
            </w:r>
            <w:r>
              <w:rPr>
                <w:noProof/>
                <w:webHidden/>
              </w:rPr>
            </w:r>
            <w:r>
              <w:rPr>
                <w:noProof/>
                <w:webHidden/>
              </w:rPr>
              <w:fldChar w:fldCharType="separate"/>
            </w:r>
            <w:r w:rsidR="00AD7FC5">
              <w:rPr>
                <w:noProof/>
                <w:webHidden/>
              </w:rPr>
              <w:t>50</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54" w:history="1">
            <w:r w:rsidR="00AD7FC5" w:rsidRPr="00F421C8">
              <w:rPr>
                <w:rStyle w:val="Hyperlink"/>
                <w:noProof/>
              </w:rPr>
              <w:t>9.</w:t>
            </w:r>
            <w:r w:rsidR="00AD7FC5">
              <w:rPr>
                <w:rFonts w:asciiTheme="minorHAnsi" w:eastAsiaTheme="minorEastAsia" w:hAnsiTheme="minorHAnsi" w:cstheme="minorBidi"/>
                <w:b w:val="0"/>
                <w:noProof/>
                <w:sz w:val="22"/>
                <w:lang w:eastAsia="en-AU"/>
              </w:rPr>
              <w:tab/>
            </w:r>
            <w:r w:rsidR="00AD7FC5" w:rsidRPr="00F421C8">
              <w:rPr>
                <w:rStyle w:val="Hyperlink"/>
                <w:noProof/>
              </w:rPr>
              <w:t>First round benefit-risk assessment</w:t>
            </w:r>
            <w:r w:rsidR="00AD7FC5">
              <w:rPr>
                <w:noProof/>
                <w:webHidden/>
              </w:rPr>
              <w:tab/>
            </w:r>
            <w:r>
              <w:rPr>
                <w:noProof/>
                <w:webHidden/>
              </w:rPr>
              <w:fldChar w:fldCharType="begin"/>
            </w:r>
            <w:r w:rsidR="00AD7FC5">
              <w:rPr>
                <w:noProof/>
                <w:webHidden/>
              </w:rPr>
              <w:instrText xml:space="preserve"> PAGEREF _Toc375123754 \h </w:instrText>
            </w:r>
            <w:r>
              <w:rPr>
                <w:noProof/>
                <w:webHidden/>
              </w:rPr>
            </w:r>
            <w:r>
              <w:rPr>
                <w:noProof/>
                <w:webHidden/>
              </w:rPr>
              <w:fldChar w:fldCharType="separate"/>
            </w:r>
            <w:r w:rsidR="00AD7FC5">
              <w:rPr>
                <w:noProof/>
                <w:webHidden/>
              </w:rPr>
              <w:t>50</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55" w:history="1">
            <w:r w:rsidR="00AD7FC5" w:rsidRPr="00F421C8">
              <w:rPr>
                <w:rStyle w:val="Hyperlink"/>
                <w:noProof/>
              </w:rPr>
              <w:t>9.1.</w:t>
            </w:r>
            <w:r w:rsidR="00AD7FC5">
              <w:rPr>
                <w:rFonts w:asciiTheme="minorHAnsi" w:eastAsiaTheme="minorEastAsia" w:hAnsiTheme="minorHAnsi" w:cstheme="minorBidi"/>
                <w:noProof/>
                <w:lang w:eastAsia="en-AU"/>
              </w:rPr>
              <w:tab/>
            </w:r>
            <w:r w:rsidR="00AD7FC5" w:rsidRPr="00F421C8">
              <w:rPr>
                <w:rStyle w:val="Hyperlink"/>
                <w:noProof/>
              </w:rPr>
              <w:t>First round assessment of benefits</w:t>
            </w:r>
            <w:r w:rsidR="00AD7FC5">
              <w:rPr>
                <w:noProof/>
                <w:webHidden/>
              </w:rPr>
              <w:tab/>
            </w:r>
            <w:r>
              <w:rPr>
                <w:noProof/>
                <w:webHidden/>
              </w:rPr>
              <w:fldChar w:fldCharType="begin"/>
            </w:r>
            <w:r w:rsidR="00AD7FC5">
              <w:rPr>
                <w:noProof/>
                <w:webHidden/>
              </w:rPr>
              <w:instrText xml:space="preserve"> PAGEREF _Toc375123755 \h </w:instrText>
            </w:r>
            <w:r>
              <w:rPr>
                <w:noProof/>
                <w:webHidden/>
              </w:rPr>
            </w:r>
            <w:r>
              <w:rPr>
                <w:noProof/>
                <w:webHidden/>
              </w:rPr>
              <w:fldChar w:fldCharType="separate"/>
            </w:r>
            <w:r w:rsidR="00AD7FC5">
              <w:rPr>
                <w:noProof/>
                <w:webHidden/>
              </w:rPr>
              <w:t>50</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56" w:history="1">
            <w:r w:rsidR="00AD7FC5" w:rsidRPr="00F421C8">
              <w:rPr>
                <w:rStyle w:val="Hyperlink"/>
                <w:noProof/>
              </w:rPr>
              <w:t>9.2.</w:t>
            </w:r>
            <w:r w:rsidR="00AD7FC5">
              <w:rPr>
                <w:rFonts w:asciiTheme="minorHAnsi" w:eastAsiaTheme="minorEastAsia" w:hAnsiTheme="minorHAnsi" w:cstheme="minorBidi"/>
                <w:noProof/>
                <w:lang w:eastAsia="en-AU"/>
              </w:rPr>
              <w:tab/>
            </w:r>
            <w:r w:rsidR="00AD7FC5" w:rsidRPr="00F421C8">
              <w:rPr>
                <w:rStyle w:val="Hyperlink"/>
                <w:noProof/>
              </w:rPr>
              <w:t>First round assessment of risks</w:t>
            </w:r>
            <w:r w:rsidR="00AD7FC5">
              <w:rPr>
                <w:noProof/>
                <w:webHidden/>
              </w:rPr>
              <w:tab/>
            </w:r>
            <w:r>
              <w:rPr>
                <w:noProof/>
                <w:webHidden/>
              </w:rPr>
              <w:fldChar w:fldCharType="begin"/>
            </w:r>
            <w:r w:rsidR="00AD7FC5">
              <w:rPr>
                <w:noProof/>
                <w:webHidden/>
              </w:rPr>
              <w:instrText xml:space="preserve"> PAGEREF _Toc375123756 \h </w:instrText>
            </w:r>
            <w:r>
              <w:rPr>
                <w:noProof/>
                <w:webHidden/>
              </w:rPr>
            </w:r>
            <w:r>
              <w:rPr>
                <w:noProof/>
                <w:webHidden/>
              </w:rPr>
              <w:fldChar w:fldCharType="separate"/>
            </w:r>
            <w:r w:rsidR="00AD7FC5">
              <w:rPr>
                <w:noProof/>
                <w:webHidden/>
              </w:rPr>
              <w:t>51</w:t>
            </w:r>
            <w:r>
              <w:rPr>
                <w:noProof/>
                <w:webHidden/>
              </w:rPr>
              <w:fldChar w:fldCharType="end"/>
            </w:r>
          </w:hyperlink>
        </w:p>
        <w:p w:rsidR="00AD7FC5" w:rsidRDefault="00C131DD">
          <w:pPr>
            <w:pStyle w:val="TOC3"/>
            <w:tabs>
              <w:tab w:val="left" w:pos="1575"/>
            </w:tabs>
            <w:rPr>
              <w:rFonts w:asciiTheme="minorHAnsi" w:eastAsiaTheme="minorEastAsia" w:hAnsiTheme="minorHAnsi" w:cstheme="minorBidi"/>
              <w:noProof/>
              <w:lang w:eastAsia="en-AU"/>
            </w:rPr>
          </w:pPr>
          <w:hyperlink w:anchor="_Toc375123757" w:history="1">
            <w:r w:rsidR="00AD7FC5" w:rsidRPr="00F421C8">
              <w:rPr>
                <w:rStyle w:val="Hyperlink"/>
                <w:noProof/>
              </w:rPr>
              <w:t>9.3.</w:t>
            </w:r>
            <w:r w:rsidR="00AD7FC5">
              <w:rPr>
                <w:rFonts w:asciiTheme="minorHAnsi" w:eastAsiaTheme="minorEastAsia" w:hAnsiTheme="minorHAnsi" w:cstheme="minorBidi"/>
                <w:noProof/>
                <w:lang w:eastAsia="en-AU"/>
              </w:rPr>
              <w:tab/>
            </w:r>
            <w:r w:rsidR="00AD7FC5" w:rsidRPr="00F421C8">
              <w:rPr>
                <w:rStyle w:val="Hyperlink"/>
                <w:noProof/>
              </w:rPr>
              <w:t>First round assessment of benefit-risk balance</w:t>
            </w:r>
            <w:r w:rsidR="00AD7FC5">
              <w:rPr>
                <w:noProof/>
                <w:webHidden/>
              </w:rPr>
              <w:tab/>
            </w:r>
            <w:r>
              <w:rPr>
                <w:noProof/>
                <w:webHidden/>
              </w:rPr>
              <w:fldChar w:fldCharType="begin"/>
            </w:r>
            <w:r w:rsidR="00AD7FC5">
              <w:rPr>
                <w:noProof/>
                <w:webHidden/>
              </w:rPr>
              <w:instrText xml:space="preserve"> PAGEREF _Toc375123757 \h </w:instrText>
            </w:r>
            <w:r>
              <w:rPr>
                <w:noProof/>
                <w:webHidden/>
              </w:rPr>
            </w:r>
            <w:r>
              <w:rPr>
                <w:noProof/>
                <w:webHidden/>
              </w:rPr>
              <w:fldChar w:fldCharType="separate"/>
            </w:r>
            <w:r w:rsidR="00AD7FC5">
              <w:rPr>
                <w:noProof/>
                <w:webHidden/>
              </w:rPr>
              <w:t>51</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58" w:history="1">
            <w:r w:rsidR="00AD7FC5" w:rsidRPr="00F421C8">
              <w:rPr>
                <w:rStyle w:val="Hyperlink"/>
                <w:noProof/>
              </w:rPr>
              <w:t>10.</w:t>
            </w:r>
            <w:r w:rsidR="00AD7FC5">
              <w:rPr>
                <w:rFonts w:asciiTheme="minorHAnsi" w:eastAsiaTheme="minorEastAsia" w:hAnsiTheme="minorHAnsi" w:cstheme="minorBidi"/>
                <w:b w:val="0"/>
                <w:noProof/>
                <w:sz w:val="22"/>
                <w:lang w:eastAsia="en-AU"/>
              </w:rPr>
              <w:tab/>
            </w:r>
            <w:r w:rsidR="00AD7FC5" w:rsidRPr="00F421C8">
              <w:rPr>
                <w:rStyle w:val="Hyperlink"/>
                <w:noProof/>
              </w:rPr>
              <w:t>First round recommendation regarding authorisation</w:t>
            </w:r>
            <w:r w:rsidR="00AD7FC5">
              <w:rPr>
                <w:noProof/>
                <w:webHidden/>
              </w:rPr>
              <w:tab/>
            </w:r>
            <w:r>
              <w:rPr>
                <w:noProof/>
                <w:webHidden/>
              </w:rPr>
              <w:fldChar w:fldCharType="begin"/>
            </w:r>
            <w:r w:rsidR="00AD7FC5">
              <w:rPr>
                <w:noProof/>
                <w:webHidden/>
              </w:rPr>
              <w:instrText xml:space="preserve"> PAGEREF _Toc375123758 \h </w:instrText>
            </w:r>
            <w:r>
              <w:rPr>
                <w:noProof/>
                <w:webHidden/>
              </w:rPr>
            </w:r>
            <w:r>
              <w:rPr>
                <w:noProof/>
                <w:webHidden/>
              </w:rPr>
              <w:fldChar w:fldCharType="separate"/>
            </w:r>
            <w:r w:rsidR="00AD7FC5">
              <w:rPr>
                <w:noProof/>
                <w:webHidden/>
              </w:rPr>
              <w:t>51</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59" w:history="1">
            <w:r w:rsidR="00AD7FC5" w:rsidRPr="00F421C8">
              <w:rPr>
                <w:rStyle w:val="Hyperlink"/>
                <w:noProof/>
              </w:rPr>
              <w:t>11.</w:t>
            </w:r>
            <w:r w:rsidR="00AD7FC5">
              <w:rPr>
                <w:rFonts w:asciiTheme="minorHAnsi" w:eastAsiaTheme="minorEastAsia" w:hAnsiTheme="minorHAnsi" w:cstheme="minorBidi"/>
                <w:b w:val="0"/>
                <w:noProof/>
                <w:sz w:val="22"/>
                <w:lang w:eastAsia="en-AU"/>
              </w:rPr>
              <w:tab/>
            </w:r>
            <w:r w:rsidR="00AD7FC5" w:rsidRPr="00F421C8">
              <w:rPr>
                <w:rStyle w:val="Hyperlink"/>
                <w:noProof/>
              </w:rPr>
              <w:t>Clinical questions</w:t>
            </w:r>
            <w:r w:rsidR="00AD7FC5">
              <w:rPr>
                <w:noProof/>
                <w:webHidden/>
              </w:rPr>
              <w:tab/>
            </w:r>
            <w:r>
              <w:rPr>
                <w:noProof/>
                <w:webHidden/>
              </w:rPr>
              <w:fldChar w:fldCharType="begin"/>
            </w:r>
            <w:r w:rsidR="00AD7FC5">
              <w:rPr>
                <w:noProof/>
                <w:webHidden/>
              </w:rPr>
              <w:instrText xml:space="preserve"> PAGEREF _Toc375123759 \h </w:instrText>
            </w:r>
            <w:r>
              <w:rPr>
                <w:noProof/>
                <w:webHidden/>
              </w:rPr>
            </w:r>
            <w:r>
              <w:rPr>
                <w:noProof/>
                <w:webHidden/>
              </w:rPr>
              <w:fldChar w:fldCharType="separate"/>
            </w:r>
            <w:r w:rsidR="00AD7FC5">
              <w:rPr>
                <w:noProof/>
                <w:webHidden/>
              </w:rPr>
              <w:t>51</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60" w:history="1">
            <w:r w:rsidR="00AD7FC5" w:rsidRPr="00F421C8">
              <w:rPr>
                <w:rStyle w:val="Hyperlink"/>
                <w:noProof/>
              </w:rPr>
              <w:t>12.</w:t>
            </w:r>
            <w:r w:rsidR="00AD7FC5">
              <w:rPr>
                <w:rFonts w:asciiTheme="minorHAnsi" w:eastAsiaTheme="minorEastAsia" w:hAnsiTheme="minorHAnsi" w:cstheme="minorBidi"/>
                <w:b w:val="0"/>
                <w:noProof/>
                <w:sz w:val="22"/>
                <w:lang w:eastAsia="en-AU"/>
              </w:rPr>
              <w:tab/>
            </w:r>
            <w:r w:rsidR="00AD7FC5" w:rsidRPr="00F421C8">
              <w:rPr>
                <w:rStyle w:val="Hyperlink"/>
                <w:noProof/>
              </w:rPr>
              <w:t>Second round evaluation of clinical data submitted in response to questions</w:t>
            </w:r>
            <w:r w:rsidR="00AD7FC5">
              <w:rPr>
                <w:noProof/>
                <w:webHidden/>
              </w:rPr>
              <w:tab/>
            </w:r>
            <w:r>
              <w:rPr>
                <w:noProof/>
                <w:webHidden/>
              </w:rPr>
              <w:fldChar w:fldCharType="begin"/>
            </w:r>
            <w:r w:rsidR="00AD7FC5">
              <w:rPr>
                <w:noProof/>
                <w:webHidden/>
              </w:rPr>
              <w:instrText xml:space="preserve"> PAGEREF _Toc375123760 \h </w:instrText>
            </w:r>
            <w:r>
              <w:rPr>
                <w:noProof/>
                <w:webHidden/>
              </w:rPr>
            </w:r>
            <w:r>
              <w:rPr>
                <w:noProof/>
                <w:webHidden/>
              </w:rPr>
              <w:fldChar w:fldCharType="separate"/>
            </w:r>
            <w:r w:rsidR="00AD7FC5">
              <w:rPr>
                <w:noProof/>
                <w:webHidden/>
              </w:rPr>
              <w:t>51</w:t>
            </w:r>
            <w:r>
              <w:rPr>
                <w:noProof/>
                <w:webHidden/>
              </w:rPr>
              <w:fldChar w:fldCharType="end"/>
            </w:r>
          </w:hyperlink>
        </w:p>
        <w:p w:rsidR="00AD7FC5" w:rsidRDefault="00C131DD">
          <w:pPr>
            <w:pStyle w:val="TOC2"/>
            <w:tabs>
              <w:tab w:val="left" w:pos="1247"/>
            </w:tabs>
            <w:rPr>
              <w:rFonts w:asciiTheme="minorHAnsi" w:eastAsiaTheme="minorEastAsia" w:hAnsiTheme="minorHAnsi" w:cstheme="minorBidi"/>
              <w:b w:val="0"/>
              <w:noProof/>
              <w:sz w:val="22"/>
              <w:lang w:eastAsia="en-AU"/>
            </w:rPr>
          </w:pPr>
          <w:hyperlink w:anchor="_Toc375123761" w:history="1">
            <w:r w:rsidR="00AD7FC5" w:rsidRPr="00F421C8">
              <w:rPr>
                <w:rStyle w:val="Hyperlink"/>
                <w:noProof/>
              </w:rPr>
              <w:t>13.</w:t>
            </w:r>
            <w:r w:rsidR="00AD7FC5">
              <w:rPr>
                <w:rFonts w:asciiTheme="minorHAnsi" w:eastAsiaTheme="minorEastAsia" w:hAnsiTheme="minorHAnsi" w:cstheme="minorBidi"/>
                <w:b w:val="0"/>
                <w:noProof/>
                <w:sz w:val="22"/>
                <w:lang w:eastAsia="en-AU"/>
              </w:rPr>
              <w:tab/>
            </w:r>
            <w:r w:rsidR="00AD7FC5" w:rsidRPr="00F421C8">
              <w:rPr>
                <w:rStyle w:val="Hyperlink"/>
                <w:noProof/>
              </w:rPr>
              <w:t>References</w:t>
            </w:r>
            <w:r w:rsidR="00AD7FC5">
              <w:rPr>
                <w:noProof/>
                <w:webHidden/>
              </w:rPr>
              <w:tab/>
            </w:r>
            <w:r>
              <w:rPr>
                <w:noProof/>
                <w:webHidden/>
              </w:rPr>
              <w:fldChar w:fldCharType="begin"/>
            </w:r>
            <w:r w:rsidR="00AD7FC5">
              <w:rPr>
                <w:noProof/>
                <w:webHidden/>
              </w:rPr>
              <w:instrText xml:space="preserve"> PAGEREF _Toc375123761 \h </w:instrText>
            </w:r>
            <w:r>
              <w:rPr>
                <w:noProof/>
                <w:webHidden/>
              </w:rPr>
            </w:r>
            <w:r>
              <w:rPr>
                <w:noProof/>
                <w:webHidden/>
              </w:rPr>
              <w:fldChar w:fldCharType="separate"/>
            </w:r>
            <w:r w:rsidR="00AD7FC5">
              <w:rPr>
                <w:noProof/>
                <w:webHidden/>
              </w:rPr>
              <w:t>51</w:t>
            </w:r>
            <w:r>
              <w:rPr>
                <w:noProof/>
                <w:webHidden/>
              </w:rPr>
              <w:fldChar w:fldCharType="end"/>
            </w:r>
          </w:hyperlink>
        </w:p>
        <w:p w:rsidR="003A7F6C" w:rsidRPr="00B811C6" w:rsidRDefault="00C131DD" w:rsidP="00B811C6">
          <w:pPr>
            <w:pStyle w:val="TOC2"/>
          </w:pPr>
          <w:r>
            <w:fldChar w:fldCharType="end"/>
          </w:r>
        </w:p>
      </w:sdtContent>
    </w:sdt>
    <w:bookmarkStart w:id="2" w:name="_Toc314842482" w:displacedByCustomXml="prev"/>
    <w:p w:rsidR="00586F98" w:rsidRDefault="00586F98" w:rsidP="006239E0">
      <w:pPr>
        <w:pStyle w:val="Heading2"/>
        <w:numPr>
          <w:ilvl w:val="0"/>
          <w:numId w:val="0"/>
        </w:numPr>
      </w:pPr>
      <w:bookmarkStart w:id="3" w:name="_Toc351716269"/>
      <w:bookmarkStart w:id="4" w:name="_Toc351718881"/>
      <w:bookmarkStart w:id="5" w:name="_Toc355338616"/>
      <w:bookmarkStart w:id="6" w:name="_Toc375123723"/>
      <w:r>
        <w:t>List of abbreviations</w:t>
      </w:r>
      <w:bookmarkEnd w:id="3"/>
      <w:bookmarkEnd w:id="4"/>
      <w:bookmarkEnd w:id="5"/>
      <w:bookmarkEnd w:id="6"/>
    </w:p>
    <w:tbl>
      <w:tblPr>
        <w:tblStyle w:val="TableTGAblue"/>
        <w:tblW w:w="8801" w:type="dxa"/>
        <w:tblLook w:val="04A0"/>
      </w:tblPr>
      <w:tblGrid>
        <w:gridCol w:w="1951"/>
        <w:gridCol w:w="6850"/>
      </w:tblGrid>
      <w:tr w:rsidR="00586F98" w:rsidTr="000D5093">
        <w:trPr>
          <w:cnfStyle w:val="100000000000"/>
          <w:tblHeader/>
        </w:trPr>
        <w:tc>
          <w:tcPr>
            <w:cnfStyle w:val="001000000000"/>
            <w:tcW w:w="1951" w:type="dxa"/>
          </w:tcPr>
          <w:p w:rsidR="00586F98" w:rsidRDefault="00586F98" w:rsidP="006239E0">
            <w:r>
              <w:t>Abbreviation</w:t>
            </w:r>
          </w:p>
        </w:tc>
        <w:tc>
          <w:tcPr>
            <w:tcW w:w="6850" w:type="dxa"/>
          </w:tcPr>
          <w:p w:rsidR="00586F98" w:rsidRDefault="00586F98" w:rsidP="006239E0">
            <w:pPr>
              <w:cnfStyle w:val="100000000000"/>
            </w:pPr>
            <w:r>
              <w:t>Meaning</w:t>
            </w:r>
          </w:p>
        </w:tc>
      </w:tr>
      <w:tr w:rsidR="000D5093" w:rsidRPr="00E62198" w:rsidTr="000D5093">
        <w:tc>
          <w:tcPr>
            <w:cnfStyle w:val="001000000000"/>
            <w:tcW w:w="1951" w:type="dxa"/>
          </w:tcPr>
          <w:p w:rsidR="000D5093" w:rsidRPr="00E62198" w:rsidRDefault="000D5093" w:rsidP="006239E0">
            <w:r w:rsidRPr="00E62198">
              <w:t>AE</w:t>
            </w:r>
          </w:p>
        </w:tc>
        <w:tc>
          <w:tcPr>
            <w:tcW w:w="6850" w:type="dxa"/>
          </w:tcPr>
          <w:p w:rsidR="000D5093" w:rsidRPr="00E62198" w:rsidRDefault="000D5093" w:rsidP="006239E0">
            <w:pPr>
              <w:cnfStyle w:val="000000000000"/>
            </w:pPr>
            <w:r w:rsidRPr="00E62198">
              <w:t>adverse event</w:t>
            </w:r>
          </w:p>
        </w:tc>
      </w:tr>
      <w:tr w:rsidR="000D5093" w:rsidRPr="00E62198" w:rsidTr="000D5093">
        <w:tc>
          <w:tcPr>
            <w:cnfStyle w:val="001000000000"/>
            <w:tcW w:w="1951" w:type="dxa"/>
          </w:tcPr>
          <w:p w:rsidR="000D5093" w:rsidRPr="00E62198" w:rsidRDefault="000D5093" w:rsidP="006239E0">
            <w:r w:rsidRPr="00E62198">
              <w:t>anti-HA</w:t>
            </w:r>
          </w:p>
        </w:tc>
        <w:tc>
          <w:tcPr>
            <w:tcW w:w="6850" w:type="dxa"/>
          </w:tcPr>
          <w:p w:rsidR="000D5093" w:rsidRPr="00E62198" w:rsidRDefault="000D5093" w:rsidP="006239E0">
            <w:pPr>
              <w:cnfStyle w:val="000000000000"/>
            </w:pPr>
            <w:r w:rsidRPr="00E62198">
              <w:t>anti-HA Anti-</w:t>
            </w:r>
            <w:proofErr w:type="spellStart"/>
            <w:r w:rsidRPr="00E62198">
              <w:t>haemagglutinin</w:t>
            </w:r>
            <w:proofErr w:type="spellEnd"/>
          </w:p>
        </w:tc>
      </w:tr>
      <w:tr w:rsidR="000D5093" w:rsidRPr="00E62198" w:rsidTr="000D5093">
        <w:tc>
          <w:tcPr>
            <w:cnfStyle w:val="001000000000"/>
            <w:tcW w:w="1951" w:type="dxa"/>
          </w:tcPr>
          <w:p w:rsidR="000D5093" w:rsidRPr="00E62198" w:rsidRDefault="000D5093" w:rsidP="006239E0">
            <w:r w:rsidRPr="00E62198">
              <w:t>ATP</w:t>
            </w:r>
          </w:p>
        </w:tc>
        <w:tc>
          <w:tcPr>
            <w:tcW w:w="6850" w:type="dxa"/>
          </w:tcPr>
          <w:p w:rsidR="000D5093" w:rsidRPr="00E62198" w:rsidRDefault="000D5093" w:rsidP="006239E0">
            <w:pPr>
              <w:cnfStyle w:val="000000000000"/>
            </w:pPr>
            <w:r w:rsidRPr="00E62198">
              <w:t>According To Protocol</w:t>
            </w:r>
          </w:p>
        </w:tc>
      </w:tr>
      <w:tr w:rsidR="000D5093" w:rsidRPr="00E62198" w:rsidTr="000D5093">
        <w:tc>
          <w:tcPr>
            <w:cnfStyle w:val="001000000000"/>
            <w:tcW w:w="1951" w:type="dxa"/>
          </w:tcPr>
          <w:p w:rsidR="000D5093" w:rsidRPr="00E62198" w:rsidRDefault="000D5093" w:rsidP="006239E0">
            <w:r w:rsidRPr="00E62198">
              <w:t xml:space="preserve">CDC </w:t>
            </w:r>
          </w:p>
        </w:tc>
        <w:tc>
          <w:tcPr>
            <w:tcW w:w="6850" w:type="dxa"/>
          </w:tcPr>
          <w:p w:rsidR="000D5093" w:rsidRPr="00E62198" w:rsidRDefault="000D5093" w:rsidP="006239E0">
            <w:pPr>
              <w:cnfStyle w:val="000000000000"/>
            </w:pPr>
            <w:proofErr w:type="spellStart"/>
            <w:r w:rsidRPr="00E62198">
              <w:t>Centers</w:t>
            </w:r>
            <w:proofErr w:type="spellEnd"/>
            <w:r w:rsidRPr="00E62198">
              <w:t xml:space="preserve"> of Disease Control and Prevention</w:t>
            </w:r>
          </w:p>
        </w:tc>
      </w:tr>
      <w:tr w:rsidR="000D5093" w:rsidRPr="00E62198" w:rsidTr="000D5093">
        <w:trPr>
          <w:trHeight w:val="317"/>
        </w:trPr>
        <w:tc>
          <w:tcPr>
            <w:cnfStyle w:val="001000000000"/>
            <w:tcW w:w="1951" w:type="dxa"/>
          </w:tcPr>
          <w:p w:rsidR="000D5093" w:rsidRPr="00E62198" w:rsidRDefault="000D5093" w:rsidP="006239E0">
            <w:r w:rsidRPr="00E62198">
              <w:t>CHMP (CPMP)</w:t>
            </w:r>
          </w:p>
        </w:tc>
        <w:tc>
          <w:tcPr>
            <w:tcW w:w="6850" w:type="dxa"/>
          </w:tcPr>
          <w:p w:rsidR="000D5093" w:rsidRPr="00E62198" w:rsidRDefault="000D5093" w:rsidP="006239E0">
            <w:pPr>
              <w:cnfStyle w:val="000000000000"/>
            </w:pPr>
            <w:r w:rsidRPr="00E62198">
              <w:t>Committee for Medicinal Products for Human Use</w:t>
            </w:r>
          </w:p>
        </w:tc>
      </w:tr>
      <w:tr w:rsidR="000D5093" w:rsidRPr="00E62198" w:rsidTr="000D5093">
        <w:tc>
          <w:tcPr>
            <w:cnfStyle w:val="001000000000"/>
            <w:tcW w:w="1951" w:type="dxa"/>
          </w:tcPr>
          <w:p w:rsidR="000D5093" w:rsidRPr="00E62198" w:rsidRDefault="000D5093" w:rsidP="006239E0">
            <w:r w:rsidRPr="00E62198">
              <w:t xml:space="preserve">CI </w:t>
            </w:r>
          </w:p>
        </w:tc>
        <w:tc>
          <w:tcPr>
            <w:tcW w:w="6850" w:type="dxa"/>
          </w:tcPr>
          <w:p w:rsidR="000D5093" w:rsidRPr="00E62198" w:rsidRDefault="000D5093" w:rsidP="006239E0">
            <w:pPr>
              <w:cnfStyle w:val="000000000000"/>
            </w:pPr>
            <w:r w:rsidRPr="00E62198">
              <w:t>Confidence Interval</w:t>
            </w:r>
          </w:p>
        </w:tc>
      </w:tr>
      <w:tr w:rsidR="000D5093" w:rsidRPr="00E62198" w:rsidTr="000D5093">
        <w:tc>
          <w:tcPr>
            <w:cnfStyle w:val="001000000000"/>
            <w:tcW w:w="1951" w:type="dxa"/>
          </w:tcPr>
          <w:p w:rsidR="000D5093" w:rsidRPr="00E62198" w:rsidRDefault="000D5093" w:rsidP="006239E0">
            <w:r w:rsidRPr="00E62198">
              <w:t>D</w:t>
            </w:r>
          </w:p>
        </w:tc>
        <w:tc>
          <w:tcPr>
            <w:tcW w:w="6850" w:type="dxa"/>
          </w:tcPr>
          <w:p w:rsidR="000D5093" w:rsidRPr="00E62198" w:rsidRDefault="000D5093" w:rsidP="006239E0">
            <w:pPr>
              <w:cnfStyle w:val="000000000000"/>
            </w:pPr>
            <w:r w:rsidRPr="00E62198">
              <w:t>Diphtheria</w:t>
            </w:r>
          </w:p>
        </w:tc>
      </w:tr>
      <w:tr w:rsidR="000D5093" w:rsidRPr="00E62198" w:rsidTr="000D5093">
        <w:tc>
          <w:tcPr>
            <w:cnfStyle w:val="001000000000"/>
            <w:tcW w:w="1951" w:type="dxa"/>
          </w:tcPr>
          <w:p w:rsidR="000D5093" w:rsidRPr="00E62198" w:rsidRDefault="000D5093" w:rsidP="006239E0">
            <w:r w:rsidRPr="00E62198">
              <w:t xml:space="preserve">DNA </w:t>
            </w:r>
          </w:p>
        </w:tc>
        <w:tc>
          <w:tcPr>
            <w:tcW w:w="6850" w:type="dxa"/>
          </w:tcPr>
          <w:p w:rsidR="000D5093" w:rsidRPr="00E62198" w:rsidRDefault="000D5093" w:rsidP="006239E0">
            <w:pPr>
              <w:cnfStyle w:val="000000000000"/>
            </w:pPr>
            <w:proofErr w:type="spellStart"/>
            <w:r w:rsidRPr="00E62198">
              <w:t>Desox</w:t>
            </w:r>
            <w:r w:rsidR="00396F90">
              <w:t>year</w:t>
            </w:r>
            <w:r w:rsidRPr="00E62198">
              <w:t>ibonucleic</w:t>
            </w:r>
            <w:proofErr w:type="spellEnd"/>
            <w:r w:rsidRPr="00E62198">
              <w:t xml:space="preserve"> Acid</w:t>
            </w:r>
          </w:p>
        </w:tc>
      </w:tr>
      <w:tr w:rsidR="000D5093" w:rsidRPr="00E62198" w:rsidTr="000D5093">
        <w:tc>
          <w:tcPr>
            <w:cnfStyle w:val="001000000000"/>
            <w:tcW w:w="1951" w:type="dxa"/>
          </w:tcPr>
          <w:p w:rsidR="000D5093" w:rsidRPr="00E62198" w:rsidRDefault="000D5093" w:rsidP="006239E0">
            <w:r w:rsidRPr="00E62198">
              <w:t xml:space="preserve">DPA </w:t>
            </w:r>
          </w:p>
        </w:tc>
        <w:tc>
          <w:tcPr>
            <w:tcW w:w="6850" w:type="dxa"/>
          </w:tcPr>
          <w:p w:rsidR="000D5093" w:rsidRPr="00E62198" w:rsidRDefault="000D5093" w:rsidP="006239E0">
            <w:pPr>
              <w:cnfStyle w:val="000000000000"/>
            </w:pPr>
            <w:proofErr w:type="spellStart"/>
            <w:r w:rsidRPr="00E62198">
              <w:t>Disproportionality</w:t>
            </w:r>
            <w:proofErr w:type="spellEnd"/>
            <w:r w:rsidRPr="00E62198">
              <w:t xml:space="preserve"> Analyses</w:t>
            </w:r>
          </w:p>
        </w:tc>
      </w:tr>
      <w:tr w:rsidR="000D5093" w:rsidRPr="00E62198" w:rsidTr="000D5093">
        <w:tc>
          <w:tcPr>
            <w:cnfStyle w:val="001000000000"/>
            <w:tcW w:w="1951" w:type="dxa"/>
          </w:tcPr>
          <w:p w:rsidR="000D5093" w:rsidRPr="00E62198" w:rsidRDefault="000D5093" w:rsidP="006239E0">
            <w:r w:rsidRPr="00E62198">
              <w:t>ELISA</w:t>
            </w:r>
          </w:p>
        </w:tc>
        <w:tc>
          <w:tcPr>
            <w:tcW w:w="6850" w:type="dxa"/>
          </w:tcPr>
          <w:p w:rsidR="000D5093" w:rsidRPr="00E62198" w:rsidRDefault="000D5093" w:rsidP="006239E0">
            <w:pPr>
              <w:cnfStyle w:val="000000000000"/>
            </w:pPr>
            <w:r w:rsidRPr="00E62198">
              <w:t xml:space="preserve">Enzyme-linked </w:t>
            </w:r>
            <w:proofErr w:type="spellStart"/>
            <w:r w:rsidRPr="00E62198">
              <w:t>immunosorbent</w:t>
            </w:r>
            <w:proofErr w:type="spellEnd"/>
            <w:r w:rsidRPr="00E62198">
              <w:t xml:space="preserve"> assay</w:t>
            </w:r>
          </w:p>
        </w:tc>
      </w:tr>
      <w:tr w:rsidR="000D5093" w:rsidRPr="00E62198" w:rsidTr="000D5093">
        <w:tc>
          <w:tcPr>
            <w:cnfStyle w:val="001000000000"/>
            <w:tcW w:w="1951" w:type="dxa"/>
          </w:tcPr>
          <w:p w:rsidR="000D5093" w:rsidRPr="00E62198" w:rsidRDefault="000D5093" w:rsidP="006239E0">
            <w:r w:rsidRPr="00E62198">
              <w:t xml:space="preserve">EU </w:t>
            </w:r>
          </w:p>
        </w:tc>
        <w:tc>
          <w:tcPr>
            <w:tcW w:w="6850" w:type="dxa"/>
          </w:tcPr>
          <w:p w:rsidR="000D5093" w:rsidRPr="00E62198" w:rsidRDefault="000D5093" w:rsidP="006239E0">
            <w:pPr>
              <w:cnfStyle w:val="000000000000"/>
            </w:pPr>
            <w:r w:rsidRPr="00E62198">
              <w:t>European Union</w:t>
            </w:r>
          </w:p>
        </w:tc>
      </w:tr>
      <w:tr w:rsidR="000D5093" w:rsidRPr="00E62198" w:rsidTr="000D5093">
        <w:tc>
          <w:tcPr>
            <w:cnfStyle w:val="001000000000"/>
            <w:tcW w:w="1951" w:type="dxa"/>
          </w:tcPr>
          <w:p w:rsidR="000D5093" w:rsidRPr="00E62198" w:rsidRDefault="000D5093" w:rsidP="006239E0">
            <w:proofErr w:type="spellStart"/>
            <w:r w:rsidRPr="00E62198">
              <w:t>eCRF</w:t>
            </w:r>
            <w:proofErr w:type="spellEnd"/>
          </w:p>
        </w:tc>
        <w:tc>
          <w:tcPr>
            <w:tcW w:w="6850" w:type="dxa"/>
          </w:tcPr>
          <w:p w:rsidR="000D5093" w:rsidRPr="00E62198" w:rsidRDefault="000D5093" w:rsidP="006239E0">
            <w:pPr>
              <w:cnfStyle w:val="000000000000"/>
            </w:pPr>
            <w:r w:rsidRPr="00E62198">
              <w:t>electronic Case Report Form</w:t>
            </w:r>
          </w:p>
        </w:tc>
      </w:tr>
      <w:tr w:rsidR="000D5093" w:rsidRPr="00E62198" w:rsidTr="000D5093">
        <w:tc>
          <w:tcPr>
            <w:cnfStyle w:val="001000000000"/>
            <w:tcW w:w="1951" w:type="dxa"/>
          </w:tcPr>
          <w:p w:rsidR="000D5093" w:rsidRPr="00E62198" w:rsidRDefault="000D5093" w:rsidP="006239E0">
            <w:r w:rsidRPr="00E62198">
              <w:t>FDA</w:t>
            </w:r>
          </w:p>
        </w:tc>
        <w:tc>
          <w:tcPr>
            <w:tcW w:w="6850" w:type="dxa"/>
          </w:tcPr>
          <w:p w:rsidR="000D5093" w:rsidRPr="00E62198" w:rsidRDefault="000D5093" w:rsidP="006239E0">
            <w:pPr>
              <w:cnfStyle w:val="000000000000"/>
            </w:pPr>
            <w:r w:rsidRPr="00E62198">
              <w:t>Food and Drug Administration</w:t>
            </w:r>
          </w:p>
        </w:tc>
      </w:tr>
      <w:tr w:rsidR="000D5093" w:rsidRPr="00E62198" w:rsidTr="000D5093">
        <w:tc>
          <w:tcPr>
            <w:cnfStyle w:val="001000000000"/>
            <w:tcW w:w="1951" w:type="dxa"/>
          </w:tcPr>
          <w:p w:rsidR="000D5093" w:rsidRPr="00E62198" w:rsidRDefault="000D5093" w:rsidP="006239E0">
            <w:r w:rsidRPr="00E62198">
              <w:t>FHA</w:t>
            </w:r>
          </w:p>
        </w:tc>
        <w:tc>
          <w:tcPr>
            <w:tcW w:w="6850" w:type="dxa"/>
          </w:tcPr>
          <w:p w:rsidR="000D5093" w:rsidRPr="00E62198" w:rsidRDefault="000D5093" w:rsidP="006239E0">
            <w:pPr>
              <w:cnfStyle w:val="000000000000"/>
            </w:pPr>
            <w:r w:rsidRPr="00E62198">
              <w:t xml:space="preserve">Filamentous </w:t>
            </w:r>
            <w:proofErr w:type="spellStart"/>
            <w:r w:rsidRPr="00E62198">
              <w:t>hemagglutitnin</w:t>
            </w:r>
            <w:proofErr w:type="spellEnd"/>
          </w:p>
        </w:tc>
      </w:tr>
      <w:tr w:rsidR="000D5093" w:rsidRPr="00E62198" w:rsidTr="000D5093">
        <w:tc>
          <w:tcPr>
            <w:cnfStyle w:val="001000000000"/>
            <w:tcW w:w="1951" w:type="dxa"/>
          </w:tcPr>
          <w:p w:rsidR="000D5093" w:rsidRPr="00E62198" w:rsidRDefault="000D5093" w:rsidP="006239E0">
            <w:r w:rsidRPr="00E62198">
              <w:t>GBS</w:t>
            </w:r>
          </w:p>
        </w:tc>
        <w:tc>
          <w:tcPr>
            <w:tcW w:w="6850" w:type="dxa"/>
          </w:tcPr>
          <w:p w:rsidR="000D5093" w:rsidRPr="00E62198" w:rsidRDefault="000D5093" w:rsidP="006239E0">
            <w:pPr>
              <w:cnfStyle w:val="000000000000"/>
            </w:pPr>
            <w:proofErr w:type="spellStart"/>
            <w:r w:rsidRPr="00E62198">
              <w:t>Guillain</w:t>
            </w:r>
            <w:proofErr w:type="spellEnd"/>
            <w:r w:rsidRPr="00E62198">
              <w:t xml:space="preserve"> </w:t>
            </w:r>
            <w:proofErr w:type="spellStart"/>
            <w:r w:rsidRPr="00E62198">
              <w:t>Barré</w:t>
            </w:r>
            <w:proofErr w:type="spellEnd"/>
            <w:r w:rsidRPr="00E62198">
              <w:t xml:space="preserve"> syndrome</w:t>
            </w:r>
          </w:p>
        </w:tc>
      </w:tr>
      <w:tr w:rsidR="000D5093" w:rsidRPr="00E62198" w:rsidTr="000D5093">
        <w:tc>
          <w:tcPr>
            <w:cnfStyle w:val="001000000000"/>
            <w:tcW w:w="1951" w:type="dxa"/>
          </w:tcPr>
          <w:p w:rsidR="000D5093" w:rsidRPr="00E62198" w:rsidRDefault="000D5093" w:rsidP="006239E0">
            <w:r w:rsidRPr="00E62198">
              <w:t>GCP</w:t>
            </w:r>
          </w:p>
        </w:tc>
        <w:tc>
          <w:tcPr>
            <w:tcW w:w="6850" w:type="dxa"/>
          </w:tcPr>
          <w:p w:rsidR="000D5093" w:rsidRPr="00E62198" w:rsidRDefault="000D5093" w:rsidP="006239E0">
            <w:pPr>
              <w:cnfStyle w:val="000000000000"/>
            </w:pPr>
            <w:r w:rsidRPr="00E62198">
              <w:t>Good Clinical Practice</w:t>
            </w:r>
          </w:p>
        </w:tc>
      </w:tr>
      <w:tr w:rsidR="000D5093" w:rsidRPr="00E62198" w:rsidTr="000D5093">
        <w:tc>
          <w:tcPr>
            <w:cnfStyle w:val="001000000000"/>
            <w:tcW w:w="1951" w:type="dxa"/>
          </w:tcPr>
          <w:p w:rsidR="000D5093" w:rsidRPr="00E62198" w:rsidRDefault="000D5093" w:rsidP="006239E0">
            <w:r w:rsidRPr="00E62198">
              <w:t>GMTs</w:t>
            </w:r>
          </w:p>
        </w:tc>
        <w:tc>
          <w:tcPr>
            <w:tcW w:w="6850" w:type="dxa"/>
          </w:tcPr>
          <w:p w:rsidR="000D5093" w:rsidRPr="00E62198" w:rsidRDefault="000D5093" w:rsidP="006239E0">
            <w:pPr>
              <w:cnfStyle w:val="000000000000"/>
            </w:pPr>
            <w:r w:rsidRPr="00E62198">
              <w:t>Geometric Mean Titres</w:t>
            </w:r>
          </w:p>
        </w:tc>
      </w:tr>
      <w:tr w:rsidR="000D5093" w:rsidRPr="00E62198" w:rsidTr="000D5093">
        <w:tc>
          <w:tcPr>
            <w:cnfStyle w:val="001000000000"/>
            <w:tcW w:w="1951" w:type="dxa"/>
          </w:tcPr>
          <w:p w:rsidR="000D5093" w:rsidRPr="00E62198" w:rsidRDefault="000D5093" w:rsidP="006239E0">
            <w:r w:rsidRPr="00E62198">
              <w:t>GMC/T</w:t>
            </w:r>
          </w:p>
        </w:tc>
        <w:tc>
          <w:tcPr>
            <w:tcW w:w="6850" w:type="dxa"/>
          </w:tcPr>
          <w:p w:rsidR="000D5093" w:rsidRPr="00E62198" w:rsidRDefault="000D5093" w:rsidP="006239E0">
            <w:pPr>
              <w:cnfStyle w:val="000000000000"/>
            </w:pPr>
            <w:r w:rsidRPr="00E62198">
              <w:t>Geometric Mean Concentration/Titre</w:t>
            </w:r>
          </w:p>
        </w:tc>
      </w:tr>
      <w:tr w:rsidR="000D5093" w:rsidRPr="00E62198" w:rsidTr="000D5093">
        <w:tc>
          <w:tcPr>
            <w:cnfStyle w:val="001000000000"/>
            <w:tcW w:w="1951" w:type="dxa"/>
          </w:tcPr>
          <w:p w:rsidR="000D5093" w:rsidRPr="00E62198" w:rsidRDefault="000D5093" w:rsidP="006239E0">
            <w:r w:rsidRPr="00E62198">
              <w:lastRenderedPageBreak/>
              <w:t>GSK</w:t>
            </w:r>
          </w:p>
        </w:tc>
        <w:tc>
          <w:tcPr>
            <w:tcW w:w="6850" w:type="dxa"/>
          </w:tcPr>
          <w:p w:rsidR="000D5093" w:rsidRPr="00E62198" w:rsidRDefault="000D5093" w:rsidP="006239E0">
            <w:pPr>
              <w:cnfStyle w:val="000000000000"/>
            </w:pPr>
            <w:r w:rsidRPr="00E62198">
              <w:t xml:space="preserve">Bio GlaxoSmithKline </w:t>
            </w:r>
            <w:proofErr w:type="spellStart"/>
            <w:r w:rsidRPr="00E62198">
              <w:t>Biologicals</w:t>
            </w:r>
            <w:proofErr w:type="spellEnd"/>
          </w:p>
        </w:tc>
      </w:tr>
      <w:tr w:rsidR="000D5093" w:rsidRPr="00E62198" w:rsidTr="000D5093">
        <w:tc>
          <w:tcPr>
            <w:cnfStyle w:val="001000000000"/>
            <w:tcW w:w="1951" w:type="dxa"/>
          </w:tcPr>
          <w:p w:rsidR="000D5093" w:rsidRPr="00E62198" w:rsidRDefault="000D5093" w:rsidP="006239E0">
            <w:r w:rsidRPr="00E62198">
              <w:t>HA</w:t>
            </w:r>
          </w:p>
        </w:tc>
        <w:tc>
          <w:tcPr>
            <w:tcW w:w="6850" w:type="dxa"/>
          </w:tcPr>
          <w:p w:rsidR="000D5093" w:rsidRPr="00E62198" w:rsidRDefault="000D5093" w:rsidP="006239E0">
            <w:pPr>
              <w:cnfStyle w:val="000000000000"/>
            </w:pPr>
            <w:proofErr w:type="spellStart"/>
            <w:r w:rsidRPr="00E62198">
              <w:t>Haemagglutinin</w:t>
            </w:r>
            <w:proofErr w:type="spellEnd"/>
          </w:p>
        </w:tc>
      </w:tr>
      <w:tr w:rsidR="000D5093" w:rsidRPr="00E62198" w:rsidTr="000D5093">
        <w:tc>
          <w:tcPr>
            <w:cnfStyle w:val="001000000000"/>
            <w:tcW w:w="1951" w:type="dxa"/>
          </w:tcPr>
          <w:p w:rsidR="000D5093" w:rsidRPr="00E62198" w:rsidRDefault="000D5093" w:rsidP="006239E0">
            <w:r w:rsidRPr="00E62198">
              <w:t>HI</w:t>
            </w:r>
          </w:p>
        </w:tc>
        <w:tc>
          <w:tcPr>
            <w:tcW w:w="6850" w:type="dxa"/>
          </w:tcPr>
          <w:p w:rsidR="000D5093" w:rsidRPr="00E62198" w:rsidRDefault="000D5093" w:rsidP="006239E0">
            <w:pPr>
              <w:cnfStyle w:val="000000000000"/>
            </w:pPr>
            <w:proofErr w:type="spellStart"/>
            <w:r w:rsidRPr="00E62198">
              <w:t>Haemagglutination</w:t>
            </w:r>
            <w:proofErr w:type="spellEnd"/>
            <w:r w:rsidRPr="00E62198">
              <w:t xml:space="preserve"> Inhibition</w:t>
            </w:r>
          </w:p>
        </w:tc>
      </w:tr>
      <w:tr w:rsidR="000D5093" w:rsidRPr="00E62198" w:rsidTr="000D5093">
        <w:tc>
          <w:tcPr>
            <w:cnfStyle w:val="001000000000"/>
            <w:tcW w:w="1951" w:type="dxa"/>
          </w:tcPr>
          <w:p w:rsidR="000D5093" w:rsidRPr="00E62198" w:rsidRDefault="000D5093" w:rsidP="006239E0">
            <w:r w:rsidRPr="00E62198">
              <w:t>ICH</w:t>
            </w:r>
          </w:p>
        </w:tc>
        <w:tc>
          <w:tcPr>
            <w:tcW w:w="6850" w:type="dxa"/>
          </w:tcPr>
          <w:p w:rsidR="000D5093" w:rsidRPr="00E62198" w:rsidRDefault="000D5093" w:rsidP="006239E0">
            <w:pPr>
              <w:cnfStyle w:val="000000000000"/>
            </w:pPr>
            <w:r w:rsidRPr="00E62198">
              <w:t>International Conference on Harmonization</w:t>
            </w:r>
          </w:p>
        </w:tc>
      </w:tr>
      <w:tr w:rsidR="000D5093" w:rsidRPr="00E62198" w:rsidTr="000D5093">
        <w:tc>
          <w:tcPr>
            <w:cnfStyle w:val="001000000000"/>
            <w:tcW w:w="1951" w:type="dxa"/>
          </w:tcPr>
          <w:p w:rsidR="000D5093" w:rsidRPr="00E62198" w:rsidRDefault="000D5093" w:rsidP="006239E0">
            <w:r w:rsidRPr="00E62198">
              <w:t>IDMC</w:t>
            </w:r>
          </w:p>
        </w:tc>
        <w:tc>
          <w:tcPr>
            <w:tcW w:w="6850" w:type="dxa"/>
          </w:tcPr>
          <w:p w:rsidR="000D5093" w:rsidRPr="00E62198" w:rsidRDefault="000D5093" w:rsidP="006239E0">
            <w:pPr>
              <w:cnfStyle w:val="000000000000"/>
            </w:pPr>
            <w:r w:rsidRPr="00E62198">
              <w:t>Independent Data Monitoring Committee</w:t>
            </w:r>
          </w:p>
        </w:tc>
      </w:tr>
      <w:tr w:rsidR="000D5093" w:rsidRPr="00E62198" w:rsidTr="000D5093">
        <w:tc>
          <w:tcPr>
            <w:cnfStyle w:val="001000000000"/>
            <w:tcW w:w="1951" w:type="dxa"/>
          </w:tcPr>
          <w:p w:rsidR="000D5093" w:rsidRPr="00E62198" w:rsidRDefault="000D5093" w:rsidP="006239E0">
            <w:r w:rsidRPr="00E62198">
              <w:t xml:space="preserve">IM </w:t>
            </w:r>
          </w:p>
        </w:tc>
        <w:tc>
          <w:tcPr>
            <w:tcW w:w="6850" w:type="dxa"/>
          </w:tcPr>
          <w:p w:rsidR="000D5093" w:rsidRPr="00E62198" w:rsidRDefault="000D5093" w:rsidP="006239E0">
            <w:pPr>
              <w:cnfStyle w:val="000000000000"/>
            </w:pPr>
            <w:r w:rsidRPr="00E62198">
              <w:t>Intramuscular</w:t>
            </w:r>
          </w:p>
        </w:tc>
      </w:tr>
      <w:tr w:rsidR="000D5093" w:rsidRPr="00E62198" w:rsidTr="000D5093">
        <w:tc>
          <w:tcPr>
            <w:cnfStyle w:val="001000000000"/>
            <w:tcW w:w="1951" w:type="dxa"/>
          </w:tcPr>
          <w:p w:rsidR="000D5093" w:rsidRPr="00E62198" w:rsidRDefault="000D5093" w:rsidP="006239E0">
            <w:r w:rsidRPr="00E62198">
              <w:t>IS</w:t>
            </w:r>
          </w:p>
        </w:tc>
        <w:tc>
          <w:tcPr>
            <w:tcW w:w="6850" w:type="dxa"/>
          </w:tcPr>
          <w:p w:rsidR="000D5093" w:rsidRPr="00E62198" w:rsidRDefault="000D5093" w:rsidP="006239E0">
            <w:pPr>
              <w:cnfStyle w:val="000000000000"/>
            </w:pPr>
            <w:r w:rsidRPr="00E62198">
              <w:t>Injection site</w:t>
            </w:r>
          </w:p>
        </w:tc>
      </w:tr>
      <w:tr w:rsidR="000D5093" w:rsidRPr="00E62198" w:rsidTr="000D5093">
        <w:tc>
          <w:tcPr>
            <w:cnfStyle w:val="001000000000"/>
            <w:tcW w:w="1951" w:type="dxa"/>
          </w:tcPr>
          <w:p w:rsidR="000D5093" w:rsidRPr="00E62198" w:rsidRDefault="000D5093" w:rsidP="006239E0">
            <w:r w:rsidRPr="00E62198">
              <w:t xml:space="preserve">MAA </w:t>
            </w:r>
          </w:p>
        </w:tc>
        <w:tc>
          <w:tcPr>
            <w:tcW w:w="6850" w:type="dxa"/>
          </w:tcPr>
          <w:p w:rsidR="000D5093" w:rsidRPr="00E62198" w:rsidRDefault="000D5093" w:rsidP="006239E0">
            <w:pPr>
              <w:cnfStyle w:val="000000000000"/>
            </w:pPr>
            <w:r w:rsidRPr="00E62198">
              <w:t>Marketing Authorization Application</w:t>
            </w:r>
          </w:p>
        </w:tc>
      </w:tr>
      <w:tr w:rsidR="000D5093" w:rsidRPr="00E62198" w:rsidTr="000D5093">
        <w:tc>
          <w:tcPr>
            <w:cnfStyle w:val="001000000000"/>
            <w:tcW w:w="1951" w:type="dxa"/>
          </w:tcPr>
          <w:p w:rsidR="000D5093" w:rsidRPr="00E62198" w:rsidRDefault="000D5093" w:rsidP="006239E0">
            <w:r w:rsidRPr="00E62198">
              <w:t xml:space="preserve">MEDRA </w:t>
            </w:r>
          </w:p>
        </w:tc>
        <w:tc>
          <w:tcPr>
            <w:tcW w:w="6850" w:type="dxa"/>
          </w:tcPr>
          <w:p w:rsidR="000D5093" w:rsidRPr="00E62198" w:rsidRDefault="000D5093" w:rsidP="006239E0">
            <w:pPr>
              <w:cnfStyle w:val="000000000000"/>
            </w:pPr>
            <w:r w:rsidRPr="00E62198">
              <w:t>Medical Dictionary for Regulatory Activities</w:t>
            </w:r>
          </w:p>
        </w:tc>
      </w:tr>
      <w:tr w:rsidR="000D5093" w:rsidRPr="00E62198" w:rsidTr="000D5093">
        <w:tc>
          <w:tcPr>
            <w:cnfStyle w:val="001000000000"/>
            <w:tcW w:w="1951" w:type="dxa"/>
          </w:tcPr>
          <w:p w:rsidR="000D5093" w:rsidRPr="00E62198" w:rsidRDefault="000D5093" w:rsidP="006239E0">
            <w:r w:rsidRPr="00E62198">
              <w:t xml:space="preserve">ml </w:t>
            </w:r>
          </w:p>
        </w:tc>
        <w:tc>
          <w:tcPr>
            <w:tcW w:w="6850" w:type="dxa"/>
          </w:tcPr>
          <w:p w:rsidR="000D5093" w:rsidRPr="00E62198" w:rsidRDefault="000D5093" w:rsidP="006239E0">
            <w:pPr>
              <w:cnfStyle w:val="000000000000"/>
            </w:pPr>
            <w:proofErr w:type="spellStart"/>
            <w:r w:rsidRPr="00E62198">
              <w:t>milliliters</w:t>
            </w:r>
            <w:proofErr w:type="spellEnd"/>
          </w:p>
        </w:tc>
      </w:tr>
      <w:tr w:rsidR="000D5093" w:rsidRPr="00E62198" w:rsidTr="000D5093">
        <w:tc>
          <w:tcPr>
            <w:cnfStyle w:val="001000000000"/>
            <w:tcW w:w="1951" w:type="dxa"/>
          </w:tcPr>
          <w:p w:rsidR="000D5093" w:rsidRPr="00E62198" w:rsidRDefault="000D5093" w:rsidP="006239E0">
            <w:r w:rsidRPr="00E62198">
              <w:t>PT</w:t>
            </w:r>
          </w:p>
        </w:tc>
        <w:tc>
          <w:tcPr>
            <w:tcW w:w="6850" w:type="dxa"/>
          </w:tcPr>
          <w:p w:rsidR="000D5093" w:rsidRPr="00E62198" w:rsidRDefault="000D5093" w:rsidP="006239E0">
            <w:pPr>
              <w:cnfStyle w:val="000000000000"/>
            </w:pPr>
            <w:proofErr w:type="spellStart"/>
            <w:r w:rsidRPr="00E62198">
              <w:t>Pertussis</w:t>
            </w:r>
            <w:proofErr w:type="spellEnd"/>
            <w:r w:rsidRPr="00E62198">
              <w:t xml:space="preserve"> toxin</w:t>
            </w:r>
          </w:p>
        </w:tc>
      </w:tr>
      <w:tr w:rsidR="000D5093" w:rsidRPr="00E62198" w:rsidTr="000D5093">
        <w:tc>
          <w:tcPr>
            <w:cnfStyle w:val="001000000000"/>
            <w:tcW w:w="1951" w:type="dxa"/>
          </w:tcPr>
          <w:p w:rsidR="000D5093" w:rsidRPr="00E62198" w:rsidRDefault="000D5093" w:rsidP="006239E0">
            <w:r w:rsidRPr="00E62198">
              <w:t xml:space="preserve">PI </w:t>
            </w:r>
          </w:p>
        </w:tc>
        <w:tc>
          <w:tcPr>
            <w:tcW w:w="6850" w:type="dxa"/>
          </w:tcPr>
          <w:p w:rsidR="000D5093" w:rsidRPr="00E62198" w:rsidRDefault="000D5093" w:rsidP="006239E0">
            <w:pPr>
              <w:cnfStyle w:val="000000000000"/>
            </w:pPr>
            <w:r w:rsidRPr="00E62198">
              <w:t>Prescribing Information</w:t>
            </w:r>
          </w:p>
        </w:tc>
      </w:tr>
      <w:tr w:rsidR="000D5093" w:rsidRPr="00E62198" w:rsidTr="000D5093">
        <w:tc>
          <w:tcPr>
            <w:cnfStyle w:val="001000000000"/>
            <w:tcW w:w="1951" w:type="dxa"/>
          </w:tcPr>
          <w:p w:rsidR="000D5093" w:rsidRPr="00E62198" w:rsidRDefault="000D5093" w:rsidP="006239E0">
            <w:r w:rsidRPr="00E62198">
              <w:t>PMS</w:t>
            </w:r>
          </w:p>
        </w:tc>
        <w:tc>
          <w:tcPr>
            <w:tcW w:w="6850" w:type="dxa"/>
          </w:tcPr>
          <w:p w:rsidR="000D5093" w:rsidRPr="00E62198" w:rsidRDefault="000D5093" w:rsidP="006239E0">
            <w:pPr>
              <w:cnfStyle w:val="000000000000"/>
            </w:pPr>
            <w:r w:rsidRPr="00E62198">
              <w:t>Post Marketing surveillance</w:t>
            </w:r>
          </w:p>
        </w:tc>
      </w:tr>
      <w:tr w:rsidR="000D5093" w:rsidRPr="00E62198" w:rsidTr="000D5093">
        <w:tc>
          <w:tcPr>
            <w:cnfStyle w:val="001000000000"/>
            <w:tcW w:w="1951" w:type="dxa"/>
          </w:tcPr>
          <w:p w:rsidR="000D5093" w:rsidRPr="00E62198" w:rsidRDefault="000D5093" w:rsidP="006239E0">
            <w:r w:rsidRPr="00E62198">
              <w:t>PRN</w:t>
            </w:r>
          </w:p>
        </w:tc>
        <w:tc>
          <w:tcPr>
            <w:tcW w:w="6850" w:type="dxa"/>
          </w:tcPr>
          <w:p w:rsidR="000D5093" w:rsidRPr="00E62198" w:rsidRDefault="000D5093" w:rsidP="006239E0">
            <w:pPr>
              <w:cnfStyle w:val="000000000000"/>
            </w:pPr>
            <w:proofErr w:type="spellStart"/>
            <w:r w:rsidRPr="00E62198">
              <w:t>Pertactin</w:t>
            </w:r>
            <w:proofErr w:type="spellEnd"/>
            <w:r w:rsidRPr="00E62198">
              <w:t xml:space="preserve"> </w:t>
            </w:r>
          </w:p>
        </w:tc>
      </w:tr>
      <w:tr w:rsidR="000D5093" w:rsidRPr="00E62198" w:rsidTr="000D5093">
        <w:tc>
          <w:tcPr>
            <w:cnfStyle w:val="001000000000"/>
            <w:tcW w:w="1951" w:type="dxa"/>
          </w:tcPr>
          <w:p w:rsidR="000D5093" w:rsidRPr="00E62198" w:rsidRDefault="000D5093" w:rsidP="006239E0">
            <w:r w:rsidRPr="00E62198">
              <w:t>RBC</w:t>
            </w:r>
          </w:p>
        </w:tc>
        <w:tc>
          <w:tcPr>
            <w:tcW w:w="6850" w:type="dxa"/>
          </w:tcPr>
          <w:p w:rsidR="000D5093" w:rsidRPr="00E62198" w:rsidRDefault="000D5093" w:rsidP="006239E0">
            <w:pPr>
              <w:cnfStyle w:val="000000000000"/>
            </w:pPr>
            <w:r w:rsidRPr="00E62198">
              <w:t>Red Blood Cells</w:t>
            </w:r>
          </w:p>
        </w:tc>
      </w:tr>
      <w:tr w:rsidR="000D5093" w:rsidRPr="00E62198" w:rsidTr="000D5093">
        <w:tc>
          <w:tcPr>
            <w:cnfStyle w:val="001000000000"/>
            <w:tcW w:w="1951" w:type="dxa"/>
          </w:tcPr>
          <w:p w:rsidR="000D5093" w:rsidRPr="00E62198" w:rsidRDefault="000D5093" w:rsidP="006239E0">
            <w:r w:rsidRPr="00E62198">
              <w:t xml:space="preserve">RCC </w:t>
            </w:r>
          </w:p>
        </w:tc>
        <w:tc>
          <w:tcPr>
            <w:tcW w:w="6850" w:type="dxa"/>
          </w:tcPr>
          <w:p w:rsidR="000D5093" w:rsidRPr="00E62198" w:rsidRDefault="000D5093" w:rsidP="006239E0">
            <w:pPr>
              <w:cnfStyle w:val="000000000000"/>
            </w:pPr>
            <w:r w:rsidRPr="00E62198">
              <w:t>Reverse Cumulative Curves</w:t>
            </w:r>
          </w:p>
        </w:tc>
      </w:tr>
      <w:tr w:rsidR="000D5093" w:rsidRPr="00E62198" w:rsidTr="000D5093">
        <w:tc>
          <w:tcPr>
            <w:cnfStyle w:val="001000000000"/>
            <w:tcW w:w="1951" w:type="dxa"/>
          </w:tcPr>
          <w:p w:rsidR="000D5093" w:rsidRPr="00E62198" w:rsidRDefault="000D5093" w:rsidP="006239E0">
            <w:r w:rsidRPr="00E62198">
              <w:t xml:space="preserve">RNA </w:t>
            </w:r>
          </w:p>
        </w:tc>
        <w:tc>
          <w:tcPr>
            <w:tcW w:w="6850" w:type="dxa"/>
          </w:tcPr>
          <w:p w:rsidR="000D5093" w:rsidRPr="00E62198" w:rsidRDefault="000D5093" w:rsidP="006239E0">
            <w:pPr>
              <w:cnfStyle w:val="000000000000"/>
            </w:pPr>
            <w:proofErr w:type="spellStart"/>
            <w:r w:rsidRPr="00E62198">
              <w:t>Ribonucleosic</w:t>
            </w:r>
            <w:proofErr w:type="spellEnd"/>
            <w:r w:rsidRPr="00E62198">
              <w:t xml:space="preserve"> Acid</w:t>
            </w:r>
          </w:p>
        </w:tc>
      </w:tr>
      <w:tr w:rsidR="000D5093" w:rsidRPr="00E62198" w:rsidTr="000D5093">
        <w:tc>
          <w:tcPr>
            <w:cnfStyle w:val="001000000000"/>
            <w:tcW w:w="1951" w:type="dxa"/>
          </w:tcPr>
          <w:p w:rsidR="000D5093" w:rsidRPr="00E62198" w:rsidRDefault="000D5093" w:rsidP="006239E0">
            <w:r w:rsidRPr="00E62198">
              <w:t>RR</w:t>
            </w:r>
          </w:p>
        </w:tc>
        <w:tc>
          <w:tcPr>
            <w:tcW w:w="6850" w:type="dxa"/>
          </w:tcPr>
          <w:p w:rsidR="000D5093" w:rsidRPr="00E62198" w:rsidRDefault="000D5093" w:rsidP="006239E0">
            <w:pPr>
              <w:cnfStyle w:val="000000000000"/>
            </w:pPr>
            <w:r w:rsidRPr="00E62198">
              <w:t>relative risk</w:t>
            </w:r>
          </w:p>
        </w:tc>
      </w:tr>
      <w:tr w:rsidR="000D5093" w:rsidRPr="00E62198" w:rsidTr="000D5093">
        <w:tc>
          <w:tcPr>
            <w:cnfStyle w:val="001000000000"/>
            <w:tcW w:w="1951" w:type="dxa"/>
          </w:tcPr>
          <w:p w:rsidR="000D5093" w:rsidRPr="00E62198" w:rsidRDefault="000D5093" w:rsidP="006239E0">
            <w:r w:rsidRPr="00E62198">
              <w:t>RT-PCR</w:t>
            </w:r>
          </w:p>
        </w:tc>
        <w:tc>
          <w:tcPr>
            <w:tcW w:w="6850" w:type="dxa"/>
          </w:tcPr>
          <w:p w:rsidR="000D5093" w:rsidRPr="00E62198" w:rsidRDefault="000D5093" w:rsidP="006239E0">
            <w:pPr>
              <w:cnfStyle w:val="000000000000"/>
            </w:pPr>
            <w:r w:rsidRPr="00E62198">
              <w:t>Reverse Transcriptase Polymerase chain reaction</w:t>
            </w:r>
          </w:p>
        </w:tc>
      </w:tr>
      <w:tr w:rsidR="000D5093" w:rsidRPr="00E62198" w:rsidTr="000D5093">
        <w:tc>
          <w:tcPr>
            <w:cnfStyle w:val="001000000000"/>
            <w:tcW w:w="1951" w:type="dxa"/>
          </w:tcPr>
          <w:p w:rsidR="000D5093" w:rsidRPr="00E62198" w:rsidRDefault="000D5093" w:rsidP="006239E0">
            <w:r w:rsidRPr="00E62198">
              <w:t xml:space="preserve">SAE </w:t>
            </w:r>
          </w:p>
        </w:tc>
        <w:tc>
          <w:tcPr>
            <w:tcW w:w="6850" w:type="dxa"/>
          </w:tcPr>
          <w:p w:rsidR="000D5093" w:rsidRPr="00E62198" w:rsidRDefault="000D5093" w:rsidP="006239E0">
            <w:pPr>
              <w:cnfStyle w:val="000000000000"/>
            </w:pPr>
            <w:r w:rsidRPr="00E62198">
              <w:t>Serious Adverse Event</w:t>
            </w:r>
          </w:p>
        </w:tc>
      </w:tr>
      <w:tr w:rsidR="000D5093" w:rsidRPr="00E62198" w:rsidTr="000D5093">
        <w:tc>
          <w:tcPr>
            <w:cnfStyle w:val="001000000000"/>
            <w:tcW w:w="1951" w:type="dxa"/>
          </w:tcPr>
          <w:p w:rsidR="000D5093" w:rsidRPr="00E62198" w:rsidRDefault="000D5093" w:rsidP="006239E0">
            <w:r w:rsidRPr="00E62198">
              <w:t xml:space="preserve">SCR </w:t>
            </w:r>
          </w:p>
        </w:tc>
        <w:tc>
          <w:tcPr>
            <w:tcW w:w="6850" w:type="dxa"/>
          </w:tcPr>
          <w:p w:rsidR="000D5093" w:rsidRPr="00E62198" w:rsidRDefault="000D5093" w:rsidP="006239E0">
            <w:pPr>
              <w:cnfStyle w:val="000000000000"/>
            </w:pPr>
            <w:proofErr w:type="spellStart"/>
            <w:r w:rsidRPr="00E62198">
              <w:t>Seroconversion</w:t>
            </w:r>
            <w:proofErr w:type="spellEnd"/>
            <w:r w:rsidRPr="00E62198">
              <w:t xml:space="preserve"> Rate</w:t>
            </w:r>
          </w:p>
        </w:tc>
      </w:tr>
      <w:tr w:rsidR="000D5093" w:rsidRPr="00E62198" w:rsidTr="000D5093">
        <w:tc>
          <w:tcPr>
            <w:cnfStyle w:val="001000000000"/>
            <w:tcW w:w="1951" w:type="dxa"/>
          </w:tcPr>
          <w:p w:rsidR="000D5093" w:rsidRPr="00E62198" w:rsidRDefault="000D5093" w:rsidP="006239E0">
            <w:r w:rsidRPr="00E62198">
              <w:t xml:space="preserve">SCF </w:t>
            </w:r>
          </w:p>
        </w:tc>
        <w:tc>
          <w:tcPr>
            <w:tcW w:w="6850" w:type="dxa"/>
          </w:tcPr>
          <w:p w:rsidR="000D5093" w:rsidRPr="00E62198" w:rsidRDefault="000D5093" w:rsidP="006239E0">
            <w:pPr>
              <w:cnfStyle w:val="000000000000"/>
            </w:pPr>
            <w:proofErr w:type="spellStart"/>
            <w:r w:rsidRPr="00E62198">
              <w:t>Seroconversion</w:t>
            </w:r>
            <w:proofErr w:type="spellEnd"/>
            <w:r w:rsidRPr="00E62198">
              <w:t xml:space="preserve"> Factor</w:t>
            </w:r>
          </w:p>
        </w:tc>
      </w:tr>
      <w:tr w:rsidR="000D5093" w:rsidRPr="00E62198" w:rsidTr="000D5093">
        <w:tc>
          <w:tcPr>
            <w:cnfStyle w:val="001000000000"/>
            <w:tcW w:w="1951" w:type="dxa"/>
          </w:tcPr>
          <w:p w:rsidR="000D5093" w:rsidRPr="00E62198" w:rsidRDefault="000D5093" w:rsidP="006239E0">
            <w:r w:rsidRPr="00E62198">
              <w:t xml:space="preserve">SOC </w:t>
            </w:r>
          </w:p>
        </w:tc>
        <w:tc>
          <w:tcPr>
            <w:tcW w:w="6850" w:type="dxa"/>
          </w:tcPr>
          <w:p w:rsidR="000D5093" w:rsidRPr="00E62198" w:rsidRDefault="000D5093" w:rsidP="006239E0">
            <w:pPr>
              <w:cnfStyle w:val="000000000000"/>
            </w:pPr>
            <w:r w:rsidRPr="00E62198">
              <w:t>System Organ Class</w:t>
            </w:r>
          </w:p>
        </w:tc>
      </w:tr>
      <w:tr w:rsidR="000D5093" w:rsidRPr="00E62198" w:rsidTr="000D5093">
        <w:tc>
          <w:tcPr>
            <w:cnfStyle w:val="001000000000"/>
            <w:tcW w:w="1951" w:type="dxa"/>
          </w:tcPr>
          <w:p w:rsidR="000D5093" w:rsidRPr="00E62198" w:rsidRDefault="000D5093" w:rsidP="006239E0">
            <w:r w:rsidRPr="00E62198">
              <w:t>SOP</w:t>
            </w:r>
          </w:p>
        </w:tc>
        <w:tc>
          <w:tcPr>
            <w:tcW w:w="6850" w:type="dxa"/>
          </w:tcPr>
          <w:p w:rsidR="000D5093" w:rsidRPr="00E62198" w:rsidRDefault="000D5093" w:rsidP="006239E0">
            <w:pPr>
              <w:cnfStyle w:val="000000000000"/>
            </w:pPr>
            <w:r w:rsidRPr="00E62198">
              <w:t>Standard Operation Procedure</w:t>
            </w:r>
          </w:p>
        </w:tc>
      </w:tr>
      <w:tr w:rsidR="000D5093" w:rsidRPr="00E62198" w:rsidTr="000D5093">
        <w:tc>
          <w:tcPr>
            <w:cnfStyle w:val="001000000000"/>
            <w:tcW w:w="1951" w:type="dxa"/>
          </w:tcPr>
          <w:p w:rsidR="000D5093" w:rsidRPr="00E62198" w:rsidRDefault="000D5093" w:rsidP="006239E0">
            <w:r w:rsidRPr="00E62198">
              <w:t>SPR</w:t>
            </w:r>
          </w:p>
        </w:tc>
        <w:tc>
          <w:tcPr>
            <w:tcW w:w="6850" w:type="dxa"/>
          </w:tcPr>
          <w:p w:rsidR="000D5093" w:rsidRPr="00E62198" w:rsidRDefault="000D5093" w:rsidP="006239E0">
            <w:pPr>
              <w:cnfStyle w:val="000000000000"/>
            </w:pPr>
            <w:proofErr w:type="spellStart"/>
            <w:r w:rsidRPr="00E62198">
              <w:t>Seroprotection</w:t>
            </w:r>
            <w:proofErr w:type="spellEnd"/>
            <w:r w:rsidRPr="00E62198">
              <w:t xml:space="preserve"> Rate</w:t>
            </w:r>
          </w:p>
        </w:tc>
      </w:tr>
      <w:tr w:rsidR="000D5093" w:rsidRPr="00E62198" w:rsidTr="000D5093">
        <w:tc>
          <w:tcPr>
            <w:cnfStyle w:val="001000000000"/>
            <w:tcW w:w="1951" w:type="dxa"/>
          </w:tcPr>
          <w:p w:rsidR="000D5093" w:rsidRPr="00E62198" w:rsidRDefault="000D5093" w:rsidP="006239E0">
            <w:r w:rsidRPr="00E62198">
              <w:lastRenderedPageBreak/>
              <w:t>TT</w:t>
            </w:r>
          </w:p>
        </w:tc>
        <w:tc>
          <w:tcPr>
            <w:tcW w:w="6850" w:type="dxa"/>
          </w:tcPr>
          <w:p w:rsidR="000D5093" w:rsidRPr="00E62198" w:rsidRDefault="000D5093" w:rsidP="006239E0">
            <w:pPr>
              <w:cnfStyle w:val="000000000000"/>
            </w:pPr>
            <w:r w:rsidRPr="00E62198">
              <w:t xml:space="preserve">tetanus </w:t>
            </w:r>
            <w:proofErr w:type="spellStart"/>
            <w:r w:rsidRPr="00E62198">
              <w:t>toxoid</w:t>
            </w:r>
            <w:proofErr w:type="spellEnd"/>
          </w:p>
        </w:tc>
      </w:tr>
      <w:tr w:rsidR="000D5093" w:rsidRPr="00E62198" w:rsidTr="000D5093">
        <w:tc>
          <w:tcPr>
            <w:cnfStyle w:val="001000000000"/>
            <w:tcW w:w="1951" w:type="dxa"/>
          </w:tcPr>
          <w:p w:rsidR="000D5093" w:rsidRPr="00E62198" w:rsidRDefault="000D5093" w:rsidP="006239E0">
            <w:r w:rsidRPr="00E62198">
              <w:t>TVC</w:t>
            </w:r>
          </w:p>
        </w:tc>
        <w:tc>
          <w:tcPr>
            <w:tcW w:w="6850" w:type="dxa"/>
          </w:tcPr>
          <w:p w:rsidR="000D5093" w:rsidRPr="00E62198" w:rsidRDefault="000D5093" w:rsidP="006239E0">
            <w:pPr>
              <w:cnfStyle w:val="000000000000"/>
            </w:pPr>
            <w:r w:rsidRPr="00E62198">
              <w:t>Total Vaccinated Cohort</w:t>
            </w:r>
          </w:p>
        </w:tc>
      </w:tr>
      <w:tr w:rsidR="000D5093" w:rsidRPr="00E62198" w:rsidTr="000D5093">
        <w:tc>
          <w:tcPr>
            <w:cnfStyle w:val="001000000000"/>
            <w:tcW w:w="1951" w:type="dxa"/>
          </w:tcPr>
          <w:p w:rsidR="000D5093" w:rsidRPr="00E62198" w:rsidRDefault="000D5093" w:rsidP="006239E0">
            <w:r w:rsidRPr="00E62198">
              <w:t>US</w:t>
            </w:r>
          </w:p>
        </w:tc>
        <w:tc>
          <w:tcPr>
            <w:tcW w:w="6850" w:type="dxa"/>
          </w:tcPr>
          <w:p w:rsidR="000D5093" w:rsidRPr="00E62198" w:rsidRDefault="000D5093" w:rsidP="006239E0">
            <w:pPr>
              <w:cnfStyle w:val="000000000000"/>
            </w:pPr>
            <w:r w:rsidRPr="00E62198">
              <w:t>United States</w:t>
            </w:r>
          </w:p>
        </w:tc>
      </w:tr>
      <w:tr w:rsidR="000D5093" w:rsidRPr="00E62198" w:rsidTr="000D5093">
        <w:tc>
          <w:tcPr>
            <w:cnfStyle w:val="001000000000"/>
            <w:tcW w:w="1951" w:type="dxa"/>
          </w:tcPr>
          <w:p w:rsidR="000D5093" w:rsidRPr="00E62198" w:rsidRDefault="000D5093" w:rsidP="006239E0">
            <w:r w:rsidRPr="00E62198">
              <w:t>VE</w:t>
            </w:r>
          </w:p>
        </w:tc>
        <w:tc>
          <w:tcPr>
            <w:tcW w:w="6850" w:type="dxa"/>
          </w:tcPr>
          <w:p w:rsidR="000D5093" w:rsidRPr="00E62198" w:rsidRDefault="000D5093" w:rsidP="006239E0">
            <w:pPr>
              <w:cnfStyle w:val="000000000000"/>
            </w:pPr>
            <w:r w:rsidRPr="00E62198">
              <w:t>Vaccine efficacy</w:t>
            </w:r>
          </w:p>
        </w:tc>
      </w:tr>
      <w:tr w:rsidR="000D5093" w:rsidRPr="00E62198" w:rsidTr="000D5093">
        <w:tc>
          <w:tcPr>
            <w:cnfStyle w:val="001000000000"/>
            <w:tcW w:w="1951" w:type="dxa"/>
          </w:tcPr>
          <w:p w:rsidR="000D5093" w:rsidRPr="00E62198" w:rsidRDefault="000D5093" w:rsidP="006239E0">
            <w:r w:rsidRPr="00E62198">
              <w:t>WHO</w:t>
            </w:r>
          </w:p>
        </w:tc>
        <w:tc>
          <w:tcPr>
            <w:tcW w:w="6850" w:type="dxa"/>
          </w:tcPr>
          <w:p w:rsidR="000D5093" w:rsidRPr="00E62198" w:rsidRDefault="000D5093" w:rsidP="006239E0">
            <w:pPr>
              <w:cnfStyle w:val="000000000000"/>
            </w:pPr>
            <w:r w:rsidRPr="00E62198">
              <w:t>World Health Organisation</w:t>
            </w:r>
          </w:p>
        </w:tc>
      </w:tr>
    </w:tbl>
    <w:p w:rsidR="00586F98" w:rsidRDefault="000D5093" w:rsidP="006239E0">
      <w:pPr>
        <w:pStyle w:val="Heading2"/>
        <w:rPr>
          <w:lang w:eastAsia="en-AU"/>
        </w:rPr>
      </w:pPr>
      <w:bookmarkStart w:id="7" w:name="_Toc375123724"/>
      <w:bookmarkStart w:id="8" w:name="_Toc351718900"/>
      <w:bookmarkStart w:id="9" w:name="_Toc355338635"/>
      <w:r>
        <w:rPr>
          <w:lang w:eastAsia="en-AU"/>
        </w:rPr>
        <w:t>Introduction</w:t>
      </w:r>
      <w:bookmarkEnd w:id="7"/>
    </w:p>
    <w:p w:rsidR="000D5093" w:rsidRDefault="000D5093" w:rsidP="006239E0">
      <w:r w:rsidRPr="000D5093">
        <w:t xml:space="preserve">This is a submission to register a new </w:t>
      </w:r>
      <w:proofErr w:type="spellStart"/>
      <w:r w:rsidRPr="000D5093">
        <w:t>quadrivalent</w:t>
      </w:r>
      <w:proofErr w:type="spellEnd"/>
      <w:r w:rsidRPr="000D5093">
        <w:t xml:space="preserve"> meningococcal ACWY-tetanus </w:t>
      </w:r>
      <w:proofErr w:type="spellStart"/>
      <w:r w:rsidRPr="000D5093">
        <w:t>toxoid</w:t>
      </w:r>
      <w:proofErr w:type="spellEnd"/>
      <w:r w:rsidRPr="000D5093">
        <w:t xml:space="preserve"> conjugate vaccine (</w:t>
      </w:r>
      <w:proofErr w:type="spellStart"/>
      <w:r w:rsidRPr="000D5093">
        <w:t>MenACWY</w:t>
      </w:r>
      <w:proofErr w:type="spellEnd"/>
      <w:r w:rsidR="00015A50">
        <w:t>-</w:t>
      </w:r>
      <w:r w:rsidRPr="000D5093">
        <w:t>TT)</w:t>
      </w:r>
      <w:r w:rsidR="00CB01DB">
        <w:t xml:space="preserve">, </w:t>
      </w:r>
      <w:proofErr w:type="spellStart"/>
      <w:r w:rsidRPr="000D5093">
        <w:t>Nimenrix</w:t>
      </w:r>
      <w:proofErr w:type="spellEnd"/>
      <w:r w:rsidR="00CB01DB">
        <w:t xml:space="preserve">. </w:t>
      </w:r>
    </w:p>
    <w:p w:rsidR="00DA2938" w:rsidRPr="000D5093" w:rsidRDefault="00DA2938" w:rsidP="006239E0">
      <w:pPr>
        <w:rPr>
          <w:lang w:eastAsia="en-AU"/>
        </w:rPr>
      </w:pPr>
      <w:r w:rsidRPr="000D5093">
        <w:rPr>
          <w:lang w:eastAsia="en-AU"/>
        </w:rPr>
        <w:t xml:space="preserve">The proposed indication for the </w:t>
      </w:r>
      <w:proofErr w:type="spellStart"/>
      <w:r w:rsidRPr="000D5093">
        <w:rPr>
          <w:lang w:eastAsia="en-AU"/>
        </w:rPr>
        <w:t>MenACWY</w:t>
      </w:r>
      <w:proofErr w:type="spellEnd"/>
      <w:r w:rsidRPr="000D5093">
        <w:rPr>
          <w:lang w:eastAsia="en-AU"/>
        </w:rPr>
        <w:t xml:space="preserve">-TT vaccine is active immunisation against invasive meningococcal disease caused by </w:t>
      </w:r>
      <w:r w:rsidRPr="00DA2938">
        <w:rPr>
          <w:i/>
          <w:iCs/>
          <w:lang w:eastAsia="en-AU"/>
        </w:rPr>
        <w:t xml:space="preserve">N. </w:t>
      </w:r>
      <w:proofErr w:type="spellStart"/>
      <w:r w:rsidRPr="00DA2938">
        <w:rPr>
          <w:i/>
          <w:iCs/>
          <w:lang w:eastAsia="en-AU"/>
        </w:rPr>
        <w:t>meningitidis</w:t>
      </w:r>
      <w:proofErr w:type="spellEnd"/>
      <w:r w:rsidRPr="000D5093">
        <w:rPr>
          <w:lang w:eastAsia="en-AU"/>
        </w:rPr>
        <w:t xml:space="preserve"> </w:t>
      </w:r>
      <w:proofErr w:type="spellStart"/>
      <w:r w:rsidRPr="000D5093">
        <w:rPr>
          <w:lang w:eastAsia="en-AU"/>
        </w:rPr>
        <w:t>serogroups</w:t>
      </w:r>
      <w:proofErr w:type="spellEnd"/>
      <w:r w:rsidRPr="000D5093">
        <w:rPr>
          <w:lang w:eastAsia="en-AU"/>
        </w:rPr>
        <w:t xml:space="preserve"> A, C, W-135 and Y in individuals 1- 55 </w:t>
      </w:r>
      <w:r w:rsidR="00396F90">
        <w:rPr>
          <w:lang w:eastAsia="en-AU"/>
        </w:rPr>
        <w:t>years</w:t>
      </w:r>
      <w:r w:rsidRPr="000D5093">
        <w:rPr>
          <w:lang w:eastAsia="en-AU"/>
        </w:rPr>
        <w:t xml:space="preserve"> of age. The vaccine is to be administered intramuscularly (IM) as a one-dose vaccination schedule in all age groups.</w:t>
      </w:r>
    </w:p>
    <w:p w:rsidR="000D5093" w:rsidRPr="00CB01DB" w:rsidRDefault="000D5093" w:rsidP="006239E0">
      <w:r w:rsidRPr="000D5093">
        <w:t>Primary vaccination</w:t>
      </w:r>
      <w:r w:rsidR="00CB01DB">
        <w:t>:</w:t>
      </w:r>
      <w:r w:rsidR="004C69F4">
        <w:t xml:space="preserve"> </w:t>
      </w:r>
      <w:r w:rsidRPr="00CB01DB">
        <w:t xml:space="preserve">A single 0.5 ml dose of the reconstituted vaccine is </w:t>
      </w:r>
      <w:r w:rsidR="00DA2938" w:rsidRPr="000D5093">
        <w:rPr>
          <w:lang w:eastAsia="en-AU"/>
        </w:rPr>
        <w:t>given intramuscularly (IM)</w:t>
      </w:r>
      <w:r w:rsidR="00DA2938">
        <w:rPr>
          <w:lang w:eastAsia="en-AU"/>
        </w:rPr>
        <w:t xml:space="preserve"> </w:t>
      </w:r>
      <w:r w:rsidRPr="00CB01DB">
        <w:t>for immunization. Ea</w:t>
      </w:r>
      <w:r w:rsidR="00396F90">
        <w:t xml:space="preserve">ch 0.5ml, after reconstitution </w:t>
      </w:r>
      <w:r w:rsidRPr="00CB01DB">
        <w:t>contains the following active ingredients: Meningococcal polysaccharide – Serogroup-A1 5</w:t>
      </w:r>
      <w:r w:rsidRPr="00CB01DB">
        <w:sym w:font="Symbol" w:char="F06D"/>
      </w:r>
      <w:r w:rsidRPr="00CB01DB">
        <w:t xml:space="preserve">g; Meningococcal polysaccharide – Serogroup-C1 5 </w:t>
      </w:r>
      <w:r w:rsidRPr="00CB01DB">
        <w:sym w:font="Symbol" w:char="F06D"/>
      </w:r>
      <w:r w:rsidRPr="00CB01DB">
        <w:t>g; Meningococcal polysaccharide – Serogroup-W-1351 5</w:t>
      </w:r>
      <w:r w:rsidRPr="00CB01DB">
        <w:sym w:font="Symbol" w:char="F06D"/>
      </w:r>
      <w:r w:rsidRPr="00CB01DB">
        <w:t>g; Meningococcal polysaccharide – Serogroup-Y1 5</w:t>
      </w:r>
      <w:r w:rsidRPr="00CB01DB">
        <w:sym w:font="Symbol" w:char="F06D"/>
      </w:r>
      <w:r w:rsidR="00CB01DB" w:rsidRPr="00CB01DB">
        <w:t>g;</w:t>
      </w:r>
      <w:r w:rsidRPr="00CB01DB">
        <w:t xml:space="preserve"> conjugated to tetanus </w:t>
      </w:r>
      <w:proofErr w:type="spellStart"/>
      <w:r w:rsidRPr="00CB01DB">
        <w:t>toxoid</w:t>
      </w:r>
      <w:proofErr w:type="spellEnd"/>
      <w:r w:rsidRPr="00CB01DB">
        <w:t xml:space="preserve"> carrier protein 44 </w:t>
      </w:r>
      <w:r w:rsidRPr="00CB01DB">
        <w:sym w:font="Symbol" w:char="F06D"/>
      </w:r>
      <w:r w:rsidRPr="00CB01DB">
        <w:t xml:space="preserve">g. </w:t>
      </w:r>
    </w:p>
    <w:p w:rsidR="00DA2938" w:rsidRDefault="000D5093" w:rsidP="006239E0">
      <w:pPr>
        <w:rPr>
          <w:lang w:eastAsia="en-AU"/>
        </w:rPr>
      </w:pPr>
      <w:r w:rsidRPr="000D5093">
        <w:rPr>
          <w:lang w:eastAsia="en-AU"/>
        </w:rPr>
        <w:t xml:space="preserve">AND as a Booster vaccination in subjects who have previously been vaccinated with a plain i.e. non conjugate polysaccharide meningococcal vaccine. </w:t>
      </w:r>
    </w:p>
    <w:p w:rsidR="000D5093" w:rsidRPr="000D5093" w:rsidRDefault="00DA2938" w:rsidP="006239E0">
      <w:pPr>
        <w:rPr>
          <w:lang w:eastAsia="en-AU"/>
        </w:rPr>
      </w:pPr>
      <w:r w:rsidRPr="000D5093">
        <w:rPr>
          <w:lang w:eastAsia="en-AU"/>
        </w:rPr>
        <w:t>Booster vaccination: A single 0.5ml dose of the reconstituted vaccine given IM in people who have previously been vaccinated with a plain</w:t>
      </w:r>
      <w:r w:rsidR="00396F90">
        <w:rPr>
          <w:lang w:eastAsia="en-AU"/>
        </w:rPr>
        <w:t>,</w:t>
      </w:r>
      <w:r w:rsidRPr="000D5093">
        <w:rPr>
          <w:lang w:eastAsia="en-AU"/>
        </w:rPr>
        <w:t xml:space="preserve"> i.e. non-conjugate</w:t>
      </w:r>
      <w:r w:rsidR="00396F90">
        <w:rPr>
          <w:lang w:eastAsia="en-AU"/>
        </w:rPr>
        <w:t>,</w:t>
      </w:r>
      <w:r w:rsidRPr="000D5093">
        <w:rPr>
          <w:lang w:eastAsia="en-AU"/>
        </w:rPr>
        <w:t xml:space="preserve"> polysaccharide meningococcal vaccine.. Age group for receipt is, 1-55 </w:t>
      </w:r>
      <w:r w:rsidR="00396F90">
        <w:rPr>
          <w:lang w:eastAsia="en-AU"/>
        </w:rPr>
        <w:t>years</w:t>
      </w:r>
      <w:r w:rsidRPr="000D5093">
        <w:rPr>
          <w:lang w:eastAsia="en-AU"/>
        </w:rPr>
        <w:t xml:space="preserve"> of age.</w:t>
      </w:r>
    </w:p>
    <w:p w:rsidR="000D5093" w:rsidRPr="000D5093" w:rsidRDefault="000D5093" w:rsidP="006239E0">
      <w:pPr>
        <w:rPr>
          <w:lang w:eastAsia="en-AU"/>
        </w:rPr>
      </w:pPr>
      <w:r w:rsidRPr="000D5093">
        <w:rPr>
          <w:lang w:eastAsia="en-AU"/>
        </w:rPr>
        <w:t xml:space="preserve">This application does NOT seek approval of </w:t>
      </w:r>
      <w:proofErr w:type="spellStart"/>
      <w:r w:rsidRPr="000D5093">
        <w:rPr>
          <w:lang w:eastAsia="en-AU"/>
        </w:rPr>
        <w:t>Nimenrix</w:t>
      </w:r>
      <w:proofErr w:type="spellEnd"/>
      <w:r w:rsidRPr="000D5093">
        <w:rPr>
          <w:lang w:eastAsia="en-AU"/>
        </w:rPr>
        <w:t xml:space="preserve"> as a booster in those primed with </w:t>
      </w:r>
      <w:proofErr w:type="spellStart"/>
      <w:r w:rsidRPr="000D5093">
        <w:rPr>
          <w:lang w:eastAsia="en-AU"/>
        </w:rPr>
        <w:t>Nimenrix</w:t>
      </w:r>
      <w:proofErr w:type="spellEnd"/>
      <w:r w:rsidRPr="000D5093">
        <w:rPr>
          <w:lang w:eastAsia="en-AU"/>
        </w:rPr>
        <w:t xml:space="preserve"> or another conjugate meningococcal vaccine.</w:t>
      </w:r>
    </w:p>
    <w:p w:rsidR="00586F98" w:rsidRDefault="000D5093" w:rsidP="006239E0">
      <w:pPr>
        <w:pStyle w:val="Heading2"/>
      </w:pPr>
      <w:bookmarkStart w:id="10" w:name="_Toc375123725"/>
      <w:r>
        <w:t>Clinical rationale</w:t>
      </w:r>
      <w:bookmarkEnd w:id="10"/>
    </w:p>
    <w:p w:rsidR="00DA2938" w:rsidRDefault="000D5093" w:rsidP="006239E0">
      <w:r w:rsidRPr="000D5093">
        <w:rPr>
          <w:i/>
          <w:iCs/>
        </w:rPr>
        <w:t xml:space="preserve">N. </w:t>
      </w:r>
      <w:proofErr w:type="spellStart"/>
      <w:r w:rsidRPr="000D5093">
        <w:rPr>
          <w:i/>
          <w:iCs/>
        </w:rPr>
        <w:t>meningitidis</w:t>
      </w:r>
      <w:proofErr w:type="spellEnd"/>
      <w:r w:rsidRPr="000D5093">
        <w:t xml:space="preserve"> (</w:t>
      </w:r>
      <w:proofErr w:type="spellStart"/>
      <w:r w:rsidRPr="000D5093">
        <w:t>meningococcus</w:t>
      </w:r>
      <w:proofErr w:type="spellEnd"/>
      <w:r w:rsidRPr="000D5093">
        <w:t xml:space="preserve">), a gram-negative </w:t>
      </w:r>
      <w:proofErr w:type="spellStart"/>
      <w:r w:rsidRPr="000D5093">
        <w:t>diplococcus</w:t>
      </w:r>
      <w:proofErr w:type="spellEnd"/>
      <w:r w:rsidRPr="000D5093">
        <w:t xml:space="preserve">, is the most common cause of bacterial meningitis worldwide, with ≈1.2 million cases/year and ≈135,000 deaths. The organism has generated meningitis epidemic outbreaks. Other serious </w:t>
      </w:r>
      <w:proofErr w:type="spellStart"/>
      <w:r w:rsidRPr="000D5093">
        <w:t>sequelae</w:t>
      </w:r>
      <w:proofErr w:type="spellEnd"/>
      <w:r w:rsidRPr="000D5093">
        <w:t xml:space="preserve"> include extra-central nervous system disease including sepsis due to meningococcemia with associated renal failure, shock syndromes and impaired blood supply to vital organs and the periphery. Morbidity from the disease can be devastating. </w:t>
      </w:r>
    </w:p>
    <w:p w:rsidR="000D5093" w:rsidRPr="000D5093" w:rsidRDefault="000D5093" w:rsidP="006239E0">
      <w:r w:rsidRPr="000D5093">
        <w:t xml:space="preserve">Polysaccharide vaccines have been available for </w:t>
      </w:r>
      <w:proofErr w:type="spellStart"/>
      <w:r w:rsidRPr="000D5093">
        <w:t>serogroups</w:t>
      </w:r>
      <w:proofErr w:type="spellEnd"/>
      <w:r w:rsidRPr="000D5093">
        <w:t xml:space="preserve"> A, C, W-135 and Y for many y</w:t>
      </w:r>
      <w:r w:rsidR="00353B6A">
        <w:t>ea</w:t>
      </w:r>
      <w:r w:rsidRPr="000D5093">
        <w:t xml:space="preserve">rs, however, these have poorer immunogenicity in terms of inducing adequate (for protection) and sustained immunity (immune memory) for protection against disease particularly in young children. Conjugate vaccines can overcome some of these limitations. Effective conjugate vaccines have been successful in preventing meningitis and other invasive bacterial infections caused by encapsulated bacteria such as </w:t>
      </w:r>
      <w:proofErr w:type="spellStart"/>
      <w:r w:rsidRPr="00353B6A">
        <w:rPr>
          <w:i/>
          <w:iCs/>
        </w:rPr>
        <w:t>Haemophilus</w:t>
      </w:r>
      <w:proofErr w:type="spellEnd"/>
      <w:r w:rsidRPr="00353B6A">
        <w:rPr>
          <w:i/>
          <w:iCs/>
        </w:rPr>
        <w:t xml:space="preserve"> </w:t>
      </w:r>
      <w:proofErr w:type="spellStart"/>
      <w:r w:rsidRPr="00353B6A">
        <w:rPr>
          <w:i/>
          <w:iCs/>
        </w:rPr>
        <w:t>influenzae</w:t>
      </w:r>
      <w:proofErr w:type="spellEnd"/>
      <w:r w:rsidRPr="000D5093">
        <w:t xml:space="preserve"> type b and </w:t>
      </w:r>
      <w:r w:rsidRPr="00353B6A">
        <w:rPr>
          <w:i/>
          <w:iCs/>
        </w:rPr>
        <w:t xml:space="preserve">Streptococcus </w:t>
      </w:r>
      <w:proofErr w:type="spellStart"/>
      <w:r w:rsidRPr="00353B6A">
        <w:rPr>
          <w:i/>
          <w:iCs/>
        </w:rPr>
        <w:t>pneumoniae</w:t>
      </w:r>
      <w:proofErr w:type="spellEnd"/>
      <w:r w:rsidRPr="000D5093">
        <w:t xml:space="preserve">. </w:t>
      </w:r>
      <w:r w:rsidR="00DA2938">
        <w:t>NIMENRIX</w:t>
      </w:r>
      <w:r w:rsidRPr="000D5093">
        <w:t xml:space="preserve">, a </w:t>
      </w:r>
      <w:proofErr w:type="spellStart"/>
      <w:r w:rsidRPr="000D5093">
        <w:t>quadrivalent</w:t>
      </w:r>
      <w:proofErr w:type="spellEnd"/>
      <w:r w:rsidRPr="000D5093">
        <w:t xml:space="preserve"> meningococcal ACWY-tetanus </w:t>
      </w:r>
      <w:proofErr w:type="spellStart"/>
      <w:r w:rsidRPr="000D5093">
        <w:t>toxoid</w:t>
      </w:r>
      <w:proofErr w:type="spellEnd"/>
      <w:r w:rsidRPr="000D5093">
        <w:t xml:space="preserve"> conjugate vaccine, </w:t>
      </w:r>
      <w:r w:rsidRPr="000D5093">
        <w:lastRenderedPageBreak/>
        <w:t>(</w:t>
      </w:r>
      <w:proofErr w:type="spellStart"/>
      <w:r w:rsidRPr="000D5093">
        <w:t>MenACWY</w:t>
      </w:r>
      <w:proofErr w:type="spellEnd"/>
      <w:r w:rsidR="00015A50">
        <w:t>-</w:t>
      </w:r>
      <w:r w:rsidRPr="000D5093">
        <w:t xml:space="preserve">TT) is composed of purified capsular polysaccharides of </w:t>
      </w:r>
      <w:r w:rsidRPr="00353B6A">
        <w:rPr>
          <w:i/>
          <w:iCs/>
        </w:rPr>
        <w:t>N.</w:t>
      </w:r>
      <w:r w:rsidR="00396F90">
        <w:rPr>
          <w:i/>
          <w:iCs/>
        </w:rPr>
        <w:t xml:space="preserve"> </w:t>
      </w:r>
      <w:proofErr w:type="spellStart"/>
      <w:r w:rsidRPr="00353B6A">
        <w:rPr>
          <w:i/>
          <w:iCs/>
        </w:rPr>
        <w:t>meningitidis</w:t>
      </w:r>
      <w:proofErr w:type="spellEnd"/>
      <w:r w:rsidRPr="000D5093">
        <w:t xml:space="preserve"> A, C, W and Y, with each </w:t>
      </w:r>
      <w:proofErr w:type="spellStart"/>
      <w:r w:rsidRPr="000D5093">
        <w:t>sero</w:t>
      </w:r>
      <w:r w:rsidR="00033AEF">
        <w:t>group</w:t>
      </w:r>
      <w:proofErr w:type="spellEnd"/>
      <w:r w:rsidRPr="000D5093">
        <w:t xml:space="preserve"> conjugated to the tetanus </w:t>
      </w:r>
      <w:proofErr w:type="spellStart"/>
      <w:r w:rsidRPr="000D5093">
        <w:t>toxoid</w:t>
      </w:r>
      <w:proofErr w:type="spellEnd"/>
      <w:r w:rsidRPr="000D5093">
        <w:t xml:space="preserve"> (TT). </w:t>
      </w:r>
    </w:p>
    <w:p w:rsidR="00586F98" w:rsidRDefault="00586F98" w:rsidP="006239E0">
      <w:pPr>
        <w:pStyle w:val="Heading2"/>
        <w:rPr>
          <w:lang w:eastAsia="en-AU"/>
        </w:rPr>
      </w:pPr>
      <w:bookmarkStart w:id="11" w:name="_Toc375123726"/>
      <w:r>
        <w:rPr>
          <w:lang w:eastAsia="en-AU"/>
        </w:rPr>
        <w:t>Contents of the clinical dossier</w:t>
      </w:r>
      <w:bookmarkEnd w:id="8"/>
      <w:bookmarkEnd w:id="9"/>
      <w:bookmarkEnd w:id="11"/>
    </w:p>
    <w:p w:rsidR="00586F98" w:rsidRDefault="00586F98" w:rsidP="006239E0">
      <w:pPr>
        <w:pStyle w:val="Heading3"/>
      </w:pPr>
      <w:bookmarkStart w:id="12" w:name="_Toc375123727"/>
      <w:r>
        <w:t>Scope of the clinical dossier</w:t>
      </w:r>
      <w:bookmarkEnd w:id="12"/>
    </w:p>
    <w:p w:rsidR="009879E5" w:rsidRPr="009879E5" w:rsidRDefault="009879E5" w:rsidP="006239E0">
      <w:r w:rsidRPr="009879E5">
        <w:t>The submission contained the following clinical information:</w:t>
      </w:r>
    </w:p>
    <w:p w:rsidR="009879E5" w:rsidRPr="00A32B75" w:rsidRDefault="009879E5" w:rsidP="006239E0">
      <w:pPr>
        <w:rPr>
          <w:lang w:eastAsia="ja-JP"/>
        </w:rPr>
      </w:pPr>
      <w:r w:rsidRPr="00BE26CD">
        <w:rPr>
          <w:bCs/>
          <w:lang w:eastAsia="ja-JP"/>
        </w:rPr>
        <w:t>Module 5</w:t>
      </w:r>
      <w:r>
        <w:rPr>
          <w:lang w:eastAsia="ja-JP"/>
        </w:rPr>
        <w:t>:</w:t>
      </w:r>
      <w:r w:rsidRPr="00BE26CD">
        <w:rPr>
          <w:lang w:eastAsia="ja-JP"/>
        </w:rPr>
        <w:t xml:space="preserve"> </w:t>
      </w:r>
      <w:r w:rsidRPr="00A32B75">
        <w:rPr>
          <w:lang w:eastAsia="ja-JP"/>
        </w:rPr>
        <w:t xml:space="preserve">All studies listed </w:t>
      </w:r>
      <w:r>
        <w:rPr>
          <w:lang w:eastAsia="ja-JP"/>
        </w:rPr>
        <w:t>below</w:t>
      </w:r>
      <w:r w:rsidR="006239E0">
        <w:rPr>
          <w:lang w:eastAsia="ja-JP"/>
        </w:rPr>
        <w:t>.</w:t>
      </w:r>
    </w:p>
    <w:p w:rsidR="009879E5" w:rsidRPr="00A32B75" w:rsidRDefault="009879E5" w:rsidP="006239E0">
      <w:pPr>
        <w:rPr>
          <w:lang w:eastAsia="ja-JP"/>
        </w:rPr>
      </w:pPr>
      <w:r w:rsidRPr="006239E0">
        <w:rPr>
          <w:i/>
          <w:lang w:eastAsia="ja-JP"/>
        </w:rPr>
        <w:t>Integrated Summary of Efficacy (immunogenicity), Integrated Summary of Safety</w:t>
      </w:r>
      <w:r w:rsidRPr="00A32B75">
        <w:rPr>
          <w:lang w:eastAsia="ja-JP"/>
        </w:rPr>
        <w:t>; booster study (N=1).</w:t>
      </w:r>
    </w:p>
    <w:p w:rsidR="009879E5" w:rsidRPr="00A32B75" w:rsidRDefault="009879E5" w:rsidP="006239E0">
      <w:pPr>
        <w:rPr>
          <w:lang w:eastAsia="ja-JP"/>
        </w:rPr>
      </w:pPr>
      <w:r w:rsidRPr="00A32B75">
        <w:rPr>
          <w:lang w:eastAsia="ja-JP"/>
        </w:rPr>
        <w:t>Module 1</w:t>
      </w:r>
      <w:r>
        <w:rPr>
          <w:lang w:eastAsia="ja-JP"/>
        </w:rPr>
        <w:t xml:space="preserve">: </w:t>
      </w:r>
      <w:r w:rsidRPr="00A32B75">
        <w:rPr>
          <w:lang w:eastAsia="ja-JP"/>
        </w:rPr>
        <w:t>Application letter, application form, draft Australian PI/CMI/label; EU-approved product label. Risk management plan (</w:t>
      </w:r>
      <w:proofErr w:type="spellStart"/>
      <w:r w:rsidRPr="00A32B75">
        <w:rPr>
          <w:bCs/>
          <w:lang w:eastAsia="ja-JP"/>
        </w:rPr>
        <w:t>pharmacovigilance</w:t>
      </w:r>
      <w:proofErr w:type="spellEnd"/>
      <w:r w:rsidRPr="00A32B75">
        <w:rPr>
          <w:bCs/>
          <w:lang w:eastAsia="ja-JP"/>
        </w:rPr>
        <w:t>) for Australia.</w:t>
      </w:r>
    </w:p>
    <w:p w:rsidR="009879E5" w:rsidRDefault="009879E5" w:rsidP="006239E0">
      <w:pPr>
        <w:rPr>
          <w:lang w:eastAsia="ja-JP"/>
        </w:rPr>
      </w:pPr>
      <w:r w:rsidRPr="00A32B75">
        <w:rPr>
          <w:lang w:eastAsia="ja-JP"/>
        </w:rPr>
        <w:t>Module 2</w:t>
      </w:r>
      <w:r>
        <w:rPr>
          <w:lang w:eastAsia="ja-JP"/>
        </w:rPr>
        <w:t xml:space="preserve">: </w:t>
      </w:r>
      <w:r w:rsidRPr="006239E0">
        <w:rPr>
          <w:i/>
          <w:lang w:eastAsia="ja-JP"/>
        </w:rPr>
        <w:t>Clinical Overview, Summary of Clinical Efficacy, Summary of Clinical Safety</w:t>
      </w:r>
      <w:r w:rsidRPr="00A32B75">
        <w:rPr>
          <w:lang w:eastAsia="ja-JP"/>
        </w:rPr>
        <w:t xml:space="preserve"> and literature references.</w:t>
      </w:r>
    </w:p>
    <w:p w:rsidR="00A32B75" w:rsidRPr="00353B6A" w:rsidRDefault="00A32B75" w:rsidP="006239E0">
      <w:r w:rsidRPr="00353B6A">
        <w:t xml:space="preserve">The clinical dossier </w:t>
      </w:r>
      <w:r w:rsidR="009879E5">
        <w:t xml:space="preserve">(Module 5) </w:t>
      </w:r>
      <w:r w:rsidRPr="00353B6A">
        <w:t>documented a full clinical development programme in all age groups for planned use of this vaccine, in terms of pharmacology, efficacy (immune persistence) and safety. The individual studies are summarised be</w:t>
      </w:r>
      <w:r w:rsidR="00353B6A">
        <w:t>low:</w:t>
      </w:r>
    </w:p>
    <w:p w:rsidR="00A32B75" w:rsidRPr="00BE26CD" w:rsidRDefault="00A32B75" w:rsidP="006239E0">
      <w:pPr>
        <w:pStyle w:val="Heading4"/>
        <w:numPr>
          <w:ilvl w:val="0"/>
          <w:numId w:val="0"/>
        </w:numPr>
        <w:ind w:left="1134" w:hanging="964"/>
      </w:pPr>
      <w:r w:rsidRPr="00BE26CD">
        <w:t>Phase II studies</w:t>
      </w:r>
    </w:p>
    <w:p w:rsidR="00A32B75" w:rsidRPr="009879E5" w:rsidRDefault="00A32B75" w:rsidP="006239E0">
      <w:pPr>
        <w:pStyle w:val="Heading5"/>
        <w:numPr>
          <w:ilvl w:val="0"/>
          <w:numId w:val="0"/>
        </w:numPr>
        <w:ind w:left="1418" w:hanging="1191"/>
        <w:rPr>
          <w:lang w:eastAsia="ja-JP"/>
        </w:rPr>
      </w:pPr>
      <w:r w:rsidRPr="009879E5">
        <w:rPr>
          <w:lang w:eastAsia="ja-JP"/>
        </w:rPr>
        <w:t xml:space="preserve">Phase II studies providing data for the selection of </w:t>
      </w:r>
      <w:proofErr w:type="spellStart"/>
      <w:r w:rsidRPr="009879E5">
        <w:rPr>
          <w:lang w:eastAsia="ja-JP"/>
        </w:rPr>
        <w:t>MenACWY</w:t>
      </w:r>
      <w:proofErr w:type="spellEnd"/>
      <w:r w:rsidRPr="009879E5">
        <w:rPr>
          <w:lang w:eastAsia="ja-JP"/>
        </w:rPr>
        <w:t>-TT vaccine formulation (N=2)</w:t>
      </w:r>
    </w:p>
    <w:p w:rsidR="00A32B75" w:rsidRPr="00A32B75" w:rsidRDefault="00A32B75" w:rsidP="006239E0">
      <w:pPr>
        <w:pStyle w:val="ListBullet"/>
        <w:rPr>
          <w:lang w:eastAsia="ja-JP"/>
        </w:rPr>
      </w:pPr>
      <w:r w:rsidRPr="00A32B75">
        <w:rPr>
          <w:lang w:eastAsia="ja-JP"/>
        </w:rPr>
        <w:t>Study MenACWY-TT-012 – Adolescents (Denmark)</w:t>
      </w:r>
    </w:p>
    <w:p w:rsidR="00A32B75" w:rsidRPr="00A32B75" w:rsidRDefault="00A32B75" w:rsidP="006239E0">
      <w:pPr>
        <w:pStyle w:val="ListBullet"/>
        <w:rPr>
          <w:lang w:eastAsia="ja-JP"/>
        </w:rPr>
      </w:pPr>
      <w:r w:rsidRPr="00A32B75">
        <w:rPr>
          <w:lang w:eastAsia="ja-JP"/>
        </w:rPr>
        <w:t>Study MenACWY-TT-013 – Toddlers and children (Austria, Germany)</w:t>
      </w:r>
    </w:p>
    <w:p w:rsidR="00A32B75" w:rsidRPr="009879E5" w:rsidRDefault="00A32B75" w:rsidP="006239E0">
      <w:pPr>
        <w:pStyle w:val="Heading5"/>
        <w:numPr>
          <w:ilvl w:val="0"/>
          <w:numId w:val="0"/>
        </w:numPr>
        <w:ind w:left="1418" w:hanging="1191"/>
        <w:rPr>
          <w:lang w:eastAsia="ja-JP"/>
        </w:rPr>
      </w:pPr>
      <w:r w:rsidRPr="009879E5">
        <w:rPr>
          <w:lang w:eastAsia="ja-JP"/>
        </w:rPr>
        <w:t>Phase II studies in adolescents and adults (N=1)</w:t>
      </w:r>
    </w:p>
    <w:p w:rsidR="00A32B75" w:rsidRPr="00A32B75" w:rsidRDefault="00A32B75" w:rsidP="006239E0">
      <w:pPr>
        <w:pStyle w:val="ListBullet"/>
        <w:rPr>
          <w:lang w:eastAsia="ja-JP"/>
        </w:rPr>
      </w:pPr>
      <w:r w:rsidRPr="00A32B75">
        <w:rPr>
          <w:lang w:eastAsia="ja-JP"/>
        </w:rPr>
        <w:t>Study MenACWY-TT-015 – Adolescents and adults (The Philippines, Saudi Arabia)</w:t>
      </w:r>
    </w:p>
    <w:p w:rsidR="00A32B75" w:rsidRPr="009879E5" w:rsidRDefault="00A32B75" w:rsidP="006239E0">
      <w:pPr>
        <w:pStyle w:val="Heading5"/>
        <w:numPr>
          <w:ilvl w:val="0"/>
          <w:numId w:val="0"/>
        </w:numPr>
        <w:ind w:left="1418" w:hanging="1191"/>
        <w:rPr>
          <w:lang w:eastAsia="ja-JP"/>
        </w:rPr>
      </w:pPr>
      <w:r w:rsidRPr="009879E5">
        <w:rPr>
          <w:lang w:eastAsia="ja-JP"/>
        </w:rPr>
        <w:t>Phase II studies in children, adolescents and adults (N=2)</w:t>
      </w:r>
    </w:p>
    <w:p w:rsidR="00A32B75" w:rsidRPr="00A32B75" w:rsidRDefault="00A32B75" w:rsidP="006239E0">
      <w:pPr>
        <w:pStyle w:val="ListBullet"/>
        <w:rPr>
          <w:lang w:eastAsia="ja-JP"/>
        </w:rPr>
      </w:pPr>
      <w:r w:rsidRPr="00A32B75">
        <w:rPr>
          <w:lang w:eastAsia="ja-JP"/>
        </w:rPr>
        <w:t>Study MenACWY-TT-052 – Children, adolescents and adults (US)</w:t>
      </w:r>
    </w:p>
    <w:p w:rsidR="00A32B75" w:rsidRPr="00A32B75" w:rsidRDefault="00A32B75" w:rsidP="006239E0">
      <w:pPr>
        <w:pStyle w:val="ListBullet"/>
        <w:rPr>
          <w:lang w:eastAsia="ja-JP"/>
        </w:rPr>
      </w:pPr>
      <w:r w:rsidRPr="00A32B75">
        <w:rPr>
          <w:lang w:eastAsia="ja-JP"/>
        </w:rPr>
        <w:t>Study MenACWY-TT-071 – Children, adolescents and adults (US, Canada)</w:t>
      </w:r>
    </w:p>
    <w:p w:rsidR="00A32B75" w:rsidRPr="009879E5" w:rsidRDefault="00A32B75" w:rsidP="006239E0">
      <w:pPr>
        <w:pStyle w:val="Heading5"/>
        <w:numPr>
          <w:ilvl w:val="0"/>
          <w:numId w:val="0"/>
        </w:numPr>
        <w:ind w:left="1418" w:hanging="1191"/>
        <w:rPr>
          <w:lang w:eastAsia="ja-JP"/>
        </w:rPr>
      </w:pPr>
      <w:r w:rsidRPr="009879E5">
        <w:rPr>
          <w:lang w:eastAsia="ja-JP"/>
        </w:rPr>
        <w:t>Phase II studies in toddlers and children (N=2)</w:t>
      </w:r>
    </w:p>
    <w:p w:rsidR="00A32B75" w:rsidRPr="00A32B75" w:rsidRDefault="00A32B75" w:rsidP="006239E0">
      <w:pPr>
        <w:pStyle w:val="ListBullet"/>
        <w:rPr>
          <w:lang w:eastAsia="ja-JP"/>
        </w:rPr>
      </w:pPr>
      <w:r w:rsidRPr="00A32B75">
        <w:rPr>
          <w:lang w:eastAsia="ja-JP"/>
        </w:rPr>
        <w:t>Study MenACWY-TT-027 – Toddlers and children (Finland)</w:t>
      </w:r>
    </w:p>
    <w:p w:rsidR="00A32B75" w:rsidRPr="00A32B75" w:rsidRDefault="00A32B75" w:rsidP="00353B6A">
      <w:pPr>
        <w:pStyle w:val="ListBullet"/>
        <w:rPr>
          <w:lang w:eastAsia="ja-JP"/>
        </w:rPr>
      </w:pPr>
      <w:r w:rsidRPr="00A32B75">
        <w:rPr>
          <w:lang w:eastAsia="ja-JP"/>
        </w:rPr>
        <w:t>Study MenACWY-TT-055 – Toddlers (US)</w:t>
      </w:r>
    </w:p>
    <w:p w:rsidR="00A32B75" w:rsidRPr="00BE26CD" w:rsidRDefault="00A32B75" w:rsidP="006239E0">
      <w:pPr>
        <w:pStyle w:val="Heading4"/>
        <w:numPr>
          <w:ilvl w:val="0"/>
          <w:numId w:val="0"/>
        </w:numPr>
        <w:ind w:left="1134" w:hanging="964"/>
      </w:pPr>
      <w:r w:rsidRPr="00BE26CD">
        <w:t>Phase II persistence and immune memory studies</w:t>
      </w:r>
    </w:p>
    <w:p w:rsidR="00A32B75" w:rsidRPr="009879E5" w:rsidRDefault="00A32B75" w:rsidP="006239E0">
      <w:pPr>
        <w:pStyle w:val="Heading5"/>
        <w:numPr>
          <w:ilvl w:val="0"/>
          <w:numId w:val="0"/>
        </w:numPr>
        <w:ind w:left="1418" w:hanging="1191"/>
        <w:rPr>
          <w:lang w:eastAsia="ja-JP"/>
        </w:rPr>
      </w:pPr>
      <w:r w:rsidRPr="009879E5">
        <w:rPr>
          <w:lang w:eastAsia="ja-JP"/>
        </w:rPr>
        <w:t>Phase II persistence studies in adolescents and adults (N=6)</w:t>
      </w:r>
    </w:p>
    <w:p w:rsidR="00A32B75" w:rsidRPr="00BE26CD" w:rsidRDefault="00A32B75" w:rsidP="006239E0">
      <w:pPr>
        <w:pStyle w:val="ListBullet"/>
      </w:pPr>
      <w:r w:rsidRPr="00BE26CD">
        <w:t>Study MenACWY-TT-016 EXT-015 Y1&amp; Y2–Adolescents and adults (Philippines, Saudi Arabia)</w:t>
      </w:r>
    </w:p>
    <w:p w:rsidR="00A32B75" w:rsidRPr="00BE26CD" w:rsidRDefault="00A32B75" w:rsidP="006239E0">
      <w:pPr>
        <w:pStyle w:val="ListBullet"/>
      </w:pPr>
      <w:r w:rsidRPr="00BE26CD">
        <w:t>Study MenACWY-TT-024 EXT-012 M18 &amp; M30 &amp; M42 –Adolescents and adults (Denmark)</w:t>
      </w:r>
    </w:p>
    <w:p w:rsidR="00A32B75" w:rsidRPr="00BE26CD" w:rsidRDefault="00A32B75" w:rsidP="00BE26CD">
      <w:pPr>
        <w:pStyle w:val="ListBullet"/>
      </w:pPr>
      <w:r w:rsidRPr="00BE26CD">
        <w:t xml:space="preserve">Study MenACWY-TT-059 EXT-052 Y1 – Adolescents and adults (US) </w:t>
      </w:r>
    </w:p>
    <w:p w:rsidR="00A32B75" w:rsidRPr="009879E5" w:rsidRDefault="00A32B75" w:rsidP="006239E0">
      <w:pPr>
        <w:pStyle w:val="Heading5"/>
        <w:numPr>
          <w:ilvl w:val="0"/>
          <w:numId w:val="0"/>
        </w:numPr>
        <w:ind w:left="1418" w:hanging="1191"/>
        <w:rPr>
          <w:lang w:eastAsia="ja-JP"/>
        </w:rPr>
      </w:pPr>
      <w:r w:rsidRPr="009879E5">
        <w:rPr>
          <w:lang w:eastAsia="ja-JP"/>
        </w:rPr>
        <w:t>Phase II persistence studies in toddlers and children (N=5)</w:t>
      </w:r>
    </w:p>
    <w:p w:rsidR="00A32B75" w:rsidRPr="00A32B75" w:rsidRDefault="00A32B75" w:rsidP="006239E0">
      <w:pPr>
        <w:pStyle w:val="ListBullet"/>
        <w:rPr>
          <w:lang w:eastAsia="ja-JP"/>
        </w:rPr>
      </w:pPr>
      <w:r w:rsidRPr="00A32B75">
        <w:rPr>
          <w:lang w:eastAsia="ja-JP"/>
        </w:rPr>
        <w:t xml:space="preserve">Study MenACWY-TT-014 BST-013 –Toddlers and children (Austria, Germany) </w:t>
      </w:r>
    </w:p>
    <w:p w:rsidR="00A32B75" w:rsidRPr="00A32B75" w:rsidRDefault="00A32B75" w:rsidP="00353B6A">
      <w:pPr>
        <w:pStyle w:val="ListBullet"/>
        <w:rPr>
          <w:lang w:eastAsia="ja-JP"/>
        </w:rPr>
      </w:pPr>
      <w:r w:rsidRPr="00A32B75">
        <w:rPr>
          <w:lang w:eastAsia="ja-JP"/>
        </w:rPr>
        <w:t xml:space="preserve">Study MenACWY-TT-028 EXT-027 </w:t>
      </w:r>
      <w:r w:rsidRPr="00A32B75">
        <w:rPr>
          <w:b/>
          <w:lang w:eastAsia="ja-JP"/>
        </w:rPr>
        <w:t>Y1 &amp; Y2 &amp; Y3</w:t>
      </w:r>
      <w:r w:rsidRPr="00A32B75">
        <w:rPr>
          <w:lang w:eastAsia="ja-JP"/>
        </w:rPr>
        <w:t xml:space="preserve"> –Toddlers and children (Finland) </w:t>
      </w:r>
    </w:p>
    <w:p w:rsidR="00A32B75" w:rsidRPr="00A32B75" w:rsidRDefault="00A32B75" w:rsidP="00AE523A">
      <w:pPr>
        <w:pStyle w:val="ListBullet"/>
        <w:rPr>
          <w:lang w:eastAsia="ja-JP"/>
        </w:rPr>
      </w:pPr>
      <w:r w:rsidRPr="00A32B75">
        <w:rPr>
          <w:lang w:eastAsia="ja-JP"/>
        </w:rPr>
        <w:lastRenderedPageBreak/>
        <w:t>Study MenACWY-TT-062 EXT 055 Y1 –Toddlers (US).</w:t>
      </w:r>
    </w:p>
    <w:p w:rsidR="00A32B75" w:rsidRPr="00BE26CD" w:rsidRDefault="00A32B75" w:rsidP="00AE523A">
      <w:pPr>
        <w:pStyle w:val="Heading4"/>
        <w:numPr>
          <w:ilvl w:val="0"/>
          <w:numId w:val="0"/>
        </w:numPr>
        <w:ind w:left="1134" w:hanging="964"/>
      </w:pPr>
      <w:r w:rsidRPr="00BE26CD">
        <w:t xml:space="preserve">Phase III efficacy vaccination studies </w:t>
      </w:r>
    </w:p>
    <w:p w:rsidR="00A32B75" w:rsidRPr="009879E5" w:rsidRDefault="00A32B75" w:rsidP="00AE523A">
      <w:pPr>
        <w:pStyle w:val="Heading5"/>
        <w:numPr>
          <w:ilvl w:val="0"/>
          <w:numId w:val="0"/>
        </w:numPr>
        <w:ind w:left="1418" w:hanging="1191"/>
        <w:rPr>
          <w:lang w:eastAsia="ja-JP"/>
        </w:rPr>
      </w:pPr>
      <w:r w:rsidRPr="009879E5">
        <w:rPr>
          <w:lang w:eastAsia="ja-JP"/>
        </w:rPr>
        <w:t>Studies providing efficacy and safety data for adolescent/adult (N=4)</w:t>
      </w:r>
    </w:p>
    <w:p w:rsidR="00A32B75" w:rsidRPr="000E6BD4" w:rsidRDefault="00A32B75" w:rsidP="00AE523A">
      <w:pPr>
        <w:pStyle w:val="ListBullet"/>
      </w:pPr>
      <w:r w:rsidRPr="000E6BD4">
        <w:t>Study MenACWY-TT-035 (Lebanon, the Philippines)</w:t>
      </w:r>
    </w:p>
    <w:p w:rsidR="00A32B75" w:rsidRPr="000E6BD4" w:rsidRDefault="00A32B75" w:rsidP="000E6BD4">
      <w:pPr>
        <w:pStyle w:val="ListBullet"/>
      </w:pPr>
      <w:r w:rsidRPr="000E6BD4">
        <w:t xml:space="preserve">Study MenACWY-TT-036 (India, the Philippines, Taiwan) </w:t>
      </w:r>
    </w:p>
    <w:p w:rsidR="00A32B75" w:rsidRPr="000E6BD4" w:rsidRDefault="00A32B75" w:rsidP="00AE523A">
      <w:pPr>
        <w:pStyle w:val="ListBullet"/>
      </w:pPr>
      <w:r w:rsidRPr="000E6BD4">
        <w:t xml:space="preserve">Study MenACWY-TT-037 (Denmark, Sweden)  </w:t>
      </w:r>
    </w:p>
    <w:p w:rsidR="00A32B75" w:rsidRPr="000E6BD4" w:rsidRDefault="00A32B75" w:rsidP="000E6BD4">
      <w:pPr>
        <w:pStyle w:val="ListBullet"/>
      </w:pPr>
      <w:r w:rsidRPr="000E6BD4">
        <w:t>Study MenACWY-TT-093 (The Philippines, Thailand, Panama)</w:t>
      </w:r>
    </w:p>
    <w:p w:rsidR="00A32B75" w:rsidRPr="009879E5" w:rsidRDefault="00A32B75" w:rsidP="00AE523A">
      <w:pPr>
        <w:pStyle w:val="Heading5"/>
        <w:numPr>
          <w:ilvl w:val="0"/>
          <w:numId w:val="0"/>
        </w:numPr>
        <w:ind w:left="1418" w:hanging="1191"/>
        <w:rPr>
          <w:lang w:eastAsia="ja-JP"/>
        </w:rPr>
      </w:pPr>
      <w:r w:rsidRPr="009879E5">
        <w:rPr>
          <w:lang w:eastAsia="ja-JP"/>
        </w:rPr>
        <w:t xml:space="preserve">Studies providing efficacy and safety data for children (N=2) </w:t>
      </w:r>
    </w:p>
    <w:p w:rsidR="00A32B75" w:rsidRPr="00A32B75" w:rsidRDefault="00A32B75" w:rsidP="00AE523A">
      <w:pPr>
        <w:pStyle w:val="ListBullet"/>
        <w:rPr>
          <w:lang w:eastAsia="ja-JP"/>
        </w:rPr>
      </w:pPr>
      <w:r w:rsidRPr="00A32B75">
        <w:rPr>
          <w:lang w:eastAsia="ja-JP"/>
        </w:rPr>
        <w:t>Study MenACWY-TT-038 (India, Lebanon, the Philippines, Saudi Arabia)</w:t>
      </w:r>
    </w:p>
    <w:p w:rsidR="00A32B75" w:rsidRPr="00A32B75" w:rsidRDefault="00A32B75" w:rsidP="00AE523A">
      <w:pPr>
        <w:pStyle w:val="ListBullet"/>
        <w:rPr>
          <w:lang w:eastAsia="ja-JP"/>
        </w:rPr>
      </w:pPr>
      <w:r w:rsidRPr="00A32B75">
        <w:rPr>
          <w:lang w:eastAsia="ja-JP"/>
        </w:rPr>
        <w:t xml:space="preserve">Study MenACWY-TT-081 (France, Germany) </w:t>
      </w:r>
    </w:p>
    <w:p w:rsidR="00A32B75" w:rsidRPr="009879E5" w:rsidRDefault="00A32B75" w:rsidP="00AE523A">
      <w:pPr>
        <w:pStyle w:val="Heading5"/>
        <w:numPr>
          <w:ilvl w:val="0"/>
          <w:numId w:val="0"/>
        </w:numPr>
        <w:ind w:left="1418" w:hanging="1191"/>
        <w:rPr>
          <w:lang w:eastAsia="ja-JP"/>
        </w:rPr>
      </w:pPr>
      <w:r w:rsidRPr="009879E5">
        <w:rPr>
          <w:lang w:eastAsia="ja-JP"/>
        </w:rPr>
        <w:t>Studies providing efficacy and safety data for toddlers (N=3)</w:t>
      </w:r>
    </w:p>
    <w:p w:rsidR="00A32B75" w:rsidRPr="00A32B75" w:rsidRDefault="00A32B75" w:rsidP="00AE523A">
      <w:pPr>
        <w:pStyle w:val="ListBullet"/>
        <w:rPr>
          <w:lang w:eastAsia="ja-JP"/>
        </w:rPr>
      </w:pPr>
      <w:r w:rsidRPr="00A32B75">
        <w:rPr>
          <w:lang w:eastAsia="ja-JP"/>
        </w:rPr>
        <w:t xml:space="preserve">Study MenACWY-TT-039 (Finland) </w:t>
      </w:r>
    </w:p>
    <w:p w:rsidR="00A32B75" w:rsidRPr="00A32B75" w:rsidRDefault="00A32B75" w:rsidP="000E6BD4">
      <w:pPr>
        <w:pStyle w:val="ListBullet"/>
        <w:rPr>
          <w:lang w:eastAsia="ja-JP"/>
        </w:rPr>
      </w:pPr>
      <w:r w:rsidRPr="00A32B75">
        <w:rPr>
          <w:lang w:eastAsia="ja-JP"/>
        </w:rPr>
        <w:t>Study MenACWY-TT-040 (Austria, Germany, Greece)</w:t>
      </w:r>
    </w:p>
    <w:p w:rsidR="00A32B75" w:rsidRPr="00A32B75" w:rsidRDefault="00A32B75" w:rsidP="00AE523A">
      <w:pPr>
        <w:pStyle w:val="ListBullet"/>
        <w:rPr>
          <w:lang w:eastAsia="ja-JP"/>
        </w:rPr>
      </w:pPr>
      <w:r w:rsidRPr="00A32B75">
        <w:rPr>
          <w:lang w:eastAsia="ja-JP"/>
        </w:rPr>
        <w:t xml:space="preserve">Study MenACWY-TT-080 (Mexico, Taiwan) </w:t>
      </w:r>
    </w:p>
    <w:p w:rsidR="00A32B75" w:rsidRPr="00BE26CD" w:rsidRDefault="00A32B75" w:rsidP="00AE523A">
      <w:pPr>
        <w:pStyle w:val="Heading4"/>
        <w:numPr>
          <w:ilvl w:val="0"/>
          <w:numId w:val="0"/>
        </w:numPr>
        <w:ind w:left="1134" w:hanging="964"/>
      </w:pPr>
      <w:r w:rsidRPr="00BE26CD">
        <w:t>Phase III persistence studies (N=2)</w:t>
      </w:r>
    </w:p>
    <w:p w:rsidR="00A32B75" w:rsidRPr="000E6BD4" w:rsidRDefault="00A32B75" w:rsidP="00AE523A">
      <w:pPr>
        <w:pStyle w:val="ListBullet"/>
      </w:pPr>
      <w:r w:rsidRPr="000E6BD4">
        <w:t>Study MenACWY-TT-043 EXT- 036 Y2 – Adolescents (India and the Philippines)</w:t>
      </w:r>
    </w:p>
    <w:p w:rsidR="00A32B75" w:rsidRPr="000E6BD4" w:rsidRDefault="00A32B75" w:rsidP="000E6BD4">
      <w:pPr>
        <w:pStyle w:val="ListBullet"/>
      </w:pPr>
      <w:r w:rsidRPr="000E6BD4">
        <w:t>Study MenACWY-TT-048 EXT-039 Y2 – Toddlers (Finland)</w:t>
      </w:r>
    </w:p>
    <w:p w:rsidR="00BE26CD" w:rsidRDefault="00A32B75" w:rsidP="00AE523A">
      <w:pPr>
        <w:pStyle w:val="Heading4"/>
        <w:numPr>
          <w:ilvl w:val="0"/>
          <w:numId w:val="0"/>
        </w:numPr>
        <w:ind w:left="1134" w:hanging="964"/>
      </w:pPr>
      <w:r w:rsidRPr="00BE26CD">
        <w:t xml:space="preserve">Booster study in those already primed with a prior plain meningococcal vaccine (N=1): </w:t>
      </w:r>
    </w:p>
    <w:p w:rsidR="00BE26CD" w:rsidRDefault="00A32B75" w:rsidP="00AE523A">
      <w:pPr>
        <w:pStyle w:val="ListBullet"/>
        <w:rPr>
          <w:lang w:eastAsia="ja-JP"/>
        </w:rPr>
      </w:pPr>
      <w:r w:rsidRPr="00BE26CD">
        <w:rPr>
          <w:lang w:eastAsia="ja-JP"/>
        </w:rPr>
        <w:t xml:space="preserve">Study MenACWY-TT-021 (Lebanon): </w:t>
      </w:r>
    </w:p>
    <w:p w:rsidR="00BE26CD" w:rsidRDefault="00A32B75" w:rsidP="00AE523A">
      <w:pPr>
        <w:pStyle w:val="Heading4"/>
        <w:numPr>
          <w:ilvl w:val="0"/>
          <w:numId w:val="0"/>
        </w:numPr>
        <w:ind w:left="1134" w:hanging="964"/>
      </w:pPr>
      <w:r w:rsidRPr="00BE26CD">
        <w:t xml:space="preserve">Supportive studies: </w:t>
      </w:r>
    </w:p>
    <w:p w:rsidR="00A32B75" w:rsidRPr="00BE26CD" w:rsidRDefault="00A32B75" w:rsidP="00AE523A">
      <w:pPr>
        <w:pStyle w:val="ListBullet"/>
        <w:rPr>
          <w:lang w:eastAsia="ja-JP"/>
        </w:rPr>
      </w:pPr>
      <w:r w:rsidRPr="00BE26CD">
        <w:rPr>
          <w:lang w:eastAsia="ja-JP"/>
        </w:rPr>
        <w:t xml:space="preserve">Study 10PN-PD-DIT-014 (Czech Republic) </w:t>
      </w:r>
    </w:p>
    <w:p w:rsidR="00586F98" w:rsidRDefault="00586F98" w:rsidP="00AE523A">
      <w:pPr>
        <w:pStyle w:val="Heading3"/>
      </w:pPr>
      <w:bookmarkStart w:id="13" w:name="_Toc375123728"/>
      <w:r>
        <w:t>Paediatric data</w:t>
      </w:r>
      <w:bookmarkEnd w:id="13"/>
    </w:p>
    <w:p w:rsidR="00586F98" w:rsidRDefault="00A32B75" w:rsidP="00AE523A">
      <w:pPr>
        <w:rPr>
          <w:lang w:eastAsia="ja-JP"/>
        </w:rPr>
      </w:pPr>
      <w:r w:rsidRPr="00A32B75">
        <w:rPr>
          <w:lang w:eastAsia="ja-JP"/>
        </w:rPr>
        <w:t>The submission included paediatric PD/efficacy (immune persistence)/safety data including safety data pertaining to the administration of this vaccine concurrently</w:t>
      </w:r>
      <w:r w:rsidR="00BE26CD">
        <w:rPr>
          <w:lang w:eastAsia="ja-JP"/>
        </w:rPr>
        <w:t xml:space="preserve"> with other childhood vaccines </w:t>
      </w:r>
      <w:r w:rsidRPr="00A32B75">
        <w:rPr>
          <w:lang w:eastAsia="ja-JP"/>
        </w:rPr>
        <w:t>both conjugate and non-conjugate, live-attenuated and killed (</w:t>
      </w:r>
      <w:proofErr w:type="spellStart"/>
      <w:r w:rsidRPr="00A32B75">
        <w:rPr>
          <w:lang w:eastAsia="ja-JP"/>
        </w:rPr>
        <w:t>toxoid</w:t>
      </w:r>
      <w:proofErr w:type="spellEnd"/>
      <w:r w:rsidRPr="00A32B75">
        <w:rPr>
          <w:lang w:eastAsia="ja-JP"/>
        </w:rPr>
        <w:t xml:space="preserve"> components).</w:t>
      </w:r>
    </w:p>
    <w:p w:rsidR="00586F98" w:rsidRDefault="00586F98" w:rsidP="00AE523A">
      <w:pPr>
        <w:pStyle w:val="Heading3"/>
      </w:pPr>
      <w:bookmarkStart w:id="14" w:name="_Toc375123729"/>
      <w:r>
        <w:t>Good clinical practice</w:t>
      </w:r>
      <w:bookmarkEnd w:id="14"/>
    </w:p>
    <w:p w:rsidR="00A32B75" w:rsidRPr="00974C67" w:rsidRDefault="00A32B75" w:rsidP="00AE523A">
      <w:r w:rsidRPr="00974C67">
        <w:t xml:space="preserve">All studies described in this application, were carried out by experienced investigators and conducted in accordance with GCP guidelines. The protocols complied with the 1996 version of the Declaration of Helsinki and with the GCP guidelines in use at the study outset. Each study was reviewed and approved by an ethical review committee (ERC). However, GCP deficiencies in the informed consent (IC) process and the review of diary card data were identified at one site in study MenACWY-TT-036 (Centre 36963, located in the Philippines; </w:t>
      </w:r>
      <w:r w:rsidR="00B7059A">
        <w:t>[</w:t>
      </w:r>
      <w:r w:rsidRPr="00974C67">
        <w:t>enrolled 3</w:t>
      </w:r>
      <w:r w:rsidR="00CA23DE">
        <w:t>92</w:t>
      </w:r>
      <w:r w:rsidRPr="00974C67">
        <w:t xml:space="preserve"> of </w:t>
      </w:r>
      <w:r w:rsidR="00CA23DE">
        <w:t xml:space="preserve">1025 </w:t>
      </w:r>
      <w:r w:rsidRPr="00974C67">
        <w:t>participants)</w:t>
      </w:r>
      <w:r w:rsidR="00B7059A">
        <w:t>]</w:t>
      </w:r>
      <w:r w:rsidR="00974C67">
        <w:t xml:space="preserve"> </w:t>
      </w:r>
      <w:proofErr w:type="spellStart"/>
      <w:r w:rsidRPr="00974C67">
        <w:t>i.e</w:t>
      </w:r>
      <w:proofErr w:type="spellEnd"/>
      <w:r w:rsidR="00974C67">
        <w:t>:</w:t>
      </w:r>
    </w:p>
    <w:p w:rsidR="00A32B75" w:rsidRPr="00974C67" w:rsidRDefault="00A32B75" w:rsidP="00CE2212">
      <w:pPr>
        <w:pStyle w:val="ListBullet"/>
      </w:pPr>
      <w:r w:rsidRPr="00974C67">
        <w:t>IC was given by a guardian not legally authorised, deviating from the process that had been approved by the ERC: GSK and the investigator acknowledged the finding;</w:t>
      </w:r>
    </w:p>
    <w:p w:rsidR="00586F98" w:rsidRPr="00586F98" w:rsidRDefault="00A32B75" w:rsidP="00CE2212">
      <w:pPr>
        <w:pStyle w:val="ListBullet"/>
        <w:rPr>
          <w:lang w:eastAsia="ja-JP"/>
        </w:rPr>
      </w:pPr>
      <w:r w:rsidRPr="00974C67">
        <w:t>The data recorded by the subjects on the diary cards had been changed without any</w:t>
      </w:r>
      <w:r w:rsidR="00974C67">
        <w:t xml:space="preserve"> </w:t>
      </w:r>
      <w:r w:rsidRPr="00974C67">
        <w:t xml:space="preserve">explanation in the patient chart: GSK and the investigator acknowledged the finding. In order to determine whether exclusion of data from this site would impact the conclusions of </w:t>
      </w:r>
      <w:r w:rsidRPr="00974C67">
        <w:lastRenderedPageBreak/>
        <w:t>the study, supplementary sensitivity analyses (safety/immunogenicity) excluding data from this site were performed in accordance with EMA Guidance (“Ethical Considerations for Clinical Trials Conducted with the Paediatric Population, 2008”). The result of the supplementary analysis show that the safety/immunogenicity conclusions are consistent with the results from the total study population and as such, deviations from ICH-GCP at this site, do not invalidate the study conclusions generated in MenACWY-TT-036.</w:t>
      </w:r>
    </w:p>
    <w:p w:rsidR="00586F98" w:rsidRDefault="00586F98" w:rsidP="00CE2212">
      <w:pPr>
        <w:pStyle w:val="Heading2"/>
      </w:pPr>
      <w:bookmarkStart w:id="15" w:name="_Toc355338639"/>
      <w:bookmarkStart w:id="16" w:name="_Toc375123730"/>
      <w:r>
        <w:t>Pharmacokinetics</w:t>
      </w:r>
      <w:bookmarkEnd w:id="15"/>
      <w:bookmarkEnd w:id="16"/>
      <w:r>
        <w:t xml:space="preserve"> </w:t>
      </w:r>
    </w:p>
    <w:p w:rsidR="00BE26CD" w:rsidRPr="00BE26CD" w:rsidRDefault="00BE26CD" w:rsidP="00CE2212">
      <w:r w:rsidRPr="00BE26CD">
        <w:t xml:space="preserve">As noted in the WHO </w:t>
      </w:r>
      <w:r w:rsidRPr="00CE2212">
        <w:rPr>
          <w:i/>
        </w:rPr>
        <w:t>Guidelines on Nonclinical Evaluation of Vaccines and EMEA/CPMP Note for Guidance on Preclinical Pharmacological and Toxicological testing of Vaccines (CPMP/SWP/465/95)</w:t>
      </w:r>
      <w:r w:rsidRPr="00BE26CD">
        <w:t>, PK testing is not required for final vaccine formulations.</w:t>
      </w:r>
    </w:p>
    <w:p w:rsidR="00586F98" w:rsidRDefault="00586F98" w:rsidP="00F441F2">
      <w:pPr>
        <w:pStyle w:val="Heading2"/>
      </w:pPr>
      <w:bookmarkStart w:id="17" w:name="_Toc375123731"/>
      <w:proofErr w:type="spellStart"/>
      <w:r>
        <w:t>Pharmacodynamics</w:t>
      </w:r>
      <w:bookmarkEnd w:id="17"/>
      <w:proofErr w:type="spellEnd"/>
    </w:p>
    <w:p w:rsidR="00FA0669" w:rsidRPr="00FA0669" w:rsidRDefault="00FA0669" w:rsidP="00F441F2">
      <w:pPr>
        <w:pStyle w:val="Heading3"/>
      </w:pPr>
      <w:bookmarkStart w:id="18" w:name="_Toc272414637"/>
      <w:bookmarkStart w:id="19" w:name="_Toc290846260"/>
      <w:bookmarkStart w:id="20" w:name="_Toc343641667"/>
      <w:bookmarkStart w:id="21" w:name="_Toc375123732"/>
      <w:r w:rsidRPr="00FA0669">
        <w:t xml:space="preserve">Studies providing </w:t>
      </w:r>
      <w:proofErr w:type="spellStart"/>
      <w:r w:rsidRPr="00FA0669">
        <w:t>pharmacodynamic</w:t>
      </w:r>
      <w:proofErr w:type="spellEnd"/>
      <w:r w:rsidRPr="00FA0669">
        <w:t xml:space="preserve"> data</w:t>
      </w:r>
      <w:bookmarkEnd w:id="18"/>
      <w:bookmarkEnd w:id="19"/>
      <w:bookmarkEnd w:id="20"/>
      <w:bookmarkEnd w:id="21"/>
    </w:p>
    <w:p w:rsidR="00FA0669" w:rsidRPr="00FA0669" w:rsidRDefault="00FA0669" w:rsidP="00F441F2">
      <w:pPr>
        <w:rPr>
          <w:lang w:eastAsia="ja-JP"/>
        </w:rPr>
      </w:pPr>
      <w:r w:rsidRPr="00FA0669">
        <w:rPr>
          <w:lang w:eastAsia="ja-JP"/>
        </w:rPr>
        <w:t xml:space="preserve">Phase II studies providing PD and safety data for </w:t>
      </w:r>
      <w:proofErr w:type="spellStart"/>
      <w:r w:rsidRPr="00FA0669">
        <w:rPr>
          <w:lang w:eastAsia="ja-JP"/>
        </w:rPr>
        <w:t>MenACWY</w:t>
      </w:r>
      <w:proofErr w:type="spellEnd"/>
      <w:r w:rsidRPr="00FA0669">
        <w:rPr>
          <w:lang w:eastAsia="ja-JP"/>
        </w:rPr>
        <w:t xml:space="preserve">-TT and longer term follow-up of the latter (immune persistence) studies in the relevant age groups for the Phase III programme for </w:t>
      </w:r>
      <w:proofErr w:type="spellStart"/>
      <w:r w:rsidRPr="00FA0669">
        <w:rPr>
          <w:lang w:eastAsia="ja-JP"/>
        </w:rPr>
        <w:t>Nimenrix</w:t>
      </w:r>
      <w:proofErr w:type="spellEnd"/>
      <w:r w:rsidRPr="00FA0669">
        <w:rPr>
          <w:lang w:eastAsia="ja-JP"/>
        </w:rPr>
        <w:t xml:space="preserve"> are discussed. None of the PD studies had deficiencies that excluded their results from consideration. All were included in this application.</w:t>
      </w:r>
    </w:p>
    <w:p w:rsidR="00FA0669" w:rsidRPr="00D833F4" w:rsidRDefault="00FA0669" w:rsidP="00F441F2">
      <w:pPr>
        <w:pStyle w:val="Heading3"/>
      </w:pPr>
      <w:bookmarkStart w:id="22" w:name="_Ref269119989"/>
      <w:bookmarkStart w:id="23" w:name="_Toc272414639"/>
      <w:bookmarkStart w:id="24" w:name="_Toc290846261"/>
      <w:bookmarkStart w:id="25" w:name="_Toc343641668"/>
      <w:bookmarkStart w:id="26" w:name="_Toc375123733"/>
      <w:r w:rsidRPr="00D833F4">
        <w:t xml:space="preserve">Summary of </w:t>
      </w:r>
      <w:proofErr w:type="spellStart"/>
      <w:r w:rsidRPr="00D833F4">
        <w:t>pharmacodynamics</w:t>
      </w:r>
      <w:bookmarkEnd w:id="22"/>
      <w:bookmarkEnd w:id="23"/>
      <w:bookmarkEnd w:id="24"/>
      <w:bookmarkEnd w:id="25"/>
      <w:bookmarkEnd w:id="26"/>
      <w:proofErr w:type="spellEnd"/>
    </w:p>
    <w:p w:rsidR="00FA0669" w:rsidRPr="00D833F4" w:rsidRDefault="00FA0669" w:rsidP="00F441F2">
      <w:r w:rsidRPr="00D833F4">
        <w:t>The information in the following summary is derived from conventional PD studies in humans unless otherwise stated.</w:t>
      </w:r>
    </w:p>
    <w:p w:rsidR="00FA0669" w:rsidRPr="00D833F4" w:rsidRDefault="00FA0669" w:rsidP="00F441F2">
      <w:pPr>
        <w:pStyle w:val="Heading4"/>
      </w:pPr>
      <w:bookmarkStart w:id="27" w:name="_Toc241374299"/>
      <w:bookmarkStart w:id="28" w:name="_Toc272414640"/>
      <w:bookmarkStart w:id="29" w:name="_Toc290846262"/>
      <w:bookmarkStart w:id="30" w:name="_Toc343641669"/>
      <w:r w:rsidRPr="00D833F4">
        <w:t>Mechanism of action</w:t>
      </w:r>
      <w:bookmarkEnd w:id="27"/>
      <w:bookmarkEnd w:id="28"/>
      <w:bookmarkEnd w:id="29"/>
      <w:bookmarkEnd w:id="30"/>
    </w:p>
    <w:p w:rsidR="00FA0669" w:rsidRPr="00D833F4" w:rsidRDefault="00FA0669" w:rsidP="00F441F2">
      <w:r w:rsidRPr="00D833F4">
        <w:t xml:space="preserve">PS vaccines illicit a T-cell independent immune response and while this has been successful in prevention of </w:t>
      </w:r>
      <w:proofErr w:type="spellStart"/>
      <w:r w:rsidRPr="00D833F4">
        <w:t>Meningoccus</w:t>
      </w:r>
      <w:proofErr w:type="spellEnd"/>
      <w:r w:rsidRPr="00D833F4">
        <w:t xml:space="preserve"> (Men) group A and C including epidemic control (</w:t>
      </w:r>
      <w:proofErr w:type="spellStart"/>
      <w:r w:rsidRPr="00D833F4">
        <w:t>Artenstein</w:t>
      </w:r>
      <w:proofErr w:type="spellEnd"/>
      <w:r w:rsidRPr="00D833F4">
        <w:t>;</w:t>
      </w:r>
      <w:r w:rsidR="00BE26CD">
        <w:t xml:space="preserve"> </w:t>
      </w:r>
      <w:proofErr w:type="spellStart"/>
      <w:r w:rsidRPr="00D833F4">
        <w:t>Wahdan</w:t>
      </w:r>
      <w:proofErr w:type="spellEnd"/>
      <w:r w:rsidRPr="00D833F4">
        <w:t xml:space="preserve"> 197</w:t>
      </w:r>
      <w:r w:rsidR="00BE26CD">
        <w:t>3</w:t>
      </w:r>
      <w:r w:rsidRPr="00D833F4">
        <w:t xml:space="preserve"> &amp; 1977;</w:t>
      </w:r>
      <w:r w:rsidR="00DE500D">
        <w:t xml:space="preserve"> </w:t>
      </w:r>
      <w:proofErr w:type="spellStart"/>
      <w:r w:rsidRPr="00D833F4">
        <w:t>Bosmans</w:t>
      </w:r>
      <w:proofErr w:type="spellEnd"/>
      <w:r w:rsidRPr="00D833F4">
        <w:t>;</w:t>
      </w:r>
      <w:r w:rsidR="00BE26CD">
        <w:t xml:space="preserve"> </w:t>
      </w:r>
      <w:r w:rsidRPr="00D833F4">
        <w:t>Soriano) immunity is relatively short-lived as these vaccine do not induce immuno</w:t>
      </w:r>
      <w:r w:rsidR="00D833F4">
        <w:t>logical memory in any age group</w:t>
      </w:r>
      <w:r w:rsidRPr="00D833F4">
        <w:t xml:space="preserve">. Moreover, immune response to capsular organisms is impaired in young children &lt;2 </w:t>
      </w:r>
      <w:r w:rsidR="00396F90">
        <w:t>years</w:t>
      </w:r>
      <w:r w:rsidRPr="00D833F4">
        <w:t xml:space="preserve"> (Leach;</w:t>
      </w:r>
      <w:r w:rsidR="00BE26CD">
        <w:t xml:space="preserve"> </w:t>
      </w:r>
      <w:r w:rsidRPr="00D833F4">
        <w:t>MacDonald;</w:t>
      </w:r>
      <w:r w:rsidR="00BE26CD">
        <w:t xml:space="preserve"> </w:t>
      </w:r>
      <w:proofErr w:type="spellStart"/>
      <w:r w:rsidRPr="00D833F4">
        <w:t>Granoff</w:t>
      </w:r>
      <w:proofErr w:type="spellEnd"/>
      <w:r w:rsidRPr="00D833F4">
        <w:t xml:space="preserve">, 2005 &amp; 2009). Vaccines against the PS-encapsulated bacteria </w:t>
      </w:r>
      <w:r w:rsidRPr="00D833F4">
        <w:rPr>
          <w:i/>
          <w:iCs/>
        </w:rPr>
        <w:t>H.</w:t>
      </w:r>
      <w:r w:rsidR="00DE500D">
        <w:rPr>
          <w:i/>
          <w:iCs/>
        </w:rPr>
        <w:t xml:space="preserve"> </w:t>
      </w:r>
      <w:proofErr w:type="spellStart"/>
      <w:r w:rsidRPr="00D833F4">
        <w:rPr>
          <w:i/>
          <w:iCs/>
        </w:rPr>
        <w:t>influenzae</w:t>
      </w:r>
      <w:proofErr w:type="spellEnd"/>
      <w:r w:rsidRPr="00D833F4">
        <w:t xml:space="preserve"> type B and </w:t>
      </w:r>
      <w:r w:rsidRPr="00D833F4">
        <w:rPr>
          <w:i/>
          <w:iCs/>
        </w:rPr>
        <w:t>S.</w:t>
      </w:r>
      <w:r w:rsidR="00DE500D">
        <w:rPr>
          <w:i/>
          <w:iCs/>
        </w:rPr>
        <w:t xml:space="preserve"> </w:t>
      </w:r>
      <w:proofErr w:type="spellStart"/>
      <w:r w:rsidRPr="00D833F4">
        <w:rPr>
          <w:i/>
          <w:iCs/>
        </w:rPr>
        <w:t>pneumoniae</w:t>
      </w:r>
      <w:proofErr w:type="spellEnd"/>
      <w:r w:rsidRPr="00D833F4">
        <w:t xml:space="preserve"> have been successfully developed through chemical conjugation of the PS to a protein carrier. The net effect is conversion of the immune response to a T-cell independent anti-PS antibody response to a T-cell dependent response. Children &lt;2 </w:t>
      </w:r>
      <w:r w:rsidR="00396F90">
        <w:t>years</w:t>
      </w:r>
      <w:r w:rsidRPr="00D833F4">
        <w:t xml:space="preserve"> can mount T-cell dependent immune responses to pathogens and this includes T-cell memory such that there is a strong </w:t>
      </w:r>
      <w:proofErr w:type="spellStart"/>
      <w:r w:rsidRPr="00D833F4">
        <w:t>anamnestic</w:t>
      </w:r>
      <w:proofErr w:type="spellEnd"/>
      <w:r w:rsidRPr="00D833F4">
        <w:t xml:space="preserve"> (memory) response to boosting with vaccine and we assume, actual challenge with the organism. The other advantage of the currently licensed conjugate vaccines (</w:t>
      </w:r>
      <w:proofErr w:type="spellStart"/>
      <w:r w:rsidRPr="00D833F4">
        <w:t>Hib</w:t>
      </w:r>
      <w:proofErr w:type="spellEnd"/>
      <w:r w:rsidRPr="00D833F4">
        <w:t xml:space="preserve"> and </w:t>
      </w:r>
      <w:proofErr w:type="spellStart"/>
      <w:r w:rsidRPr="00D833F4">
        <w:t>pneumococcus</w:t>
      </w:r>
      <w:proofErr w:type="spellEnd"/>
      <w:r w:rsidRPr="00D833F4">
        <w:t>) is reduction in asymptomatic carriage of these respective bacteria, thereby reducing potential transmission to protecting unvaccinated individuals (</w:t>
      </w:r>
      <w:proofErr w:type="spellStart"/>
      <w:r w:rsidRPr="00D833F4">
        <w:t>Mohle-Boetani</w:t>
      </w:r>
      <w:proofErr w:type="spellEnd"/>
      <w:r w:rsidRPr="00D833F4">
        <w:t>;</w:t>
      </w:r>
      <w:r w:rsidR="00D833F4">
        <w:t xml:space="preserve"> </w:t>
      </w:r>
      <w:r w:rsidRPr="00D833F4">
        <w:t>O’Brien). While this could be anticipated for meningococcal conjugate vaccines, the data in this regard is yet to be provided (Trotter 2007</w:t>
      </w:r>
      <w:r w:rsidR="00BE26CD">
        <w:t xml:space="preserve"> </w:t>
      </w:r>
      <w:r w:rsidRPr="00D833F4">
        <w:t xml:space="preserve">&amp; 2009). </w:t>
      </w:r>
    </w:p>
    <w:p w:rsidR="00D833F4" w:rsidRPr="00E707B4" w:rsidRDefault="00FA0669" w:rsidP="00F441F2">
      <w:pPr>
        <w:pStyle w:val="Heading5"/>
      </w:pPr>
      <w:r w:rsidRPr="00E707B4">
        <w:t xml:space="preserve">Immunological efficacy as markers of protection against disease </w:t>
      </w:r>
    </w:p>
    <w:p w:rsidR="00FA0669" w:rsidRPr="00D833F4" w:rsidRDefault="00FA0669" w:rsidP="00F441F2">
      <w:r w:rsidRPr="00D833F4">
        <w:t xml:space="preserve">None of the studies in this application were powered for (sufficient numbers, sufficient duration) to explore actual efficacy of the vaccine in protecting against meningococcal disease. Hence the efficacy of the vaccine is confined to surrogate markers i.e. serum bactericidal antibody (SBA) response. The data justifying the </w:t>
      </w:r>
      <w:r w:rsidR="00BE26CD" w:rsidRPr="00D833F4">
        <w:t>thresholds</w:t>
      </w:r>
      <w:r w:rsidRPr="00D833F4">
        <w:t xml:space="preserve"> for these SBA (either using rabbit or human complement) endpoint – including the </w:t>
      </w:r>
      <w:r w:rsidR="00BE26CD" w:rsidRPr="00D833F4">
        <w:t>thresholds</w:t>
      </w:r>
      <w:r w:rsidRPr="00D833F4">
        <w:t xml:space="preserve"> for comparator vaccines antigens is </w:t>
      </w:r>
      <w:r w:rsidRPr="00D833F4">
        <w:lastRenderedPageBreak/>
        <w:t xml:space="preserve">summarised below and aligned with WHO 2011 guidelines (WHO 2011) for licensure of meningococcal vaccines. </w:t>
      </w:r>
    </w:p>
    <w:p w:rsidR="00D833F4" w:rsidRPr="00E707B4" w:rsidRDefault="00FA0669" w:rsidP="00F441F2">
      <w:pPr>
        <w:pStyle w:val="Heading6"/>
      </w:pPr>
      <w:r w:rsidRPr="00E707B4">
        <w:t xml:space="preserve">Serum bactericidal antibody response as biomarker for protective efficacy </w:t>
      </w:r>
    </w:p>
    <w:p w:rsidR="00FA0669" w:rsidRPr="00D833F4" w:rsidRDefault="00FA0669" w:rsidP="00F441F2">
      <w:r w:rsidRPr="00D833F4">
        <w:t>There is a wealth of data showing a correlation between levels of serum antibody and protection against meningococcal disease (Flexner;</w:t>
      </w:r>
      <w:r w:rsidR="00D833F4" w:rsidRPr="00D833F4">
        <w:t xml:space="preserve"> </w:t>
      </w:r>
      <w:proofErr w:type="spellStart"/>
      <w:r w:rsidRPr="00D833F4">
        <w:t>Goldschneider</w:t>
      </w:r>
      <w:proofErr w:type="spellEnd"/>
      <w:r w:rsidRPr="00D833F4">
        <w:t xml:space="preserve">). Although there have been many deliberations regarding the source of exogenous complement for this test (human (h) or rabbit (r)), the 2011 WHO Position Paper (WHO 2011) on meningococcal </w:t>
      </w:r>
      <w:r w:rsidR="00D833F4" w:rsidRPr="00D833F4">
        <w:t>vaccines states that titres of ≥</w:t>
      </w:r>
      <w:r w:rsidRPr="00D833F4">
        <w:t xml:space="preserve">1:4 in </w:t>
      </w:r>
      <w:proofErr w:type="spellStart"/>
      <w:r w:rsidRPr="00D833F4">
        <w:t>hSBA</w:t>
      </w:r>
      <w:proofErr w:type="spellEnd"/>
      <w:r w:rsidRPr="00D833F4">
        <w:t xml:space="preserve"> or ≥1:8 in </w:t>
      </w:r>
      <w:proofErr w:type="spellStart"/>
      <w:r w:rsidRPr="00D833F4">
        <w:t>rSBA</w:t>
      </w:r>
      <w:proofErr w:type="spellEnd"/>
      <w:r w:rsidRPr="00D833F4">
        <w:t xml:space="preserve"> are accepted as correlates of protection against </w:t>
      </w:r>
      <w:proofErr w:type="spellStart"/>
      <w:r w:rsidRPr="00D833F4">
        <w:t>meningococci</w:t>
      </w:r>
      <w:proofErr w:type="spellEnd"/>
      <w:r w:rsidRPr="00D833F4">
        <w:t xml:space="preserve"> </w:t>
      </w:r>
      <w:proofErr w:type="spellStart"/>
      <w:r w:rsidRPr="00D833F4">
        <w:t>serogroups</w:t>
      </w:r>
      <w:proofErr w:type="spellEnd"/>
      <w:r w:rsidRPr="00D833F4">
        <w:t xml:space="preserve"> </w:t>
      </w:r>
      <w:r w:rsidR="00D833F4" w:rsidRPr="00D833F4">
        <w:t xml:space="preserve">A, C, W-135 and Y, noting that </w:t>
      </w:r>
      <w:r w:rsidRPr="00D833F4">
        <w:t xml:space="preserve">there is no clinical trial data correlating these titres and protection from actual disease. The lion share of data in terms of immunogenicity are for meningococcal </w:t>
      </w:r>
      <w:proofErr w:type="spellStart"/>
      <w:r w:rsidRPr="00D833F4">
        <w:t>serogroup</w:t>
      </w:r>
      <w:proofErr w:type="spellEnd"/>
      <w:r w:rsidRPr="00D833F4">
        <w:t xml:space="preserve"> C vaccines and continue to justify the use of the </w:t>
      </w:r>
      <w:proofErr w:type="spellStart"/>
      <w:r w:rsidRPr="00D833F4">
        <w:t>rSBA</w:t>
      </w:r>
      <w:proofErr w:type="spellEnd"/>
      <w:r w:rsidRPr="00D833F4">
        <w:t xml:space="preserve"> assay for the evaluation of new </w:t>
      </w:r>
      <w:proofErr w:type="spellStart"/>
      <w:r w:rsidRPr="00D833F4">
        <w:t>MenC</w:t>
      </w:r>
      <w:proofErr w:type="spellEnd"/>
      <w:r w:rsidRPr="00D833F4">
        <w:t xml:space="preserve">-containing conjugate vaccines. Although no correlates of protection have been established for </w:t>
      </w:r>
      <w:proofErr w:type="spellStart"/>
      <w:r w:rsidRPr="00D833F4">
        <w:t>serogroups</w:t>
      </w:r>
      <w:proofErr w:type="spellEnd"/>
      <w:r w:rsidRPr="00D833F4">
        <w:t xml:space="preserve"> A, W-135 and Y, with either </w:t>
      </w:r>
      <w:proofErr w:type="spellStart"/>
      <w:r w:rsidRPr="00D833F4">
        <w:t>rSBA</w:t>
      </w:r>
      <w:proofErr w:type="spellEnd"/>
      <w:r w:rsidRPr="00D833F4">
        <w:t xml:space="preserve"> or </w:t>
      </w:r>
      <w:proofErr w:type="spellStart"/>
      <w:r w:rsidRPr="00D833F4">
        <w:t>hSBA</w:t>
      </w:r>
      <w:proofErr w:type="spellEnd"/>
      <w:r w:rsidRPr="00D833F4">
        <w:t xml:space="preserve">, the licensure criteria for these 3 </w:t>
      </w:r>
      <w:proofErr w:type="spellStart"/>
      <w:r w:rsidRPr="00D833F4">
        <w:t>serogroups</w:t>
      </w:r>
      <w:proofErr w:type="spellEnd"/>
      <w:r w:rsidRPr="00D833F4">
        <w:t xml:space="preserve"> are inferred from the </w:t>
      </w:r>
      <w:proofErr w:type="spellStart"/>
      <w:r w:rsidRPr="00D833F4">
        <w:t>MenC</w:t>
      </w:r>
      <w:proofErr w:type="spellEnd"/>
      <w:r w:rsidRPr="00D833F4">
        <w:t xml:space="preserve"> experience based on similar immunogenicity </w:t>
      </w:r>
      <w:r w:rsidR="00D833F4" w:rsidRPr="00D833F4">
        <w:t xml:space="preserve">criteria, and in line with the </w:t>
      </w:r>
      <w:r w:rsidRPr="00D833F4">
        <w:t>approach used for the licensure of the tetravalent meningococcal plain PS vaccines.</w:t>
      </w:r>
    </w:p>
    <w:p w:rsidR="009C293E" w:rsidRDefault="00FA0669" w:rsidP="00F441F2">
      <w:r w:rsidRPr="00D833F4">
        <w:t xml:space="preserve">The GSK </w:t>
      </w:r>
      <w:proofErr w:type="spellStart"/>
      <w:r w:rsidRPr="00D833F4">
        <w:t>rSBA</w:t>
      </w:r>
      <w:proofErr w:type="spellEnd"/>
      <w:r w:rsidRPr="00D833F4">
        <w:t xml:space="preserve"> assays for the four </w:t>
      </w:r>
      <w:proofErr w:type="spellStart"/>
      <w:r w:rsidRPr="00D833F4">
        <w:t>serogroups</w:t>
      </w:r>
      <w:proofErr w:type="spellEnd"/>
      <w:r w:rsidRPr="00D833F4">
        <w:t xml:space="preserve"> were validated according to the ICH guidelines and used to register the </w:t>
      </w:r>
      <w:proofErr w:type="spellStart"/>
      <w:r w:rsidRPr="00D833F4">
        <w:t>Mencevax</w:t>
      </w:r>
      <w:proofErr w:type="spellEnd"/>
      <w:r w:rsidRPr="00D833F4">
        <w:t xml:space="preserve"> in 2005 and </w:t>
      </w:r>
      <w:proofErr w:type="spellStart"/>
      <w:r w:rsidRPr="00D833F4">
        <w:t>Menitorix</w:t>
      </w:r>
      <w:proofErr w:type="spellEnd"/>
      <w:r w:rsidRPr="00D833F4">
        <w:t xml:space="preserve"> in 2006. The GSK </w:t>
      </w:r>
      <w:proofErr w:type="spellStart"/>
      <w:r w:rsidRPr="00D833F4">
        <w:t>rSBA-MenC</w:t>
      </w:r>
      <w:proofErr w:type="spellEnd"/>
      <w:r w:rsidRPr="00D833F4">
        <w:t xml:space="preserve"> assay was successfully bridged with </w:t>
      </w:r>
      <w:proofErr w:type="spellStart"/>
      <w:r w:rsidRPr="00D833F4">
        <w:t>rSBA</w:t>
      </w:r>
      <w:proofErr w:type="spellEnd"/>
      <w:r w:rsidRPr="00D833F4">
        <w:t xml:space="preserve"> assays performed in the Health Protection Agency (HPA) and a titre of 8 shown to correlate with MCC vaccine effectiveness (Andrews). Consequently, the </w:t>
      </w:r>
      <w:proofErr w:type="spellStart"/>
      <w:r w:rsidRPr="00D833F4">
        <w:t>rSBA</w:t>
      </w:r>
      <w:proofErr w:type="spellEnd"/>
      <w:r w:rsidRPr="00D833F4">
        <w:t xml:space="preserve"> has been used as a primary immunological assay in the </w:t>
      </w:r>
      <w:proofErr w:type="spellStart"/>
      <w:r w:rsidRPr="00D833F4">
        <w:t>MenACWY</w:t>
      </w:r>
      <w:proofErr w:type="spellEnd"/>
      <w:r w:rsidRPr="00D833F4">
        <w:t xml:space="preserve">-TT clinical development plan. The lack of </w:t>
      </w:r>
      <w:r w:rsidR="00842AC6" w:rsidRPr="00D833F4">
        <w:t>consensus</w:t>
      </w:r>
      <w:r w:rsidRPr="00D833F4">
        <w:t xml:space="preserve"> regarding the choice of human or baby rabbit complement for SBA assays has led to testing by GSK using </w:t>
      </w:r>
      <w:proofErr w:type="spellStart"/>
      <w:r w:rsidRPr="00D833F4">
        <w:t>hSBA</w:t>
      </w:r>
      <w:proofErr w:type="spellEnd"/>
      <w:r w:rsidRPr="00D833F4">
        <w:t xml:space="preserve"> assays to further characterise the immune responses to </w:t>
      </w:r>
      <w:proofErr w:type="spellStart"/>
      <w:r w:rsidRPr="00D833F4">
        <w:t>MenACWY</w:t>
      </w:r>
      <w:proofErr w:type="spellEnd"/>
      <w:r w:rsidRPr="00D833F4">
        <w:t xml:space="preserve">-TT. GSK has based the submission of the </w:t>
      </w:r>
      <w:proofErr w:type="spellStart"/>
      <w:r w:rsidRPr="00D833F4">
        <w:t>MenACWY</w:t>
      </w:r>
      <w:proofErr w:type="spellEnd"/>
      <w:r w:rsidRPr="00D833F4">
        <w:t>-TT file on the demonstration of immunological non-inferiority of the candidate vaccine when compared to licensed meningococcal vaccines. A serum bactericidal assay based on the CDC protocol (</w:t>
      </w:r>
      <w:proofErr w:type="spellStart"/>
      <w:r w:rsidRPr="00D833F4">
        <w:t>Maslanka</w:t>
      </w:r>
      <w:proofErr w:type="spellEnd"/>
      <w:r w:rsidRPr="00D833F4">
        <w:t xml:space="preserve">) and using baby rabbit serum as source of complement for the immunological endpoint. </w:t>
      </w:r>
    </w:p>
    <w:p w:rsidR="00FA0669" w:rsidRDefault="00FA0669" w:rsidP="00F441F2">
      <w:r w:rsidRPr="00577C84">
        <w:t xml:space="preserve">Primary immunogenicity endpoint= SBA to </w:t>
      </w:r>
      <w:proofErr w:type="spellStart"/>
      <w:r w:rsidRPr="00577C84">
        <w:t>MenA</w:t>
      </w:r>
      <w:proofErr w:type="spellEnd"/>
      <w:r w:rsidRPr="00577C84">
        <w:t xml:space="preserve">, -C, -W-135, -Y </w:t>
      </w:r>
      <w:r w:rsidR="009C293E">
        <w:t xml:space="preserve">was </w:t>
      </w:r>
      <w:r w:rsidRPr="00577C84">
        <w:t>defined as follows:</w:t>
      </w:r>
    </w:p>
    <w:p w:rsidR="00577C84" w:rsidRPr="00577C84" w:rsidRDefault="00577C84" w:rsidP="00F441F2">
      <w:pPr>
        <w:pStyle w:val="TableTitle"/>
      </w:pPr>
      <w:r>
        <w:t xml:space="preserve">Table 1. </w:t>
      </w:r>
      <w:r w:rsidR="00FA0669" w:rsidRPr="00577C84">
        <w:t>Primary immunogenicity endpoint</w:t>
      </w:r>
    </w:p>
    <w:tbl>
      <w:tblPr>
        <w:tblStyle w:val="TableTGAblue"/>
        <w:tblW w:w="8789" w:type="dxa"/>
        <w:tblInd w:w="108" w:type="dxa"/>
        <w:tblLook w:val="04A0"/>
      </w:tblPr>
      <w:tblGrid>
        <w:gridCol w:w="1027"/>
        <w:gridCol w:w="1940"/>
        <w:gridCol w:w="1941"/>
        <w:gridCol w:w="1940"/>
        <w:gridCol w:w="1941"/>
      </w:tblGrid>
      <w:tr w:rsidR="00FA0669" w:rsidRPr="009C293E" w:rsidTr="00577C84">
        <w:trPr>
          <w:cnfStyle w:val="100000000000"/>
        </w:trPr>
        <w:tc>
          <w:tcPr>
            <w:cnfStyle w:val="001000000000"/>
            <w:tcW w:w="1027" w:type="dxa"/>
          </w:tcPr>
          <w:p w:rsidR="00FA0669" w:rsidRPr="009C293E" w:rsidRDefault="00FA0669" w:rsidP="00F441F2">
            <w:pPr>
              <w:ind w:left="34" w:right="0"/>
              <w:rPr>
                <w:lang w:eastAsia="ja-JP"/>
              </w:rPr>
            </w:pPr>
          </w:p>
        </w:tc>
        <w:tc>
          <w:tcPr>
            <w:tcW w:w="3881" w:type="dxa"/>
            <w:gridSpan w:val="2"/>
          </w:tcPr>
          <w:p w:rsidR="00FA0669" w:rsidRPr="009C293E" w:rsidRDefault="00FA0669" w:rsidP="00F441F2">
            <w:pPr>
              <w:ind w:left="0" w:right="24"/>
              <w:cnfStyle w:val="100000000000"/>
              <w:rPr>
                <w:bCs/>
                <w:lang w:eastAsia="ja-JP"/>
              </w:rPr>
            </w:pPr>
            <w:r w:rsidRPr="009C293E">
              <w:rPr>
                <w:bCs/>
                <w:lang w:eastAsia="ja-JP"/>
              </w:rPr>
              <w:t>rabbit SBA (</w:t>
            </w:r>
            <w:proofErr w:type="spellStart"/>
            <w:r w:rsidRPr="009C293E">
              <w:rPr>
                <w:bCs/>
                <w:lang w:eastAsia="ja-JP"/>
              </w:rPr>
              <w:t>rSBA</w:t>
            </w:r>
            <w:proofErr w:type="spellEnd"/>
            <w:r w:rsidRPr="009C293E">
              <w:rPr>
                <w:bCs/>
                <w:lang w:eastAsia="ja-JP"/>
              </w:rPr>
              <w:t>)</w:t>
            </w:r>
          </w:p>
        </w:tc>
        <w:tc>
          <w:tcPr>
            <w:tcW w:w="3881" w:type="dxa"/>
            <w:gridSpan w:val="2"/>
          </w:tcPr>
          <w:p w:rsidR="00FA0669" w:rsidRPr="009C293E" w:rsidRDefault="00FA0669" w:rsidP="00F441F2">
            <w:pPr>
              <w:ind w:left="44" w:right="0"/>
              <w:cnfStyle w:val="100000000000"/>
              <w:rPr>
                <w:bCs/>
                <w:lang w:eastAsia="ja-JP"/>
              </w:rPr>
            </w:pPr>
            <w:r w:rsidRPr="009C293E">
              <w:rPr>
                <w:bCs/>
                <w:lang w:eastAsia="ja-JP"/>
              </w:rPr>
              <w:t>human SBA (</w:t>
            </w:r>
            <w:proofErr w:type="spellStart"/>
            <w:r w:rsidRPr="009C293E">
              <w:rPr>
                <w:bCs/>
                <w:lang w:eastAsia="ja-JP"/>
              </w:rPr>
              <w:t>hSBA</w:t>
            </w:r>
            <w:proofErr w:type="spellEnd"/>
            <w:r w:rsidRPr="009C293E">
              <w:rPr>
                <w:bCs/>
                <w:lang w:eastAsia="ja-JP"/>
              </w:rPr>
              <w:t>)</w:t>
            </w:r>
          </w:p>
        </w:tc>
      </w:tr>
      <w:tr w:rsidR="00FA0669" w:rsidRPr="009C293E" w:rsidTr="00577C84">
        <w:tc>
          <w:tcPr>
            <w:cnfStyle w:val="001000000000"/>
            <w:tcW w:w="1027" w:type="dxa"/>
          </w:tcPr>
          <w:p w:rsidR="00FA0669" w:rsidRPr="009C293E" w:rsidRDefault="00FA0669" w:rsidP="00F441F2">
            <w:pPr>
              <w:ind w:left="34" w:right="0"/>
              <w:rPr>
                <w:b/>
                <w:lang w:eastAsia="ja-JP"/>
              </w:rPr>
            </w:pPr>
            <w:r w:rsidRPr="009C293E">
              <w:rPr>
                <w:b/>
                <w:lang w:eastAsia="ja-JP"/>
              </w:rPr>
              <w:t>age g</w:t>
            </w:r>
            <w:r w:rsidR="009C293E">
              <w:rPr>
                <w:b/>
                <w:lang w:eastAsia="ja-JP"/>
              </w:rPr>
              <w:t>rou</w:t>
            </w:r>
            <w:r w:rsidRPr="009C293E">
              <w:rPr>
                <w:b/>
                <w:lang w:eastAsia="ja-JP"/>
              </w:rPr>
              <w:t>p</w:t>
            </w:r>
          </w:p>
        </w:tc>
        <w:tc>
          <w:tcPr>
            <w:tcW w:w="1940" w:type="dxa"/>
          </w:tcPr>
          <w:p w:rsidR="00FA0669" w:rsidRPr="009C293E" w:rsidRDefault="00FA0669" w:rsidP="00F441F2">
            <w:pPr>
              <w:ind w:left="0" w:right="24"/>
              <w:cnfStyle w:val="000000000000"/>
              <w:rPr>
                <w:b/>
                <w:lang w:eastAsia="ja-JP"/>
              </w:rPr>
            </w:pPr>
            <w:proofErr w:type="spellStart"/>
            <w:r w:rsidRPr="009C293E">
              <w:rPr>
                <w:b/>
                <w:lang w:eastAsia="ja-JP"/>
              </w:rPr>
              <w:t>seronegative</w:t>
            </w:r>
            <w:proofErr w:type="spellEnd"/>
            <w:r w:rsidRPr="009C293E">
              <w:rPr>
                <w:b/>
                <w:lang w:eastAsia="ja-JP"/>
              </w:rPr>
              <w:t xml:space="preserve"> (</w:t>
            </w:r>
            <w:proofErr w:type="spellStart"/>
            <w:r w:rsidRPr="009C293E">
              <w:rPr>
                <w:b/>
                <w:lang w:eastAsia="ja-JP"/>
              </w:rPr>
              <w:t>rSBA</w:t>
            </w:r>
            <w:proofErr w:type="spellEnd"/>
            <w:r w:rsidR="009C293E">
              <w:rPr>
                <w:b/>
                <w:lang w:eastAsia="ja-JP"/>
              </w:rPr>
              <w:t xml:space="preserve"> </w:t>
            </w:r>
            <w:proofErr w:type="spellStart"/>
            <w:r w:rsidR="009C293E">
              <w:rPr>
                <w:b/>
                <w:lang w:eastAsia="ja-JP"/>
              </w:rPr>
              <w:t>titer</w:t>
            </w:r>
            <w:proofErr w:type="spellEnd"/>
            <w:r w:rsidRPr="009C293E">
              <w:rPr>
                <w:b/>
                <w:lang w:eastAsia="ja-JP"/>
              </w:rPr>
              <w:t xml:space="preserve"> &lt;8 pre–</w:t>
            </w:r>
            <w:proofErr w:type="spellStart"/>
            <w:r w:rsidRPr="009C293E">
              <w:rPr>
                <w:b/>
                <w:lang w:eastAsia="ja-JP"/>
              </w:rPr>
              <w:t>vax</w:t>
            </w:r>
            <w:proofErr w:type="spellEnd"/>
            <w:r w:rsidRPr="009C293E">
              <w:rPr>
                <w:b/>
                <w:lang w:eastAsia="ja-JP"/>
              </w:rPr>
              <w:t xml:space="preserve">) </w:t>
            </w:r>
          </w:p>
        </w:tc>
        <w:tc>
          <w:tcPr>
            <w:tcW w:w="1941" w:type="dxa"/>
          </w:tcPr>
          <w:p w:rsidR="00FA0669" w:rsidRPr="009C293E" w:rsidRDefault="00FA0669" w:rsidP="00F441F2">
            <w:pPr>
              <w:ind w:left="0" w:right="24"/>
              <w:cnfStyle w:val="000000000000"/>
              <w:rPr>
                <w:b/>
                <w:lang w:eastAsia="ja-JP"/>
              </w:rPr>
            </w:pPr>
            <w:proofErr w:type="spellStart"/>
            <w:r w:rsidRPr="009C293E">
              <w:rPr>
                <w:b/>
                <w:lang w:eastAsia="ja-JP"/>
              </w:rPr>
              <w:t>seropositive</w:t>
            </w:r>
            <w:proofErr w:type="spellEnd"/>
            <w:r w:rsidRPr="009C293E">
              <w:rPr>
                <w:b/>
                <w:lang w:eastAsia="ja-JP"/>
              </w:rPr>
              <w:t xml:space="preserve"> (pre-</w:t>
            </w:r>
            <w:proofErr w:type="spellStart"/>
            <w:r w:rsidRPr="009C293E">
              <w:rPr>
                <w:b/>
                <w:lang w:eastAsia="ja-JP"/>
              </w:rPr>
              <w:t>vax</w:t>
            </w:r>
            <w:proofErr w:type="spellEnd"/>
            <w:r w:rsidRPr="009C293E">
              <w:rPr>
                <w:b/>
                <w:lang w:eastAsia="ja-JP"/>
              </w:rPr>
              <w:t xml:space="preserve"> </w:t>
            </w:r>
            <w:proofErr w:type="spellStart"/>
            <w:r w:rsidRPr="009C293E">
              <w:rPr>
                <w:b/>
                <w:lang w:eastAsia="ja-JP"/>
              </w:rPr>
              <w:t>rSBA</w:t>
            </w:r>
            <w:proofErr w:type="spellEnd"/>
            <w:r w:rsidRPr="009C293E">
              <w:rPr>
                <w:b/>
                <w:lang w:eastAsia="ja-JP"/>
              </w:rPr>
              <w:t xml:space="preserve"> titre ≥8) </w:t>
            </w:r>
          </w:p>
        </w:tc>
        <w:tc>
          <w:tcPr>
            <w:tcW w:w="1940" w:type="dxa"/>
          </w:tcPr>
          <w:p w:rsidR="00FA0669" w:rsidRPr="009C293E" w:rsidRDefault="00FA0669" w:rsidP="00F441F2">
            <w:pPr>
              <w:ind w:left="44" w:right="0"/>
              <w:cnfStyle w:val="000000000000"/>
              <w:rPr>
                <w:b/>
                <w:bCs/>
                <w:lang w:eastAsia="ja-JP"/>
              </w:rPr>
            </w:pPr>
            <w:proofErr w:type="spellStart"/>
            <w:r w:rsidRPr="009C293E">
              <w:rPr>
                <w:b/>
                <w:bCs/>
                <w:lang w:eastAsia="ja-JP"/>
              </w:rPr>
              <w:t>seroneg</w:t>
            </w:r>
            <w:r w:rsidR="009C293E">
              <w:rPr>
                <w:b/>
                <w:bCs/>
                <w:lang w:eastAsia="ja-JP"/>
              </w:rPr>
              <w:t>ative</w:t>
            </w:r>
            <w:proofErr w:type="spellEnd"/>
            <w:r w:rsidR="009C293E">
              <w:rPr>
                <w:b/>
                <w:bCs/>
                <w:lang w:eastAsia="ja-JP"/>
              </w:rPr>
              <w:t xml:space="preserve"> (</w:t>
            </w:r>
            <w:proofErr w:type="spellStart"/>
            <w:r w:rsidRPr="009C293E">
              <w:rPr>
                <w:b/>
                <w:bCs/>
                <w:lang w:eastAsia="ja-JP"/>
              </w:rPr>
              <w:t>hSBA</w:t>
            </w:r>
            <w:proofErr w:type="spellEnd"/>
            <w:r w:rsidRPr="009C293E">
              <w:rPr>
                <w:b/>
                <w:bCs/>
                <w:lang w:eastAsia="ja-JP"/>
              </w:rPr>
              <w:t xml:space="preserve"> titre &lt;4</w:t>
            </w:r>
            <w:r w:rsidR="009C293E">
              <w:rPr>
                <w:b/>
                <w:bCs/>
                <w:lang w:eastAsia="ja-JP"/>
              </w:rPr>
              <w:t>)</w:t>
            </w:r>
          </w:p>
        </w:tc>
        <w:tc>
          <w:tcPr>
            <w:tcW w:w="1941" w:type="dxa"/>
          </w:tcPr>
          <w:p w:rsidR="00FA0669" w:rsidRPr="009C293E" w:rsidRDefault="00FA0669" w:rsidP="00F441F2">
            <w:pPr>
              <w:ind w:left="44" w:right="0"/>
              <w:cnfStyle w:val="000000000000"/>
              <w:rPr>
                <w:b/>
                <w:bCs/>
                <w:lang w:eastAsia="ja-JP"/>
              </w:rPr>
            </w:pPr>
            <w:proofErr w:type="spellStart"/>
            <w:r w:rsidRPr="009C293E">
              <w:rPr>
                <w:b/>
                <w:bCs/>
                <w:lang w:eastAsia="ja-JP"/>
              </w:rPr>
              <w:t>seropos</w:t>
            </w:r>
            <w:r w:rsidR="009C293E">
              <w:rPr>
                <w:b/>
                <w:bCs/>
                <w:lang w:eastAsia="ja-JP"/>
              </w:rPr>
              <w:t>itive</w:t>
            </w:r>
            <w:proofErr w:type="spellEnd"/>
            <w:r w:rsidR="009C293E">
              <w:rPr>
                <w:b/>
                <w:bCs/>
                <w:lang w:eastAsia="ja-JP"/>
              </w:rPr>
              <w:t xml:space="preserve"> (</w:t>
            </w:r>
            <w:proofErr w:type="spellStart"/>
            <w:r w:rsidRPr="009C293E">
              <w:rPr>
                <w:b/>
                <w:bCs/>
                <w:lang w:eastAsia="ja-JP"/>
              </w:rPr>
              <w:t>hSBA</w:t>
            </w:r>
            <w:proofErr w:type="spellEnd"/>
            <w:r w:rsidRPr="009C293E">
              <w:rPr>
                <w:b/>
                <w:bCs/>
                <w:lang w:eastAsia="ja-JP"/>
              </w:rPr>
              <w:t xml:space="preserve"> titre ≥4</w:t>
            </w:r>
            <w:r w:rsidR="009C293E">
              <w:rPr>
                <w:b/>
                <w:bCs/>
                <w:lang w:eastAsia="ja-JP"/>
              </w:rPr>
              <w:t>)</w:t>
            </w:r>
          </w:p>
        </w:tc>
      </w:tr>
      <w:tr w:rsidR="00FA0669" w:rsidRPr="009C293E" w:rsidTr="00577C84">
        <w:tc>
          <w:tcPr>
            <w:cnfStyle w:val="001000000000"/>
            <w:tcW w:w="1027" w:type="dxa"/>
          </w:tcPr>
          <w:p w:rsidR="00FA0669" w:rsidRPr="009C293E" w:rsidRDefault="00FA0669" w:rsidP="00F441F2">
            <w:pPr>
              <w:ind w:left="34" w:right="0"/>
              <w:rPr>
                <w:b/>
                <w:lang w:eastAsia="ja-JP"/>
              </w:rPr>
            </w:pPr>
            <w:r w:rsidRPr="009C293E">
              <w:rPr>
                <w:b/>
                <w:lang w:eastAsia="ja-JP"/>
              </w:rPr>
              <w:t>≥2 y</w:t>
            </w:r>
            <w:r w:rsidR="009C293E">
              <w:rPr>
                <w:b/>
                <w:lang w:eastAsia="ja-JP"/>
              </w:rPr>
              <w:t>ea</w:t>
            </w:r>
            <w:r w:rsidRPr="009C293E">
              <w:rPr>
                <w:b/>
                <w:lang w:eastAsia="ja-JP"/>
              </w:rPr>
              <w:t>rs of age</w:t>
            </w:r>
          </w:p>
        </w:tc>
        <w:tc>
          <w:tcPr>
            <w:tcW w:w="1940" w:type="dxa"/>
          </w:tcPr>
          <w:p w:rsidR="00FA0669" w:rsidRPr="009C293E" w:rsidRDefault="00FA0669" w:rsidP="00F441F2">
            <w:pPr>
              <w:ind w:left="0" w:right="24"/>
              <w:cnfStyle w:val="000000000000"/>
              <w:rPr>
                <w:b/>
                <w:lang w:eastAsia="ja-JP"/>
              </w:rPr>
            </w:pPr>
            <w:r w:rsidRPr="009C293E">
              <w:rPr>
                <w:lang w:eastAsia="ja-JP"/>
              </w:rPr>
              <w:t xml:space="preserve">Post vaccination </w:t>
            </w:r>
            <w:proofErr w:type="spellStart"/>
            <w:r w:rsidRPr="009C293E">
              <w:rPr>
                <w:lang w:eastAsia="ja-JP"/>
              </w:rPr>
              <w:t>rSBA</w:t>
            </w:r>
            <w:proofErr w:type="spellEnd"/>
            <w:r w:rsidRPr="009C293E">
              <w:rPr>
                <w:lang w:eastAsia="ja-JP"/>
              </w:rPr>
              <w:t xml:space="preserve"> titres ≥32</w:t>
            </w:r>
          </w:p>
        </w:tc>
        <w:tc>
          <w:tcPr>
            <w:tcW w:w="1941" w:type="dxa"/>
          </w:tcPr>
          <w:p w:rsidR="00FA0669" w:rsidRPr="009C293E" w:rsidRDefault="00FA0669" w:rsidP="00F441F2">
            <w:pPr>
              <w:ind w:left="0" w:right="24"/>
              <w:cnfStyle w:val="000000000000"/>
              <w:rPr>
                <w:b/>
                <w:lang w:eastAsia="ja-JP"/>
              </w:rPr>
            </w:pPr>
            <w:r w:rsidRPr="009C293E">
              <w:rPr>
                <w:lang w:eastAsia="ja-JP"/>
              </w:rPr>
              <w:t>4-fold increase i</w:t>
            </w:r>
            <w:r w:rsidR="00577C84" w:rsidRPr="009C293E">
              <w:rPr>
                <w:lang w:eastAsia="ja-JP"/>
              </w:rPr>
              <w:t xml:space="preserve">n </w:t>
            </w:r>
            <w:proofErr w:type="spellStart"/>
            <w:r w:rsidR="00577C84" w:rsidRPr="009C293E">
              <w:rPr>
                <w:lang w:eastAsia="ja-JP"/>
              </w:rPr>
              <w:t>rSBA</w:t>
            </w:r>
            <w:proofErr w:type="spellEnd"/>
            <w:r w:rsidR="00577C84" w:rsidRPr="009C293E">
              <w:rPr>
                <w:lang w:eastAsia="ja-JP"/>
              </w:rPr>
              <w:t xml:space="preserve"> titres from pre- to post-</w:t>
            </w:r>
            <w:r w:rsidRPr="009C293E">
              <w:rPr>
                <w:lang w:eastAsia="ja-JP"/>
              </w:rPr>
              <w:t>vaccination</w:t>
            </w:r>
          </w:p>
        </w:tc>
        <w:tc>
          <w:tcPr>
            <w:tcW w:w="1940" w:type="dxa"/>
          </w:tcPr>
          <w:p w:rsidR="00FA0669" w:rsidRPr="009C293E" w:rsidRDefault="00FA0669" w:rsidP="00F441F2">
            <w:pPr>
              <w:ind w:left="44" w:right="0"/>
              <w:cnfStyle w:val="000000000000"/>
              <w:rPr>
                <w:b/>
                <w:lang w:eastAsia="ja-JP"/>
              </w:rPr>
            </w:pPr>
            <w:proofErr w:type="spellStart"/>
            <w:r w:rsidRPr="009C293E">
              <w:rPr>
                <w:lang w:eastAsia="ja-JP"/>
              </w:rPr>
              <w:t>hSBA</w:t>
            </w:r>
            <w:proofErr w:type="spellEnd"/>
            <w:r w:rsidRPr="009C293E">
              <w:rPr>
                <w:lang w:eastAsia="ja-JP"/>
              </w:rPr>
              <w:t xml:space="preserve"> ≥8 in subjects </w:t>
            </w:r>
          </w:p>
        </w:tc>
        <w:tc>
          <w:tcPr>
            <w:tcW w:w="1941" w:type="dxa"/>
          </w:tcPr>
          <w:p w:rsidR="00FA0669" w:rsidRPr="009C293E" w:rsidRDefault="00FA0669" w:rsidP="00F441F2">
            <w:pPr>
              <w:ind w:left="44" w:right="0"/>
              <w:cnfStyle w:val="000000000000"/>
              <w:rPr>
                <w:b/>
                <w:lang w:eastAsia="ja-JP"/>
              </w:rPr>
            </w:pPr>
            <w:r w:rsidRPr="009C293E">
              <w:rPr>
                <w:lang w:eastAsia="ja-JP"/>
              </w:rPr>
              <w:t xml:space="preserve">At least a 4-fold increase in </w:t>
            </w:r>
            <w:proofErr w:type="spellStart"/>
            <w:r w:rsidRPr="009C293E">
              <w:rPr>
                <w:lang w:eastAsia="ja-JP"/>
              </w:rPr>
              <w:t>hSBA</w:t>
            </w:r>
            <w:proofErr w:type="spellEnd"/>
            <w:r w:rsidRPr="009C293E">
              <w:rPr>
                <w:lang w:eastAsia="ja-JP"/>
              </w:rPr>
              <w:t xml:space="preserve"> titres</w:t>
            </w:r>
          </w:p>
        </w:tc>
      </w:tr>
      <w:tr w:rsidR="00FA0669" w:rsidRPr="009C293E" w:rsidTr="00577C84">
        <w:tc>
          <w:tcPr>
            <w:cnfStyle w:val="001000000000"/>
            <w:tcW w:w="1027" w:type="dxa"/>
          </w:tcPr>
          <w:p w:rsidR="00FA0669" w:rsidRPr="009C293E" w:rsidRDefault="009C293E" w:rsidP="00F441F2">
            <w:pPr>
              <w:ind w:left="34" w:right="0"/>
              <w:rPr>
                <w:b/>
                <w:lang w:eastAsia="ja-JP"/>
              </w:rPr>
            </w:pPr>
            <w:r>
              <w:rPr>
                <w:b/>
                <w:lang w:eastAsia="ja-JP"/>
              </w:rPr>
              <w:t>&lt;</w:t>
            </w:r>
            <w:r w:rsidR="00FA0669" w:rsidRPr="009C293E">
              <w:rPr>
                <w:b/>
                <w:lang w:eastAsia="ja-JP"/>
              </w:rPr>
              <w:t>2 y</w:t>
            </w:r>
            <w:r>
              <w:rPr>
                <w:b/>
                <w:lang w:eastAsia="ja-JP"/>
              </w:rPr>
              <w:t>ea</w:t>
            </w:r>
            <w:r w:rsidR="00FA0669" w:rsidRPr="009C293E">
              <w:rPr>
                <w:b/>
                <w:lang w:eastAsia="ja-JP"/>
              </w:rPr>
              <w:t>rs of age</w:t>
            </w:r>
          </w:p>
        </w:tc>
        <w:tc>
          <w:tcPr>
            <w:tcW w:w="1940" w:type="dxa"/>
          </w:tcPr>
          <w:p w:rsidR="00FA0669" w:rsidRPr="009C293E" w:rsidRDefault="00FA0669" w:rsidP="00F441F2">
            <w:pPr>
              <w:ind w:left="0" w:right="24"/>
              <w:cnfStyle w:val="000000000000"/>
              <w:rPr>
                <w:lang w:eastAsia="ja-JP"/>
              </w:rPr>
            </w:pPr>
            <w:proofErr w:type="spellStart"/>
            <w:r w:rsidRPr="009C293E">
              <w:rPr>
                <w:lang w:eastAsia="ja-JP"/>
              </w:rPr>
              <w:t>rSBA</w:t>
            </w:r>
            <w:proofErr w:type="spellEnd"/>
            <w:r w:rsidRPr="009C293E">
              <w:rPr>
                <w:lang w:eastAsia="ja-JP"/>
              </w:rPr>
              <w:t xml:space="preserve"> antibody titre ≥8.</w:t>
            </w:r>
          </w:p>
        </w:tc>
        <w:tc>
          <w:tcPr>
            <w:tcW w:w="1941" w:type="dxa"/>
          </w:tcPr>
          <w:p w:rsidR="00FA0669" w:rsidRPr="00DE500D" w:rsidRDefault="00FA0669" w:rsidP="00F441F2">
            <w:pPr>
              <w:ind w:left="0" w:right="24"/>
              <w:cnfStyle w:val="000000000000"/>
              <w:rPr>
                <w:bCs/>
                <w:lang w:eastAsia="ja-JP"/>
              </w:rPr>
            </w:pPr>
            <w:r w:rsidRPr="00DE500D">
              <w:rPr>
                <w:bCs/>
                <w:lang w:eastAsia="ja-JP"/>
              </w:rPr>
              <w:t>N/A</w:t>
            </w:r>
          </w:p>
        </w:tc>
        <w:tc>
          <w:tcPr>
            <w:tcW w:w="1940" w:type="dxa"/>
          </w:tcPr>
          <w:p w:rsidR="00FA0669" w:rsidRPr="00DE500D" w:rsidRDefault="00FA0669" w:rsidP="00F441F2">
            <w:pPr>
              <w:ind w:left="44" w:right="0"/>
              <w:cnfStyle w:val="000000000000"/>
              <w:rPr>
                <w:bCs/>
                <w:lang w:eastAsia="ja-JP"/>
              </w:rPr>
            </w:pPr>
            <w:r w:rsidRPr="00DE500D">
              <w:rPr>
                <w:bCs/>
                <w:lang w:eastAsia="ja-JP"/>
              </w:rPr>
              <w:t>N/A</w:t>
            </w:r>
          </w:p>
        </w:tc>
        <w:tc>
          <w:tcPr>
            <w:tcW w:w="1941" w:type="dxa"/>
          </w:tcPr>
          <w:p w:rsidR="00FA0669" w:rsidRPr="00DE500D" w:rsidRDefault="00FA0669" w:rsidP="00F441F2">
            <w:pPr>
              <w:ind w:left="44" w:right="0"/>
              <w:cnfStyle w:val="000000000000"/>
              <w:rPr>
                <w:bCs/>
                <w:lang w:eastAsia="ja-JP"/>
              </w:rPr>
            </w:pPr>
            <w:r w:rsidRPr="00DE500D">
              <w:rPr>
                <w:bCs/>
                <w:lang w:eastAsia="ja-JP"/>
              </w:rPr>
              <w:t>N/A</w:t>
            </w:r>
          </w:p>
        </w:tc>
      </w:tr>
    </w:tbl>
    <w:p w:rsidR="00FA0669" w:rsidRDefault="00FA0669" w:rsidP="00F441F2">
      <w:r w:rsidRPr="00577C84">
        <w:t xml:space="preserve">The comparator vaccines, immunological assays, primary endpoints and success criteria used in the pivotal studies to demonstrate immunological non-inferiority and/or the immunogenicity of GSK </w:t>
      </w:r>
      <w:proofErr w:type="spellStart"/>
      <w:r w:rsidRPr="00577C84">
        <w:t>Biologicals</w:t>
      </w:r>
      <w:proofErr w:type="spellEnd"/>
      <w:r w:rsidRPr="00577C84">
        <w:t xml:space="preserve">’ </w:t>
      </w:r>
      <w:proofErr w:type="spellStart"/>
      <w:r w:rsidRPr="00577C84">
        <w:t>MenACWY</w:t>
      </w:r>
      <w:proofErr w:type="spellEnd"/>
      <w:r w:rsidRPr="00577C84">
        <w:t xml:space="preserve">-TT candidate vaccine, are summarised below. Methods used were the same as those that have been described and accepted in earlier applications from GSK </w:t>
      </w:r>
      <w:proofErr w:type="spellStart"/>
      <w:r w:rsidRPr="00577C84">
        <w:t>Biologicals</w:t>
      </w:r>
      <w:proofErr w:type="spellEnd"/>
      <w:r w:rsidRPr="00577C84">
        <w:t xml:space="preserve"> such as </w:t>
      </w:r>
      <w:proofErr w:type="spellStart"/>
      <w:r w:rsidRPr="00577C84">
        <w:t>Infanrix</w:t>
      </w:r>
      <w:proofErr w:type="spellEnd"/>
      <w:r w:rsidRPr="00577C84">
        <w:t xml:space="preserve"> </w:t>
      </w:r>
      <w:proofErr w:type="spellStart"/>
      <w:r w:rsidRPr="00577C84">
        <w:t>hexa</w:t>
      </w:r>
      <w:proofErr w:type="spellEnd"/>
      <w:r w:rsidRPr="00577C84">
        <w:t xml:space="preserve">, </w:t>
      </w:r>
      <w:proofErr w:type="spellStart"/>
      <w:r w:rsidRPr="00577C84">
        <w:t>Priorix</w:t>
      </w:r>
      <w:proofErr w:type="spellEnd"/>
      <w:r w:rsidRPr="00577C84">
        <w:t xml:space="preserve"> tetra, </w:t>
      </w:r>
      <w:proofErr w:type="spellStart"/>
      <w:r w:rsidRPr="00577C84">
        <w:t>Pandemrix</w:t>
      </w:r>
      <w:proofErr w:type="spellEnd"/>
      <w:r w:rsidRPr="00577C84">
        <w:t xml:space="preserve"> and </w:t>
      </w:r>
      <w:proofErr w:type="spellStart"/>
      <w:r w:rsidRPr="00577C84">
        <w:t>Twinrix</w:t>
      </w:r>
      <w:proofErr w:type="spellEnd"/>
      <w:r w:rsidRPr="00577C84">
        <w:t>.</w:t>
      </w:r>
    </w:p>
    <w:p w:rsidR="00577C84" w:rsidRPr="00577C84" w:rsidRDefault="00C707A9" w:rsidP="00C707A9">
      <w:pPr>
        <w:pStyle w:val="TableTitle"/>
        <w:spacing w:after="4000"/>
      </w:pPr>
      <w:r>
        <w:lastRenderedPageBreak/>
        <w:t xml:space="preserve">Table 2. </w:t>
      </w:r>
      <w:r w:rsidR="00577C84" w:rsidRPr="00842AC6">
        <w:t>[</w:t>
      </w:r>
      <w:r w:rsidR="00430D48">
        <w:t>Information r</w:t>
      </w:r>
      <w:r w:rsidR="00577C84" w:rsidRPr="00842AC6">
        <w:t>edacted]</w:t>
      </w:r>
    </w:p>
    <w:p w:rsidR="00FA0669" w:rsidRPr="00E707B4" w:rsidRDefault="00FA0669" w:rsidP="00C707A9">
      <w:pPr>
        <w:pStyle w:val="Heading5"/>
      </w:pPr>
      <w:r w:rsidRPr="00E707B4">
        <w:t xml:space="preserve">Randomisation and </w:t>
      </w:r>
      <w:r w:rsidR="00C707A9">
        <w:t>b</w:t>
      </w:r>
      <w:r w:rsidRPr="00E707B4">
        <w:t>linding</w:t>
      </w:r>
    </w:p>
    <w:p w:rsidR="00FA0669" w:rsidRPr="00E707B4" w:rsidRDefault="00FA0669" w:rsidP="00C707A9">
      <w:r w:rsidRPr="00E707B4">
        <w:t xml:space="preserve">All studies were randomised, except persistence studies and study MenACWY-TT-021 (Booster study). A randomisation list was generated at GSK </w:t>
      </w:r>
      <w:proofErr w:type="spellStart"/>
      <w:r w:rsidRPr="00E707B4">
        <w:t>Biologicals</w:t>
      </w:r>
      <w:proofErr w:type="spellEnd"/>
      <w:r w:rsidR="00DE500D">
        <w:t>’</w:t>
      </w:r>
      <w:r w:rsidR="008E7096">
        <w:t>, using standard SAS</w:t>
      </w:r>
      <w:r w:rsidRPr="00E707B4">
        <w:t xml:space="preserve"> program to number the vaccines. A randomisation blocking scheme was used to ensure the balance between treatments was maintained. A treatment number uniquely identified the vaccine doses to be administered to the same subject. Treatment allocation at the investigator site performed via internet using GSK </w:t>
      </w:r>
      <w:proofErr w:type="spellStart"/>
      <w:r w:rsidRPr="00E707B4">
        <w:t>Biologicals</w:t>
      </w:r>
      <w:proofErr w:type="spellEnd"/>
      <w:r w:rsidRPr="00E707B4">
        <w:t>’ central randomisation system (SBIR). The randomisation algorithm used a minimisation procedure accounting for centre, and for age stratum (except in MenACWY-TT-039,-040,-080,-093 and 10PN-PD-DIT-014, as not stratified by age). When a subject was eligible, the person in charge of the vaccination/other study personnel entered the attributed subject number into the randomisation system which then determined the treatment number to be used for that subject. The treatment number used for first vaccination had to be recorded by investigators in the e-CRF.</w:t>
      </w:r>
    </w:p>
    <w:p w:rsidR="00FA0669" w:rsidRPr="00E707B4" w:rsidRDefault="00FA0669" w:rsidP="00C707A9">
      <w:r w:rsidRPr="00842AC6">
        <w:rPr>
          <w:i/>
          <w:iCs/>
        </w:rPr>
        <w:t>Blinding:</w:t>
      </w:r>
      <w:r w:rsidRPr="00E707B4">
        <w:t xml:space="preserve"> Lot-to-lot consistency in study MenACWY-TT-035 </w:t>
      </w:r>
      <w:r w:rsidR="00842AC6">
        <w:t xml:space="preserve">was </w:t>
      </w:r>
      <w:r w:rsidRPr="00E707B4">
        <w:t xml:space="preserve">evaluated in a double-blind (DB) manner as were the different formulations of </w:t>
      </w:r>
      <w:proofErr w:type="spellStart"/>
      <w:r w:rsidRPr="00E707B4">
        <w:t>MenACWY</w:t>
      </w:r>
      <w:proofErr w:type="spellEnd"/>
      <w:r w:rsidRPr="00E707B4">
        <w:t xml:space="preserve">-TT vaccine tested in MenACWY-TT-012, and -013. But, in other studies, due to the route of administration (IM for </w:t>
      </w:r>
      <w:proofErr w:type="spellStart"/>
      <w:r w:rsidRPr="00E707B4">
        <w:t>MenACWY</w:t>
      </w:r>
      <w:proofErr w:type="spellEnd"/>
      <w:r w:rsidRPr="00E707B4">
        <w:t xml:space="preserve">-TT and SC for </w:t>
      </w:r>
      <w:proofErr w:type="spellStart"/>
      <w:r w:rsidRPr="00E707B4">
        <w:t>Mencevax</w:t>
      </w:r>
      <w:proofErr w:type="spellEnd"/>
      <w:r w:rsidRPr="00E707B4">
        <w:t xml:space="preserve">), subjects were not blinded. In other studies, blinding was not possible due to additional vaccine(s) in </w:t>
      </w:r>
      <w:proofErr w:type="spellStart"/>
      <w:r w:rsidRPr="00E707B4">
        <w:t>MenACWY</w:t>
      </w:r>
      <w:proofErr w:type="spellEnd"/>
      <w:r w:rsidRPr="00E707B4">
        <w:t xml:space="preserve">-TT arm. MenACWY-TT-052 (single blind) and MenACWY-TT-071(observer blind) because of formulation difference i.e. </w:t>
      </w:r>
      <w:proofErr w:type="spellStart"/>
      <w:r w:rsidRPr="00E707B4">
        <w:t>Menactra</w:t>
      </w:r>
      <w:proofErr w:type="spellEnd"/>
      <w:r w:rsidRPr="00E707B4">
        <w:t xml:space="preserve"> - liquid vaccine and </w:t>
      </w:r>
      <w:proofErr w:type="spellStart"/>
      <w:r w:rsidRPr="00E707B4">
        <w:t>MenACWY</w:t>
      </w:r>
      <w:proofErr w:type="spellEnd"/>
      <w:r w:rsidRPr="00E707B4">
        <w:t>-TT a lyophilised vaccine. All other studies were “open” because of different administration routes or schedules, vaccine presentation, same vaccine given to all.</w:t>
      </w:r>
    </w:p>
    <w:p w:rsidR="00E707B4" w:rsidRDefault="00FA0669" w:rsidP="00C707A9">
      <w:pPr>
        <w:pStyle w:val="Heading5"/>
      </w:pPr>
      <w:r w:rsidRPr="00E707B4">
        <w:t>Statistical analysis</w:t>
      </w:r>
    </w:p>
    <w:p w:rsidR="00842AC6" w:rsidRDefault="00FA0669" w:rsidP="00C707A9">
      <w:r w:rsidRPr="00E707B4">
        <w:t xml:space="preserve">For all studies, the primary cohort for the analyses of immunogenicity was the according-to-protocol (ATP) cohort. The ATP cohorts for immunogenicity were defined differently according to the timing of the immunogenicity endpoint. For the analysis of primary vaccination trial and the analysis of the induction of immune memory, the ATP cohort of immunogenicity was defined as all evaluable subjects (i.e. those meeting all eligibility criteria, complying with the procedures and intervals defined in the protocol, with no elimination criteria during the study) who had assay results available for antibodies against at least one study vaccine antigen after vaccination. </w:t>
      </w:r>
    </w:p>
    <w:p w:rsidR="00FA0669" w:rsidRPr="00E707B4" w:rsidRDefault="00FA0669" w:rsidP="00C707A9">
      <w:r w:rsidRPr="00E707B4">
        <w:t xml:space="preserve">For the analysis of persistence studies, the ATP cohort for persistence included subjects who had assay results available for antibodies against at least one study vaccine antigen at the persistence time point, and excluded subjects who did not receive their study vaccine(s) according to the planned assignment, subjects who had received a vaccine not specified or </w:t>
      </w:r>
      <w:r w:rsidRPr="00E707B4">
        <w:lastRenderedPageBreak/>
        <w:t xml:space="preserve">forbidden by the protocol, subjects in whom the randomisation code had been broken, subjects who received additional doses of meningococcal vaccines outside of the study, subjects who developed meningococcal disease and subject who were excluded from the ATP cohort in the primary study and in all previous persistence time points, unless the reason for exclusion was either non-compliance with the protocol defined serum sampling windows or a lack of availability of immunogenicity results. Whenever &gt;5% of the subjects with serological results were eliminated from the ATP cohort of at least one group, the primary analysis was complemented by an analysis based on all vaccinated subjects with immunogenicity results available. </w:t>
      </w:r>
    </w:p>
    <w:p w:rsidR="00FA0669" w:rsidRPr="00D60535" w:rsidRDefault="00FA0669" w:rsidP="00C707A9">
      <w:r w:rsidRPr="00E707B4">
        <w:t xml:space="preserve">The </w:t>
      </w:r>
      <w:proofErr w:type="spellStart"/>
      <w:r w:rsidRPr="00E707B4">
        <w:t>rSBA</w:t>
      </w:r>
      <w:proofErr w:type="spellEnd"/>
      <w:r w:rsidRPr="00E707B4">
        <w:t xml:space="preserve"> titres for the four meningococcal </w:t>
      </w:r>
      <w:proofErr w:type="spellStart"/>
      <w:r w:rsidRPr="00E707B4">
        <w:t>serogroups</w:t>
      </w:r>
      <w:proofErr w:type="spellEnd"/>
      <w:r w:rsidRPr="00E707B4">
        <w:t xml:space="preserve"> were assessed in all studies. In some studies, testing was limited to a random subset of subjects according to pre-specified serology plan. The size of the subset was defined in order to provide an adequate and representative sample of the immune status of the studied population. In all studies and for each group, </w:t>
      </w:r>
      <w:proofErr w:type="spellStart"/>
      <w:r w:rsidRPr="00E707B4">
        <w:t>sero</w:t>
      </w:r>
      <w:proofErr w:type="spellEnd"/>
      <w:r w:rsidRPr="00E707B4">
        <w:t xml:space="preserve">-positivity/protection/vaccine response rates with exact 95% confidence interval (CI) and geometric mean antibody concentration/titre (GMC/T), with 95% CI, were calculated using standard methods. </w:t>
      </w:r>
      <w:r w:rsidRPr="00D60535">
        <w:t xml:space="preserve">Reverse cumulative distribution curves were included in each study report. </w:t>
      </w:r>
    </w:p>
    <w:p w:rsidR="00FA0669" w:rsidRPr="00D60535" w:rsidRDefault="00FA0669" w:rsidP="00C707A9">
      <w:pPr>
        <w:pStyle w:val="Heading4"/>
      </w:pPr>
      <w:bookmarkStart w:id="31" w:name="_Toc241374300"/>
      <w:bookmarkStart w:id="32" w:name="_Toc272414641"/>
      <w:bookmarkStart w:id="33" w:name="_Toc290846263"/>
      <w:bookmarkStart w:id="34" w:name="_Toc343641670"/>
      <w:proofErr w:type="spellStart"/>
      <w:r w:rsidRPr="00D60535">
        <w:t>Pharmacodynamic</w:t>
      </w:r>
      <w:proofErr w:type="spellEnd"/>
      <w:r w:rsidRPr="00D60535">
        <w:t xml:space="preserve"> effects</w:t>
      </w:r>
      <w:bookmarkEnd w:id="31"/>
      <w:bookmarkEnd w:id="32"/>
      <w:bookmarkEnd w:id="33"/>
      <w:bookmarkEnd w:id="34"/>
    </w:p>
    <w:p w:rsidR="00FA0669" w:rsidRPr="00D60535" w:rsidRDefault="00FA0669" w:rsidP="00C707A9">
      <w:pPr>
        <w:pStyle w:val="Heading5"/>
      </w:pPr>
      <w:bookmarkStart w:id="35" w:name="_Toc272414642"/>
      <w:bookmarkStart w:id="36" w:name="_Toc290846264"/>
      <w:bookmarkStart w:id="37" w:name="_Toc343641671"/>
      <w:r w:rsidRPr="00D60535">
        <w:t xml:space="preserve">Primary </w:t>
      </w:r>
      <w:proofErr w:type="spellStart"/>
      <w:r w:rsidRPr="00D60535">
        <w:t>pharmacodynamic</w:t>
      </w:r>
      <w:proofErr w:type="spellEnd"/>
      <w:r w:rsidRPr="00D60535">
        <w:t xml:space="preserve"> effects</w:t>
      </w:r>
      <w:bookmarkEnd w:id="35"/>
      <w:bookmarkEnd w:id="36"/>
      <w:bookmarkEnd w:id="37"/>
    </w:p>
    <w:p w:rsidR="00D60535" w:rsidRDefault="00FA0669" w:rsidP="00C707A9">
      <w:r w:rsidRPr="00D60535">
        <w:t xml:space="preserve">Measurement of </w:t>
      </w:r>
      <w:proofErr w:type="spellStart"/>
      <w:r w:rsidRPr="00D60535">
        <w:t>rSBA</w:t>
      </w:r>
      <w:proofErr w:type="spellEnd"/>
      <w:r w:rsidRPr="00D60535">
        <w:t xml:space="preserve"> and/or </w:t>
      </w:r>
      <w:proofErr w:type="spellStart"/>
      <w:r w:rsidRPr="00D60535">
        <w:t>hSBA</w:t>
      </w:r>
      <w:proofErr w:type="spellEnd"/>
      <w:r w:rsidRPr="00D60535">
        <w:t xml:space="preserve"> titres with specified levels as detailed above to the 4 </w:t>
      </w:r>
      <w:proofErr w:type="spellStart"/>
      <w:r w:rsidRPr="00D60535">
        <w:t>serogroups</w:t>
      </w:r>
      <w:proofErr w:type="spellEnd"/>
      <w:r w:rsidRPr="00D60535">
        <w:t xml:space="preserve"> of </w:t>
      </w:r>
      <w:proofErr w:type="spellStart"/>
      <w:r w:rsidRPr="00D60535">
        <w:t>meningococcus</w:t>
      </w:r>
      <w:proofErr w:type="spellEnd"/>
      <w:r w:rsidRPr="00D60535">
        <w:t xml:space="preserve"> are surrogate markers of </w:t>
      </w:r>
      <w:proofErr w:type="spellStart"/>
      <w:r w:rsidRPr="00D60535">
        <w:t>immunoprotection</w:t>
      </w:r>
      <w:proofErr w:type="spellEnd"/>
      <w:r w:rsidRPr="00D60535">
        <w:t xml:space="preserve"> used in the Phase II and III studies presented in this application. </w:t>
      </w:r>
    </w:p>
    <w:p w:rsidR="008756EA" w:rsidRPr="00C707A9" w:rsidRDefault="00FA0669" w:rsidP="00C707A9">
      <w:pPr>
        <w:pStyle w:val="Heading6"/>
        <w:numPr>
          <w:ilvl w:val="0"/>
          <w:numId w:val="0"/>
        </w:numPr>
        <w:rPr>
          <w:b/>
        </w:rPr>
      </w:pPr>
      <w:r w:rsidRPr="00C707A9">
        <w:rPr>
          <w:b/>
        </w:rPr>
        <w:t>Phase II studies in adolescents and adults (N=1):</w:t>
      </w:r>
    </w:p>
    <w:p w:rsidR="00FA0669" w:rsidRPr="00D60535" w:rsidRDefault="00FA0669" w:rsidP="00C707A9">
      <w:r w:rsidRPr="00D60535">
        <w:t xml:space="preserve">MenACWY-TT-015 demonstrated the non-inferiority of single dose </w:t>
      </w:r>
      <w:proofErr w:type="spellStart"/>
      <w:r w:rsidRPr="00D60535">
        <w:t>MenACWY</w:t>
      </w:r>
      <w:proofErr w:type="spellEnd"/>
      <w:r w:rsidRPr="00D60535">
        <w:t xml:space="preserve">-TT  IM with respect to immunity (at one month post vaccination) to </w:t>
      </w:r>
      <w:proofErr w:type="spellStart"/>
      <w:r w:rsidRPr="00D60535">
        <w:t>MenA</w:t>
      </w:r>
      <w:proofErr w:type="spellEnd"/>
      <w:r w:rsidRPr="00D60535">
        <w:t xml:space="preserve">,-C, -W-135 and –Y, compared to the PS meningococcal vaccine </w:t>
      </w:r>
      <w:proofErr w:type="spellStart"/>
      <w:r w:rsidRPr="00D60535">
        <w:t>Mencevax</w:t>
      </w:r>
      <w:proofErr w:type="spellEnd"/>
      <w:r w:rsidRPr="00D60535">
        <w:t xml:space="preserve"> ACWY in the age group 11-55 </w:t>
      </w:r>
      <w:r w:rsidR="00396F90">
        <w:t>years</w:t>
      </w:r>
      <w:r w:rsidRPr="00D60535">
        <w:t xml:space="preserve">. </w:t>
      </w:r>
    </w:p>
    <w:p w:rsidR="008756EA" w:rsidRPr="00C707A9" w:rsidRDefault="00FA0669" w:rsidP="00C707A9">
      <w:pPr>
        <w:pStyle w:val="Heading6"/>
        <w:numPr>
          <w:ilvl w:val="0"/>
          <w:numId w:val="0"/>
        </w:numPr>
        <w:rPr>
          <w:b/>
        </w:rPr>
      </w:pPr>
      <w:r w:rsidRPr="00C707A9">
        <w:rPr>
          <w:b/>
        </w:rPr>
        <w:t xml:space="preserve">Phase II studies in children, adolescents and adults (N=2): </w:t>
      </w:r>
    </w:p>
    <w:p w:rsidR="008756EA" w:rsidRDefault="00FA0669" w:rsidP="00C707A9">
      <w:r w:rsidRPr="00D60535">
        <w:t xml:space="preserve">MenACWY-TT-052 demonstrated equivalent immunogenicity of </w:t>
      </w:r>
      <w:proofErr w:type="spellStart"/>
      <w:r w:rsidRPr="00D60535">
        <w:t>MenACWY</w:t>
      </w:r>
      <w:proofErr w:type="spellEnd"/>
      <w:r w:rsidRPr="00D60535">
        <w:t xml:space="preserve">-TT (in children aged 10-&lt;11 </w:t>
      </w:r>
      <w:r w:rsidR="00396F90">
        <w:t>years</w:t>
      </w:r>
      <w:r w:rsidRPr="00D60535">
        <w:t xml:space="preserve">; adolescents/young adults 11-25 </w:t>
      </w:r>
      <w:r w:rsidR="00396F90">
        <w:t>years</w:t>
      </w:r>
      <w:r w:rsidRPr="00D60535">
        <w:t>) t</w:t>
      </w:r>
      <w:r w:rsidR="008756EA">
        <w:t xml:space="preserve">o the conjugate (with DT) </w:t>
      </w:r>
      <w:proofErr w:type="spellStart"/>
      <w:r w:rsidR="008756EA">
        <w:t>quadri</w:t>
      </w:r>
      <w:r w:rsidR="00032DD9">
        <w:t>valent</w:t>
      </w:r>
      <w:proofErr w:type="spellEnd"/>
      <w:r w:rsidR="00032DD9">
        <w:t xml:space="preserve"> meningococcal vaccine </w:t>
      </w:r>
      <w:proofErr w:type="spellStart"/>
      <w:r w:rsidR="00032DD9">
        <w:t>Menactra</w:t>
      </w:r>
      <w:proofErr w:type="spellEnd"/>
      <w:r w:rsidRPr="00D60535">
        <w:t xml:space="preserve"> (in 11-25 </w:t>
      </w:r>
      <w:r w:rsidR="00396F90">
        <w:t>years</w:t>
      </w:r>
      <w:r w:rsidRPr="00D60535">
        <w:t xml:space="preserve"> of age) defined by titres ≥1:8 using </w:t>
      </w:r>
      <w:proofErr w:type="spellStart"/>
      <w:r w:rsidRPr="00D60535">
        <w:t>hSBA</w:t>
      </w:r>
      <w:proofErr w:type="spellEnd"/>
      <w:r w:rsidRPr="00D60535">
        <w:t xml:space="preserve"> measured one month post vaccination. One month after vaccination, the percentage of subjects with </w:t>
      </w:r>
      <w:proofErr w:type="spellStart"/>
      <w:r w:rsidRPr="00D60535">
        <w:t>hSBA</w:t>
      </w:r>
      <w:proofErr w:type="spellEnd"/>
      <w:r w:rsidRPr="00D60535">
        <w:t xml:space="preserve"> titres ≥4 against </w:t>
      </w:r>
      <w:proofErr w:type="spellStart"/>
      <w:r w:rsidRPr="00D60535">
        <w:t>serogroups</w:t>
      </w:r>
      <w:proofErr w:type="spellEnd"/>
      <w:r w:rsidRPr="00D60535">
        <w:t xml:space="preserve"> A, C, W-135 and Y were 83.0%, 96.1%, 92.1% and 95.2%, respectively in the </w:t>
      </w:r>
      <w:proofErr w:type="spellStart"/>
      <w:r w:rsidRPr="00D60535">
        <w:t>MenACWY</w:t>
      </w:r>
      <w:proofErr w:type="spellEnd"/>
      <w:r w:rsidRPr="00D60535">
        <w:t xml:space="preserve">-TT group and 70.7%, 98.8%, 78.5% and 81.8%, respectively in the </w:t>
      </w:r>
      <w:proofErr w:type="spellStart"/>
      <w:r w:rsidRPr="00D60535">
        <w:t>Menactra</w:t>
      </w:r>
      <w:proofErr w:type="spellEnd"/>
      <w:r w:rsidRPr="00D60535">
        <w:t xml:space="preserve"> group. </w:t>
      </w:r>
    </w:p>
    <w:p w:rsidR="008756EA" w:rsidRDefault="00FA0669" w:rsidP="00C707A9">
      <w:r w:rsidRPr="00D60535">
        <w:t xml:space="preserve">Exploratory analyses on the difference in immune response between ACWY-TT and </w:t>
      </w:r>
      <w:proofErr w:type="spellStart"/>
      <w:r w:rsidRPr="00D60535">
        <w:t>Menactra</w:t>
      </w:r>
      <w:proofErr w:type="spellEnd"/>
      <w:r w:rsidRPr="00D60535">
        <w:t xml:space="preserve"> showed that the percentages of subjects with </w:t>
      </w:r>
      <w:proofErr w:type="spellStart"/>
      <w:r w:rsidRPr="00D60535">
        <w:t>hSBA</w:t>
      </w:r>
      <w:proofErr w:type="spellEnd"/>
      <w:r w:rsidRPr="00D60535">
        <w:t xml:space="preserve"> titres ≥4 and ≥8 were significantly higher in the </w:t>
      </w:r>
      <w:proofErr w:type="spellStart"/>
      <w:r w:rsidRPr="00D60535">
        <w:t>MenACWY</w:t>
      </w:r>
      <w:proofErr w:type="spellEnd"/>
      <w:r w:rsidRPr="00D60535">
        <w:t xml:space="preserve">-TT group compared to the </w:t>
      </w:r>
      <w:proofErr w:type="spellStart"/>
      <w:r w:rsidRPr="00D60535">
        <w:t>Menactra</w:t>
      </w:r>
      <w:proofErr w:type="spellEnd"/>
      <w:r w:rsidRPr="00D60535">
        <w:t xml:space="preserve"> group for </w:t>
      </w:r>
      <w:proofErr w:type="spellStart"/>
      <w:r w:rsidRPr="00D60535">
        <w:t>serogroups</w:t>
      </w:r>
      <w:proofErr w:type="spellEnd"/>
      <w:r w:rsidRPr="00D60535">
        <w:t xml:space="preserve"> A, W-135 and Y and similar in both groups for </w:t>
      </w:r>
      <w:proofErr w:type="spellStart"/>
      <w:r w:rsidRPr="00D60535">
        <w:t>serogroup</w:t>
      </w:r>
      <w:proofErr w:type="spellEnd"/>
      <w:r w:rsidRPr="00D60535">
        <w:t xml:space="preserve"> C. The </w:t>
      </w:r>
      <w:proofErr w:type="spellStart"/>
      <w:r w:rsidRPr="00D60535">
        <w:t>hSBA</w:t>
      </w:r>
      <w:proofErr w:type="spellEnd"/>
      <w:r w:rsidRPr="00D60535">
        <w:t xml:space="preserve"> GMTs were higher for the four </w:t>
      </w:r>
      <w:proofErr w:type="spellStart"/>
      <w:r w:rsidRPr="00D60535">
        <w:t>serogroups</w:t>
      </w:r>
      <w:proofErr w:type="spellEnd"/>
      <w:r w:rsidRPr="00D60535">
        <w:t xml:space="preserve"> in the </w:t>
      </w:r>
      <w:proofErr w:type="spellStart"/>
      <w:r w:rsidRPr="00D60535">
        <w:t>MenACWY</w:t>
      </w:r>
      <w:proofErr w:type="spellEnd"/>
      <w:r w:rsidRPr="00D60535">
        <w:t xml:space="preserve">-TT group compared to the </w:t>
      </w:r>
      <w:proofErr w:type="spellStart"/>
      <w:r w:rsidRPr="00D60535">
        <w:t>Menactra</w:t>
      </w:r>
      <w:proofErr w:type="spellEnd"/>
      <w:r w:rsidRPr="00D60535">
        <w:t xml:space="preserve"> group. A vaccine response noted in 77.9% and 66.7% of subjects for </w:t>
      </w:r>
      <w:proofErr w:type="spellStart"/>
      <w:r w:rsidRPr="00D60535">
        <w:t>MenA</w:t>
      </w:r>
      <w:proofErr w:type="spellEnd"/>
      <w:r w:rsidRPr="00D60535">
        <w:t xml:space="preserve">, 78.3% and 66.5% of subjects for </w:t>
      </w:r>
      <w:proofErr w:type="spellStart"/>
      <w:r w:rsidRPr="00D60535">
        <w:t>MenC</w:t>
      </w:r>
      <w:proofErr w:type="spellEnd"/>
      <w:r w:rsidRPr="00D60535">
        <w:t xml:space="preserve">, 69.6% and 44.6% for MenW-135 and 59.8% and 36.3% for </w:t>
      </w:r>
      <w:proofErr w:type="spellStart"/>
      <w:r w:rsidRPr="00D60535">
        <w:t>MenY</w:t>
      </w:r>
      <w:proofErr w:type="spellEnd"/>
      <w:r w:rsidRPr="00D60535">
        <w:t xml:space="preserve"> in the </w:t>
      </w:r>
      <w:proofErr w:type="spellStart"/>
      <w:r w:rsidRPr="00D60535">
        <w:t>MenACWY</w:t>
      </w:r>
      <w:proofErr w:type="spellEnd"/>
      <w:r w:rsidRPr="00D60535">
        <w:t xml:space="preserve">-TT and </w:t>
      </w:r>
      <w:proofErr w:type="spellStart"/>
      <w:r w:rsidRPr="00D60535">
        <w:t>Menactra</w:t>
      </w:r>
      <w:proofErr w:type="spellEnd"/>
      <w:r w:rsidRPr="00D60535">
        <w:t xml:space="preserve"> groups, respectively. </w:t>
      </w:r>
      <w:proofErr w:type="spellStart"/>
      <w:r w:rsidRPr="00D60535">
        <w:t>MenACWY</w:t>
      </w:r>
      <w:proofErr w:type="spellEnd"/>
      <w:r w:rsidRPr="00D60535">
        <w:t xml:space="preserve">-TT group has a statistically significantly higher </w:t>
      </w:r>
      <w:proofErr w:type="spellStart"/>
      <w:r w:rsidRPr="00D60535">
        <w:t>hSBA</w:t>
      </w:r>
      <w:proofErr w:type="spellEnd"/>
      <w:r w:rsidRPr="00D60535">
        <w:t xml:space="preserve"> vaccine response for all </w:t>
      </w:r>
      <w:proofErr w:type="spellStart"/>
      <w:r w:rsidRPr="00D60535">
        <w:t>serogroups</w:t>
      </w:r>
      <w:proofErr w:type="spellEnd"/>
      <w:r w:rsidRPr="00D60535">
        <w:t xml:space="preserve"> vs. </w:t>
      </w:r>
      <w:proofErr w:type="spellStart"/>
      <w:r w:rsidRPr="00D60535">
        <w:t>Menactra</w:t>
      </w:r>
      <w:proofErr w:type="spellEnd"/>
      <w:r w:rsidRPr="00D60535">
        <w:t xml:space="preserve">. </w:t>
      </w:r>
      <w:r w:rsidR="00933659">
        <w:t xml:space="preserve">[The </w:t>
      </w:r>
      <w:proofErr w:type="spellStart"/>
      <w:r w:rsidR="00933659">
        <w:t>rSBA</w:t>
      </w:r>
      <w:proofErr w:type="spellEnd"/>
      <w:r w:rsidR="00933659">
        <w:t xml:space="preserve">] </w:t>
      </w:r>
      <w:r w:rsidRPr="00D60535">
        <w:t xml:space="preserve">vaccine response was noted in 93.4% and 89.7% of subjects for </w:t>
      </w:r>
      <w:proofErr w:type="spellStart"/>
      <w:r w:rsidRPr="00D60535">
        <w:t>MenA</w:t>
      </w:r>
      <w:proofErr w:type="spellEnd"/>
      <w:r w:rsidRPr="00D60535">
        <w:t xml:space="preserve">, 95.2% and 88.9% of subjects for </w:t>
      </w:r>
      <w:proofErr w:type="spellStart"/>
      <w:r w:rsidRPr="00D60535">
        <w:t>MenC</w:t>
      </w:r>
      <w:proofErr w:type="spellEnd"/>
      <w:r w:rsidRPr="00D60535">
        <w:t xml:space="preserve">, 99.2% and 96.3% of subjects for MenW-135 and 96.6% and 87.0% of subjects for </w:t>
      </w:r>
      <w:proofErr w:type="spellStart"/>
      <w:r w:rsidRPr="00D60535">
        <w:t>MenY</w:t>
      </w:r>
      <w:proofErr w:type="spellEnd"/>
      <w:r w:rsidRPr="00D60535">
        <w:t xml:space="preserve"> in </w:t>
      </w:r>
      <w:proofErr w:type="spellStart"/>
      <w:r w:rsidRPr="00D60535">
        <w:t>MenACWY</w:t>
      </w:r>
      <w:proofErr w:type="spellEnd"/>
      <w:r w:rsidRPr="00D60535">
        <w:t xml:space="preserve">-TT and </w:t>
      </w:r>
      <w:proofErr w:type="spellStart"/>
      <w:r w:rsidRPr="00D60535">
        <w:t>Menactra</w:t>
      </w:r>
      <w:proofErr w:type="spellEnd"/>
      <w:r w:rsidRPr="00D60535">
        <w:t xml:space="preserve"> </w:t>
      </w:r>
      <w:r w:rsidR="00D60535">
        <w:t xml:space="preserve">groups, respectively. </w:t>
      </w:r>
    </w:p>
    <w:p w:rsidR="00FA0669" w:rsidRPr="00D60535" w:rsidRDefault="008756EA" w:rsidP="00C707A9">
      <w:r>
        <w:t>MenACWY-TT-071</w:t>
      </w:r>
      <w:r w:rsidR="00FA0669" w:rsidRPr="00D60535">
        <w:t xml:space="preserve"> demonstrated the immunological non-inferiority of </w:t>
      </w:r>
      <w:proofErr w:type="spellStart"/>
      <w:r w:rsidR="00FA0669" w:rsidRPr="00D60535">
        <w:t>MenACWY</w:t>
      </w:r>
      <w:proofErr w:type="spellEnd"/>
      <w:r w:rsidR="00FA0669" w:rsidRPr="00D60535">
        <w:t xml:space="preserve">-TT (Lot A - COMMERCIAL) vs. </w:t>
      </w:r>
      <w:proofErr w:type="spellStart"/>
      <w:r w:rsidR="00FA0669" w:rsidRPr="00D60535">
        <w:t>Menactra</w:t>
      </w:r>
      <w:proofErr w:type="spellEnd"/>
      <w:r w:rsidR="00FA0669" w:rsidRPr="00D60535">
        <w:t xml:space="preserve"> one month after vaccination using </w:t>
      </w:r>
      <w:proofErr w:type="spellStart"/>
      <w:r w:rsidR="00FA0669" w:rsidRPr="00D60535">
        <w:t>hSBA</w:t>
      </w:r>
      <w:proofErr w:type="spellEnd"/>
      <w:r w:rsidR="00FA0669" w:rsidRPr="00D60535">
        <w:t xml:space="preserve"> titres in adolescents/young adults 11-25 </w:t>
      </w:r>
      <w:r w:rsidR="00396F90">
        <w:t>years</w:t>
      </w:r>
      <w:r w:rsidR="00FA0669" w:rsidRPr="00D60535">
        <w:t xml:space="preserve">. </w:t>
      </w:r>
    </w:p>
    <w:p w:rsidR="003124BF" w:rsidRPr="00C707A9" w:rsidRDefault="00FA0669" w:rsidP="00C707A9">
      <w:pPr>
        <w:pStyle w:val="Heading6"/>
        <w:numPr>
          <w:ilvl w:val="0"/>
          <w:numId w:val="0"/>
        </w:numPr>
        <w:rPr>
          <w:b/>
        </w:rPr>
      </w:pPr>
      <w:r w:rsidRPr="00C707A9">
        <w:rPr>
          <w:b/>
        </w:rPr>
        <w:lastRenderedPageBreak/>
        <w:t xml:space="preserve">Phase II studies in toddlers and children (N=2): </w:t>
      </w:r>
    </w:p>
    <w:p w:rsidR="008756EA" w:rsidRDefault="00FA0669" w:rsidP="00C707A9">
      <w:r w:rsidRPr="00D60535">
        <w:t xml:space="preserve">MenACWY-TT-027 demonstrated the non-inferiority of </w:t>
      </w:r>
      <w:proofErr w:type="spellStart"/>
      <w:r w:rsidRPr="00D60535">
        <w:t>MenACWY</w:t>
      </w:r>
      <w:proofErr w:type="spellEnd"/>
      <w:r w:rsidR="00933659">
        <w:t>-</w:t>
      </w:r>
      <w:r w:rsidRPr="00D60535">
        <w:t xml:space="preserve">TT vs. the conjugate Men-C vaccine, </w:t>
      </w:r>
      <w:proofErr w:type="spellStart"/>
      <w:r w:rsidRPr="00D60535">
        <w:t>Meningitec</w:t>
      </w:r>
      <w:proofErr w:type="spellEnd"/>
      <w:r w:rsidRPr="00D60535">
        <w:t xml:space="preserve"> for </w:t>
      </w:r>
      <w:proofErr w:type="spellStart"/>
      <w:r w:rsidRPr="00D60535">
        <w:t>MenC</w:t>
      </w:r>
      <w:proofErr w:type="spellEnd"/>
      <w:r w:rsidRPr="00D60535">
        <w:t xml:space="preserve"> in terms of </w:t>
      </w:r>
      <w:proofErr w:type="spellStart"/>
      <w:r w:rsidRPr="00D60535">
        <w:t>rSBA</w:t>
      </w:r>
      <w:proofErr w:type="spellEnd"/>
      <w:r w:rsidRPr="00D60535">
        <w:t xml:space="preserve"> </w:t>
      </w:r>
      <w:proofErr w:type="spellStart"/>
      <w:r w:rsidRPr="00D60535">
        <w:t>MenC</w:t>
      </w:r>
      <w:proofErr w:type="spellEnd"/>
      <w:r w:rsidRPr="00D60535">
        <w:t xml:space="preserve"> titres ≥8 in children aged 1-&lt;2 </w:t>
      </w:r>
      <w:r w:rsidR="00396F90">
        <w:t>years</w:t>
      </w:r>
      <w:r w:rsidRPr="00D60535">
        <w:t xml:space="preserve"> old. </w:t>
      </w:r>
      <w:proofErr w:type="spellStart"/>
      <w:r w:rsidRPr="00D60535">
        <w:t>MenACWY</w:t>
      </w:r>
      <w:proofErr w:type="spellEnd"/>
      <w:r w:rsidR="00933659">
        <w:t>-</w:t>
      </w:r>
      <w:r w:rsidRPr="00D60535">
        <w:t xml:space="preserve">TT was immunologically non-inferior to </w:t>
      </w:r>
      <w:proofErr w:type="spellStart"/>
      <w:r w:rsidRPr="00D60535">
        <w:t>Mencevax</w:t>
      </w:r>
      <w:proofErr w:type="spellEnd"/>
      <w:r w:rsidRPr="00D60535">
        <w:t xml:space="preserve"> ref vaccine response to all 4 Men </w:t>
      </w:r>
      <w:proofErr w:type="spellStart"/>
      <w:r w:rsidRPr="00D60535">
        <w:t>sero</w:t>
      </w:r>
      <w:r w:rsidR="00B7059A">
        <w:t>groups</w:t>
      </w:r>
      <w:proofErr w:type="spellEnd"/>
      <w:r w:rsidRPr="00D60535">
        <w:t xml:space="preserve"> in 2-10 year olds. </w:t>
      </w:r>
      <w:proofErr w:type="spellStart"/>
      <w:r w:rsidRPr="00D60535">
        <w:t>MenACWY</w:t>
      </w:r>
      <w:proofErr w:type="spellEnd"/>
      <w:r w:rsidR="00933659">
        <w:t>-</w:t>
      </w:r>
      <w:r w:rsidRPr="00D60535">
        <w:t xml:space="preserve">TT induced </w:t>
      </w:r>
      <w:proofErr w:type="spellStart"/>
      <w:r w:rsidR="00A61226">
        <w:t>immuno</w:t>
      </w:r>
      <w:r w:rsidRPr="00D60535">
        <w:t>pr</w:t>
      </w:r>
      <w:r w:rsidR="00A61226">
        <w:t>o</w:t>
      </w:r>
      <w:r w:rsidRPr="00D60535">
        <w:t>tective</w:t>
      </w:r>
      <w:proofErr w:type="spellEnd"/>
      <w:r w:rsidRPr="00D60535">
        <w:t xml:space="preserve"> titres for all </w:t>
      </w:r>
      <w:proofErr w:type="spellStart"/>
      <w:r w:rsidR="00B7059A" w:rsidRPr="00D60535">
        <w:t>sero</w:t>
      </w:r>
      <w:r w:rsidR="00B7059A">
        <w:t>group</w:t>
      </w:r>
      <w:r w:rsidR="00B7059A" w:rsidRPr="00D60535">
        <w:t>s</w:t>
      </w:r>
      <w:proofErr w:type="spellEnd"/>
      <w:r w:rsidR="00B7059A" w:rsidRPr="00D60535">
        <w:t xml:space="preserve"> </w:t>
      </w:r>
      <w:r w:rsidRPr="00D60535">
        <w:t xml:space="preserve">in those &lt;2 </w:t>
      </w:r>
      <w:r w:rsidR="00396F90">
        <w:t>years</w:t>
      </w:r>
      <w:r w:rsidRPr="00D60535">
        <w:t xml:space="preserve">. </w:t>
      </w:r>
    </w:p>
    <w:p w:rsidR="00FA0669" w:rsidRPr="00D60535" w:rsidRDefault="00FA0669" w:rsidP="00C707A9">
      <w:r w:rsidRPr="00D60535">
        <w:t xml:space="preserve">MenACWY-TT-055 explored immunogenicity/safety of one dose </w:t>
      </w:r>
      <w:proofErr w:type="spellStart"/>
      <w:r w:rsidRPr="00D60535">
        <w:t>MenACWY</w:t>
      </w:r>
      <w:proofErr w:type="spellEnd"/>
      <w:r w:rsidR="00933659">
        <w:t>-</w:t>
      </w:r>
      <w:r w:rsidRPr="00D60535">
        <w:t>TT at 12 m</w:t>
      </w:r>
      <w:r w:rsidR="008756EA">
        <w:t>on</w:t>
      </w:r>
      <w:r w:rsidRPr="00D60535">
        <w:t xml:space="preserve">ths old vs. 2 doses </w:t>
      </w:r>
      <w:proofErr w:type="spellStart"/>
      <w:r w:rsidRPr="00D60535">
        <w:t>MenACWY</w:t>
      </w:r>
      <w:proofErr w:type="spellEnd"/>
      <w:r w:rsidRPr="00D60535">
        <w:t>-TT at 9 and 12 m</w:t>
      </w:r>
      <w:r w:rsidR="008756EA">
        <w:t>on</w:t>
      </w:r>
      <w:r w:rsidRPr="00D60535">
        <w:t xml:space="preserve">ths of age.  Both doses </w:t>
      </w:r>
      <w:r w:rsidR="008756EA">
        <w:t xml:space="preserve">were </w:t>
      </w:r>
      <w:r w:rsidRPr="00D60535">
        <w:t xml:space="preserve">immunogenic; in an exploratory evaluation the percentage with </w:t>
      </w:r>
      <w:proofErr w:type="spellStart"/>
      <w:r w:rsidRPr="00D60535">
        <w:t>hSBA</w:t>
      </w:r>
      <w:proofErr w:type="spellEnd"/>
      <w:r w:rsidRPr="00D60535">
        <w:t xml:space="preserve"> titres ≥1:8 and </w:t>
      </w:r>
      <w:proofErr w:type="spellStart"/>
      <w:r w:rsidRPr="00D60535">
        <w:t>hSBA</w:t>
      </w:r>
      <w:proofErr w:type="spellEnd"/>
      <w:r w:rsidRPr="00D60535">
        <w:t xml:space="preserve"> GMTs was significantly higher in those receiving prime-boost for all Men </w:t>
      </w:r>
      <w:proofErr w:type="spellStart"/>
      <w:r w:rsidRPr="00D60535">
        <w:t>serogroups</w:t>
      </w:r>
      <w:proofErr w:type="spellEnd"/>
      <w:r w:rsidRPr="00D60535">
        <w:t xml:space="preserve">. No safety or tolerability cost to the prime-boost strategy. </w:t>
      </w:r>
    </w:p>
    <w:p w:rsidR="00FA0669" w:rsidRPr="00D60535" w:rsidRDefault="00FA0669" w:rsidP="00C707A9">
      <w:pPr>
        <w:pStyle w:val="Heading5"/>
      </w:pPr>
      <w:bookmarkStart w:id="38" w:name="_Toc272414643"/>
      <w:bookmarkStart w:id="39" w:name="_Toc290846265"/>
      <w:bookmarkStart w:id="40" w:name="_Toc343641672"/>
      <w:r w:rsidRPr="00D60535">
        <w:t xml:space="preserve">Secondary </w:t>
      </w:r>
      <w:proofErr w:type="spellStart"/>
      <w:r w:rsidRPr="00D60535">
        <w:t>pharmacodynamic</w:t>
      </w:r>
      <w:proofErr w:type="spellEnd"/>
      <w:r w:rsidRPr="00D60535">
        <w:t xml:space="preserve"> effects</w:t>
      </w:r>
      <w:bookmarkEnd w:id="38"/>
      <w:bookmarkEnd w:id="39"/>
      <w:bookmarkEnd w:id="40"/>
    </w:p>
    <w:p w:rsidR="008756EA" w:rsidRDefault="00FA0669" w:rsidP="00C707A9">
      <w:r w:rsidRPr="00D60535">
        <w:t xml:space="preserve">Further results on induction of immune memory, which could be viewed as a secondary </w:t>
      </w:r>
      <w:proofErr w:type="spellStart"/>
      <w:r w:rsidRPr="00D60535">
        <w:t>pharmacodynamic</w:t>
      </w:r>
      <w:proofErr w:type="spellEnd"/>
      <w:r w:rsidRPr="00D60535">
        <w:t xml:space="preserve"> effect</w:t>
      </w:r>
      <w:r w:rsidR="008756EA">
        <w:t xml:space="preserve"> </w:t>
      </w:r>
      <w:r w:rsidRPr="00D60535">
        <w:t xml:space="preserve">provided in Section 5.2.2.1. </w:t>
      </w:r>
    </w:p>
    <w:p w:rsidR="00FA0669" w:rsidRPr="00D60535" w:rsidRDefault="00FA0669" w:rsidP="00C707A9">
      <w:r w:rsidRPr="00D60535">
        <w:t xml:space="preserve">MenACWY-TT-014, MenACWY-TT-013 extension, evaluated induction of immunological memory following one-fifth of a dose of </w:t>
      </w:r>
      <w:proofErr w:type="spellStart"/>
      <w:r w:rsidRPr="00D60535">
        <w:t>Mencevax</w:t>
      </w:r>
      <w:proofErr w:type="spellEnd"/>
      <w:r w:rsidRPr="00D60535">
        <w:t xml:space="preserve"> ACWY (a plain PS meningococcal va</w:t>
      </w:r>
      <w:r w:rsidR="008756EA">
        <w:t xml:space="preserve">ccine) 15 months after priming </w:t>
      </w:r>
      <w:r w:rsidRPr="00D60535">
        <w:t xml:space="preserve">with one of 4 formulations of </w:t>
      </w:r>
      <w:proofErr w:type="spellStart"/>
      <w:r w:rsidRPr="00D60535">
        <w:t>MenACWY</w:t>
      </w:r>
      <w:proofErr w:type="spellEnd"/>
      <w:r w:rsidRPr="00D60535">
        <w:t xml:space="preserve">-TT candidate vaccine or </w:t>
      </w:r>
      <w:proofErr w:type="spellStart"/>
      <w:r w:rsidRPr="00D60535">
        <w:t>Meningitec</w:t>
      </w:r>
      <w:proofErr w:type="spellEnd"/>
      <w:r w:rsidRPr="00D60535">
        <w:t xml:space="preserve"> (</w:t>
      </w:r>
      <w:proofErr w:type="spellStart"/>
      <w:r w:rsidRPr="00D60535">
        <w:t>MenC</w:t>
      </w:r>
      <w:proofErr w:type="spellEnd"/>
      <w:r w:rsidRPr="00D60535">
        <w:t xml:space="preserve">-conjugate control vaccine) when aged 12-14 months. Increases in </w:t>
      </w:r>
      <w:proofErr w:type="spellStart"/>
      <w:r w:rsidRPr="00D60535">
        <w:t>rSBA</w:t>
      </w:r>
      <w:proofErr w:type="spellEnd"/>
      <w:r w:rsidRPr="00D60535">
        <w:t xml:space="preserve"> GMTs for each of the four meningococcal </w:t>
      </w:r>
      <w:proofErr w:type="spellStart"/>
      <w:r w:rsidRPr="00D60535">
        <w:t>serogroups</w:t>
      </w:r>
      <w:proofErr w:type="spellEnd"/>
      <w:r w:rsidRPr="00D60535">
        <w:t xml:space="preserve"> were observed one month post boost in </w:t>
      </w:r>
      <w:proofErr w:type="spellStart"/>
      <w:r w:rsidRPr="00D60535">
        <w:t>MenACWY</w:t>
      </w:r>
      <w:proofErr w:type="spellEnd"/>
      <w:r w:rsidRPr="00D60535">
        <w:t xml:space="preserve">-TT </w:t>
      </w:r>
      <w:proofErr w:type="spellStart"/>
      <w:r w:rsidRPr="00D60535">
        <w:t>vacinees</w:t>
      </w:r>
      <w:proofErr w:type="spellEnd"/>
      <w:r w:rsidRPr="00D60535">
        <w:t xml:space="preserve">. Increases in </w:t>
      </w:r>
      <w:proofErr w:type="spellStart"/>
      <w:r w:rsidRPr="00D60535">
        <w:t>rSBA</w:t>
      </w:r>
      <w:proofErr w:type="spellEnd"/>
      <w:r w:rsidRPr="00D60535">
        <w:t xml:space="preserve"> GMTs were also observed in subjects primed with the </w:t>
      </w:r>
      <w:proofErr w:type="spellStart"/>
      <w:r w:rsidRPr="00D60535">
        <w:t>MenC</w:t>
      </w:r>
      <w:proofErr w:type="spellEnd"/>
      <w:r w:rsidRPr="00D60535">
        <w:t xml:space="preserve">-conjugate control vaccine </w:t>
      </w:r>
      <w:proofErr w:type="spellStart"/>
      <w:r w:rsidRPr="00D60535">
        <w:t>Meningitec</w:t>
      </w:r>
      <w:proofErr w:type="spellEnd"/>
      <w:r w:rsidRPr="00D60535">
        <w:t xml:space="preserve"> for Men-C. </w:t>
      </w:r>
    </w:p>
    <w:p w:rsidR="00FA0669" w:rsidRPr="00D60535" w:rsidRDefault="00FA0669" w:rsidP="00C707A9">
      <w:pPr>
        <w:pStyle w:val="Heading4"/>
      </w:pPr>
      <w:bookmarkStart w:id="41" w:name="_Toc272414644"/>
      <w:bookmarkStart w:id="42" w:name="_Toc290846266"/>
      <w:bookmarkStart w:id="43" w:name="_Toc343641673"/>
      <w:r w:rsidRPr="00D60535">
        <w:t xml:space="preserve">Time course of </w:t>
      </w:r>
      <w:proofErr w:type="spellStart"/>
      <w:r w:rsidRPr="00D60535">
        <w:t>pharmacodynamic</w:t>
      </w:r>
      <w:proofErr w:type="spellEnd"/>
      <w:r w:rsidRPr="00D60535">
        <w:t xml:space="preserve"> effects</w:t>
      </w:r>
      <w:bookmarkEnd w:id="41"/>
      <w:bookmarkEnd w:id="42"/>
      <w:bookmarkEnd w:id="43"/>
    </w:p>
    <w:p w:rsidR="00FA0669" w:rsidRPr="00D60535" w:rsidRDefault="00FA0669" w:rsidP="00C707A9">
      <w:r w:rsidRPr="00D60535">
        <w:t>In all studies the primary response to vaccine was measured one month post-vaccination. However, several Phase II studies provided extended immune persist</w:t>
      </w:r>
      <w:r w:rsidR="00507E26">
        <w:t>ence and these include those in</w:t>
      </w:r>
      <w:r w:rsidRPr="00D60535">
        <w:t xml:space="preserve"> adolescents and adults i.e. MenACWY-TT-016 EXT-015 Y1&amp; Y2; MenACWY-TT-024 EXT-012 M18 &amp; M30 &amp; M42; MenACWY-TT-059 EXT-052 Y1. In toddlers and children i.e. MenACWY-TT-014 BST-013, MenACWY-TT-028 EXT-027 Y1 &amp; Y2 &amp; Y3 and MenACWY-TT-062 EXT 055 Y1. Persistence data is presented in summary form in Section 7.</w:t>
      </w:r>
    </w:p>
    <w:p w:rsidR="00FA0669" w:rsidRPr="00D60535" w:rsidRDefault="00FA0669" w:rsidP="00C707A9">
      <w:pPr>
        <w:pStyle w:val="Heading4"/>
      </w:pPr>
      <w:bookmarkStart w:id="44" w:name="_Toc272414645"/>
      <w:bookmarkStart w:id="45" w:name="_Toc290846267"/>
      <w:bookmarkStart w:id="46" w:name="_Toc343641674"/>
      <w:r w:rsidRPr="00D60535">
        <w:t xml:space="preserve">Relationship between drug concentration and </w:t>
      </w:r>
      <w:proofErr w:type="spellStart"/>
      <w:r w:rsidRPr="00D60535">
        <w:t>pharmacodynamic</w:t>
      </w:r>
      <w:proofErr w:type="spellEnd"/>
      <w:r w:rsidRPr="00D60535">
        <w:t xml:space="preserve"> effects</w:t>
      </w:r>
      <w:bookmarkEnd w:id="44"/>
      <w:bookmarkEnd w:id="45"/>
      <w:bookmarkEnd w:id="46"/>
    </w:p>
    <w:p w:rsidR="000C2D3D" w:rsidRDefault="00FA0669" w:rsidP="00C707A9">
      <w:r w:rsidRPr="00D60535">
        <w:t xml:space="preserve">The full development history of this conjugate vaccine was not provided to the Module 5 Reviewer. Provided were two studies of the third generation conjugate vaccine in which an AH spacer was added to the </w:t>
      </w:r>
      <w:proofErr w:type="spellStart"/>
      <w:r w:rsidRPr="00D60535">
        <w:t>serogroup</w:t>
      </w:r>
      <w:proofErr w:type="spellEnd"/>
      <w:r w:rsidRPr="00D60535">
        <w:t xml:space="preserve"> A and </w:t>
      </w:r>
      <w:proofErr w:type="spellStart"/>
      <w:r w:rsidRPr="00D60535">
        <w:t>serogroup</w:t>
      </w:r>
      <w:proofErr w:type="spellEnd"/>
      <w:r w:rsidRPr="00D60535">
        <w:t xml:space="preserve"> C polysaccharides of the original conjugate vaccine. </w:t>
      </w:r>
    </w:p>
    <w:p w:rsidR="000C2D3D" w:rsidRDefault="00FA0669" w:rsidP="00C707A9">
      <w:r w:rsidRPr="00D60535">
        <w:t xml:space="preserve">In MenACWY-TT-012 immunogenicity, safety and </w:t>
      </w:r>
      <w:proofErr w:type="spellStart"/>
      <w:r w:rsidRPr="00D60535">
        <w:t>reactogenicity</w:t>
      </w:r>
      <w:proofErr w:type="spellEnd"/>
      <w:r w:rsidRPr="00D60535">
        <w:t xml:space="preserve"> of one IM dose of three different dosages of the third generation </w:t>
      </w:r>
      <w:proofErr w:type="spellStart"/>
      <w:r w:rsidRPr="00D60535">
        <w:t>MenACWY</w:t>
      </w:r>
      <w:proofErr w:type="spellEnd"/>
      <w:r w:rsidRPr="00D60535">
        <w:t xml:space="preserve">-TT vaccine or one dosage of the second generation of the </w:t>
      </w:r>
      <w:proofErr w:type="spellStart"/>
      <w:r w:rsidRPr="00D60535">
        <w:t>MenACWY</w:t>
      </w:r>
      <w:proofErr w:type="spellEnd"/>
      <w:r w:rsidRPr="00D60535">
        <w:t xml:space="preserve">-TT vaccine, versus one SC dose of </w:t>
      </w:r>
      <w:proofErr w:type="spellStart"/>
      <w:r w:rsidRPr="00D60535">
        <w:t>Mencevax</w:t>
      </w:r>
      <w:proofErr w:type="spellEnd"/>
      <w:r w:rsidRPr="00D60535">
        <w:t xml:space="preserve"> ACWY in 15-19 year olds was assessed. </w:t>
      </w:r>
    </w:p>
    <w:p w:rsidR="00507E26" w:rsidRDefault="00FA0669" w:rsidP="00C707A9">
      <w:r w:rsidRPr="00D60535">
        <w:t>MenACWY-TT-013</w:t>
      </w:r>
      <w:r w:rsidR="000C2D3D">
        <w:t xml:space="preserve"> </w:t>
      </w:r>
      <w:r w:rsidRPr="00D60535">
        <w:t xml:space="preserve">explored the immunogenicity and safety of 3 different dosages of the third generation </w:t>
      </w:r>
      <w:proofErr w:type="spellStart"/>
      <w:r w:rsidRPr="00D60535">
        <w:t>MenACWY</w:t>
      </w:r>
      <w:proofErr w:type="spellEnd"/>
      <w:r w:rsidRPr="00D60535">
        <w:t xml:space="preserve">-TT conjugate vaccine or one dosage of the second generation </w:t>
      </w:r>
      <w:proofErr w:type="spellStart"/>
      <w:r w:rsidRPr="00D60535">
        <w:t>MenACWY</w:t>
      </w:r>
      <w:proofErr w:type="spellEnd"/>
      <w:r w:rsidRPr="00D60535">
        <w:t xml:space="preserve">-TT conjugate vaccine in children aged 3 to 5 </w:t>
      </w:r>
      <w:r w:rsidR="00396F90">
        <w:t>years</w:t>
      </w:r>
      <w:r w:rsidRPr="00D60535">
        <w:t xml:space="preserve"> </w:t>
      </w:r>
      <w:r w:rsidR="00933659">
        <w:t>[and toddlers aged 12-14 months].</w:t>
      </w:r>
      <w:r w:rsidRPr="00D60535">
        <w:t xml:space="preserve">. </w:t>
      </w:r>
    </w:p>
    <w:p w:rsidR="00FA0669" w:rsidRPr="00D60535" w:rsidRDefault="00FA0669" w:rsidP="00C707A9">
      <w:r w:rsidRPr="00D60535">
        <w:t xml:space="preserve">In adolescents and children, the antibody </w:t>
      </w:r>
      <w:proofErr w:type="spellStart"/>
      <w:r w:rsidRPr="00D60535">
        <w:t>MenC</w:t>
      </w:r>
      <w:proofErr w:type="spellEnd"/>
      <w:r w:rsidRPr="00D60535">
        <w:t xml:space="preserve"> antibody GMTs of the three vaccine formulations including an AH spacer for the </w:t>
      </w:r>
      <w:proofErr w:type="spellStart"/>
      <w:r w:rsidRPr="00D60535">
        <w:t>MenC</w:t>
      </w:r>
      <w:proofErr w:type="spellEnd"/>
      <w:r w:rsidRPr="00D60535">
        <w:t xml:space="preserve"> conjugate were higher compared to those of </w:t>
      </w:r>
      <w:proofErr w:type="spellStart"/>
      <w:r w:rsidRPr="00D60535">
        <w:t>Mencevax</w:t>
      </w:r>
      <w:proofErr w:type="spellEnd"/>
      <w:r w:rsidRPr="00D60535">
        <w:t xml:space="preserve"> ACWY. In toddlers, the two formulations containing 5</w:t>
      </w:r>
      <w:r w:rsidRPr="00D60535">
        <w:sym w:font="Symbol" w:char="F06D"/>
      </w:r>
      <w:r w:rsidRPr="00D60535">
        <w:t xml:space="preserve">g of the </w:t>
      </w:r>
      <w:proofErr w:type="spellStart"/>
      <w:r w:rsidRPr="00D60535">
        <w:t>MenC</w:t>
      </w:r>
      <w:proofErr w:type="spellEnd"/>
      <w:r w:rsidRPr="00D60535">
        <w:t xml:space="preserve"> PS and the AH spacer gave significantly higher antibody GMTs vs. </w:t>
      </w:r>
      <w:proofErr w:type="spellStart"/>
      <w:r w:rsidRPr="00D60535">
        <w:t>Meningitec</w:t>
      </w:r>
      <w:proofErr w:type="spellEnd"/>
      <w:r w:rsidRPr="00D60535">
        <w:t xml:space="preserve">. For </w:t>
      </w:r>
      <w:proofErr w:type="spellStart"/>
      <w:r w:rsidRPr="00D60535">
        <w:t>serogroups</w:t>
      </w:r>
      <w:proofErr w:type="spellEnd"/>
      <w:r w:rsidRPr="00D60535">
        <w:t xml:space="preserve"> A, W-135 and Y, there was a trend towards higher antibody GMTs for the formulations with 5</w:t>
      </w:r>
      <w:r w:rsidRPr="00D60535">
        <w:sym w:font="Symbol" w:char="F06D"/>
      </w:r>
      <w:r w:rsidRPr="00D60535">
        <w:t>g of PS. Based on these data and on the similar safety profiles for all formulations tested (see Safety Section) the candidate vaccine for further development was a formulation containing 5</w:t>
      </w:r>
      <w:r w:rsidRPr="00D60535">
        <w:sym w:font="Symbol" w:char="F06D"/>
      </w:r>
      <w:r w:rsidRPr="00D60535">
        <w:t xml:space="preserve">g of each PS and using an AH spacer for </w:t>
      </w:r>
      <w:proofErr w:type="spellStart"/>
      <w:r w:rsidRPr="00D60535">
        <w:t>MenA</w:t>
      </w:r>
      <w:proofErr w:type="spellEnd"/>
      <w:r w:rsidRPr="00D60535">
        <w:t xml:space="preserve"> and </w:t>
      </w:r>
      <w:proofErr w:type="spellStart"/>
      <w:r w:rsidRPr="00D60535">
        <w:t>MenC</w:t>
      </w:r>
      <w:proofErr w:type="spellEnd"/>
      <w:r w:rsidRPr="00D60535">
        <w:t xml:space="preserve"> conjugates.</w:t>
      </w:r>
    </w:p>
    <w:p w:rsidR="00FA0669" w:rsidRPr="00D60535" w:rsidRDefault="00FA0669" w:rsidP="00C707A9">
      <w:pPr>
        <w:pStyle w:val="Heading4"/>
      </w:pPr>
      <w:bookmarkStart w:id="47" w:name="_Toc241374304"/>
      <w:bookmarkStart w:id="48" w:name="_Toc272414646"/>
      <w:bookmarkStart w:id="49" w:name="_Toc290846268"/>
      <w:bookmarkStart w:id="50" w:name="_Toc343641675"/>
      <w:r w:rsidRPr="00D60535">
        <w:lastRenderedPageBreak/>
        <w:t xml:space="preserve">Genetic-, gender- and age-related differences in </w:t>
      </w:r>
      <w:proofErr w:type="spellStart"/>
      <w:r w:rsidRPr="00D60535">
        <w:t>pharmacodynamic</w:t>
      </w:r>
      <w:proofErr w:type="spellEnd"/>
      <w:r w:rsidRPr="00D60535">
        <w:t xml:space="preserve"> response</w:t>
      </w:r>
      <w:bookmarkEnd w:id="47"/>
      <w:bookmarkEnd w:id="48"/>
      <w:bookmarkEnd w:id="49"/>
      <w:bookmarkEnd w:id="50"/>
    </w:p>
    <w:p w:rsidR="00FA0669" w:rsidRPr="00D60535" w:rsidRDefault="00FA0669" w:rsidP="00C707A9">
      <w:r w:rsidRPr="00D60535">
        <w:t>None revealed</w:t>
      </w:r>
      <w:r w:rsidR="001035D5">
        <w:t>.</w:t>
      </w:r>
      <w:r w:rsidRPr="00D60535">
        <w:t xml:space="preserve"> </w:t>
      </w:r>
      <w:r w:rsidR="001035D5">
        <w:t>T</w:t>
      </w:r>
      <w:r w:rsidRPr="00D60535">
        <w:t xml:space="preserve">he studies were conducted in a variety of different country settings, and different ethnicities were well represented as a consequence. The studies were relatively well balanced for gender in all age groups. </w:t>
      </w:r>
    </w:p>
    <w:p w:rsidR="00FA0669" w:rsidRPr="00D60535" w:rsidRDefault="00FA0669" w:rsidP="00C707A9">
      <w:pPr>
        <w:pStyle w:val="Heading4"/>
      </w:pPr>
      <w:bookmarkStart w:id="51" w:name="_Toc241374303"/>
      <w:bookmarkStart w:id="52" w:name="_Toc272414647"/>
      <w:bookmarkStart w:id="53" w:name="_Toc290846269"/>
      <w:bookmarkStart w:id="54" w:name="_Toc343641676"/>
      <w:proofErr w:type="spellStart"/>
      <w:r w:rsidRPr="00D60535">
        <w:t>Pharmacodynamic</w:t>
      </w:r>
      <w:proofErr w:type="spellEnd"/>
      <w:r w:rsidRPr="00D60535">
        <w:t xml:space="preserve"> interactions</w:t>
      </w:r>
      <w:bookmarkEnd w:id="51"/>
      <w:bookmarkEnd w:id="52"/>
      <w:bookmarkEnd w:id="53"/>
      <w:bookmarkEnd w:id="54"/>
    </w:p>
    <w:p w:rsidR="00FA0669" w:rsidRPr="00D60535" w:rsidRDefault="00FA0669" w:rsidP="00C707A9">
      <w:r w:rsidRPr="00D60535">
        <w:t xml:space="preserve">Several studies explored potential interaction, immunogenicity/safety of co-administered vaccines i.e. </w:t>
      </w:r>
      <w:proofErr w:type="spellStart"/>
      <w:r w:rsidRPr="00D60535">
        <w:t>DTPa</w:t>
      </w:r>
      <w:proofErr w:type="spellEnd"/>
      <w:r w:rsidRPr="00D60535">
        <w:t>-HBV-IPV/</w:t>
      </w:r>
      <w:proofErr w:type="spellStart"/>
      <w:r w:rsidRPr="00D60535">
        <w:t>Hib</w:t>
      </w:r>
      <w:proofErr w:type="spellEnd"/>
      <w:r w:rsidRPr="00D60535">
        <w:t xml:space="preserve"> (</w:t>
      </w:r>
      <w:proofErr w:type="spellStart"/>
      <w:r w:rsidRPr="00D60535">
        <w:t>Infanrix</w:t>
      </w:r>
      <w:proofErr w:type="spellEnd"/>
      <w:r w:rsidRPr="00D60535">
        <w:t xml:space="preserve"> </w:t>
      </w:r>
      <w:proofErr w:type="spellStart"/>
      <w:r w:rsidRPr="00D60535">
        <w:t>hexa</w:t>
      </w:r>
      <w:proofErr w:type="spellEnd"/>
      <w:r w:rsidRPr="00D60535">
        <w:t>), MMRV (</w:t>
      </w:r>
      <w:proofErr w:type="spellStart"/>
      <w:r w:rsidRPr="00D60535">
        <w:t>Priorix</w:t>
      </w:r>
      <w:proofErr w:type="spellEnd"/>
      <w:r w:rsidRPr="00D60535">
        <w:t xml:space="preserve"> tetra), 10-valent pneumococcal conjugate vaccine (</w:t>
      </w:r>
      <w:proofErr w:type="spellStart"/>
      <w:r w:rsidRPr="00D60535">
        <w:t>Synflorix</w:t>
      </w:r>
      <w:proofErr w:type="spellEnd"/>
      <w:r w:rsidRPr="00D60535">
        <w:t>) in toddlers &lt;two y</w:t>
      </w:r>
      <w:r w:rsidR="001035D5">
        <w:t>ear</w:t>
      </w:r>
      <w:r w:rsidRPr="00D60535">
        <w:t>s of age, hepatitis A-hepatitis B combined vaccine (</w:t>
      </w:r>
      <w:proofErr w:type="spellStart"/>
      <w:r w:rsidRPr="00D60535">
        <w:t>Twinrix</w:t>
      </w:r>
      <w:proofErr w:type="spellEnd"/>
      <w:r w:rsidRPr="00D60535">
        <w:t>) in adolescents; seasonal influenza vaccine (</w:t>
      </w:r>
      <w:proofErr w:type="spellStart"/>
      <w:r w:rsidRPr="00D60535">
        <w:t>Fluarix</w:t>
      </w:r>
      <w:proofErr w:type="spellEnd"/>
      <w:r w:rsidRPr="00D60535">
        <w:t>) in adults.</w:t>
      </w:r>
    </w:p>
    <w:p w:rsidR="00FA0669" w:rsidRPr="00D60535" w:rsidRDefault="00FA0669" w:rsidP="00C707A9">
      <w:pPr>
        <w:pStyle w:val="Heading5"/>
      </w:pPr>
      <w:r w:rsidRPr="00D60535">
        <w:t>Hepatitis A-hepatitis B combined vaccine (</w:t>
      </w:r>
      <w:proofErr w:type="spellStart"/>
      <w:r w:rsidRPr="00D60535">
        <w:t>Twinrix</w:t>
      </w:r>
      <w:proofErr w:type="spellEnd"/>
      <w:r w:rsidRPr="00D60535">
        <w:t xml:space="preserve">) in adolescents 11-17 </w:t>
      </w:r>
      <w:r w:rsidR="00396F90">
        <w:t>years</w:t>
      </w:r>
    </w:p>
    <w:p w:rsidR="00FA0669" w:rsidRPr="00D60535" w:rsidRDefault="00FA0669" w:rsidP="00C707A9">
      <w:r w:rsidRPr="00D60535">
        <w:t xml:space="preserve">Explored in MenACWY-TT-037 – no evidence of differences in immune response in either direction – </w:t>
      </w:r>
      <w:proofErr w:type="spellStart"/>
      <w:r w:rsidRPr="00D60535">
        <w:t>immunoprotection</w:t>
      </w:r>
      <w:proofErr w:type="spellEnd"/>
      <w:r w:rsidRPr="00D60535">
        <w:t xml:space="preserve"> to each Men </w:t>
      </w:r>
      <w:proofErr w:type="spellStart"/>
      <w:r w:rsidRPr="00D60535">
        <w:t>sero</w:t>
      </w:r>
      <w:r w:rsidR="00B7059A">
        <w:t>group</w:t>
      </w:r>
      <w:proofErr w:type="spellEnd"/>
      <w:r w:rsidRPr="00D60535">
        <w:t xml:space="preserve"> or serological response to Hep A and B post dose 1 and seven months after vaccination when vaccines co-administered.</w:t>
      </w:r>
    </w:p>
    <w:p w:rsidR="00FA0669" w:rsidRPr="00D60535" w:rsidRDefault="00FA0669" w:rsidP="00C707A9">
      <w:pPr>
        <w:pStyle w:val="Heading5"/>
      </w:pPr>
      <w:r w:rsidRPr="00D60535">
        <w:t xml:space="preserve">Co-administration with seasonal influenza vaccine in adults 18 to 55 </w:t>
      </w:r>
      <w:r w:rsidR="00396F90">
        <w:t>years</w:t>
      </w:r>
      <w:r w:rsidRPr="00D60535">
        <w:t xml:space="preserve"> of age</w:t>
      </w:r>
    </w:p>
    <w:p w:rsidR="00FA0669" w:rsidRPr="00D60535" w:rsidRDefault="00FA0669" w:rsidP="00C707A9">
      <w:r w:rsidRPr="00D60535">
        <w:t xml:space="preserve">Explored in MenACWY-TT-035, no evidence of differences in immune response in either direction – </w:t>
      </w:r>
      <w:proofErr w:type="spellStart"/>
      <w:r w:rsidRPr="00D60535">
        <w:t>immunoprotection</w:t>
      </w:r>
      <w:proofErr w:type="spellEnd"/>
      <w:r w:rsidRPr="00D60535">
        <w:t xml:space="preserve"> to each Men </w:t>
      </w:r>
      <w:proofErr w:type="spellStart"/>
      <w:r w:rsidRPr="00D60535">
        <w:t>sero</w:t>
      </w:r>
      <w:r w:rsidR="00B7059A">
        <w:t>group</w:t>
      </w:r>
      <w:proofErr w:type="spellEnd"/>
      <w:r w:rsidRPr="00D60535">
        <w:t xml:space="preserve"> or serological response (HI) to trivalent influenza vaccine one month post vaccination when vaccines co-administered.</w:t>
      </w:r>
    </w:p>
    <w:p w:rsidR="000C2D3D" w:rsidRDefault="00FA0669" w:rsidP="00C707A9">
      <w:pPr>
        <w:pStyle w:val="Heading5"/>
      </w:pPr>
      <w:r w:rsidRPr="00D60535">
        <w:t xml:space="preserve">Co-administration data in toddlers 12-23 months of age for </w:t>
      </w:r>
      <w:proofErr w:type="spellStart"/>
      <w:r w:rsidRPr="00D60535">
        <w:t>DTPa</w:t>
      </w:r>
      <w:proofErr w:type="spellEnd"/>
      <w:r w:rsidRPr="00D60535">
        <w:t>-HBV-IPV/</w:t>
      </w:r>
      <w:proofErr w:type="spellStart"/>
      <w:r w:rsidRPr="00D60535">
        <w:t>Hib</w:t>
      </w:r>
      <w:proofErr w:type="spellEnd"/>
      <w:r w:rsidR="000C2D3D">
        <w:t xml:space="preserve"> </w:t>
      </w:r>
      <w:r w:rsidRPr="00D60535">
        <w:t>(</w:t>
      </w:r>
      <w:proofErr w:type="spellStart"/>
      <w:r w:rsidRPr="00D60535">
        <w:t>Infanrix</w:t>
      </w:r>
      <w:proofErr w:type="spellEnd"/>
      <w:r w:rsidRPr="00D60535">
        <w:t xml:space="preserve"> </w:t>
      </w:r>
      <w:proofErr w:type="spellStart"/>
      <w:r w:rsidRPr="00D60535">
        <w:t>hexa</w:t>
      </w:r>
      <w:proofErr w:type="spellEnd"/>
      <w:r w:rsidRPr="00D60535">
        <w:t>), MMRV (</w:t>
      </w:r>
      <w:proofErr w:type="spellStart"/>
      <w:r w:rsidRPr="00D60535">
        <w:t>Priorix</w:t>
      </w:r>
      <w:proofErr w:type="spellEnd"/>
      <w:r w:rsidRPr="00D60535">
        <w:t xml:space="preserve"> tetra) and 10PN-PD-DIT (</w:t>
      </w:r>
      <w:proofErr w:type="spellStart"/>
      <w:r w:rsidRPr="00D60535">
        <w:t>Synflorix</w:t>
      </w:r>
      <w:proofErr w:type="spellEnd"/>
      <w:r w:rsidRPr="00D60535">
        <w:t>)</w:t>
      </w:r>
    </w:p>
    <w:p w:rsidR="000C2D3D" w:rsidRDefault="00FA0669" w:rsidP="00C707A9">
      <w:pPr>
        <w:pStyle w:val="Heading6"/>
      </w:pPr>
      <w:r w:rsidRPr="00D60535">
        <w:t xml:space="preserve">Immunogenicity of </w:t>
      </w:r>
      <w:proofErr w:type="spellStart"/>
      <w:r w:rsidRPr="00D60535">
        <w:t>MenACWY</w:t>
      </w:r>
      <w:proofErr w:type="spellEnd"/>
      <w:r w:rsidRPr="00D60535">
        <w:t>-TT co-</w:t>
      </w:r>
      <w:r w:rsidR="000C2D3D" w:rsidRPr="00D60535">
        <w:t>administered</w:t>
      </w:r>
      <w:r w:rsidRPr="00D60535">
        <w:t xml:space="preserve"> with or administered one month after </w:t>
      </w:r>
      <w:proofErr w:type="spellStart"/>
      <w:r w:rsidRPr="00D60535">
        <w:t>DTPa</w:t>
      </w:r>
      <w:proofErr w:type="spellEnd"/>
      <w:r w:rsidRPr="00D60535">
        <w:t>-HBV-IPV/</w:t>
      </w:r>
      <w:proofErr w:type="spellStart"/>
      <w:r w:rsidRPr="00D60535">
        <w:t>Hib</w:t>
      </w:r>
      <w:proofErr w:type="spellEnd"/>
      <w:r w:rsidRPr="00D60535">
        <w:t xml:space="preserve"> or administered on</w:t>
      </w:r>
      <w:r w:rsidR="008E7096">
        <w:t xml:space="preserve">e month before </w:t>
      </w:r>
      <w:proofErr w:type="spellStart"/>
      <w:r w:rsidR="008E7096">
        <w:t>DTPa</w:t>
      </w:r>
      <w:proofErr w:type="spellEnd"/>
      <w:r w:rsidR="008E7096">
        <w:t>-HBV-IPV/</w:t>
      </w:r>
      <w:proofErr w:type="spellStart"/>
      <w:r w:rsidR="008E7096">
        <w:t>Hib</w:t>
      </w:r>
      <w:proofErr w:type="spellEnd"/>
      <w:r w:rsidRPr="00D60535">
        <w:t xml:space="preserve"> </w:t>
      </w:r>
    </w:p>
    <w:p w:rsidR="000C2D3D" w:rsidRDefault="00FA0669" w:rsidP="00C707A9">
      <w:r w:rsidRPr="00D60535">
        <w:t xml:space="preserve">Explored in MenACWY-TT-040– overall conclusion was no evidence of clinically significant impact on immune response in either direction in terms of </w:t>
      </w:r>
      <w:proofErr w:type="spellStart"/>
      <w:r w:rsidRPr="00D60535">
        <w:t>immunoprotection</w:t>
      </w:r>
      <w:proofErr w:type="spellEnd"/>
      <w:r w:rsidRPr="00D60535">
        <w:t xml:space="preserve"> to each Men </w:t>
      </w:r>
      <w:proofErr w:type="spellStart"/>
      <w:r w:rsidRPr="00D60535">
        <w:t>sero</w:t>
      </w:r>
      <w:r w:rsidR="00B7059A">
        <w:t>group</w:t>
      </w:r>
      <w:proofErr w:type="spellEnd"/>
      <w:r w:rsidRPr="00D60535">
        <w:t xml:space="preserve"> or serological response to the component antigens of </w:t>
      </w:r>
      <w:proofErr w:type="spellStart"/>
      <w:r w:rsidRPr="00D60535">
        <w:t>Infanrix</w:t>
      </w:r>
      <w:proofErr w:type="spellEnd"/>
      <w:r w:rsidRPr="00D60535">
        <w:t xml:space="preserve"> </w:t>
      </w:r>
      <w:proofErr w:type="spellStart"/>
      <w:r w:rsidRPr="00D60535">
        <w:t>hexa</w:t>
      </w:r>
      <w:proofErr w:type="spellEnd"/>
      <w:r w:rsidRPr="00D60535">
        <w:t xml:space="preserve"> vaccine if co-administered or sequential administration. </w:t>
      </w:r>
    </w:p>
    <w:p w:rsidR="000C2D3D" w:rsidRDefault="00FA0669" w:rsidP="00C707A9">
      <w:pPr>
        <w:pStyle w:val="Heading6"/>
      </w:pPr>
      <w:r w:rsidRPr="00D60535">
        <w:t>Co-administration with MMRV (</w:t>
      </w:r>
      <w:proofErr w:type="spellStart"/>
      <w:r w:rsidRPr="00D60535">
        <w:t>Priorix</w:t>
      </w:r>
      <w:proofErr w:type="spellEnd"/>
      <w:r w:rsidRPr="00D60535">
        <w:t xml:space="preserve"> tetra) </w:t>
      </w:r>
    </w:p>
    <w:p w:rsidR="000C2D3D" w:rsidRDefault="00FA0669" w:rsidP="00C707A9">
      <w:r w:rsidRPr="00D60535">
        <w:t xml:space="preserve">Explored in MenACWY-TT-039– overall conclusion was no evidence of clinically significant impact on immune response in either direction in terms of </w:t>
      </w:r>
      <w:proofErr w:type="spellStart"/>
      <w:r w:rsidRPr="00D60535">
        <w:t>immunoprotection</w:t>
      </w:r>
      <w:proofErr w:type="spellEnd"/>
      <w:r w:rsidRPr="00D60535">
        <w:t xml:space="preserve"> to each Men </w:t>
      </w:r>
      <w:proofErr w:type="spellStart"/>
      <w:r w:rsidRPr="00D60535">
        <w:t>sero</w:t>
      </w:r>
      <w:r w:rsidR="00B7059A">
        <w:t>group</w:t>
      </w:r>
      <w:proofErr w:type="spellEnd"/>
      <w:r w:rsidRPr="00D60535">
        <w:t xml:space="preserve"> or serological response to MMRV vaccine if co-administe</w:t>
      </w:r>
      <w:r w:rsidR="000C2D3D">
        <w:t>red. However</w:t>
      </w:r>
      <w:r w:rsidRPr="00D60535">
        <w:t>, in an exploratory analysis anti-rubella GMC was statistically significantly lower in the Co-ad group (43.1 IU/</w:t>
      </w:r>
      <w:proofErr w:type="spellStart"/>
      <w:r w:rsidRPr="00D60535">
        <w:t>mL</w:t>
      </w:r>
      <w:proofErr w:type="spellEnd"/>
      <w:r w:rsidRPr="00D60535">
        <w:t>) compared to the MMRV group (53.2 IU/</w:t>
      </w:r>
      <w:proofErr w:type="spellStart"/>
      <w:r w:rsidRPr="00D60535">
        <w:t>mL</w:t>
      </w:r>
      <w:proofErr w:type="spellEnd"/>
      <w:r w:rsidRPr="00D60535">
        <w:t xml:space="preserve">) but still protective. </w:t>
      </w:r>
    </w:p>
    <w:p w:rsidR="000C2D3D" w:rsidRDefault="00FA0669" w:rsidP="00C707A9">
      <w:pPr>
        <w:pStyle w:val="Heading6"/>
      </w:pPr>
      <w:r w:rsidRPr="00D60535">
        <w:t>Co-administration with 10PN-PD-DIT (</w:t>
      </w:r>
      <w:proofErr w:type="spellStart"/>
      <w:r w:rsidRPr="00D60535">
        <w:t>Synflorix</w:t>
      </w:r>
      <w:proofErr w:type="spellEnd"/>
      <w:r w:rsidRPr="00D60535">
        <w:t xml:space="preserve">) </w:t>
      </w:r>
    </w:p>
    <w:p w:rsidR="00FA0669" w:rsidRPr="00D60535" w:rsidRDefault="00FA0669" w:rsidP="00C707A9">
      <w:r w:rsidRPr="00D60535">
        <w:t xml:space="preserve">Explored in MenACWY-TT-080– was no evidence negative impact on </w:t>
      </w:r>
      <w:proofErr w:type="spellStart"/>
      <w:r w:rsidRPr="00D60535">
        <w:t>immunoprotection</w:t>
      </w:r>
      <w:proofErr w:type="spellEnd"/>
      <w:r w:rsidRPr="00D60535">
        <w:t xml:space="preserve"> to each Men </w:t>
      </w:r>
      <w:proofErr w:type="spellStart"/>
      <w:r w:rsidRPr="00D60535">
        <w:t>sero</w:t>
      </w:r>
      <w:r w:rsidR="00B7059A">
        <w:t>group</w:t>
      </w:r>
      <w:proofErr w:type="spellEnd"/>
      <w:r w:rsidRPr="00D60535">
        <w:t xml:space="preserve"> but immune response </w:t>
      </w:r>
      <w:r w:rsidR="0067605D">
        <w:t xml:space="preserve">to pneumococcal antigen </w:t>
      </w:r>
      <w:proofErr w:type="spellStart"/>
      <w:r w:rsidR="0067605D">
        <w:t>serogroup</w:t>
      </w:r>
      <w:proofErr w:type="spellEnd"/>
      <w:r w:rsidRPr="00D60535">
        <w:t xml:space="preserve"> 18C lower than expected. Since 100% of subjects i</w:t>
      </w:r>
      <w:r w:rsidR="000C2D3D">
        <w:t>n Co-ad group had anti-18C concentrations</w:t>
      </w:r>
      <w:r w:rsidRPr="00D60535">
        <w:t xml:space="preserve"> ≥0.2 </w:t>
      </w:r>
      <w:proofErr w:type="spellStart"/>
      <w:r w:rsidRPr="00D60535">
        <w:t>μg</w:t>
      </w:r>
      <w:proofErr w:type="spellEnd"/>
      <w:r w:rsidRPr="00D60535">
        <w:t>/</w:t>
      </w:r>
      <w:proofErr w:type="spellStart"/>
      <w:r w:rsidRPr="00D60535">
        <w:t>mL</w:t>
      </w:r>
      <w:proofErr w:type="spellEnd"/>
      <w:r w:rsidRPr="00D60535">
        <w:t>, and 98.2% in the Co-ad group had OPA-18C titres ≥8, the difference in GMCs and GMTs is of questionable clinical relevance.</w:t>
      </w:r>
    </w:p>
    <w:p w:rsidR="00FA0669" w:rsidRPr="00D60535" w:rsidRDefault="00FA0669" w:rsidP="00C707A9">
      <w:pPr>
        <w:pStyle w:val="Heading3"/>
      </w:pPr>
      <w:bookmarkStart w:id="55" w:name="_Ref269983272"/>
      <w:bookmarkStart w:id="56" w:name="_Toc272414648"/>
      <w:bookmarkStart w:id="57" w:name="_Toc290846270"/>
      <w:bookmarkStart w:id="58" w:name="_Toc343641677"/>
      <w:bookmarkStart w:id="59" w:name="_Toc375123734"/>
      <w:r w:rsidRPr="00D60535">
        <w:t xml:space="preserve">Evaluator’s overall conclusions on </w:t>
      </w:r>
      <w:proofErr w:type="spellStart"/>
      <w:r w:rsidRPr="00D60535">
        <w:t>pharmacodynamics</w:t>
      </w:r>
      <w:bookmarkEnd w:id="55"/>
      <w:bookmarkEnd w:id="56"/>
      <w:bookmarkEnd w:id="57"/>
      <w:bookmarkEnd w:id="58"/>
      <w:bookmarkEnd w:id="59"/>
      <w:proofErr w:type="spellEnd"/>
    </w:p>
    <w:p w:rsidR="00C22678" w:rsidRPr="00D60535" w:rsidRDefault="00FA0669" w:rsidP="00C707A9">
      <w:r w:rsidRPr="00D60535">
        <w:t>A robust series of PD studies with immunogenicity and safety data provided in studies using appropriate comparator meningococcal vaccines (includ</w:t>
      </w:r>
      <w:r w:rsidR="001035D5">
        <w:t>ing conjugate formulations) in t</w:t>
      </w:r>
      <w:r w:rsidRPr="00D60535">
        <w:t>oddlers, adolescents and adults (</w:t>
      </w:r>
      <w:r w:rsidR="000C2D3D">
        <w:t>≤</w:t>
      </w:r>
      <w:r w:rsidRPr="00D60535">
        <w:t xml:space="preserve">55 </w:t>
      </w:r>
      <w:r w:rsidR="00396F90">
        <w:t>years</w:t>
      </w:r>
      <w:r w:rsidRPr="00D60535">
        <w:t xml:space="preserve"> old). These data supported the Phase III programme using the 3</w:t>
      </w:r>
      <w:r w:rsidRPr="000C2D3D">
        <w:rPr>
          <w:vertAlign w:val="superscript"/>
        </w:rPr>
        <w:t>rd</w:t>
      </w:r>
      <w:r w:rsidR="000C2D3D">
        <w:t xml:space="preserve"> </w:t>
      </w:r>
      <w:r w:rsidRPr="00D60535">
        <w:t xml:space="preserve">generation formulation of this </w:t>
      </w:r>
      <w:proofErr w:type="spellStart"/>
      <w:r w:rsidRPr="00D60535">
        <w:t>quadrivalent</w:t>
      </w:r>
      <w:proofErr w:type="spellEnd"/>
      <w:r w:rsidRPr="00D60535">
        <w:t xml:space="preserve"> conjugate meningococcal vaccine. </w:t>
      </w:r>
    </w:p>
    <w:p w:rsidR="00586F98" w:rsidRDefault="00C22678" w:rsidP="008D0E3B">
      <w:pPr>
        <w:pStyle w:val="Heading2"/>
      </w:pPr>
      <w:bookmarkStart w:id="60" w:name="_Toc375123735"/>
      <w:r>
        <w:lastRenderedPageBreak/>
        <w:t>Dosage selection for the pivotal studies</w:t>
      </w:r>
      <w:bookmarkEnd w:id="60"/>
    </w:p>
    <w:p w:rsidR="000C2D3D" w:rsidRPr="00586F98" w:rsidRDefault="00FA0669" w:rsidP="008D0E3B">
      <w:pPr>
        <w:rPr>
          <w:lang w:eastAsia="ja-JP"/>
        </w:rPr>
      </w:pPr>
      <w:r w:rsidRPr="00FA0669">
        <w:rPr>
          <w:lang w:eastAsia="ja-JP"/>
        </w:rPr>
        <w:t>The selected dose was 0.5</w:t>
      </w:r>
      <w:r w:rsidR="009879E5">
        <w:rPr>
          <w:lang w:eastAsia="ja-JP"/>
        </w:rPr>
        <w:t xml:space="preserve"> </w:t>
      </w:r>
      <w:proofErr w:type="spellStart"/>
      <w:r w:rsidRPr="00FA0669">
        <w:rPr>
          <w:lang w:eastAsia="ja-JP"/>
        </w:rPr>
        <w:t>mL</w:t>
      </w:r>
      <w:proofErr w:type="spellEnd"/>
      <w:r w:rsidRPr="00FA0669">
        <w:rPr>
          <w:lang w:eastAsia="ja-JP"/>
        </w:rPr>
        <w:t xml:space="preserve"> (after dilution) IM for age groups 1-55 y</w:t>
      </w:r>
      <w:r w:rsidR="00FE6D3A">
        <w:rPr>
          <w:lang w:eastAsia="ja-JP"/>
        </w:rPr>
        <w:t>ea</w:t>
      </w:r>
      <w:r w:rsidRPr="00FA0669">
        <w:rPr>
          <w:lang w:eastAsia="ja-JP"/>
        </w:rPr>
        <w:t xml:space="preserve">rs, containing the antigen and </w:t>
      </w:r>
      <w:proofErr w:type="spellStart"/>
      <w:r w:rsidRPr="00FA0669">
        <w:rPr>
          <w:lang w:eastAsia="ja-JP"/>
        </w:rPr>
        <w:t>excipient</w:t>
      </w:r>
      <w:proofErr w:type="spellEnd"/>
      <w:r w:rsidRPr="00FA0669">
        <w:rPr>
          <w:lang w:eastAsia="ja-JP"/>
        </w:rPr>
        <w:t xml:space="preserve"> components as </w:t>
      </w:r>
      <w:r w:rsidR="000C2D3D">
        <w:rPr>
          <w:lang w:eastAsia="ja-JP"/>
        </w:rPr>
        <w:t>proposed for registration.</w:t>
      </w:r>
    </w:p>
    <w:p w:rsidR="00C22678" w:rsidRDefault="00C22678" w:rsidP="008D0E3B">
      <w:pPr>
        <w:pStyle w:val="Heading2"/>
      </w:pPr>
      <w:bookmarkStart w:id="61" w:name="_Toc375123736"/>
      <w:r>
        <w:t>Clinical efficacy</w:t>
      </w:r>
      <w:bookmarkEnd w:id="61"/>
    </w:p>
    <w:p w:rsidR="001B66A7" w:rsidRDefault="00FA0669" w:rsidP="008D0E3B">
      <w:pPr>
        <w:sectPr w:rsidR="001B66A7" w:rsidSect="008D770F">
          <w:headerReference w:type="even" r:id="rId14"/>
          <w:headerReference w:type="default" r:id="rId15"/>
          <w:footerReference w:type="default" r:id="rId16"/>
          <w:headerReference w:type="first" r:id="rId17"/>
          <w:footerReference w:type="first" r:id="rId18"/>
          <w:pgSz w:w="11906" w:h="16838" w:code="9"/>
          <w:pgMar w:top="1440" w:right="1440" w:bottom="1440" w:left="1440" w:header="907" w:footer="216" w:gutter="0"/>
          <w:cols w:space="708"/>
          <w:docGrid w:linePitch="360"/>
        </w:sectPr>
      </w:pPr>
      <w:r w:rsidRPr="000C2D3D">
        <w:t>This section will be divided into three parts: Phase III efficacy studies in adolescents/adults</w:t>
      </w:r>
      <w:r w:rsidR="006D2705">
        <w:t xml:space="preserve"> (Table 3)</w:t>
      </w:r>
      <w:r w:rsidRPr="000C2D3D">
        <w:t>; Phase III efficacy studies in children</w:t>
      </w:r>
      <w:r w:rsidR="006D2705">
        <w:t xml:space="preserve"> (Table 4)</w:t>
      </w:r>
      <w:r w:rsidRPr="000C2D3D">
        <w:t>; Phase III studies in toddlers</w:t>
      </w:r>
      <w:r w:rsidR="006D2705">
        <w:t xml:space="preserve"> (Table 5)</w:t>
      </w:r>
      <w:r w:rsidRPr="000C2D3D">
        <w:t xml:space="preserve">. </w:t>
      </w:r>
      <w:r w:rsidR="000C2D3D">
        <w:t>S</w:t>
      </w:r>
      <w:r w:rsidRPr="000C2D3D">
        <w:t xml:space="preserve">ummarised below </w:t>
      </w:r>
      <w:r w:rsidR="006D2705">
        <w:t xml:space="preserve">Tables 3, 4 and 5 </w:t>
      </w:r>
      <w:r w:rsidRPr="000C2D3D">
        <w:t>are the key points derived from these pivotal studies.</w:t>
      </w:r>
      <w:bookmarkStart w:id="62" w:name="_Ref271037274"/>
      <w:bookmarkStart w:id="63" w:name="_Toc272414652"/>
      <w:bookmarkStart w:id="64" w:name="_Toc290846274"/>
    </w:p>
    <w:p w:rsidR="001B66A7" w:rsidRDefault="00274A82" w:rsidP="008D0E3B">
      <w:pPr>
        <w:pStyle w:val="TableTitle"/>
      </w:pPr>
      <w:r>
        <w:lastRenderedPageBreak/>
        <w:t xml:space="preserve">Table 3. </w:t>
      </w:r>
      <w:r w:rsidR="001B66A7" w:rsidRPr="001B66A7">
        <w:t xml:space="preserve">Phase III studies </w:t>
      </w:r>
      <w:r w:rsidR="008D0E3B">
        <w:t>in adolescent/adult vaccination</w:t>
      </w:r>
    </w:p>
    <w:p w:rsidR="00274A82" w:rsidRDefault="00274A82" w:rsidP="008D0E3B">
      <w:r w:rsidRPr="00274A82">
        <w:rPr>
          <w:noProof/>
          <w:lang w:eastAsia="en-AU"/>
        </w:rPr>
        <w:drawing>
          <wp:inline distT="0" distB="0" distL="0" distR="0">
            <wp:extent cx="8743950" cy="5291342"/>
            <wp:effectExtent l="19050" t="0" r="0" b="0"/>
            <wp:docPr id="66" name="Picture 1" descr="Table 3. Phase III studies in adolescent/adult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747566" cy="5293530"/>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 xml:space="preserve">Table 3 continued. Phase III studies </w:t>
      </w:r>
      <w:r w:rsidR="008D0E3B">
        <w:t>in adolescent/adult vaccination</w:t>
      </w:r>
    </w:p>
    <w:p w:rsidR="00274A82" w:rsidRPr="00274A82" w:rsidRDefault="00274A82" w:rsidP="00274A82">
      <w:r w:rsidRPr="00274A82">
        <w:rPr>
          <w:noProof/>
          <w:lang w:eastAsia="en-AU"/>
        </w:rPr>
        <w:drawing>
          <wp:inline distT="0" distB="0" distL="0" distR="0">
            <wp:extent cx="8963025" cy="2833737"/>
            <wp:effectExtent l="19050" t="0" r="0" b="0"/>
            <wp:docPr id="67" name="Picture 4" descr="Table 3 continued. Phase III studies in adolescent/adult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8962398" cy="2833539"/>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 xml:space="preserve">Table 3 continued. Phase III studies </w:t>
      </w:r>
      <w:r w:rsidR="008D0E3B">
        <w:t>in adolescent/adult vaccination</w:t>
      </w:r>
    </w:p>
    <w:p w:rsidR="00274A82" w:rsidRDefault="00274A82" w:rsidP="008D0E3B">
      <w:r w:rsidRPr="00274A82">
        <w:rPr>
          <w:noProof/>
          <w:lang w:eastAsia="en-AU"/>
        </w:rPr>
        <w:drawing>
          <wp:inline distT="0" distB="0" distL="0" distR="0">
            <wp:extent cx="8848725" cy="5349788"/>
            <wp:effectExtent l="19050" t="0" r="0" b="0"/>
            <wp:docPr id="68" name="Picture 7" descr="Table 3 continued. Phase III studies in adolescent/adult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8860291" cy="5356781"/>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Table 3 continued. Phase III studies in adolescent</w:t>
      </w:r>
      <w:r w:rsidR="008D0E3B">
        <w:t>/adult vaccination</w:t>
      </w:r>
    </w:p>
    <w:p w:rsidR="00274A82" w:rsidRPr="00274A82" w:rsidRDefault="00274A82" w:rsidP="008D0E3B">
      <w:r w:rsidRPr="00274A82">
        <w:rPr>
          <w:noProof/>
          <w:lang w:eastAsia="en-AU"/>
        </w:rPr>
        <w:drawing>
          <wp:inline distT="0" distB="0" distL="0" distR="0">
            <wp:extent cx="8896350" cy="1459822"/>
            <wp:effectExtent l="19050" t="0" r="0" b="0"/>
            <wp:docPr id="69" name="Picture 10" descr="Table 3 continued. Phase III studies in adolescent/adult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8916701" cy="1463161"/>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 xml:space="preserve">Table 3 continued. Phase III studies </w:t>
      </w:r>
      <w:r w:rsidR="008D0E3B">
        <w:t>in adolescent/adult vaccination</w:t>
      </w:r>
    </w:p>
    <w:p w:rsidR="001B66A7" w:rsidRPr="001B66A7" w:rsidRDefault="001B66A7" w:rsidP="008D0E3B">
      <w:r w:rsidRPr="001B66A7">
        <w:rPr>
          <w:noProof/>
          <w:lang w:eastAsia="en-AU"/>
        </w:rPr>
        <w:drawing>
          <wp:inline distT="0" distB="0" distL="0" distR="0">
            <wp:extent cx="8739701" cy="5271826"/>
            <wp:effectExtent l="19050" t="0" r="4249" b="0"/>
            <wp:docPr id="42" name="Picture 13" descr="Table 3 continued. Phase III studies in adolescent/adult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8741068" cy="5272651"/>
                    </a:xfrm>
                    <a:prstGeom prst="rect">
                      <a:avLst/>
                    </a:prstGeom>
                    <a:noFill/>
                    <a:ln w="9525">
                      <a:noFill/>
                      <a:miter lim="800000"/>
                      <a:headEnd/>
                      <a:tailEnd/>
                    </a:ln>
                  </pic:spPr>
                </pic:pic>
              </a:graphicData>
            </a:graphic>
          </wp:inline>
        </w:drawing>
      </w:r>
    </w:p>
    <w:p w:rsidR="00274A82" w:rsidRPr="00E572D4" w:rsidRDefault="00274A82" w:rsidP="008D0E3B">
      <w:pPr>
        <w:pStyle w:val="TableTitle"/>
      </w:pPr>
      <w:r w:rsidRPr="00E572D4">
        <w:lastRenderedPageBreak/>
        <w:t xml:space="preserve">Table 3 continued. Phase III studies </w:t>
      </w:r>
      <w:r w:rsidR="008D0E3B">
        <w:t>in adolescent/adult vaccination</w:t>
      </w:r>
    </w:p>
    <w:p w:rsidR="001B66A7" w:rsidRPr="001B66A7" w:rsidRDefault="001B66A7" w:rsidP="001B66A7">
      <w:r w:rsidRPr="001B66A7">
        <w:rPr>
          <w:noProof/>
          <w:lang w:eastAsia="en-AU"/>
        </w:rPr>
        <w:drawing>
          <wp:inline distT="0" distB="0" distL="0" distR="0">
            <wp:extent cx="8999050" cy="3495423"/>
            <wp:effectExtent l="19050" t="0" r="0" b="0"/>
            <wp:docPr id="44" name="Picture 16" descr="Table 3 continued. Phase III studies in adolescent/adult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8999050" cy="3495423"/>
                    </a:xfrm>
                    <a:prstGeom prst="rect">
                      <a:avLst/>
                    </a:prstGeom>
                    <a:noFill/>
                    <a:ln w="9525">
                      <a:noFill/>
                      <a:miter lim="800000"/>
                      <a:headEnd/>
                      <a:tailEnd/>
                    </a:ln>
                  </pic:spPr>
                </pic:pic>
              </a:graphicData>
            </a:graphic>
          </wp:inline>
        </w:drawing>
      </w:r>
    </w:p>
    <w:p w:rsidR="001B66A7" w:rsidRPr="001B66A7" w:rsidRDefault="00274A82" w:rsidP="008D0E3B">
      <w:pPr>
        <w:pStyle w:val="TableTitle"/>
      </w:pPr>
      <w:r w:rsidRPr="00274A82">
        <w:lastRenderedPageBreak/>
        <w:t>Table 3 continued. Phase III studies in adolescent/adult vaccination</w:t>
      </w:r>
    </w:p>
    <w:p w:rsidR="001B66A7" w:rsidRPr="001B66A7" w:rsidRDefault="001B66A7" w:rsidP="001B66A7">
      <w:r w:rsidRPr="001B66A7">
        <w:rPr>
          <w:noProof/>
          <w:lang w:eastAsia="en-AU"/>
        </w:rPr>
        <w:drawing>
          <wp:inline distT="0" distB="0" distL="0" distR="0">
            <wp:extent cx="9087768" cy="4961999"/>
            <wp:effectExtent l="19050" t="0" r="0" b="0"/>
            <wp:docPr id="45" name="Picture 19" descr="Table 3 continued. Phase III studies in adolescent/adult vacci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9087768" cy="4961999"/>
                    </a:xfrm>
                    <a:prstGeom prst="rect">
                      <a:avLst/>
                    </a:prstGeom>
                    <a:noFill/>
                    <a:ln w="9525">
                      <a:noFill/>
                      <a:miter lim="800000"/>
                      <a:headEnd/>
                      <a:tailEnd/>
                    </a:ln>
                  </pic:spPr>
                </pic:pic>
              </a:graphicData>
            </a:graphic>
          </wp:inline>
        </w:drawing>
      </w:r>
    </w:p>
    <w:p w:rsidR="001B66A7" w:rsidRPr="001B66A7" w:rsidRDefault="00C93552" w:rsidP="008D0E3B">
      <w:pPr>
        <w:pStyle w:val="TableTitle"/>
      </w:pPr>
      <w:r>
        <w:lastRenderedPageBreak/>
        <w:t xml:space="preserve">Table 4. </w:t>
      </w:r>
      <w:r w:rsidR="001B66A7" w:rsidRPr="001B66A7">
        <w:t>Phase I</w:t>
      </w:r>
      <w:r w:rsidR="008D0E3B">
        <w:t>II efficacy studies in children</w:t>
      </w:r>
    </w:p>
    <w:p w:rsidR="001B66A7" w:rsidRPr="001B66A7" w:rsidRDefault="001B66A7" w:rsidP="008D0E3B">
      <w:r w:rsidRPr="001B66A7">
        <w:rPr>
          <w:noProof/>
          <w:lang w:eastAsia="en-AU"/>
        </w:rPr>
        <w:drawing>
          <wp:inline distT="0" distB="0" distL="0" distR="0">
            <wp:extent cx="8734425" cy="5231086"/>
            <wp:effectExtent l="19050" t="0" r="9525" b="0"/>
            <wp:docPr id="47" name="Picture 22" descr="Table 4. Phase III efficacy studies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8734425" cy="5231086"/>
                    </a:xfrm>
                    <a:prstGeom prst="rect">
                      <a:avLst/>
                    </a:prstGeom>
                    <a:noFill/>
                    <a:ln w="9525">
                      <a:noFill/>
                      <a:miter lim="800000"/>
                      <a:headEnd/>
                      <a:tailEnd/>
                    </a:ln>
                  </pic:spPr>
                </pic:pic>
              </a:graphicData>
            </a:graphic>
          </wp:inline>
        </w:drawing>
      </w:r>
    </w:p>
    <w:p w:rsidR="001B66A7" w:rsidRPr="001B66A7" w:rsidRDefault="00C93552" w:rsidP="008D0E3B">
      <w:pPr>
        <w:pStyle w:val="TableTitle"/>
      </w:pPr>
      <w:r w:rsidRPr="00C93552">
        <w:lastRenderedPageBreak/>
        <w:t>Table 4</w:t>
      </w:r>
      <w:r w:rsidR="00E572D4">
        <w:t xml:space="preserve"> continued</w:t>
      </w:r>
      <w:r w:rsidRPr="00C93552">
        <w:t>. Phase I</w:t>
      </w:r>
      <w:r w:rsidR="008D0E3B">
        <w:t>II efficacy studies in children</w:t>
      </w:r>
    </w:p>
    <w:p w:rsidR="001B66A7" w:rsidRPr="001B66A7" w:rsidRDefault="001B66A7" w:rsidP="001B66A7">
      <w:r w:rsidRPr="001B66A7">
        <w:rPr>
          <w:noProof/>
          <w:lang w:eastAsia="en-AU"/>
        </w:rPr>
        <w:drawing>
          <wp:inline distT="0" distB="0" distL="0" distR="0">
            <wp:extent cx="8943975" cy="3157016"/>
            <wp:effectExtent l="19050" t="0" r="0" b="0"/>
            <wp:docPr id="48" name="Picture 25" descr="Table 4 continued. Phase III efficacy studies in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8947003" cy="3158085"/>
                    </a:xfrm>
                    <a:prstGeom prst="rect">
                      <a:avLst/>
                    </a:prstGeom>
                    <a:noFill/>
                    <a:ln w="9525">
                      <a:noFill/>
                      <a:miter lim="800000"/>
                      <a:headEnd/>
                      <a:tailEnd/>
                    </a:ln>
                  </pic:spPr>
                </pic:pic>
              </a:graphicData>
            </a:graphic>
          </wp:inline>
        </w:drawing>
      </w:r>
    </w:p>
    <w:p w:rsidR="008D0E3B" w:rsidRDefault="00C93552" w:rsidP="008D0E3B">
      <w:pPr>
        <w:pStyle w:val="TableTitle"/>
      </w:pPr>
      <w:r w:rsidRPr="00C93552">
        <w:lastRenderedPageBreak/>
        <w:t>Table 4</w:t>
      </w:r>
      <w:r w:rsidR="00E572D4">
        <w:t xml:space="preserve"> continued</w:t>
      </w:r>
      <w:r w:rsidRPr="00C93552">
        <w:t>. Phase I</w:t>
      </w:r>
      <w:r w:rsidR="008D0E3B">
        <w:t>II efficacy studies in children</w:t>
      </w:r>
    </w:p>
    <w:p w:rsidR="001B66A7" w:rsidRDefault="001B66A7" w:rsidP="008D0E3B">
      <w:r w:rsidRPr="001B66A7">
        <w:rPr>
          <w:noProof/>
          <w:lang w:eastAsia="en-AU"/>
        </w:rPr>
        <w:drawing>
          <wp:inline distT="0" distB="0" distL="0" distR="0">
            <wp:extent cx="8943975" cy="5355512"/>
            <wp:effectExtent l="19050" t="0" r="9525" b="0"/>
            <wp:docPr id="50" name="Picture 28" descr="Table 4 continued. Phase III efficacy studies in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8946769" cy="5357185"/>
                    </a:xfrm>
                    <a:prstGeom prst="rect">
                      <a:avLst/>
                    </a:prstGeom>
                    <a:noFill/>
                    <a:ln w="9525">
                      <a:noFill/>
                      <a:miter lim="800000"/>
                      <a:headEnd/>
                      <a:tailEnd/>
                    </a:ln>
                  </pic:spPr>
                </pic:pic>
              </a:graphicData>
            </a:graphic>
          </wp:inline>
        </w:drawing>
      </w:r>
    </w:p>
    <w:p w:rsidR="00C93552" w:rsidRPr="001B66A7" w:rsidRDefault="00C93552" w:rsidP="008D0E3B">
      <w:pPr>
        <w:pStyle w:val="TableTitle"/>
      </w:pPr>
      <w:r w:rsidRPr="00C93552">
        <w:lastRenderedPageBreak/>
        <w:t>Table 4</w:t>
      </w:r>
      <w:r w:rsidR="00E572D4">
        <w:t xml:space="preserve"> continued</w:t>
      </w:r>
      <w:r w:rsidRPr="00C93552">
        <w:t>. Phase I</w:t>
      </w:r>
      <w:r w:rsidR="008D0E3B">
        <w:t>II efficacy studies in children</w:t>
      </w:r>
    </w:p>
    <w:p w:rsidR="001B66A7" w:rsidRPr="001B66A7" w:rsidRDefault="001B66A7" w:rsidP="001B66A7">
      <w:r w:rsidRPr="001B66A7">
        <w:rPr>
          <w:noProof/>
          <w:lang w:eastAsia="en-AU"/>
        </w:rPr>
        <w:drawing>
          <wp:inline distT="0" distB="0" distL="0" distR="0">
            <wp:extent cx="8886825" cy="2755909"/>
            <wp:effectExtent l="19050" t="0" r="9525" b="0"/>
            <wp:docPr id="51" name="Picture 31" descr="Table 4 continued. Phase III efficacy studies in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8886825" cy="2755909"/>
                    </a:xfrm>
                    <a:prstGeom prst="rect">
                      <a:avLst/>
                    </a:prstGeom>
                    <a:noFill/>
                    <a:ln w="9525">
                      <a:noFill/>
                      <a:miter lim="800000"/>
                      <a:headEnd/>
                      <a:tailEnd/>
                    </a:ln>
                  </pic:spPr>
                </pic:pic>
              </a:graphicData>
            </a:graphic>
          </wp:inline>
        </w:drawing>
      </w:r>
    </w:p>
    <w:p w:rsidR="001B66A7" w:rsidRPr="001B66A7" w:rsidRDefault="00C93552" w:rsidP="008D0E3B">
      <w:pPr>
        <w:pStyle w:val="TableTitle"/>
      </w:pPr>
      <w:r>
        <w:lastRenderedPageBreak/>
        <w:t xml:space="preserve">Table 5. </w:t>
      </w:r>
      <w:r w:rsidR="001B66A7" w:rsidRPr="001B66A7">
        <w:t>Phase III efficacy</w:t>
      </w:r>
      <w:r w:rsidR="008D0E3B">
        <w:t xml:space="preserve"> studies in Toddlers</w:t>
      </w:r>
    </w:p>
    <w:p w:rsidR="001B66A7" w:rsidRPr="001B66A7" w:rsidRDefault="001B66A7" w:rsidP="001B66A7">
      <w:r w:rsidRPr="001B66A7">
        <w:rPr>
          <w:noProof/>
          <w:lang w:eastAsia="en-AU"/>
        </w:rPr>
        <w:drawing>
          <wp:inline distT="0" distB="0" distL="0" distR="0">
            <wp:extent cx="8919210" cy="4533900"/>
            <wp:effectExtent l="19050" t="0" r="0" b="0"/>
            <wp:docPr id="53" name="Picture 34" descr="Table 5.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t="833"/>
                    <a:stretch>
                      <a:fillRect/>
                    </a:stretch>
                  </pic:blipFill>
                  <pic:spPr bwMode="auto">
                    <a:xfrm>
                      <a:off x="0" y="0"/>
                      <a:ext cx="8919210" cy="4533900"/>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Table 5</w:t>
      </w:r>
      <w:r w:rsidR="00E572D4">
        <w:t xml:space="preserve"> continued</w:t>
      </w:r>
      <w:r w:rsidRPr="00C93552">
        <w:t>. Phase I</w:t>
      </w:r>
      <w:r w:rsidR="008D0E3B">
        <w:t>II efficacy studies in Toddlers</w:t>
      </w:r>
    </w:p>
    <w:p w:rsidR="001B66A7" w:rsidRPr="001B66A7" w:rsidRDefault="001B66A7" w:rsidP="008D0E3B">
      <w:r w:rsidRPr="001B66A7">
        <w:rPr>
          <w:noProof/>
          <w:lang w:eastAsia="en-AU"/>
        </w:rPr>
        <w:drawing>
          <wp:inline distT="0" distB="0" distL="0" distR="0">
            <wp:extent cx="8745413" cy="5301542"/>
            <wp:effectExtent l="19050" t="0" r="0" b="0"/>
            <wp:docPr id="54" name="Picture 37" descr="Table 5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8750997" cy="5304927"/>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Table 5</w:t>
      </w:r>
      <w:r w:rsidR="00E572D4">
        <w:t xml:space="preserve"> continued</w:t>
      </w:r>
      <w:r w:rsidRPr="00C93552">
        <w:t>. Phase III efficacy studies in Toddlers</w:t>
      </w:r>
    </w:p>
    <w:p w:rsidR="001B66A7" w:rsidRPr="001B66A7" w:rsidRDefault="001B66A7" w:rsidP="001B66A7">
      <w:r w:rsidRPr="001B66A7">
        <w:rPr>
          <w:noProof/>
          <w:lang w:eastAsia="en-AU"/>
        </w:rPr>
        <w:drawing>
          <wp:inline distT="0" distB="0" distL="0" distR="0">
            <wp:extent cx="9029700" cy="1612250"/>
            <wp:effectExtent l="19050" t="0" r="0" b="0"/>
            <wp:docPr id="56" name="Picture 40" descr="Table 5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srcRect/>
                    <a:stretch>
                      <a:fillRect/>
                    </a:stretch>
                  </pic:blipFill>
                  <pic:spPr bwMode="auto">
                    <a:xfrm>
                      <a:off x="0" y="0"/>
                      <a:ext cx="9029700" cy="1612250"/>
                    </a:xfrm>
                    <a:prstGeom prst="rect">
                      <a:avLst/>
                    </a:prstGeom>
                    <a:noFill/>
                    <a:ln w="9525">
                      <a:noFill/>
                      <a:miter lim="800000"/>
                      <a:headEnd/>
                      <a:tailEnd/>
                    </a:ln>
                  </pic:spPr>
                </pic:pic>
              </a:graphicData>
            </a:graphic>
          </wp:inline>
        </w:drawing>
      </w:r>
    </w:p>
    <w:p w:rsidR="001B66A7" w:rsidRPr="001B66A7" w:rsidRDefault="00C93552" w:rsidP="008D0E3B">
      <w:pPr>
        <w:pStyle w:val="TableTitle"/>
      </w:pPr>
      <w:r>
        <w:lastRenderedPageBreak/>
        <w:t xml:space="preserve">Table 5 continued. </w:t>
      </w:r>
      <w:r w:rsidR="001B66A7" w:rsidRPr="001B66A7">
        <w:t>Phase I</w:t>
      </w:r>
      <w:r w:rsidR="008D0E3B">
        <w:t>II efficacy studies in Toddlers</w:t>
      </w:r>
    </w:p>
    <w:p w:rsidR="001B66A7" w:rsidRDefault="001B66A7" w:rsidP="001B66A7">
      <w:r w:rsidRPr="001B66A7">
        <w:rPr>
          <w:noProof/>
          <w:lang w:eastAsia="en-AU"/>
        </w:rPr>
        <w:drawing>
          <wp:inline distT="0" distB="0" distL="0" distR="0">
            <wp:extent cx="8995845" cy="4391025"/>
            <wp:effectExtent l="19050" t="0" r="0" b="0"/>
            <wp:docPr id="57" name="Picture 43" descr="Table 5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a:stretch>
                      <a:fillRect/>
                    </a:stretch>
                  </pic:blipFill>
                  <pic:spPr bwMode="auto">
                    <a:xfrm>
                      <a:off x="0" y="0"/>
                      <a:ext cx="8996112" cy="4391155"/>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Table 5</w:t>
      </w:r>
      <w:r>
        <w:t xml:space="preserve"> continued</w:t>
      </w:r>
      <w:r w:rsidRPr="00C93552">
        <w:t>. Phase III efficacy studi</w:t>
      </w:r>
      <w:r w:rsidR="008D0E3B">
        <w:t>es in Toddlers</w:t>
      </w:r>
    </w:p>
    <w:p w:rsidR="001B66A7" w:rsidRPr="001B66A7" w:rsidRDefault="001B66A7" w:rsidP="008D0E3B">
      <w:r w:rsidRPr="001B66A7">
        <w:rPr>
          <w:noProof/>
          <w:lang w:eastAsia="en-AU"/>
        </w:rPr>
        <w:drawing>
          <wp:inline distT="0" distB="0" distL="0" distR="0">
            <wp:extent cx="8905875" cy="5243848"/>
            <wp:effectExtent l="19050" t="0" r="9525" b="0"/>
            <wp:docPr id="58" name="Picture 46" descr="Table 5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8906392" cy="5244152"/>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Table 5 continued. Phase III efficacy studies in Toddlers</w:t>
      </w:r>
    </w:p>
    <w:p w:rsidR="001B66A7" w:rsidRPr="001B66A7" w:rsidRDefault="001B66A7" w:rsidP="008D0E3B">
      <w:r w:rsidRPr="001B66A7">
        <w:rPr>
          <w:noProof/>
          <w:lang w:eastAsia="en-AU"/>
        </w:rPr>
        <w:drawing>
          <wp:inline distT="0" distB="0" distL="0" distR="0">
            <wp:extent cx="8934450" cy="2608599"/>
            <wp:effectExtent l="19050" t="0" r="0" b="0"/>
            <wp:docPr id="59" name="Picture 49" descr="Table 5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a:stretch>
                      <a:fillRect/>
                    </a:stretch>
                  </pic:blipFill>
                  <pic:spPr bwMode="auto">
                    <a:xfrm>
                      <a:off x="0" y="0"/>
                      <a:ext cx="8938313" cy="2609727"/>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Table 5 continued. Phase I</w:t>
      </w:r>
      <w:r w:rsidR="008D0E3B">
        <w:t>II efficacy studies in Toddlers</w:t>
      </w:r>
    </w:p>
    <w:p w:rsidR="00A746CA" w:rsidRDefault="001B66A7" w:rsidP="008D0E3B">
      <w:pPr>
        <w:rPr>
          <w:b/>
        </w:rPr>
      </w:pPr>
      <w:r w:rsidRPr="001B66A7">
        <w:rPr>
          <w:noProof/>
          <w:lang w:eastAsia="en-AU"/>
        </w:rPr>
        <w:drawing>
          <wp:inline distT="0" distB="0" distL="0" distR="0">
            <wp:extent cx="8832406" cy="5343525"/>
            <wp:effectExtent l="19050" t="0" r="6794" b="0"/>
            <wp:docPr id="60" name="Picture 52" descr="Table 5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a:stretch>
                      <a:fillRect/>
                    </a:stretch>
                  </pic:blipFill>
                  <pic:spPr bwMode="auto">
                    <a:xfrm>
                      <a:off x="0" y="0"/>
                      <a:ext cx="8839725" cy="5347953"/>
                    </a:xfrm>
                    <a:prstGeom prst="rect">
                      <a:avLst/>
                    </a:prstGeom>
                    <a:noFill/>
                    <a:ln w="9525">
                      <a:noFill/>
                      <a:miter lim="800000"/>
                      <a:headEnd/>
                      <a:tailEnd/>
                    </a:ln>
                  </pic:spPr>
                </pic:pic>
              </a:graphicData>
            </a:graphic>
          </wp:inline>
        </w:drawing>
      </w:r>
    </w:p>
    <w:p w:rsidR="00C93552" w:rsidRPr="00C93552" w:rsidRDefault="00C93552" w:rsidP="008D0E3B">
      <w:pPr>
        <w:pStyle w:val="TableTitle"/>
      </w:pPr>
      <w:r w:rsidRPr="00C93552">
        <w:lastRenderedPageBreak/>
        <w:t>Table 5 continued. Phase III efficacy studies in Toddlers</w:t>
      </w:r>
    </w:p>
    <w:p w:rsidR="001B66A7" w:rsidRDefault="001B66A7" w:rsidP="000C2D3D">
      <w:r w:rsidRPr="001B66A7">
        <w:rPr>
          <w:noProof/>
          <w:lang w:eastAsia="en-AU"/>
        </w:rPr>
        <w:drawing>
          <wp:inline distT="0" distB="0" distL="0" distR="0">
            <wp:extent cx="8847972" cy="4600517"/>
            <wp:effectExtent l="19050" t="0" r="0" b="0"/>
            <wp:docPr id="61" name="Picture 55" descr="Table 5 continued. Phase III efficacy studies in Todd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srcRect/>
                    <a:stretch>
                      <a:fillRect/>
                    </a:stretch>
                  </pic:blipFill>
                  <pic:spPr bwMode="auto">
                    <a:xfrm>
                      <a:off x="0" y="0"/>
                      <a:ext cx="8853628" cy="4603458"/>
                    </a:xfrm>
                    <a:prstGeom prst="rect">
                      <a:avLst/>
                    </a:prstGeom>
                    <a:noFill/>
                    <a:ln w="9525">
                      <a:noFill/>
                      <a:miter lim="800000"/>
                      <a:headEnd/>
                      <a:tailEnd/>
                    </a:ln>
                  </pic:spPr>
                </pic:pic>
              </a:graphicData>
            </a:graphic>
          </wp:inline>
        </w:drawing>
      </w:r>
    </w:p>
    <w:p w:rsidR="008D0E3B" w:rsidRDefault="008D0E3B" w:rsidP="000C2D3D">
      <w:pPr>
        <w:sectPr w:rsidR="008D0E3B" w:rsidSect="001B66A7">
          <w:footerReference w:type="default" r:id="rId38"/>
          <w:pgSz w:w="16838" w:h="11906" w:orient="landscape" w:code="9"/>
          <w:pgMar w:top="1440" w:right="1440" w:bottom="1440" w:left="1440" w:header="907" w:footer="216" w:gutter="0"/>
          <w:cols w:space="708"/>
          <w:docGrid w:linePitch="360"/>
        </w:sectPr>
      </w:pPr>
    </w:p>
    <w:p w:rsidR="00FA0669" w:rsidRPr="000C2D3D" w:rsidRDefault="00FA0669" w:rsidP="00A876F4">
      <w:pPr>
        <w:pStyle w:val="Heading3"/>
      </w:pPr>
      <w:bookmarkStart w:id="65" w:name="_Toc343641680"/>
      <w:bookmarkStart w:id="66" w:name="_Toc375123737"/>
      <w:r w:rsidRPr="000C2D3D">
        <w:lastRenderedPageBreak/>
        <w:t>Pivotal efficacy studies</w:t>
      </w:r>
      <w:bookmarkEnd w:id="62"/>
      <w:bookmarkEnd w:id="63"/>
      <w:bookmarkEnd w:id="64"/>
      <w:bookmarkEnd w:id="65"/>
      <w:bookmarkEnd w:id="66"/>
    </w:p>
    <w:p w:rsidR="00FA0669" w:rsidRPr="000C2D3D" w:rsidRDefault="00FA0669" w:rsidP="00A876F4">
      <w:pPr>
        <w:pStyle w:val="Heading4"/>
      </w:pPr>
      <w:r w:rsidRPr="000C2D3D">
        <w:t xml:space="preserve">Non-inferiority compared to a licensed tetravalent meningococcal plain PS vaccine in subjects &gt;2 </w:t>
      </w:r>
      <w:r w:rsidR="00396F90">
        <w:t>years</w:t>
      </w:r>
      <w:r w:rsidRPr="000C2D3D">
        <w:t xml:space="preserve"> of age </w:t>
      </w:r>
    </w:p>
    <w:p w:rsidR="00FE6D3A" w:rsidRDefault="00FA0669" w:rsidP="00A876F4">
      <w:r w:rsidRPr="000C2D3D">
        <w:t xml:space="preserve">Immunological non-inferiority of </w:t>
      </w:r>
      <w:proofErr w:type="spellStart"/>
      <w:r w:rsidRPr="000C2D3D">
        <w:t>MenACWY</w:t>
      </w:r>
      <w:proofErr w:type="spellEnd"/>
      <w:r w:rsidRPr="000C2D3D">
        <w:t xml:space="preserve">-TT vs. </w:t>
      </w:r>
      <w:proofErr w:type="spellStart"/>
      <w:r w:rsidRPr="000C2D3D">
        <w:t>Mencevax</w:t>
      </w:r>
      <w:proofErr w:type="spellEnd"/>
      <w:r w:rsidRPr="000C2D3D">
        <w:t xml:space="preserve">, in terms of </w:t>
      </w:r>
      <w:proofErr w:type="spellStart"/>
      <w:r w:rsidRPr="000C2D3D">
        <w:t>serogroups</w:t>
      </w:r>
      <w:proofErr w:type="spellEnd"/>
      <w:r w:rsidRPr="000C2D3D">
        <w:t xml:space="preserve"> A, C, W-135 and Y vaccine response was a primary objective in MenACWY-TT-038 (subjects 2 to 10 </w:t>
      </w:r>
      <w:r w:rsidR="00396F90">
        <w:t>years</w:t>
      </w:r>
      <w:r w:rsidRPr="000C2D3D">
        <w:t xml:space="preserve"> of age), MenACWY-TT-036 (subjects 11-17 </w:t>
      </w:r>
      <w:r w:rsidR="00396F90">
        <w:t>years</w:t>
      </w:r>
      <w:r w:rsidRPr="000C2D3D">
        <w:t xml:space="preserve"> of age), </w:t>
      </w:r>
      <w:proofErr w:type="spellStart"/>
      <w:r w:rsidRPr="000C2D3D">
        <w:t>MenACWY</w:t>
      </w:r>
      <w:proofErr w:type="spellEnd"/>
      <w:r w:rsidRPr="000C2D3D">
        <w:t>-TT- 035 (subjects 1</w:t>
      </w:r>
      <w:r w:rsidR="00933659">
        <w:t>8</w:t>
      </w:r>
      <w:r w:rsidRPr="000C2D3D">
        <w:t xml:space="preserve">-55 </w:t>
      </w:r>
      <w:r w:rsidR="00396F90">
        <w:t>years</w:t>
      </w:r>
      <w:r w:rsidRPr="000C2D3D">
        <w:t xml:space="preserve"> of age) and MenACWY-TT-093 (in subjects 18-25 </w:t>
      </w:r>
      <w:r w:rsidR="00396F90">
        <w:t>years</w:t>
      </w:r>
      <w:r w:rsidRPr="000C2D3D">
        <w:t xml:space="preserve"> of age). </w:t>
      </w:r>
    </w:p>
    <w:p w:rsidR="00FE6D3A" w:rsidRDefault="00FA0669" w:rsidP="00A876F4">
      <w:r w:rsidRPr="000C2D3D">
        <w:t xml:space="preserve">In all studies, the LL of the 95% CIs around the difference between groups in terms of percentage of subjects with </w:t>
      </w:r>
      <w:proofErr w:type="spellStart"/>
      <w:r w:rsidRPr="000C2D3D">
        <w:t>rSBA</w:t>
      </w:r>
      <w:proofErr w:type="spellEnd"/>
      <w:r w:rsidRPr="000C2D3D">
        <w:t xml:space="preserve"> vaccine response was above the pre-defined limit for non-inferiority of -10% for the four </w:t>
      </w:r>
      <w:proofErr w:type="spellStart"/>
      <w:r w:rsidRPr="000C2D3D">
        <w:t>serogroups</w:t>
      </w:r>
      <w:proofErr w:type="spellEnd"/>
      <w:r w:rsidRPr="000C2D3D">
        <w:t xml:space="preserve">. In addition, study MenACWY-TT-093 included a powered secondary objective in terms of comparability of </w:t>
      </w:r>
      <w:proofErr w:type="spellStart"/>
      <w:r w:rsidRPr="000C2D3D">
        <w:t>MenACWY</w:t>
      </w:r>
      <w:proofErr w:type="spellEnd"/>
      <w:r w:rsidRPr="000C2D3D">
        <w:t xml:space="preserve">-TT Lot A and </w:t>
      </w:r>
      <w:proofErr w:type="spellStart"/>
      <w:r w:rsidRPr="000C2D3D">
        <w:t>Mencevax</w:t>
      </w:r>
      <w:proofErr w:type="spellEnd"/>
      <w:r w:rsidRPr="000C2D3D">
        <w:t xml:space="preserve"> in terms of GMTs ratios for all 4 Men </w:t>
      </w:r>
      <w:proofErr w:type="spellStart"/>
      <w:r w:rsidRPr="000C2D3D">
        <w:t>sero</w:t>
      </w:r>
      <w:r w:rsidR="00B7059A">
        <w:t>group</w:t>
      </w:r>
      <w:r w:rsidRPr="000C2D3D">
        <w:t>s</w:t>
      </w:r>
      <w:proofErr w:type="spellEnd"/>
      <w:r w:rsidRPr="000C2D3D">
        <w:t xml:space="preserve">. </w:t>
      </w:r>
    </w:p>
    <w:p w:rsidR="00FA0669" w:rsidRPr="000C2D3D" w:rsidRDefault="00FA0669" w:rsidP="00A876F4">
      <w:r w:rsidRPr="000C2D3D">
        <w:t xml:space="preserve">At one month after vaccination, non-inferiority in terms of </w:t>
      </w:r>
      <w:proofErr w:type="spellStart"/>
      <w:r w:rsidRPr="000C2D3D">
        <w:t>rSBA</w:t>
      </w:r>
      <w:proofErr w:type="spellEnd"/>
      <w:r w:rsidRPr="000C2D3D">
        <w:t xml:space="preserve"> GMTs was demonstrated since the upper limit of the 95% CIs on the </w:t>
      </w:r>
      <w:proofErr w:type="spellStart"/>
      <w:r w:rsidRPr="000C2D3D">
        <w:t>rSBA</w:t>
      </w:r>
      <w:proofErr w:type="spellEnd"/>
      <w:r w:rsidRPr="000C2D3D">
        <w:t xml:space="preserve"> GMT ratios (GMTs of </w:t>
      </w:r>
      <w:proofErr w:type="spellStart"/>
      <w:r w:rsidRPr="000C2D3D">
        <w:t>Mencevax</w:t>
      </w:r>
      <w:proofErr w:type="spellEnd"/>
      <w:r w:rsidRPr="000C2D3D">
        <w:t xml:space="preserve"> over the GMTs of </w:t>
      </w:r>
      <w:proofErr w:type="spellStart"/>
      <w:r w:rsidRPr="000C2D3D">
        <w:t>MenACWY</w:t>
      </w:r>
      <w:proofErr w:type="spellEnd"/>
      <w:r w:rsidRPr="000C2D3D">
        <w:t xml:space="preserve">-TT Lot A) was below the limit of two-fold for antibodies against all meningococcal </w:t>
      </w:r>
      <w:proofErr w:type="spellStart"/>
      <w:r w:rsidRPr="000C2D3D">
        <w:t>serogroups</w:t>
      </w:r>
      <w:proofErr w:type="spellEnd"/>
      <w:r w:rsidRPr="000C2D3D">
        <w:t>.</w:t>
      </w:r>
    </w:p>
    <w:p w:rsidR="00FA0669" w:rsidRPr="000C2D3D" w:rsidRDefault="00FA0669" w:rsidP="00A876F4">
      <w:pPr>
        <w:pStyle w:val="Heading4"/>
      </w:pPr>
      <w:r w:rsidRPr="000C2D3D">
        <w:t xml:space="preserve">Immunogenicity of the </w:t>
      </w:r>
      <w:proofErr w:type="spellStart"/>
      <w:r w:rsidRPr="000C2D3D">
        <w:t>MenACWY</w:t>
      </w:r>
      <w:proofErr w:type="spellEnd"/>
      <w:r w:rsidRPr="000C2D3D">
        <w:t xml:space="preserve">-TT vaccine compared to licensed meningococcal vaccines in toddlers 12 to 23 months of age and non-inferiority compared to a licensed </w:t>
      </w:r>
      <w:proofErr w:type="spellStart"/>
      <w:r w:rsidRPr="000C2D3D">
        <w:t>monovalent</w:t>
      </w:r>
      <w:proofErr w:type="spellEnd"/>
      <w:r w:rsidRPr="000C2D3D">
        <w:t xml:space="preserve"> </w:t>
      </w:r>
      <w:proofErr w:type="spellStart"/>
      <w:r w:rsidRPr="000C2D3D">
        <w:t>MenC</w:t>
      </w:r>
      <w:proofErr w:type="spellEnd"/>
      <w:r w:rsidRPr="000C2D3D">
        <w:t xml:space="preserve"> conjugate vaccine in toddlers 12 to 23 months of age</w:t>
      </w:r>
    </w:p>
    <w:p w:rsidR="00FE6D3A" w:rsidRDefault="00FA0669" w:rsidP="00A876F4">
      <w:r w:rsidRPr="000C2D3D">
        <w:t xml:space="preserve">MenACWY-TT-039 demonstrated </w:t>
      </w:r>
      <w:proofErr w:type="spellStart"/>
      <w:r w:rsidRPr="000C2D3D">
        <w:t>noninferiority</w:t>
      </w:r>
      <w:proofErr w:type="spellEnd"/>
      <w:r w:rsidRPr="000C2D3D">
        <w:t xml:space="preserve"> of </w:t>
      </w:r>
      <w:proofErr w:type="spellStart"/>
      <w:r w:rsidRPr="000C2D3D">
        <w:t>MenACWY</w:t>
      </w:r>
      <w:proofErr w:type="spellEnd"/>
      <w:r w:rsidRPr="000C2D3D">
        <w:t xml:space="preserve">-TT vs. </w:t>
      </w:r>
      <w:proofErr w:type="spellStart"/>
      <w:r w:rsidRPr="000C2D3D">
        <w:t>Meningitec</w:t>
      </w:r>
      <w:proofErr w:type="spellEnd"/>
      <w:r w:rsidRPr="000C2D3D">
        <w:t xml:space="preserve">, in terms of </w:t>
      </w:r>
      <w:proofErr w:type="spellStart"/>
      <w:r w:rsidRPr="000C2D3D">
        <w:t>serogroup</w:t>
      </w:r>
      <w:proofErr w:type="spellEnd"/>
      <w:r w:rsidRPr="000C2D3D">
        <w:t xml:space="preserve"> C serum bactericidal antibodies as the difference between groups (</w:t>
      </w:r>
      <w:proofErr w:type="spellStart"/>
      <w:r w:rsidRPr="000C2D3D">
        <w:t>MenACWY</w:t>
      </w:r>
      <w:proofErr w:type="spellEnd"/>
      <w:r w:rsidRPr="000C2D3D">
        <w:t xml:space="preserve">-TT minus </w:t>
      </w:r>
      <w:proofErr w:type="spellStart"/>
      <w:r w:rsidRPr="000C2D3D">
        <w:t>Meningitec</w:t>
      </w:r>
      <w:proofErr w:type="spellEnd"/>
      <w:r w:rsidRPr="000C2D3D">
        <w:t xml:space="preserve">), in terms of percentage of subjects with </w:t>
      </w:r>
      <w:proofErr w:type="spellStart"/>
      <w:r w:rsidRPr="000C2D3D">
        <w:t>rSBA-MenC</w:t>
      </w:r>
      <w:proofErr w:type="spellEnd"/>
      <w:r w:rsidRPr="000C2D3D">
        <w:t xml:space="preserve"> ≥8, forty-two days after the first vaccine dose, and its 95% CI around the difference between groups in terms of percentage of subjects with </w:t>
      </w:r>
      <w:proofErr w:type="spellStart"/>
      <w:r w:rsidRPr="000C2D3D">
        <w:t>rSBA-MenC</w:t>
      </w:r>
      <w:proofErr w:type="spellEnd"/>
      <w:r w:rsidRPr="000C2D3D">
        <w:t xml:space="preserve"> ≥8 was above the pre-defined limit for </w:t>
      </w:r>
      <w:proofErr w:type="spellStart"/>
      <w:r w:rsidRPr="000C2D3D">
        <w:t>noninferiority</w:t>
      </w:r>
      <w:proofErr w:type="spellEnd"/>
      <w:r w:rsidRPr="000C2D3D">
        <w:t xml:space="preserve"> of -10%. </w:t>
      </w:r>
    </w:p>
    <w:p w:rsidR="00FA0669" w:rsidRPr="000C2D3D" w:rsidRDefault="00FA0669" w:rsidP="00A876F4">
      <w:r w:rsidRPr="000C2D3D">
        <w:t xml:space="preserve">The second co-primary objective of this study was to demonstrate immunogenicity of the </w:t>
      </w:r>
      <w:proofErr w:type="spellStart"/>
      <w:r w:rsidRPr="000C2D3D">
        <w:t>MenACWY</w:t>
      </w:r>
      <w:proofErr w:type="spellEnd"/>
      <w:r w:rsidRPr="000C2D3D">
        <w:t xml:space="preserve">-TT for the meningococcal </w:t>
      </w:r>
      <w:proofErr w:type="spellStart"/>
      <w:r w:rsidRPr="000C2D3D">
        <w:t>serogroups</w:t>
      </w:r>
      <w:proofErr w:type="spellEnd"/>
      <w:r w:rsidRPr="000C2D3D">
        <w:t xml:space="preserve"> A, W-135 and Y in terms of serum bactericidal antibodies, as the LL of the exact 95% CI for the percentage of those with rSBA-MenA,-W135 and –Y titre ≥8 was above the pre-defined limit of 90%, immunogenicity of </w:t>
      </w:r>
      <w:proofErr w:type="spellStart"/>
      <w:r w:rsidRPr="000C2D3D">
        <w:t>MenACWY</w:t>
      </w:r>
      <w:proofErr w:type="spellEnd"/>
      <w:r w:rsidRPr="000C2D3D">
        <w:t xml:space="preserve">-TT vaccine with respect to these Men </w:t>
      </w:r>
      <w:proofErr w:type="spellStart"/>
      <w:r w:rsidRPr="000C2D3D">
        <w:t>sero</w:t>
      </w:r>
      <w:r w:rsidR="00B7059A">
        <w:t>group</w:t>
      </w:r>
      <w:r w:rsidRPr="000C2D3D">
        <w:t>s</w:t>
      </w:r>
      <w:proofErr w:type="spellEnd"/>
      <w:r w:rsidRPr="000C2D3D">
        <w:t xml:space="preserve"> was confirmed.</w:t>
      </w:r>
    </w:p>
    <w:p w:rsidR="00FA0669" w:rsidRPr="000C2D3D" w:rsidRDefault="00FA0669" w:rsidP="00A876F4">
      <w:pPr>
        <w:pStyle w:val="Heading4"/>
      </w:pPr>
      <w:r w:rsidRPr="000C2D3D">
        <w:t xml:space="preserve">Non-inferiority compared to a licensed </w:t>
      </w:r>
      <w:proofErr w:type="spellStart"/>
      <w:r w:rsidRPr="000C2D3D">
        <w:t>monovalent</w:t>
      </w:r>
      <w:proofErr w:type="spellEnd"/>
      <w:r w:rsidRPr="000C2D3D">
        <w:t xml:space="preserve"> </w:t>
      </w:r>
      <w:proofErr w:type="spellStart"/>
      <w:r w:rsidRPr="000C2D3D">
        <w:t>MenC</w:t>
      </w:r>
      <w:proofErr w:type="spellEnd"/>
      <w:r w:rsidRPr="000C2D3D">
        <w:t xml:space="preserve"> conjugate vaccine in children 2 to 10 </w:t>
      </w:r>
      <w:r w:rsidR="00396F90">
        <w:t>years</w:t>
      </w:r>
      <w:r w:rsidRPr="000C2D3D">
        <w:t xml:space="preserve"> of age</w:t>
      </w:r>
    </w:p>
    <w:p w:rsidR="00FA0669" w:rsidRPr="000C2D3D" w:rsidRDefault="00FA0669" w:rsidP="00A876F4">
      <w:r w:rsidRPr="000C2D3D">
        <w:t xml:space="preserve">The primary objective of study MenACWY-TT-081 was to demonstrate </w:t>
      </w:r>
      <w:proofErr w:type="spellStart"/>
      <w:r w:rsidRPr="000C2D3D">
        <w:t>noninferiority</w:t>
      </w:r>
      <w:proofErr w:type="spellEnd"/>
      <w:r w:rsidRPr="000C2D3D">
        <w:t xml:space="preserve"> of the </w:t>
      </w:r>
      <w:proofErr w:type="spellStart"/>
      <w:r w:rsidRPr="000C2D3D">
        <w:t>MenACWY</w:t>
      </w:r>
      <w:proofErr w:type="spellEnd"/>
      <w:r w:rsidRPr="000C2D3D">
        <w:t xml:space="preserve">-TT vs. </w:t>
      </w:r>
      <w:proofErr w:type="spellStart"/>
      <w:r w:rsidRPr="000C2D3D">
        <w:t>Menjugate</w:t>
      </w:r>
      <w:proofErr w:type="spellEnd"/>
      <w:r w:rsidRPr="000C2D3D">
        <w:t xml:space="preserve">, in terms of </w:t>
      </w:r>
      <w:proofErr w:type="spellStart"/>
      <w:r w:rsidRPr="000C2D3D">
        <w:t>rSBA-MenC</w:t>
      </w:r>
      <w:proofErr w:type="spellEnd"/>
      <w:r w:rsidRPr="000C2D3D">
        <w:t xml:space="preserve"> vaccine response. As the LL of the 95% CIs around the difference between groups in terms of percentage of subjects with </w:t>
      </w:r>
      <w:proofErr w:type="spellStart"/>
      <w:r w:rsidRPr="000C2D3D">
        <w:t>rSBA-MenC</w:t>
      </w:r>
      <w:proofErr w:type="spellEnd"/>
      <w:r w:rsidRPr="000C2D3D">
        <w:t xml:space="preserve"> vaccine response was above the pre-defined limit for non-inferiority of -10%, the primary objective of the study was met, hence </w:t>
      </w:r>
      <w:proofErr w:type="spellStart"/>
      <w:r w:rsidRPr="000C2D3D">
        <w:t>MenACWY</w:t>
      </w:r>
      <w:proofErr w:type="spellEnd"/>
      <w:r w:rsidRPr="000C2D3D">
        <w:t xml:space="preserve">-TT vaccine immunologically non-inferior compared to </w:t>
      </w:r>
      <w:proofErr w:type="spellStart"/>
      <w:r w:rsidRPr="000C2D3D">
        <w:t>Menjugate</w:t>
      </w:r>
      <w:proofErr w:type="spellEnd"/>
      <w:r w:rsidRPr="000C2D3D">
        <w:t xml:space="preserve"> for the </w:t>
      </w:r>
      <w:proofErr w:type="spellStart"/>
      <w:r w:rsidRPr="000C2D3D">
        <w:t>MenC</w:t>
      </w:r>
      <w:proofErr w:type="spellEnd"/>
      <w:r w:rsidRPr="000C2D3D">
        <w:t xml:space="preserve"> response.</w:t>
      </w:r>
    </w:p>
    <w:p w:rsidR="00FA0669" w:rsidRPr="000C2D3D" w:rsidRDefault="00FA0669" w:rsidP="00A876F4">
      <w:pPr>
        <w:pStyle w:val="Heading4"/>
      </w:pPr>
      <w:r w:rsidRPr="000C2D3D">
        <w:t>Non-inferiority compared to a licensed tetravalent meningococcal conjugate vaccine (</w:t>
      </w:r>
      <w:proofErr w:type="spellStart"/>
      <w:r w:rsidRPr="000C2D3D">
        <w:t>Menactra</w:t>
      </w:r>
      <w:proofErr w:type="spellEnd"/>
      <w:r w:rsidRPr="000C2D3D">
        <w:t xml:space="preserve">) in subjects 10 to 25 </w:t>
      </w:r>
      <w:r w:rsidR="00396F90">
        <w:t>years</w:t>
      </w:r>
      <w:r w:rsidRPr="000C2D3D">
        <w:t xml:space="preserve"> of age</w:t>
      </w:r>
    </w:p>
    <w:p w:rsidR="00FE6D3A" w:rsidRDefault="00FA0669" w:rsidP="00A876F4">
      <w:r w:rsidRPr="000C2D3D">
        <w:t xml:space="preserve">The primary objective of MenACWY-TT-071 was demonstration of immunological </w:t>
      </w:r>
      <w:proofErr w:type="spellStart"/>
      <w:r w:rsidRPr="000C2D3D">
        <w:t>noninferiority</w:t>
      </w:r>
      <w:proofErr w:type="spellEnd"/>
      <w:r w:rsidR="00842698">
        <w:t xml:space="preserve"> </w:t>
      </w:r>
      <w:r w:rsidRPr="000C2D3D">
        <w:t xml:space="preserve">of </w:t>
      </w:r>
      <w:proofErr w:type="spellStart"/>
      <w:r w:rsidRPr="000C2D3D">
        <w:t>MenACWY</w:t>
      </w:r>
      <w:proofErr w:type="spellEnd"/>
      <w:r w:rsidRPr="000C2D3D">
        <w:t xml:space="preserve">-TT (Lot A) vs. </w:t>
      </w:r>
      <w:proofErr w:type="spellStart"/>
      <w:r w:rsidRPr="000C2D3D">
        <w:t>Menactra</w:t>
      </w:r>
      <w:proofErr w:type="spellEnd"/>
      <w:r w:rsidRPr="000C2D3D">
        <w:t xml:space="preserve"> (ACWY-DT) defined as percentage with </w:t>
      </w:r>
      <w:proofErr w:type="spellStart"/>
      <w:r w:rsidRPr="000C2D3D">
        <w:t>hSBA</w:t>
      </w:r>
      <w:proofErr w:type="spellEnd"/>
      <w:r w:rsidRPr="000C2D3D">
        <w:t xml:space="preserve"> vaccine response. This was demonstrated since for each </w:t>
      </w:r>
      <w:proofErr w:type="spellStart"/>
      <w:r w:rsidRPr="000C2D3D">
        <w:t>serogroup</w:t>
      </w:r>
      <w:proofErr w:type="spellEnd"/>
      <w:r w:rsidRPr="000C2D3D">
        <w:t xml:space="preserve"> separately, the LL of the two-sided</w:t>
      </w:r>
      <w:r w:rsidRPr="00FA0669">
        <w:rPr>
          <w:lang w:eastAsia="ja-JP"/>
        </w:rPr>
        <w:t xml:space="preserve"> 95% CI for the difference between groups (ACWY-A minus ACWY-DT) was </w:t>
      </w:r>
      <w:r w:rsidRPr="00842698">
        <w:t xml:space="preserve">greater than the pre-defined clinical limit of -10%. Moreover, observed meningococcal bactericidal vaccine response rates for each of the four </w:t>
      </w:r>
      <w:proofErr w:type="spellStart"/>
      <w:r w:rsidRPr="00842698">
        <w:t>serogroups</w:t>
      </w:r>
      <w:proofErr w:type="spellEnd"/>
      <w:r w:rsidRPr="00842698">
        <w:t xml:space="preserve"> in the ACWY-A and ACWY-B </w:t>
      </w:r>
      <w:r w:rsidRPr="00842698">
        <w:lastRenderedPageBreak/>
        <w:t xml:space="preserve">groups following administration of </w:t>
      </w:r>
      <w:proofErr w:type="spellStart"/>
      <w:r w:rsidRPr="00842698">
        <w:t>MenACWY</w:t>
      </w:r>
      <w:proofErr w:type="spellEnd"/>
      <w:r w:rsidRPr="00842698">
        <w:t>-TT vaccine ranged from 51.0% (</w:t>
      </w:r>
      <w:proofErr w:type="spellStart"/>
      <w:r w:rsidRPr="00842698">
        <w:t>hSBA-MenY</w:t>
      </w:r>
      <w:proofErr w:type="spellEnd"/>
      <w:r w:rsidRPr="00842698">
        <w:t xml:space="preserve"> in ACWY-B </w:t>
      </w:r>
      <w:proofErr w:type="spellStart"/>
      <w:r w:rsidRPr="00842698">
        <w:t>gp</w:t>
      </w:r>
      <w:proofErr w:type="spellEnd"/>
      <w:r w:rsidRPr="00842698">
        <w:t>) to 82.5% (</w:t>
      </w:r>
      <w:proofErr w:type="spellStart"/>
      <w:r w:rsidRPr="00842698">
        <w:t>hSBA-MenC</w:t>
      </w:r>
      <w:proofErr w:type="spellEnd"/>
      <w:r w:rsidRPr="00842698">
        <w:t xml:space="preserve"> in ACWY-B </w:t>
      </w:r>
      <w:proofErr w:type="spellStart"/>
      <w:r w:rsidRPr="00842698">
        <w:t>gp</w:t>
      </w:r>
      <w:proofErr w:type="spellEnd"/>
      <w:r w:rsidRPr="00842698">
        <w:t>). In the ACWY-DT group, vaccine response rate ranged from 39.0% (</w:t>
      </w:r>
      <w:proofErr w:type="spellStart"/>
      <w:r w:rsidRPr="00842698">
        <w:t>hSBA-MenY</w:t>
      </w:r>
      <w:proofErr w:type="spellEnd"/>
      <w:r w:rsidRPr="00842698">
        <w:t>) to 76.3% (</w:t>
      </w:r>
      <w:proofErr w:type="spellStart"/>
      <w:r w:rsidRPr="00842698">
        <w:t>hSBA-MenC</w:t>
      </w:r>
      <w:proofErr w:type="spellEnd"/>
      <w:r w:rsidRPr="00842698">
        <w:t xml:space="preserve">). </w:t>
      </w:r>
    </w:p>
    <w:p w:rsidR="00FA0669" w:rsidRPr="00842698" w:rsidRDefault="00FA0669" w:rsidP="00A876F4">
      <w:r w:rsidRPr="00842698">
        <w:t xml:space="preserve">Exploratory analyses suggested that vaccine response rates for </w:t>
      </w:r>
      <w:proofErr w:type="spellStart"/>
      <w:r w:rsidRPr="00842698">
        <w:t>MenY</w:t>
      </w:r>
      <w:proofErr w:type="spellEnd"/>
      <w:r w:rsidRPr="00842698">
        <w:t xml:space="preserve"> were statistically significantly higher after </w:t>
      </w:r>
      <w:proofErr w:type="spellStart"/>
      <w:r w:rsidRPr="00842698">
        <w:t>MenACWY</w:t>
      </w:r>
      <w:proofErr w:type="spellEnd"/>
      <w:r w:rsidRPr="00842698">
        <w:t xml:space="preserve">-TT Lot A vs. </w:t>
      </w:r>
      <w:proofErr w:type="spellStart"/>
      <w:r w:rsidRPr="00842698">
        <w:t>Menactra</w:t>
      </w:r>
      <w:proofErr w:type="spellEnd"/>
      <w:r w:rsidRPr="00842698">
        <w:t xml:space="preserve"> and with </w:t>
      </w:r>
      <w:proofErr w:type="spellStart"/>
      <w:r w:rsidRPr="00842698">
        <w:t>MenACWY</w:t>
      </w:r>
      <w:proofErr w:type="spellEnd"/>
      <w:r w:rsidRPr="00842698">
        <w:t xml:space="preserve">-TT Lot B vs. </w:t>
      </w:r>
      <w:proofErr w:type="spellStart"/>
      <w:r w:rsidRPr="00842698">
        <w:t>Menactra</w:t>
      </w:r>
      <w:proofErr w:type="spellEnd"/>
      <w:r w:rsidRPr="00842698">
        <w:t xml:space="preserve">, vaccine response rates in terms of hSBA-MenW-135 and </w:t>
      </w:r>
      <w:proofErr w:type="spellStart"/>
      <w:r w:rsidRPr="00842698">
        <w:t>hSBA-MenY</w:t>
      </w:r>
      <w:proofErr w:type="spellEnd"/>
      <w:r w:rsidRPr="00842698">
        <w:t xml:space="preserve"> were also statistically significantly higher. One month post</w:t>
      </w:r>
      <w:r w:rsidR="00D978E1">
        <w:t>-</w:t>
      </w:r>
      <w:r w:rsidRPr="00842698">
        <w:t xml:space="preserve">vaccination, exploratory analyses suggested that the GMT ratios for MenW-135 and Y were significantly higher after </w:t>
      </w:r>
      <w:proofErr w:type="spellStart"/>
      <w:r w:rsidRPr="00842698">
        <w:t>MenACWY</w:t>
      </w:r>
      <w:proofErr w:type="spellEnd"/>
      <w:r w:rsidRPr="00842698">
        <w:t xml:space="preserve">-TT Lot A or Lot B vs. </w:t>
      </w:r>
      <w:proofErr w:type="spellStart"/>
      <w:r w:rsidRPr="00842698">
        <w:t>Menactra</w:t>
      </w:r>
      <w:proofErr w:type="spellEnd"/>
      <w:r w:rsidRPr="00842698">
        <w:t>. In addition, percentages of subjects with hSBA-MenA,-W-135 and -</w:t>
      </w:r>
      <w:proofErr w:type="spellStart"/>
      <w:r w:rsidRPr="00842698">
        <w:t>MenY</w:t>
      </w:r>
      <w:proofErr w:type="spellEnd"/>
      <w:r w:rsidRPr="00842698">
        <w:t xml:space="preserve"> titres ≥4 and ≥8 were significantly higher after </w:t>
      </w:r>
      <w:proofErr w:type="spellStart"/>
      <w:r w:rsidRPr="00842698">
        <w:t>MenACWY</w:t>
      </w:r>
      <w:proofErr w:type="spellEnd"/>
      <w:r w:rsidRPr="00842698">
        <w:t xml:space="preserve">-TT Lot A vs. </w:t>
      </w:r>
      <w:proofErr w:type="spellStart"/>
      <w:r w:rsidRPr="00842698">
        <w:t>Menactra</w:t>
      </w:r>
      <w:proofErr w:type="spellEnd"/>
      <w:r w:rsidRPr="00842698">
        <w:t>; hSBA-MenW-135 and -</w:t>
      </w:r>
      <w:proofErr w:type="spellStart"/>
      <w:r w:rsidRPr="00842698">
        <w:t>MenY</w:t>
      </w:r>
      <w:proofErr w:type="spellEnd"/>
      <w:r w:rsidRPr="00842698">
        <w:t xml:space="preserve"> titres ≥4 and ≥8 were significantly higher with </w:t>
      </w:r>
      <w:proofErr w:type="spellStart"/>
      <w:r w:rsidRPr="00842698">
        <w:t>MenACWY</w:t>
      </w:r>
      <w:proofErr w:type="spellEnd"/>
      <w:r w:rsidRPr="00842698">
        <w:t xml:space="preserve">-TT Lot B vs. </w:t>
      </w:r>
      <w:proofErr w:type="spellStart"/>
      <w:r w:rsidRPr="00842698">
        <w:t>Menactra</w:t>
      </w:r>
      <w:proofErr w:type="spellEnd"/>
      <w:r w:rsidRPr="00842698">
        <w:t>.</w:t>
      </w:r>
    </w:p>
    <w:p w:rsidR="00842698" w:rsidRDefault="00FA0669" w:rsidP="00A876F4">
      <w:pPr>
        <w:pStyle w:val="Heading4"/>
      </w:pPr>
      <w:r w:rsidRPr="00842698">
        <w:t>Head-to-head comparison with a licensed tetravalent meningococcal conjugate vaccine (</w:t>
      </w:r>
      <w:proofErr w:type="spellStart"/>
      <w:r w:rsidRPr="00842698">
        <w:t>Menactra</w:t>
      </w:r>
      <w:proofErr w:type="spellEnd"/>
      <w:r w:rsidRPr="00842698">
        <w:t xml:space="preserve">) in subjects 11-25 </w:t>
      </w:r>
      <w:r w:rsidR="00396F90">
        <w:t>years</w:t>
      </w:r>
      <w:r w:rsidRPr="00842698">
        <w:t xml:space="preserve"> of age </w:t>
      </w:r>
    </w:p>
    <w:p w:rsidR="00FA0669" w:rsidRPr="00842698" w:rsidRDefault="00842698" w:rsidP="00A876F4">
      <w:r>
        <w:t>S</w:t>
      </w:r>
      <w:r w:rsidR="0047012E">
        <w:t xml:space="preserve">ee Section </w:t>
      </w:r>
      <w:r w:rsidR="000D2EF1">
        <w:t xml:space="preserve">on Primary </w:t>
      </w:r>
      <w:proofErr w:type="spellStart"/>
      <w:r w:rsidR="000D2EF1">
        <w:t>pharmacodynamic</w:t>
      </w:r>
      <w:proofErr w:type="spellEnd"/>
      <w:r w:rsidR="000D2EF1">
        <w:t xml:space="preserve"> effects above</w:t>
      </w:r>
      <w:r w:rsidR="00FA0669" w:rsidRPr="00842698">
        <w:t>.</w:t>
      </w:r>
    </w:p>
    <w:p w:rsidR="00FA0669" w:rsidRPr="00FA0669" w:rsidRDefault="00FA0669" w:rsidP="00A876F4">
      <w:pPr>
        <w:pStyle w:val="Heading3"/>
      </w:pPr>
      <w:bookmarkStart w:id="67" w:name="_Toc343641681"/>
      <w:bookmarkStart w:id="68" w:name="_Toc375123738"/>
      <w:r w:rsidRPr="00FA0669">
        <w:t>Other efficacy studies</w:t>
      </w:r>
      <w:bookmarkEnd w:id="67"/>
      <w:bookmarkEnd w:id="68"/>
    </w:p>
    <w:p w:rsidR="00FA0669" w:rsidRPr="0047012E" w:rsidRDefault="00FA0669" w:rsidP="00A876F4">
      <w:r w:rsidRPr="0047012E">
        <w:t>Phase III persistence studies and the priming study (MenACWY-TT-021) are summarised</w:t>
      </w:r>
      <w:r w:rsidR="00183A2D">
        <w:t xml:space="preserve"> below</w:t>
      </w:r>
      <w:r w:rsidR="000D2EF1">
        <w:t>.</w:t>
      </w:r>
      <w:r w:rsidRPr="0047012E">
        <w:t xml:space="preserve"> </w:t>
      </w:r>
      <w:r w:rsidR="00183A2D">
        <w:t>P</w:t>
      </w:r>
      <w:r w:rsidRPr="0047012E">
        <w:t xml:space="preserve">ersistence by Age group </w:t>
      </w:r>
      <w:r w:rsidR="0047012E">
        <w:t xml:space="preserve">is </w:t>
      </w:r>
      <w:r w:rsidR="00183A2D">
        <w:t xml:space="preserve">summarised in </w:t>
      </w:r>
      <w:r w:rsidRPr="0047012E">
        <w:t xml:space="preserve">Section </w:t>
      </w:r>
      <w:r w:rsidR="00183A2D">
        <w:t>7.3</w:t>
      </w:r>
      <w:r w:rsidRPr="0047012E">
        <w:t xml:space="preserve">. </w:t>
      </w:r>
    </w:p>
    <w:p w:rsidR="0047012E" w:rsidRDefault="0047012E" w:rsidP="00A876F4">
      <w:pPr>
        <w:pStyle w:val="Heading4"/>
      </w:pPr>
      <w:r>
        <w:t>Prime-boost studies</w:t>
      </w:r>
    </w:p>
    <w:p w:rsidR="000D2EF1" w:rsidRDefault="00FA0669" w:rsidP="00A876F4">
      <w:r w:rsidRPr="0047012E">
        <w:t xml:space="preserve">MenACWY-TT-021 evaluated immunogenicity of </w:t>
      </w:r>
      <w:proofErr w:type="spellStart"/>
      <w:r w:rsidRPr="0047012E">
        <w:t>MenACWY</w:t>
      </w:r>
      <w:proofErr w:type="spellEnd"/>
      <w:r w:rsidRPr="0047012E">
        <w:t>-TT v</w:t>
      </w:r>
      <w:r w:rsidR="0047012E" w:rsidRPr="0047012E">
        <w:t>accine given 30-42 months post</w:t>
      </w:r>
      <w:r w:rsidRPr="0047012E">
        <w:t xml:space="preserve"> a </w:t>
      </w:r>
      <w:proofErr w:type="spellStart"/>
      <w:r w:rsidRPr="0047012E">
        <w:t>Mencevax</w:t>
      </w:r>
      <w:proofErr w:type="spellEnd"/>
      <w:r w:rsidRPr="0047012E">
        <w:t xml:space="preserve"> ACWY prime given to subjects aged 2–30 </w:t>
      </w:r>
      <w:r w:rsidR="00396F90">
        <w:t>years</w:t>
      </w:r>
      <w:r w:rsidRPr="0047012E">
        <w:t xml:space="preserve"> who participated in a previous study (</w:t>
      </w:r>
      <w:proofErr w:type="spellStart"/>
      <w:r w:rsidRPr="0047012E">
        <w:t>Mencevax</w:t>
      </w:r>
      <w:proofErr w:type="spellEnd"/>
      <w:r w:rsidRPr="0047012E">
        <w:t xml:space="preserve"> ACWY-004). One month post vaccination, </w:t>
      </w:r>
      <w:proofErr w:type="spellStart"/>
      <w:r w:rsidRPr="0047012E">
        <w:t>seropositivity</w:t>
      </w:r>
      <w:proofErr w:type="spellEnd"/>
      <w:r w:rsidRPr="0047012E">
        <w:t xml:space="preserve"> rates for the 4 </w:t>
      </w:r>
      <w:proofErr w:type="spellStart"/>
      <w:r w:rsidRPr="0047012E">
        <w:t>serogroups</w:t>
      </w:r>
      <w:proofErr w:type="spellEnd"/>
      <w:r w:rsidRPr="0047012E">
        <w:t xml:space="preserve"> increased to 100% in both groups; proportion with </w:t>
      </w:r>
      <w:proofErr w:type="spellStart"/>
      <w:r w:rsidRPr="0047012E">
        <w:t>rSBA</w:t>
      </w:r>
      <w:proofErr w:type="spellEnd"/>
      <w:r w:rsidRPr="0047012E">
        <w:t xml:space="preserve"> titres ≥128 increased to 97.0%-100% in the MPS group and 100% in the </w:t>
      </w:r>
      <w:proofErr w:type="spellStart"/>
      <w:r w:rsidRPr="0047012E">
        <w:t>noMPS</w:t>
      </w:r>
      <w:proofErr w:type="spellEnd"/>
      <w:r w:rsidRPr="0047012E">
        <w:t xml:space="preserve"> group. Exploratory evaluation of the differences between vaccine groups did not reveal significant differences in terms of percentages of subjects with </w:t>
      </w:r>
      <w:proofErr w:type="spellStart"/>
      <w:r w:rsidRPr="0047012E">
        <w:t>rSBA</w:t>
      </w:r>
      <w:proofErr w:type="spellEnd"/>
      <w:r w:rsidRPr="0047012E">
        <w:t xml:space="preserve"> titres ≥8 and ≥128. Vaccine response rates were 41.1-83.0% in the MPS group and 76.9-97.3% in the </w:t>
      </w:r>
      <w:proofErr w:type="spellStart"/>
      <w:r w:rsidRPr="0047012E">
        <w:t>noMPS</w:t>
      </w:r>
      <w:proofErr w:type="spellEnd"/>
      <w:r w:rsidRPr="0047012E">
        <w:t xml:space="preserve"> group for the 4 </w:t>
      </w:r>
      <w:proofErr w:type="spellStart"/>
      <w:r w:rsidRPr="0047012E">
        <w:t>serogroups</w:t>
      </w:r>
      <w:proofErr w:type="spellEnd"/>
      <w:r w:rsidRPr="0047012E">
        <w:t xml:space="preserve">. The vaccine response in the MPS group was significantly lower than the </w:t>
      </w:r>
      <w:proofErr w:type="spellStart"/>
      <w:r w:rsidRPr="0047012E">
        <w:t>noMPS</w:t>
      </w:r>
      <w:proofErr w:type="spellEnd"/>
      <w:r w:rsidRPr="0047012E">
        <w:t xml:space="preserve"> group for all </w:t>
      </w:r>
      <w:proofErr w:type="spellStart"/>
      <w:r w:rsidRPr="0047012E">
        <w:t>serogroups</w:t>
      </w:r>
      <w:proofErr w:type="spellEnd"/>
      <w:r w:rsidRPr="0047012E">
        <w:t xml:space="preserve"> (exploratory analysis). This lower vaccine response was not surprising, since pre-vaccination titres were already high due to prior vaccination with </w:t>
      </w:r>
      <w:proofErr w:type="spellStart"/>
      <w:r w:rsidRPr="0047012E">
        <w:t>Mencevax</w:t>
      </w:r>
      <w:proofErr w:type="spellEnd"/>
      <w:r w:rsidRPr="0047012E">
        <w:t xml:space="preserve"> ACWY in that group. Nevertheless, all initially </w:t>
      </w:r>
      <w:proofErr w:type="spellStart"/>
      <w:r w:rsidRPr="0047012E">
        <w:t>seronegative</w:t>
      </w:r>
      <w:proofErr w:type="spellEnd"/>
      <w:r w:rsidRPr="0047012E">
        <w:t xml:space="preserve"> subjects in the MPS group responded to the vaccine, except one subject for </w:t>
      </w:r>
      <w:proofErr w:type="spellStart"/>
      <w:r w:rsidRPr="0047012E">
        <w:t>serogroup</w:t>
      </w:r>
      <w:proofErr w:type="spellEnd"/>
      <w:r w:rsidRPr="0047012E">
        <w:t xml:space="preserve"> C. </w:t>
      </w:r>
    </w:p>
    <w:p w:rsidR="00FA0669" w:rsidRPr="0047012E" w:rsidRDefault="00FA0669" w:rsidP="00A876F4">
      <w:proofErr w:type="spellStart"/>
      <w:r w:rsidRPr="0047012E">
        <w:t>rSBA</w:t>
      </w:r>
      <w:proofErr w:type="spellEnd"/>
      <w:r w:rsidRPr="0047012E">
        <w:t xml:space="preserve"> GMTs (all </w:t>
      </w:r>
      <w:proofErr w:type="spellStart"/>
      <w:r w:rsidRPr="0047012E">
        <w:t>serogroups</w:t>
      </w:r>
      <w:proofErr w:type="spellEnd"/>
      <w:r w:rsidRPr="0047012E">
        <w:t xml:space="preserve">) increased from pre-vaccination to one month post in both vaccine groups (3.9- to 30.1-fold in MPS group and 11.8- to 246.0-fold in the </w:t>
      </w:r>
      <w:proofErr w:type="spellStart"/>
      <w:r w:rsidRPr="0047012E">
        <w:t>noMPS</w:t>
      </w:r>
      <w:proofErr w:type="spellEnd"/>
      <w:r w:rsidRPr="0047012E">
        <w:t xml:space="preserve"> group). </w:t>
      </w:r>
      <w:proofErr w:type="spellStart"/>
      <w:r w:rsidRPr="0047012E">
        <w:t>rSBA</w:t>
      </w:r>
      <w:proofErr w:type="spellEnd"/>
      <w:r w:rsidRPr="0047012E">
        <w:t xml:space="preserve"> GMTs adjusted for age strata for all </w:t>
      </w:r>
      <w:proofErr w:type="spellStart"/>
      <w:r w:rsidRPr="0047012E">
        <w:t>serogroups</w:t>
      </w:r>
      <w:proofErr w:type="spellEnd"/>
      <w:r w:rsidRPr="0047012E">
        <w:t xml:space="preserve"> were significantly lower in those previously vaccinated with </w:t>
      </w:r>
      <w:proofErr w:type="spellStart"/>
      <w:r w:rsidRPr="0047012E">
        <w:t>Mencevax</w:t>
      </w:r>
      <w:proofErr w:type="spellEnd"/>
      <w:r w:rsidRPr="0047012E">
        <w:t xml:space="preserve"> ACWY. The </w:t>
      </w:r>
      <w:proofErr w:type="spellStart"/>
      <w:r w:rsidRPr="0047012E">
        <w:t>rSBA</w:t>
      </w:r>
      <w:proofErr w:type="spellEnd"/>
      <w:r w:rsidRPr="0047012E">
        <w:t xml:space="preserve"> GMTs one month after vaccination with </w:t>
      </w:r>
      <w:proofErr w:type="spellStart"/>
      <w:r w:rsidRPr="0047012E">
        <w:t>MenACWY</w:t>
      </w:r>
      <w:proofErr w:type="spellEnd"/>
      <w:r w:rsidRPr="0047012E">
        <w:t xml:space="preserve">-TT were higher than one month after vaccination with </w:t>
      </w:r>
      <w:proofErr w:type="spellStart"/>
      <w:r w:rsidRPr="0047012E">
        <w:t>Mencevax</w:t>
      </w:r>
      <w:proofErr w:type="spellEnd"/>
      <w:r w:rsidRPr="0047012E">
        <w:t xml:space="preserve"> ACWY (post-MPS time point) for </w:t>
      </w:r>
      <w:proofErr w:type="spellStart"/>
      <w:r w:rsidRPr="0047012E">
        <w:t>serogroups</w:t>
      </w:r>
      <w:proofErr w:type="spellEnd"/>
      <w:r w:rsidRPr="0047012E">
        <w:t xml:space="preserve"> W-135 and Y, similar for </w:t>
      </w:r>
      <w:proofErr w:type="spellStart"/>
      <w:r w:rsidRPr="0047012E">
        <w:t>MenC</w:t>
      </w:r>
      <w:proofErr w:type="spellEnd"/>
      <w:r w:rsidRPr="0047012E">
        <w:t xml:space="preserve"> and lower for </w:t>
      </w:r>
      <w:proofErr w:type="spellStart"/>
      <w:r w:rsidRPr="0047012E">
        <w:t>MenA</w:t>
      </w:r>
      <w:proofErr w:type="spellEnd"/>
      <w:r w:rsidRPr="0047012E">
        <w:t xml:space="preserve">. These results confirm the relative </w:t>
      </w:r>
      <w:proofErr w:type="spellStart"/>
      <w:r w:rsidRPr="0047012E">
        <w:t>hyporesponsiveness</w:t>
      </w:r>
      <w:proofErr w:type="spellEnd"/>
      <w:r w:rsidRPr="0047012E">
        <w:t xml:space="preserve"> previously reported after primary dose of meningococcal PS vaccine followed by meningococcal conjugate vaccine (</w:t>
      </w:r>
      <w:proofErr w:type="spellStart"/>
      <w:r w:rsidRPr="0047012E">
        <w:t>Keyserling</w:t>
      </w:r>
      <w:proofErr w:type="spellEnd"/>
      <w:r w:rsidRPr="0047012E">
        <w:t xml:space="preserve">). However, the high </w:t>
      </w:r>
      <w:proofErr w:type="spellStart"/>
      <w:r w:rsidRPr="0047012E">
        <w:t>rSBA</w:t>
      </w:r>
      <w:proofErr w:type="spellEnd"/>
      <w:r w:rsidRPr="0047012E">
        <w:t xml:space="preserve"> GMT achieved for all </w:t>
      </w:r>
      <w:proofErr w:type="spellStart"/>
      <w:r w:rsidRPr="0047012E">
        <w:t>serogroups</w:t>
      </w:r>
      <w:proofErr w:type="spellEnd"/>
      <w:r w:rsidRPr="0047012E">
        <w:t xml:space="preserve"> in the MPS group after the </w:t>
      </w:r>
      <w:proofErr w:type="spellStart"/>
      <w:r w:rsidRPr="0047012E">
        <w:t>MenACWY</w:t>
      </w:r>
      <w:proofErr w:type="spellEnd"/>
      <w:r w:rsidRPr="0047012E">
        <w:t xml:space="preserve">-TT vaccination suggest that if sustained immunity against Men </w:t>
      </w:r>
      <w:proofErr w:type="spellStart"/>
      <w:r w:rsidRPr="0047012E">
        <w:t>sero</w:t>
      </w:r>
      <w:r w:rsidR="00B7059A">
        <w:t>group</w:t>
      </w:r>
      <w:r w:rsidRPr="0047012E">
        <w:t>s</w:t>
      </w:r>
      <w:proofErr w:type="spellEnd"/>
      <w:r w:rsidRPr="0047012E">
        <w:t xml:space="preserve"> is required in subjects previously vaccinated with plain PS meningococcal vaccine, the administration of </w:t>
      </w:r>
      <w:proofErr w:type="spellStart"/>
      <w:r w:rsidRPr="0047012E">
        <w:t>MenACWY</w:t>
      </w:r>
      <w:proofErr w:type="spellEnd"/>
      <w:r w:rsidRPr="0047012E">
        <w:t>-TT is safe and immunogenic.</w:t>
      </w:r>
    </w:p>
    <w:p w:rsidR="00FA0669" w:rsidRPr="0047012E" w:rsidRDefault="00FA0669" w:rsidP="00A876F4">
      <w:pPr>
        <w:pStyle w:val="Heading3"/>
      </w:pPr>
      <w:bookmarkStart w:id="69" w:name="_Toc241374312"/>
      <w:bookmarkStart w:id="70" w:name="_Toc272414656"/>
      <w:bookmarkStart w:id="71" w:name="_Toc290846281"/>
      <w:bookmarkStart w:id="72" w:name="_Toc343641682"/>
      <w:bookmarkStart w:id="73" w:name="_Toc375123739"/>
      <w:r w:rsidRPr="0047012E">
        <w:lastRenderedPageBreak/>
        <w:t>Analyses performed across trials (pooled analyses and meta-analyses)</w:t>
      </w:r>
      <w:bookmarkEnd w:id="69"/>
      <w:bookmarkEnd w:id="70"/>
      <w:bookmarkEnd w:id="71"/>
      <w:bookmarkEnd w:id="72"/>
      <w:bookmarkEnd w:id="73"/>
    </w:p>
    <w:p w:rsidR="0047012E" w:rsidRDefault="00A876F4" w:rsidP="00A876F4">
      <w:pPr>
        <w:pStyle w:val="Heading4"/>
      </w:pPr>
      <w:r>
        <w:t>Demographics</w:t>
      </w:r>
    </w:p>
    <w:p w:rsidR="00FA0669" w:rsidRPr="0047012E" w:rsidRDefault="00FA0669" w:rsidP="00A876F4">
      <w:r w:rsidRPr="0047012E">
        <w:t xml:space="preserve">The demographic profile (mean age, gender and racial distribution) was comparable for the </w:t>
      </w:r>
      <w:proofErr w:type="spellStart"/>
      <w:r w:rsidRPr="0047012E">
        <w:t>MenACWY</w:t>
      </w:r>
      <w:proofErr w:type="spellEnd"/>
      <w:r w:rsidRPr="0047012E">
        <w:t>-TT and the control groups in the different studies. The</w:t>
      </w:r>
      <w:r w:rsidRPr="00FA0669">
        <w:rPr>
          <w:lang w:eastAsia="ja-JP"/>
        </w:rPr>
        <w:t xml:space="preserve"> </w:t>
      </w:r>
      <w:r w:rsidRPr="0047012E">
        <w:t xml:space="preserve">distribution of race/ethnicity among the individual studies reflects the regions where the studies were conducted (Europe, Asia, Central America and North America). </w:t>
      </w:r>
    </w:p>
    <w:p w:rsidR="00FA0669" w:rsidRPr="0047012E" w:rsidRDefault="00FA0669" w:rsidP="00A876F4">
      <w:pPr>
        <w:pStyle w:val="Heading4"/>
      </w:pPr>
      <w:r w:rsidRPr="0047012E">
        <w:t xml:space="preserve">Immunogenicity of </w:t>
      </w:r>
      <w:proofErr w:type="spellStart"/>
      <w:r w:rsidRPr="0047012E">
        <w:t>MenACWY</w:t>
      </w:r>
      <w:proofErr w:type="spellEnd"/>
      <w:r w:rsidRPr="0047012E">
        <w:t>-TT in the Toddler age</w:t>
      </w:r>
      <w:r w:rsidR="0047012E">
        <w:t xml:space="preserve"> group i.e. 12-23 months of age</w:t>
      </w:r>
    </w:p>
    <w:p w:rsidR="00FA0669" w:rsidRPr="0047012E" w:rsidRDefault="00FA0669" w:rsidP="00A876F4">
      <w:r w:rsidRPr="0047012E">
        <w:t>Immunogenicity in Toddlers is particular importan</w:t>
      </w:r>
      <w:r w:rsidR="00593896">
        <w:t>t</w:t>
      </w:r>
      <w:r w:rsidRPr="0047012E">
        <w:t xml:space="preserve"> for special review as it is this age group where conjugate vaccines have potential to prime the immune resp</w:t>
      </w:r>
      <w:r w:rsidR="00593896">
        <w:t xml:space="preserve">onse to capsulated organisms </w:t>
      </w:r>
      <w:r w:rsidRPr="0047012E">
        <w:t xml:space="preserve">more effectively than PS vaccines. </w:t>
      </w:r>
      <w:proofErr w:type="spellStart"/>
      <w:r w:rsidRPr="0047012E">
        <w:t>MenACWY</w:t>
      </w:r>
      <w:proofErr w:type="spellEnd"/>
      <w:r w:rsidRPr="0047012E">
        <w:t xml:space="preserve">-TT immunogenicity was evaluated using </w:t>
      </w:r>
      <w:proofErr w:type="spellStart"/>
      <w:r w:rsidRPr="0047012E">
        <w:t>rSBA</w:t>
      </w:r>
      <w:proofErr w:type="spellEnd"/>
      <w:r w:rsidRPr="0047012E">
        <w:t xml:space="preserve"> titre changes</w:t>
      </w:r>
      <w:r w:rsidR="00933659">
        <w:t xml:space="preserve"> [by age strata]</w:t>
      </w:r>
      <w:r w:rsidRPr="0047012E">
        <w:t xml:space="preserve">. In addition, in MenACWY-TT-013, -027, -039 and -055 </w:t>
      </w:r>
      <w:proofErr w:type="spellStart"/>
      <w:r w:rsidRPr="0047012E">
        <w:t>hSBA</w:t>
      </w:r>
      <w:proofErr w:type="spellEnd"/>
      <w:r w:rsidRPr="0047012E">
        <w:t xml:space="preserve"> titres ≥4 and ≥8, </w:t>
      </w:r>
      <w:proofErr w:type="spellStart"/>
      <w:r w:rsidRPr="0047012E">
        <w:t>hSBA</w:t>
      </w:r>
      <w:proofErr w:type="spellEnd"/>
      <w:r w:rsidRPr="0047012E">
        <w:t xml:space="preserve"> GMTs and vaccine response were assessed </w:t>
      </w:r>
      <w:r w:rsidR="00933659" w:rsidRPr="00933659">
        <w:t xml:space="preserve">[by age strata] </w:t>
      </w:r>
      <w:r w:rsidRPr="0047012E">
        <w:t>(</w:t>
      </w:r>
      <w:proofErr w:type="spellStart"/>
      <w:r w:rsidRPr="0047012E">
        <w:t>hSBA</w:t>
      </w:r>
      <w:proofErr w:type="spellEnd"/>
      <w:r w:rsidRPr="0047012E">
        <w:t xml:space="preserve"> and </w:t>
      </w:r>
      <w:proofErr w:type="spellStart"/>
      <w:r w:rsidRPr="0047012E">
        <w:t>rSBA</w:t>
      </w:r>
      <w:proofErr w:type="spellEnd"/>
      <w:r w:rsidRPr="0047012E">
        <w:t xml:space="preserve"> vaccine response not analysed in -055 as blood sampling at pre vaccination time-point not planned in the protocol).  The results of this age stratification (12 -15 months, 16-19 months and 20-23 months) analysis should be interpreted with caution, because these studies were not designed to assess immunogenicity by age strata and smaller sample sizes may lead to imprecision in point estimate when comparing between age strata. Co-administration studies excluded to avoid bias. </w:t>
      </w:r>
    </w:p>
    <w:p w:rsidR="0047012E" w:rsidRDefault="00A876F4" w:rsidP="00A876F4">
      <w:pPr>
        <w:pStyle w:val="Heading5"/>
      </w:pPr>
      <w:proofErr w:type="spellStart"/>
      <w:r>
        <w:t>Serogroup</w:t>
      </w:r>
      <w:proofErr w:type="spellEnd"/>
      <w:r>
        <w:t xml:space="preserve"> C immunogenicity</w:t>
      </w:r>
    </w:p>
    <w:p w:rsidR="00593896" w:rsidRDefault="00FA0669" w:rsidP="00A876F4">
      <w:proofErr w:type="spellStart"/>
      <w:r w:rsidRPr="0047012E">
        <w:t>MenC</w:t>
      </w:r>
      <w:proofErr w:type="spellEnd"/>
      <w:r w:rsidRPr="0047012E">
        <w:t>-CRM conjugate vaccine (</w:t>
      </w:r>
      <w:proofErr w:type="spellStart"/>
      <w:r w:rsidRPr="0047012E">
        <w:t>Meningitec</w:t>
      </w:r>
      <w:proofErr w:type="spellEnd"/>
      <w:r w:rsidRPr="0047012E">
        <w:t xml:space="preserve">) was used as the control vaccine. Analyses of </w:t>
      </w:r>
      <w:proofErr w:type="spellStart"/>
      <w:r w:rsidRPr="0047012E">
        <w:t>rSBA</w:t>
      </w:r>
      <w:proofErr w:type="spellEnd"/>
      <w:r w:rsidRPr="0047012E">
        <w:t xml:space="preserve"> data indicate the immunogenicity induced by the </w:t>
      </w:r>
      <w:proofErr w:type="spellStart"/>
      <w:r w:rsidRPr="0047012E">
        <w:t>MenC</w:t>
      </w:r>
      <w:proofErr w:type="spellEnd"/>
      <w:r w:rsidRPr="0047012E">
        <w:t xml:space="preserve"> component of </w:t>
      </w:r>
      <w:proofErr w:type="spellStart"/>
      <w:r w:rsidRPr="0047012E">
        <w:t>MenACWY</w:t>
      </w:r>
      <w:proofErr w:type="spellEnd"/>
      <w:r w:rsidRPr="0047012E">
        <w:t xml:space="preserve">-TT resulted in percentages with </w:t>
      </w:r>
      <w:proofErr w:type="spellStart"/>
      <w:r w:rsidRPr="0047012E">
        <w:t>rSBA-MenC</w:t>
      </w:r>
      <w:proofErr w:type="spellEnd"/>
      <w:r w:rsidRPr="0047012E">
        <w:t xml:space="preserve"> titres ≥8 and ≥128, </w:t>
      </w:r>
      <w:proofErr w:type="spellStart"/>
      <w:r w:rsidRPr="0047012E">
        <w:t>rSBA</w:t>
      </w:r>
      <w:proofErr w:type="spellEnd"/>
      <w:r w:rsidRPr="0047012E">
        <w:t xml:space="preserve"> </w:t>
      </w:r>
      <w:proofErr w:type="spellStart"/>
      <w:r w:rsidRPr="0047012E">
        <w:t>MenC</w:t>
      </w:r>
      <w:proofErr w:type="spellEnd"/>
      <w:r w:rsidRPr="0047012E">
        <w:t xml:space="preserve"> GMTs and </w:t>
      </w:r>
      <w:proofErr w:type="spellStart"/>
      <w:r w:rsidRPr="0047012E">
        <w:t>rSBA</w:t>
      </w:r>
      <w:proofErr w:type="spellEnd"/>
      <w:r w:rsidRPr="0047012E">
        <w:t xml:space="preserve"> vaccine response that was comparable to those elicited by </w:t>
      </w:r>
      <w:proofErr w:type="spellStart"/>
      <w:r w:rsidRPr="0047012E">
        <w:t>Meningitec</w:t>
      </w:r>
      <w:proofErr w:type="spellEnd"/>
      <w:r w:rsidRPr="0047012E">
        <w:t xml:space="preserve"> regardless of age stratum in the second year of life. </w:t>
      </w:r>
    </w:p>
    <w:p w:rsidR="00FA0669" w:rsidRPr="0047012E" w:rsidRDefault="00FA0669" w:rsidP="00A876F4">
      <w:r w:rsidRPr="0047012E">
        <w:t xml:space="preserve">The analyses of </w:t>
      </w:r>
      <w:proofErr w:type="spellStart"/>
      <w:r w:rsidRPr="0047012E">
        <w:t>hSBA</w:t>
      </w:r>
      <w:proofErr w:type="spellEnd"/>
      <w:r w:rsidRPr="0047012E">
        <w:t xml:space="preserve"> data indicate that immunogenicity induced by the </w:t>
      </w:r>
      <w:proofErr w:type="spellStart"/>
      <w:r w:rsidRPr="0047012E">
        <w:t>MenC</w:t>
      </w:r>
      <w:proofErr w:type="spellEnd"/>
      <w:r w:rsidRPr="0047012E">
        <w:t xml:space="preserve"> component of </w:t>
      </w:r>
      <w:proofErr w:type="spellStart"/>
      <w:r w:rsidRPr="0047012E">
        <w:t>MenACWY</w:t>
      </w:r>
      <w:proofErr w:type="spellEnd"/>
      <w:r w:rsidRPr="0047012E">
        <w:t xml:space="preserve">-TT result consistently in higher observed percentage of subjects with </w:t>
      </w:r>
      <w:proofErr w:type="spellStart"/>
      <w:r w:rsidRPr="0047012E">
        <w:t>hSBA-MenC</w:t>
      </w:r>
      <w:proofErr w:type="spellEnd"/>
      <w:r w:rsidRPr="0047012E">
        <w:t xml:space="preserve"> titres ≥8, </w:t>
      </w:r>
      <w:proofErr w:type="spellStart"/>
      <w:r w:rsidRPr="0047012E">
        <w:t>hSBA-MenC</w:t>
      </w:r>
      <w:proofErr w:type="spellEnd"/>
      <w:r w:rsidRPr="0047012E">
        <w:t xml:space="preserve"> GMTs and </w:t>
      </w:r>
      <w:proofErr w:type="spellStart"/>
      <w:r w:rsidRPr="0047012E">
        <w:t>hSBA</w:t>
      </w:r>
      <w:proofErr w:type="spellEnd"/>
      <w:r w:rsidRPr="0047012E">
        <w:t xml:space="preserve"> vaccine response vs. </w:t>
      </w:r>
      <w:proofErr w:type="spellStart"/>
      <w:r w:rsidRPr="0047012E">
        <w:t>Meningitec</w:t>
      </w:r>
      <w:proofErr w:type="spellEnd"/>
      <w:r w:rsidRPr="0047012E">
        <w:t xml:space="preserve">, regardless of age stratum in the second year of life. Even in the youngest age stratum </w:t>
      </w:r>
      <w:proofErr w:type="spellStart"/>
      <w:r w:rsidRPr="0047012E">
        <w:t>hSBA</w:t>
      </w:r>
      <w:proofErr w:type="spellEnd"/>
      <w:r w:rsidRPr="0047012E">
        <w:t xml:space="preserve"> </w:t>
      </w:r>
      <w:proofErr w:type="spellStart"/>
      <w:r w:rsidRPr="0047012E">
        <w:t>MenC</w:t>
      </w:r>
      <w:proofErr w:type="spellEnd"/>
      <w:r w:rsidRPr="0047012E">
        <w:t xml:space="preserve"> GMTs appeared to be higher than all age strata in the </w:t>
      </w:r>
      <w:proofErr w:type="spellStart"/>
      <w:r w:rsidRPr="0047012E">
        <w:t>Meningitec</w:t>
      </w:r>
      <w:proofErr w:type="spellEnd"/>
      <w:r w:rsidRPr="0047012E">
        <w:t xml:space="preserve"> group.</w:t>
      </w:r>
    </w:p>
    <w:p w:rsidR="0047012E" w:rsidRDefault="0047012E" w:rsidP="00A876F4">
      <w:pPr>
        <w:pStyle w:val="Heading5"/>
      </w:pPr>
      <w:proofErr w:type="spellStart"/>
      <w:r>
        <w:t>Serogroups</w:t>
      </w:r>
      <w:proofErr w:type="spellEnd"/>
      <w:r>
        <w:t xml:space="preserve"> A, W-135 and Y</w:t>
      </w:r>
    </w:p>
    <w:p w:rsidR="00FA0669" w:rsidRPr="0047012E" w:rsidRDefault="00FA0669" w:rsidP="00A876F4">
      <w:r w:rsidRPr="0047012E">
        <w:t xml:space="preserve">For </w:t>
      </w:r>
      <w:proofErr w:type="spellStart"/>
      <w:r w:rsidRPr="0047012E">
        <w:t>serogroups</w:t>
      </w:r>
      <w:proofErr w:type="spellEnd"/>
      <w:r w:rsidRPr="0047012E">
        <w:t xml:space="preserve"> A, W-135 and Y, no comparator vaccines are available in the toddler age group. However, if the responses observed in older children ((i.e. 2 to &lt;11 </w:t>
      </w:r>
      <w:r w:rsidR="00396F90">
        <w:t>years</w:t>
      </w:r>
      <w:r w:rsidRPr="0047012E">
        <w:t xml:space="preserve"> of age with </w:t>
      </w:r>
      <w:proofErr w:type="spellStart"/>
      <w:r w:rsidRPr="0047012E">
        <w:t>rSBA</w:t>
      </w:r>
      <w:proofErr w:type="spellEnd"/>
      <w:r w:rsidRPr="0047012E">
        <w:t xml:space="preserve">; 6 to &lt;11 </w:t>
      </w:r>
      <w:r w:rsidR="00396F90">
        <w:t>years</w:t>
      </w:r>
      <w:r w:rsidRPr="0047012E">
        <w:t xml:space="preserve"> of age with </w:t>
      </w:r>
      <w:proofErr w:type="spellStart"/>
      <w:r w:rsidRPr="0047012E">
        <w:t>hSBA</w:t>
      </w:r>
      <w:proofErr w:type="spellEnd"/>
      <w:r w:rsidRPr="0047012E">
        <w:t xml:space="preserve">) when the comparator vaccine was the </w:t>
      </w:r>
      <w:proofErr w:type="spellStart"/>
      <w:r w:rsidRPr="0047012E">
        <w:t>quadrivalent</w:t>
      </w:r>
      <w:proofErr w:type="spellEnd"/>
      <w:r w:rsidRPr="0047012E">
        <w:t xml:space="preserve"> PS vaccine (</w:t>
      </w:r>
      <w:proofErr w:type="spellStart"/>
      <w:r w:rsidRPr="0047012E">
        <w:t>Mencevax</w:t>
      </w:r>
      <w:proofErr w:type="spellEnd"/>
      <w:r w:rsidRPr="0047012E">
        <w:t xml:space="preserve">), study MenACWY-TT-027, </w:t>
      </w:r>
      <w:proofErr w:type="spellStart"/>
      <w:r w:rsidRPr="0047012E">
        <w:t>rSBA</w:t>
      </w:r>
      <w:proofErr w:type="spellEnd"/>
      <w:r w:rsidRPr="0047012E">
        <w:t xml:space="preserve"> GMT and vaccine response observed in toddlers given </w:t>
      </w:r>
      <w:proofErr w:type="spellStart"/>
      <w:r w:rsidRPr="0047012E">
        <w:t>MenACWY</w:t>
      </w:r>
      <w:proofErr w:type="spellEnd"/>
      <w:r w:rsidRPr="0047012E">
        <w:t xml:space="preserve">-TT-were comparable to that following </w:t>
      </w:r>
      <w:proofErr w:type="spellStart"/>
      <w:r w:rsidRPr="0047012E">
        <w:t>Mencevax</w:t>
      </w:r>
      <w:proofErr w:type="spellEnd"/>
      <w:r w:rsidRPr="0047012E">
        <w:t xml:space="preserve"> in children 2 to &lt;11 </w:t>
      </w:r>
      <w:r w:rsidR="00396F90">
        <w:t>years</w:t>
      </w:r>
      <w:r w:rsidRPr="0047012E">
        <w:t xml:space="preserve"> of age. Although </w:t>
      </w:r>
      <w:proofErr w:type="spellStart"/>
      <w:r w:rsidRPr="0047012E">
        <w:t>hSBA</w:t>
      </w:r>
      <w:proofErr w:type="spellEnd"/>
      <w:r w:rsidRPr="0047012E">
        <w:t xml:space="preserve"> GMTs were lower for the younger age group, percentages of subjects with </w:t>
      </w:r>
      <w:proofErr w:type="spellStart"/>
      <w:r w:rsidRPr="0047012E">
        <w:t>immunoprotective</w:t>
      </w:r>
      <w:proofErr w:type="spellEnd"/>
      <w:r w:rsidRPr="0047012E">
        <w:t xml:space="preserve"> Men titres and vaccine response following </w:t>
      </w:r>
      <w:proofErr w:type="spellStart"/>
      <w:r w:rsidRPr="0047012E">
        <w:t>MenACWY</w:t>
      </w:r>
      <w:proofErr w:type="spellEnd"/>
      <w:r w:rsidRPr="0047012E">
        <w:t xml:space="preserve">-TT were higher than or close to those reported in older children (6 to &lt;11 </w:t>
      </w:r>
      <w:r w:rsidR="00396F90">
        <w:t>years</w:t>
      </w:r>
      <w:r w:rsidRPr="0047012E">
        <w:t xml:space="preserve">) with </w:t>
      </w:r>
      <w:proofErr w:type="spellStart"/>
      <w:r w:rsidRPr="0047012E">
        <w:t>Mencevax</w:t>
      </w:r>
      <w:proofErr w:type="spellEnd"/>
      <w:r w:rsidRPr="0047012E">
        <w:t xml:space="preserve"> in study -027.</w:t>
      </w:r>
    </w:p>
    <w:p w:rsidR="00FA0669" w:rsidRPr="0047012E" w:rsidRDefault="00FA0669" w:rsidP="00A876F4">
      <w:pPr>
        <w:pStyle w:val="Heading4"/>
      </w:pPr>
      <w:r w:rsidRPr="0047012E">
        <w:t xml:space="preserve">Immune </w:t>
      </w:r>
      <w:r w:rsidR="00A876F4">
        <w:t>p</w:t>
      </w:r>
      <w:r w:rsidRPr="0047012E">
        <w:t xml:space="preserve">ersistence data by </w:t>
      </w:r>
      <w:r w:rsidR="00A876F4">
        <w:t>a</w:t>
      </w:r>
      <w:r w:rsidRPr="0047012E">
        <w:t xml:space="preserve">ge </w:t>
      </w:r>
      <w:r w:rsidR="00A876F4">
        <w:t>s</w:t>
      </w:r>
      <w:r w:rsidRPr="0047012E">
        <w:t>trata</w:t>
      </w:r>
    </w:p>
    <w:p w:rsidR="00AA4BDE" w:rsidRDefault="00FA0669" w:rsidP="00A876F4">
      <w:pPr>
        <w:pStyle w:val="Heading5"/>
      </w:pPr>
      <w:r w:rsidRPr="0047012E">
        <w:t>Persistence of the immune response in young children vaccinated (12-23 months of age)</w:t>
      </w:r>
      <w:r w:rsidR="00AA4BDE">
        <w:t xml:space="preserve"> </w:t>
      </w:r>
    </w:p>
    <w:p w:rsidR="00672423" w:rsidRDefault="00AA4BDE" w:rsidP="00A876F4">
      <w:r w:rsidRPr="00672423">
        <w:rPr>
          <w:i/>
          <w:iCs/>
        </w:rPr>
        <w:t xml:space="preserve">Using </w:t>
      </w:r>
      <w:proofErr w:type="spellStart"/>
      <w:r w:rsidRPr="00672423">
        <w:rPr>
          <w:i/>
          <w:iCs/>
        </w:rPr>
        <w:t>rSBA</w:t>
      </w:r>
      <w:proofErr w:type="spellEnd"/>
      <w:r w:rsidRPr="00672423">
        <w:rPr>
          <w:i/>
          <w:iCs/>
        </w:rPr>
        <w:t xml:space="preserve"> titres:</w:t>
      </w:r>
      <w:r w:rsidRPr="0047012E">
        <w:t xml:space="preserve"> </w:t>
      </w:r>
      <w:r w:rsidR="00FA0669" w:rsidRPr="00AA4BDE">
        <w:t xml:space="preserve">Persistence of the immune response in subjects primed at 12-23 months of age was evaluated in studies MenACWY-TT-014 (15 months after vaccination), </w:t>
      </w:r>
      <w:proofErr w:type="spellStart"/>
      <w:r w:rsidR="00FA0669" w:rsidRPr="00AA4BDE">
        <w:t>MenACWY</w:t>
      </w:r>
      <w:proofErr w:type="spellEnd"/>
      <w:r w:rsidR="00FA0669" w:rsidRPr="00AA4BDE">
        <w:t xml:space="preserve">-TT- 028/-029/-030 (12, 24 and 36 months after vaccination) MenACWY-TT-048 (24 months after vaccination), and MenACWY-TT-062 (12 months after vaccination). The percentage of subjects with </w:t>
      </w:r>
      <w:proofErr w:type="spellStart"/>
      <w:r w:rsidR="00FA0669" w:rsidRPr="00AA4BDE">
        <w:t>rSBA</w:t>
      </w:r>
      <w:proofErr w:type="spellEnd"/>
      <w:r w:rsidR="00FA0669" w:rsidRPr="00AA4BDE">
        <w:t xml:space="preserve"> titres ≥8 after vaccination with </w:t>
      </w:r>
      <w:proofErr w:type="spellStart"/>
      <w:r w:rsidR="00FA0669" w:rsidRPr="00AA4BDE">
        <w:t>MenACWY</w:t>
      </w:r>
      <w:proofErr w:type="spellEnd"/>
      <w:r w:rsidR="00FA0669" w:rsidRPr="00AA4BDE">
        <w:t xml:space="preserve">-TT 12, 15, 24 and 36 months after vaccination remained high for all </w:t>
      </w:r>
      <w:proofErr w:type="spellStart"/>
      <w:r w:rsidR="00FA0669" w:rsidRPr="00AA4BDE">
        <w:t>serogroups</w:t>
      </w:r>
      <w:proofErr w:type="spellEnd"/>
      <w:r w:rsidR="00FA0669" w:rsidRPr="00AA4BDE">
        <w:t xml:space="preserve"> (≥94.7% for </w:t>
      </w:r>
      <w:proofErr w:type="spellStart"/>
      <w:r w:rsidR="00FA0669" w:rsidRPr="00AA4BDE">
        <w:t>serogroups</w:t>
      </w:r>
      <w:proofErr w:type="spellEnd"/>
      <w:r w:rsidR="00FA0669" w:rsidRPr="00AA4BDE">
        <w:t xml:space="preserve"> A, W-135 and Y, and </w:t>
      </w:r>
      <w:r w:rsidR="00FA0669" w:rsidRPr="00AA4BDE">
        <w:lastRenderedPageBreak/>
        <w:t xml:space="preserve">≥87.4% for </w:t>
      </w:r>
      <w:proofErr w:type="spellStart"/>
      <w:r w:rsidR="00FA0669" w:rsidRPr="00AA4BDE">
        <w:t>MenC</w:t>
      </w:r>
      <w:proofErr w:type="spellEnd"/>
      <w:r w:rsidR="00FA0669" w:rsidRPr="00AA4BDE">
        <w:t xml:space="preserve">). The </w:t>
      </w:r>
      <w:proofErr w:type="spellStart"/>
      <w:r w:rsidR="00FA0669" w:rsidRPr="00AA4BDE">
        <w:t>rSBA</w:t>
      </w:r>
      <w:proofErr w:type="spellEnd"/>
      <w:r w:rsidR="00FA0669" w:rsidRPr="00AA4BDE">
        <w:t xml:space="preserve"> GMTs decreased between one month after vaccination and the persistence time points but remained higher than prior to vaccination for the four </w:t>
      </w:r>
      <w:proofErr w:type="spellStart"/>
      <w:r w:rsidR="00FA0669" w:rsidRPr="00AA4BDE">
        <w:t>serogroups</w:t>
      </w:r>
      <w:proofErr w:type="spellEnd"/>
      <w:r w:rsidR="00FA0669" w:rsidRPr="00AA4BDE">
        <w:t xml:space="preserve">. In studies including </w:t>
      </w:r>
      <w:proofErr w:type="spellStart"/>
      <w:r w:rsidR="00FA0669" w:rsidRPr="00AA4BDE">
        <w:t>Meningitec</w:t>
      </w:r>
      <w:proofErr w:type="spellEnd"/>
      <w:r w:rsidR="00FA0669" w:rsidRPr="00AA4BDE">
        <w:t xml:space="preserve"> as a control, the percentage of subjects with </w:t>
      </w:r>
      <w:proofErr w:type="spellStart"/>
      <w:r w:rsidR="00FA0669" w:rsidRPr="00AA4BDE">
        <w:t>MenC</w:t>
      </w:r>
      <w:proofErr w:type="spellEnd"/>
      <w:r w:rsidR="00FA0669" w:rsidRPr="00AA4BDE">
        <w:t xml:space="preserve"> </w:t>
      </w:r>
      <w:proofErr w:type="spellStart"/>
      <w:r w:rsidR="00FA0669" w:rsidRPr="00AA4BDE">
        <w:t>rSBA</w:t>
      </w:r>
      <w:proofErr w:type="spellEnd"/>
      <w:r w:rsidR="00FA0669" w:rsidRPr="00AA4BDE">
        <w:t xml:space="preserve"> titres ≥8 at the persistence time points were significantly higher in subjects vaccinated with </w:t>
      </w:r>
      <w:proofErr w:type="spellStart"/>
      <w:r w:rsidR="00FA0669" w:rsidRPr="00AA4BDE">
        <w:t>MenACWY</w:t>
      </w:r>
      <w:proofErr w:type="spellEnd"/>
      <w:r w:rsidR="00FA0669" w:rsidRPr="00AA4BDE">
        <w:t xml:space="preserve">-TT than in those vaccinated with </w:t>
      </w:r>
      <w:proofErr w:type="spellStart"/>
      <w:r w:rsidR="00FA0669" w:rsidRPr="00AA4BDE">
        <w:t>Meningitec</w:t>
      </w:r>
      <w:proofErr w:type="spellEnd"/>
      <w:r w:rsidR="00FA0669" w:rsidRPr="00AA4BDE">
        <w:t xml:space="preserve"> except in study -030 – see below. </w:t>
      </w:r>
    </w:p>
    <w:p w:rsidR="00672423" w:rsidRDefault="00FA0669" w:rsidP="00A876F4">
      <w:r w:rsidRPr="00672423">
        <w:rPr>
          <w:i/>
          <w:iCs/>
        </w:rPr>
        <w:t xml:space="preserve">Using </w:t>
      </w:r>
      <w:proofErr w:type="spellStart"/>
      <w:r w:rsidRPr="00672423">
        <w:rPr>
          <w:i/>
          <w:iCs/>
        </w:rPr>
        <w:t>hSBA</w:t>
      </w:r>
      <w:proofErr w:type="spellEnd"/>
      <w:r w:rsidRPr="00672423">
        <w:rPr>
          <w:i/>
          <w:iCs/>
        </w:rPr>
        <w:t xml:space="preserve"> titres:</w:t>
      </w:r>
      <w:r w:rsidRPr="00AA4BDE">
        <w:t xml:space="preserve"> 12-36 months post </w:t>
      </w:r>
      <w:proofErr w:type="spellStart"/>
      <w:r w:rsidRPr="00AA4BDE">
        <w:t>MenACWY</w:t>
      </w:r>
      <w:proofErr w:type="spellEnd"/>
      <w:r w:rsidRPr="00AA4BDE">
        <w:t xml:space="preserve">-TT, percentages with </w:t>
      </w:r>
      <w:proofErr w:type="spellStart"/>
      <w:r w:rsidRPr="00AA4BDE">
        <w:t>hSBA-MenA</w:t>
      </w:r>
      <w:proofErr w:type="spellEnd"/>
      <w:r w:rsidRPr="00AA4BDE">
        <w:t xml:space="preserve"> antibody titres ≥4 and ≥8 were low i.e. 21.8-25.1% and 5.6-23.0% respectively. In contrast, </w:t>
      </w:r>
      <w:proofErr w:type="spellStart"/>
      <w:r w:rsidRPr="00AA4BDE">
        <w:t>hSBA</w:t>
      </w:r>
      <w:proofErr w:type="spellEnd"/>
      <w:r w:rsidRPr="00AA4BDE">
        <w:t xml:space="preserve"> </w:t>
      </w:r>
      <w:proofErr w:type="spellStart"/>
      <w:r w:rsidRPr="00AA4BDE">
        <w:t>MenC</w:t>
      </w:r>
      <w:proofErr w:type="spellEnd"/>
      <w:r w:rsidRPr="00AA4BDE">
        <w:t xml:space="preserve"> titres ≥4 and ≥8 ranged from 87.5-96.3% in </w:t>
      </w:r>
      <w:proofErr w:type="spellStart"/>
      <w:r w:rsidRPr="00AA4BDE">
        <w:t>MenACWY</w:t>
      </w:r>
      <w:proofErr w:type="spellEnd"/>
      <w:r w:rsidRPr="00AA4BDE">
        <w:t xml:space="preserve">-TT recipients and 52.6-75.8% in </w:t>
      </w:r>
      <w:proofErr w:type="spellStart"/>
      <w:r w:rsidRPr="00AA4BDE">
        <w:t>Meningitec</w:t>
      </w:r>
      <w:proofErr w:type="spellEnd"/>
      <w:r w:rsidRPr="00AA4BDE">
        <w:t xml:space="preserve"> recipients. The percentage of subjects with </w:t>
      </w:r>
      <w:proofErr w:type="spellStart"/>
      <w:r w:rsidRPr="00AA4BDE">
        <w:t>hSBA-MenC</w:t>
      </w:r>
      <w:proofErr w:type="spellEnd"/>
      <w:r w:rsidRPr="00AA4BDE">
        <w:t xml:space="preserve"> titres ≥4 and ≥8 and GMTs were higher in the </w:t>
      </w:r>
      <w:proofErr w:type="spellStart"/>
      <w:r w:rsidRPr="00AA4BDE">
        <w:t>MenACWY</w:t>
      </w:r>
      <w:proofErr w:type="spellEnd"/>
      <w:r w:rsidRPr="00AA4BDE">
        <w:t xml:space="preserve">-TT groups vs. </w:t>
      </w:r>
      <w:proofErr w:type="spellStart"/>
      <w:r w:rsidRPr="00AA4BDE">
        <w:t>Meningitec</w:t>
      </w:r>
      <w:proofErr w:type="spellEnd"/>
      <w:r w:rsidRPr="00AA4BDE">
        <w:t xml:space="preserve"> groups except in study -030 at month 36 – and this finding i</w:t>
      </w:r>
      <w:r w:rsidR="00672423">
        <w:t>s bias</w:t>
      </w:r>
      <w:r w:rsidRPr="00AA4BDE">
        <w:t xml:space="preserve">ed by the much higher drop out from the </w:t>
      </w:r>
      <w:proofErr w:type="spellStart"/>
      <w:r w:rsidRPr="00AA4BDE">
        <w:t>Meningitec</w:t>
      </w:r>
      <w:proofErr w:type="spellEnd"/>
      <w:r w:rsidRPr="00AA4BDE">
        <w:t xml:space="preserve"> arm, so those left in that arm were the higher responders in that group. The percentage with </w:t>
      </w:r>
      <w:proofErr w:type="spellStart"/>
      <w:r w:rsidRPr="00AA4BDE">
        <w:t>hSBA</w:t>
      </w:r>
      <w:proofErr w:type="spellEnd"/>
      <w:r w:rsidRPr="00AA4BDE">
        <w:t xml:space="preserve"> MenW-135 titres ≥ 4 and ≥ 8 ranged from 79.9-100% 12 to 36 months after vaccination with </w:t>
      </w:r>
      <w:proofErr w:type="spellStart"/>
      <w:r w:rsidRPr="00AA4BDE">
        <w:t>MenACWY</w:t>
      </w:r>
      <w:proofErr w:type="spellEnd"/>
      <w:r w:rsidRPr="00AA4BDE">
        <w:t xml:space="preserve">-TT. Similarly, the percentage with </w:t>
      </w:r>
      <w:proofErr w:type="spellStart"/>
      <w:r w:rsidRPr="00AA4BDE">
        <w:t>hSBA</w:t>
      </w:r>
      <w:proofErr w:type="spellEnd"/>
      <w:r w:rsidRPr="00AA4BDE">
        <w:t xml:space="preserve"> </w:t>
      </w:r>
      <w:proofErr w:type="spellStart"/>
      <w:r w:rsidRPr="00AA4BDE">
        <w:t>MenY</w:t>
      </w:r>
      <w:proofErr w:type="spellEnd"/>
      <w:r w:rsidRPr="00AA4BDE">
        <w:t xml:space="preserve"> titres ≥4 and ≥ 8 ranged from 73.6% to 96.2%. </w:t>
      </w:r>
      <w:proofErr w:type="spellStart"/>
      <w:r w:rsidRPr="00AA4BDE">
        <w:t>Pardoxicall</w:t>
      </w:r>
      <w:r w:rsidR="00672423">
        <w:t>y</w:t>
      </w:r>
      <w:proofErr w:type="spellEnd"/>
      <w:r w:rsidR="00672423">
        <w:t xml:space="preserve">, in MenACWY-TT-027, </w:t>
      </w:r>
      <w:proofErr w:type="spellStart"/>
      <w:r w:rsidR="00672423">
        <w:t>hSBA</w:t>
      </w:r>
      <w:proofErr w:type="spellEnd"/>
      <w:r w:rsidR="00672423">
        <w:t xml:space="preserve"> to</w:t>
      </w:r>
      <w:r w:rsidRPr="00AA4BDE">
        <w:t xml:space="preserve"> –W and -Y were higher at month 12 post vaccination and fell in subsequent visits (m</w:t>
      </w:r>
      <w:r w:rsidR="00672423">
        <w:t>on</w:t>
      </w:r>
      <w:r w:rsidRPr="00AA4BDE">
        <w:t xml:space="preserve">th 24 and 36). </w:t>
      </w:r>
    </w:p>
    <w:p w:rsidR="00FA0669" w:rsidRPr="00AA4BDE" w:rsidRDefault="00FA0669" w:rsidP="00A876F4">
      <w:r w:rsidRPr="00AA4BDE">
        <w:t xml:space="preserve">Further analyses by age strata within this group, must be interpreted with caution as the numbers become rather small. Overall, the data suggest that age at vaccination in the second year of life does not generally impact the percentage of subjects with SBA titres ≥8 at persistence time-points and the persistence in terms of percentage of subjects with SBA titres above cut-off and GMTs was higher than that of </w:t>
      </w:r>
      <w:proofErr w:type="spellStart"/>
      <w:r w:rsidRPr="00AA4BDE">
        <w:t>MenC</w:t>
      </w:r>
      <w:proofErr w:type="spellEnd"/>
      <w:r w:rsidRPr="00AA4BDE">
        <w:t xml:space="preserve"> control group.</w:t>
      </w:r>
    </w:p>
    <w:p w:rsidR="00FA0669" w:rsidRPr="0047012E" w:rsidRDefault="00FA0669" w:rsidP="00A876F4">
      <w:pPr>
        <w:pStyle w:val="Heading5"/>
      </w:pPr>
      <w:r w:rsidRPr="0047012E">
        <w:t xml:space="preserve">Persistence of the immune response in children and adolescents vaccinated between 2 and 17 </w:t>
      </w:r>
      <w:r w:rsidR="00396F90">
        <w:t>years</w:t>
      </w:r>
      <w:r w:rsidRPr="0047012E">
        <w:t xml:space="preserve"> of age</w:t>
      </w:r>
    </w:p>
    <w:p w:rsidR="00101CF7" w:rsidRDefault="00FA0669" w:rsidP="00A876F4">
      <w:r w:rsidRPr="00AA4BDE">
        <w:rPr>
          <w:i/>
          <w:iCs/>
        </w:rPr>
        <w:t xml:space="preserve">Using </w:t>
      </w:r>
      <w:proofErr w:type="spellStart"/>
      <w:r w:rsidRPr="00AA4BDE">
        <w:rPr>
          <w:i/>
          <w:iCs/>
        </w:rPr>
        <w:t>rSBA</w:t>
      </w:r>
      <w:proofErr w:type="spellEnd"/>
      <w:r w:rsidRPr="00AA4BDE">
        <w:rPr>
          <w:i/>
          <w:iCs/>
        </w:rPr>
        <w:t xml:space="preserve"> titres:</w:t>
      </w:r>
      <w:r w:rsidRPr="0047012E">
        <w:t xml:space="preserve"> For subjects primed at 2-10 </w:t>
      </w:r>
      <w:r w:rsidR="00396F90">
        <w:t>years</w:t>
      </w:r>
      <w:r w:rsidRPr="0047012E">
        <w:t xml:space="preserve"> of age, persistence of the immune response was evaluated at 15 months</w:t>
      </w:r>
      <w:r w:rsidR="00101CF7">
        <w:t>,</w:t>
      </w:r>
      <w:r w:rsidRPr="0047012E">
        <w:t xml:space="preserve"> and at 12, 24 and 36 months after vaccination in MenACWY-TT-014 and MenACWY-TT-028/029/030, respectively. For subjects primed at 11-17 </w:t>
      </w:r>
      <w:r w:rsidR="00396F90">
        <w:t>years</w:t>
      </w:r>
      <w:r w:rsidRPr="0047012E">
        <w:t xml:space="preserve"> of age persistence of the immune response was evaluated 12 and 24 months after vaccination in studies MenACWY-TT-016/-017 and 24 months after vaccination in MenACWY-TT-043. In all persistence studies and in both age strata the percentages of subjects with </w:t>
      </w:r>
      <w:proofErr w:type="spellStart"/>
      <w:r w:rsidRPr="0047012E">
        <w:t>rSBA</w:t>
      </w:r>
      <w:proofErr w:type="spellEnd"/>
      <w:r w:rsidRPr="0047012E">
        <w:t xml:space="preserve"> titres ≥8 after vaccination with </w:t>
      </w:r>
      <w:proofErr w:type="spellStart"/>
      <w:r w:rsidRPr="0047012E">
        <w:t>MenACWY</w:t>
      </w:r>
      <w:proofErr w:type="spellEnd"/>
      <w:r w:rsidRPr="0047012E">
        <w:t xml:space="preserve">-TT at the persistence time points remained high for all </w:t>
      </w:r>
      <w:proofErr w:type="spellStart"/>
      <w:r w:rsidRPr="0047012E">
        <w:t>serogroups</w:t>
      </w:r>
      <w:proofErr w:type="spellEnd"/>
      <w:r w:rsidRPr="0047012E">
        <w:t xml:space="preserve"> (≥98.6%). The </w:t>
      </w:r>
      <w:proofErr w:type="spellStart"/>
      <w:r w:rsidRPr="0047012E">
        <w:t>rSBA</w:t>
      </w:r>
      <w:proofErr w:type="spellEnd"/>
      <w:r w:rsidRPr="0047012E">
        <w:t xml:space="preserve"> GMTs decreased between one month post </w:t>
      </w:r>
      <w:proofErr w:type="spellStart"/>
      <w:r w:rsidRPr="0047012E">
        <w:t>vax</w:t>
      </w:r>
      <w:proofErr w:type="spellEnd"/>
      <w:r w:rsidRPr="0047012E">
        <w:t xml:space="preserve"> and the persistence time points but remained higher than prior to vaccination for all 4 </w:t>
      </w:r>
      <w:proofErr w:type="spellStart"/>
      <w:r w:rsidRPr="0047012E">
        <w:t>serogroups</w:t>
      </w:r>
      <w:proofErr w:type="spellEnd"/>
      <w:r w:rsidRPr="0047012E">
        <w:t xml:space="preserve">. </w:t>
      </w:r>
    </w:p>
    <w:p w:rsidR="00FA0669" w:rsidRPr="0047012E" w:rsidRDefault="00FA0669" w:rsidP="00A876F4">
      <w:r w:rsidRPr="0047012E">
        <w:t xml:space="preserve">Exploratory analyses, performed to compare immunogenicity persistence after </w:t>
      </w:r>
      <w:proofErr w:type="spellStart"/>
      <w:r w:rsidRPr="0047012E">
        <w:t>MenACWY</w:t>
      </w:r>
      <w:proofErr w:type="spellEnd"/>
      <w:r w:rsidRPr="0047012E">
        <w:t xml:space="preserve">-TT and </w:t>
      </w:r>
      <w:proofErr w:type="spellStart"/>
      <w:r w:rsidRPr="0047012E">
        <w:t>Mencevax</w:t>
      </w:r>
      <w:proofErr w:type="spellEnd"/>
      <w:r w:rsidRPr="0047012E">
        <w:t xml:space="preserve"> showed </w:t>
      </w:r>
      <w:proofErr w:type="spellStart"/>
      <w:r w:rsidRPr="0047012E">
        <w:t>rSBA</w:t>
      </w:r>
      <w:proofErr w:type="spellEnd"/>
      <w:r w:rsidRPr="0047012E">
        <w:t xml:space="preserve"> GMTs for all 4 </w:t>
      </w:r>
      <w:proofErr w:type="spellStart"/>
      <w:r w:rsidRPr="0047012E">
        <w:t>serogroups</w:t>
      </w:r>
      <w:proofErr w:type="spellEnd"/>
      <w:r w:rsidRPr="0047012E">
        <w:t xml:space="preserve"> were higher with </w:t>
      </w:r>
      <w:proofErr w:type="spellStart"/>
      <w:r w:rsidRPr="0047012E">
        <w:t>MenACWY</w:t>
      </w:r>
      <w:proofErr w:type="spellEnd"/>
      <w:r w:rsidRPr="0047012E">
        <w:t xml:space="preserve">-TT 15 and 24 months post vaccination in subjects vaccinated at 2-10 </w:t>
      </w:r>
      <w:r w:rsidR="00396F90">
        <w:t>years</w:t>
      </w:r>
      <w:r w:rsidRPr="0047012E">
        <w:t xml:space="preserve"> of age (</w:t>
      </w:r>
      <w:proofErr w:type="spellStart"/>
      <w:r w:rsidRPr="0047012E">
        <w:t>MenACWY</w:t>
      </w:r>
      <w:proofErr w:type="spellEnd"/>
      <w:r w:rsidRPr="0047012E">
        <w:t>-TT- 014;</w:t>
      </w:r>
      <w:r w:rsidR="00101CF7">
        <w:t xml:space="preserve"> </w:t>
      </w:r>
      <w:r w:rsidRPr="0047012E">
        <w:t xml:space="preserve">MenACWY-TT-029). In MenACWY-TT-043 (in subjects vaccinated at 11-17 </w:t>
      </w:r>
      <w:r w:rsidR="00396F90">
        <w:t>years</w:t>
      </w:r>
      <w:r w:rsidRPr="0047012E">
        <w:t xml:space="preserve"> of age), 24 months after vaccination, the </w:t>
      </w:r>
      <w:proofErr w:type="spellStart"/>
      <w:r w:rsidRPr="0047012E">
        <w:t>rSBA</w:t>
      </w:r>
      <w:proofErr w:type="spellEnd"/>
      <w:r w:rsidRPr="0047012E">
        <w:t xml:space="preserve"> GMTs for </w:t>
      </w:r>
      <w:proofErr w:type="spellStart"/>
      <w:r w:rsidRPr="0047012E">
        <w:t>MenA</w:t>
      </w:r>
      <w:proofErr w:type="spellEnd"/>
      <w:r w:rsidRPr="0047012E">
        <w:t xml:space="preserve">, W-135 and Y were higher in </w:t>
      </w:r>
      <w:proofErr w:type="spellStart"/>
      <w:r w:rsidRPr="0047012E">
        <w:t>MenACWY</w:t>
      </w:r>
      <w:proofErr w:type="spellEnd"/>
      <w:r w:rsidRPr="0047012E">
        <w:t xml:space="preserve">-TT vs. </w:t>
      </w:r>
      <w:proofErr w:type="spellStart"/>
      <w:r w:rsidRPr="0047012E">
        <w:t>Mencevax</w:t>
      </w:r>
      <w:proofErr w:type="spellEnd"/>
      <w:r w:rsidRPr="0047012E">
        <w:t xml:space="preserve"> recipients, but </w:t>
      </w:r>
      <w:proofErr w:type="spellStart"/>
      <w:r w:rsidRPr="0047012E">
        <w:t>rSBA</w:t>
      </w:r>
      <w:proofErr w:type="spellEnd"/>
      <w:r w:rsidRPr="0047012E">
        <w:t xml:space="preserve"> GMTs for </w:t>
      </w:r>
      <w:proofErr w:type="spellStart"/>
      <w:r w:rsidRPr="0047012E">
        <w:t>MenC</w:t>
      </w:r>
      <w:proofErr w:type="spellEnd"/>
      <w:r w:rsidRPr="0047012E">
        <w:t xml:space="preserve"> were lower in </w:t>
      </w:r>
      <w:proofErr w:type="spellStart"/>
      <w:r w:rsidRPr="0047012E">
        <w:t>MenACWY</w:t>
      </w:r>
      <w:proofErr w:type="spellEnd"/>
      <w:r w:rsidRPr="0047012E">
        <w:t>-TT subjects.</w:t>
      </w:r>
    </w:p>
    <w:p w:rsidR="00FA0669" w:rsidRPr="0047012E" w:rsidRDefault="00FA0669" w:rsidP="00A876F4">
      <w:pPr>
        <w:pStyle w:val="Heading5"/>
      </w:pPr>
      <w:r w:rsidRPr="0047012E">
        <w:t xml:space="preserve">Persistence of the immune response in children (2 to 10 </w:t>
      </w:r>
      <w:r w:rsidR="00396F90">
        <w:t>years</w:t>
      </w:r>
      <w:r w:rsidRPr="0047012E">
        <w:t xml:space="preserve"> of age)</w:t>
      </w:r>
    </w:p>
    <w:p w:rsidR="00FA0669" w:rsidRPr="0047012E" w:rsidRDefault="00FA0669" w:rsidP="00A876F4">
      <w:r w:rsidRPr="00FB743C">
        <w:rPr>
          <w:i/>
          <w:iCs/>
        </w:rPr>
        <w:t xml:space="preserve">Using </w:t>
      </w:r>
      <w:proofErr w:type="spellStart"/>
      <w:r w:rsidRPr="00FB743C">
        <w:rPr>
          <w:i/>
          <w:iCs/>
        </w:rPr>
        <w:t>hSBA</w:t>
      </w:r>
      <w:proofErr w:type="spellEnd"/>
      <w:r w:rsidRPr="00FB743C">
        <w:rPr>
          <w:i/>
          <w:iCs/>
        </w:rPr>
        <w:t xml:space="preserve"> titres:</w:t>
      </w:r>
      <w:r w:rsidRPr="0047012E">
        <w:t xml:space="preserve"> In studies in children 12-15 months after </w:t>
      </w:r>
      <w:proofErr w:type="spellStart"/>
      <w:r w:rsidRPr="0047012E">
        <w:t>MenACWY</w:t>
      </w:r>
      <w:proofErr w:type="spellEnd"/>
      <w:r w:rsidRPr="0047012E">
        <w:t xml:space="preserve">-TT vaccination, the percentage with </w:t>
      </w:r>
      <w:proofErr w:type="spellStart"/>
      <w:r w:rsidRPr="0047012E">
        <w:t>hSBA-MenA</w:t>
      </w:r>
      <w:proofErr w:type="spellEnd"/>
      <w:r w:rsidRPr="0047012E">
        <w:t xml:space="preserve"> antibody titres ≥4 and ≥8 were low, ranging from 16.3 -31.0%. The percentage with </w:t>
      </w:r>
      <w:proofErr w:type="spellStart"/>
      <w:r w:rsidRPr="0047012E">
        <w:t>hSBA-MenA</w:t>
      </w:r>
      <w:proofErr w:type="spellEnd"/>
      <w:r w:rsidRPr="0047012E">
        <w:t xml:space="preserve"> antibody titres ≥4 and ≥8 following </w:t>
      </w:r>
      <w:proofErr w:type="spellStart"/>
      <w:r w:rsidRPr="0047012E">
        <w:t>Mencevax</w:t>
      </w:r>
      <w:proofErr w:type="spellEnd"/>
      <w:r w:rsidRPr="0047012E">
        <w:t xml:space="preserve"> administration were also low i.e. 0.0 to 11.4%; </w:t>
      </w:r>
      <w:proofErr w:type="spellStart"/>
      <w:r w:rsidRPr="0047012E">
        <w:t>immunoprotective</w:t>
      </w:r>
      <w:proofErr w:type="spellEnd"/>
      <w:r w:rsidRPr="0047012E">
        <w:t xml:space="preserve"> </w:t>
      </w:r>
      <w:proofErr w:type="spellStart"/>
      <w:r w:rsidRPr="0047012E">
        <w:t>hSBA</w:t>
      </w:r>
      <w:proofErr w:type="spellEnd"/>
      <w:r w:rsidRPr="0047012E">
        <w:t xml:space="preserve"> </w:t>
      </w:r>
      <w:proofErr w:type="spellStart"/>
      <w:r w:rsidRPr="0047012E">
        <w:t>MenC</w:t>
      </w:r>
      <w:proofErr w:type="spellEnd"/>
      <w:r w:rsidRPr="0047012E">
        <w:t xml:space="preserve"> titres and GMTs were higher in </w:t>
      </w:r>
      <w:proofErr w:type="spellStart"/>
      <w:r w:rsidRPr="0047012E">
        <w:t>MenACWY</w:t>
      </w:r>
      <w:proofErr w:type="spellEnd"/>
      <w:r w:rsidRPr="0047012E">
        <w:t xml:space="preserve">-TT group vs. </w:t>
      </w:r>
      <w:proofErr w:type="spellStart"/>
      <w:r w:rsidRPr="0047012E">
        <w:t>Mencevax</w:t>
      </w:r>
      <w:proofErr w:type="spellEnd"/>
      <w:r w:rsidRPr="0047012E">
        <w:t xml:space="preserve"> group 12-15 months post vaccination. Percentage with </w:t>
      </w:r>
      <w:proofErr w:type="spellStart"/>
      <w:r w:rsidRPr="0047012E">
        <w:t>hSBA</w:t>
      </w:r>
      <w:proofErr w:type="spellEnd"/>
      <w:r w:rsidRPr="0047012E">
        <w:t xml:space="preserve"> </w:t>
      </w:r>
      <w:proofErr w:type="spellStart"/>
      <w:r w:rsidRPr="0047012E">
        <w:t>MenC</w:t>
      </w:r>
      <w:proofErr w:type="spellEnd"/>
      <w:r w:rsidRPr="0047012E">
        <w:t xml:space="preserve"> titres ≥4 and ≥8 was 94.3-98.2% (</w:t>
      </w:r>
      <w:proofErr w:type="spellStart"/>
      <w:r w:rsidRPr="0047012E">
        <w:t>MenACWY</w:t>
      </w:r>
      <w:proofErr w:type="spellEnd"/>
      <w:r w:rsidRPr="0047012E">
        <w:t>-TT) and 32.3-77.3% (</w:t>
      </w:r>
      <w:proofErr w:type="spellStart"/>
      <w:r w:rsidRPr="0047012E">
        <w:t>Mencevax</w:t>
      </w:r>
      <w:proofErr w:type="spellEnd"/>
      <w:r w:rsidRPr="0047012E">
        <w:t xml:space="preserve">). The percentage with hSBA-MenW-135 titres ≥4 and ≥8, 12-15 months after </w:t>
      </w:r>
      <w:proofErr w:type="spellStart"/>
      <w:r w:rsidRPr="0047012E">
        <w:t>MenACWY</w:t>
      </w:r>
      <w:proofErr w:type="spellEnd"/>
      <w:r w:rsidRPr="0047012E">
        <w:t xml:space="preserve">-TT ranged from 95.8-100% and were higher compared to </w:t>
      </w:r>
      <w:proofErr w:type="spellStart"/>
      <w:r w:rsidRPr="0047012E">
        <w:t>Mencevax</w:t>
      </w:r>
      <w:proofErr w:type="spellEnd"/>
      <w:r w:rsidRPr="0047012E">
        <w:t xml:space="preserve"> (12.9-37.3%). Similarly, the percentage with </w:t>
      </w:r>
      <w:proofErr w:type="spellStart"/>
      <w:r w:rsidRPr="0047012E">
        <w:t>hSBA-MenY</w:t>
      </w:r>
      <w:proofErr w:type="spellEnd"/>
      <w:r w:rsidRPr="0047012E">
        <w:t xml:space="preserve"> titres ≥4 and ≥8 12-15 months following </w:t>
      </w:r>
      <w:proofErr w:type="spellStart"/>
      <w:r w:rsidRPr="0047012E">
        <w:t>MenACWY</w:t>
      </w:r>
      <w:proofErr w:type="spellEnd"/>
      <w:r w:rsidRPr="0047012E">
        <w:t xml:space="preserve">-TT and </w:t>
      </w:r>
      <w:proofErr w:type="spellStart"/>
      <w:r w:rsidRPr="0047012E">
        <w:t>Mencevax</w:t>
      </w:r>
      <w:proofErr w:type="spellEnd"/>
      <w:r w:rsidRPr="0047012E">
        <w:t xml:space="preserve"> vaccination ranged from 90.6-100% and from 33.3% to 63.2% respectively. Increases </w:t>
      </w:r>
      <w:r w:rsidRPr="0047012E">
        <w:lastRenderedPageBreak/>
        <w:t xml:space="preserve">in </w:t>
      </w:r>
      <w:proofErr w:type="spellStart"/>
      <w:r w:rsidRPr="0047012E">
        <w:t>hSBA</w:t>
      </w:r>
      <w:proofErr w:type="spellEnd"/>
      <w:r w:rsidRPr="0047012E">
        <w:t xml:space="preserve"> MenW-135 and </w:t>
      </w:r>
      <w:proofErr w:type="spellStart"/>
      <w:r w:rsidRPr="0047012E">
        <w:t>MenY</w:t>
      </w:r>
      <w:proofErr w:type="spellEnd"/>
      <w:r w:rsidRPr="0047012E">
        <w:t xml:space="preserve"> GMTs were observed 12-15 months post </w:t>
      </w:r>
      <w:proofErr w:type="spellStart"/>
      <w:r w:rsidRPr="0047012E">
        <w:t>MenACWY</w:t>
      </w:r>
      <w:proofErr w:type="spellEnd"/>
      <w:r w:rsidRPr="0047012E">
        <w:t xml:space="preserve">-TT vaccination in studies conducted in children. </w:t>
      </w:r>
    </w:p>
    <w:p w:rsidR="006F6E2C" w:rsidRDefault="00FA0669" w:rsidP="00A876F4">
      <w:pPr>
        <w:pStyle w:val="Heading5"/>
      </w:pPr>
      <w:r w:rsidRPr="0047012E">
        <w:t xml:space="preserve">Persistence of the immune response in adults </w:t>
      </w:r>
    </w:p>
    <w:p w:rsidR="000366AE" w:rsidRDefault="006F6E2C" w:rsidP="00A876F4">
      <w:r w:rsidRPr="00FB743C">
        <w:rPr>
          <w:i/>
          <w:iCs/>
        </w:rPr>
        <w:t>U</w:t>
      </w:r>
      <w:r w:rsidR="00FA0669" w:rsidRPr="00FB743C">
        <w:rPr>
          <w:i/>
          <w:iCs/>
        </w:rPr>
        <w:t xml:space="preserve">sing </w:t>
      </w:r>
      <w:proofErr w:type="spellStart"/>
      <w:r w:rsidR="00FA0669" w:rsidRPr="00FB743C">
        <w:rPr>
          <w:i/>
          <w:iCs/>
        </w:rPr>
        <w:t>rSBA</w:t>
      </w:r>
      <w:proofErr w:type="spellEnd"/>
      <w:r w:rsidR="00FA0669" w:rsidRPr="00FB743C">
        <w:rPr>
          <w:i/>
          <w:iCs/>
        </w:rPr>
        <w:t xml:space="preserve"> titres:</w:t>
      </w:r>
      <w:r w:rsidR="00FA0669" w:rsidRPr="0047012E">
        <w:t xml:space="preserve"> Persistence of the immune response in adults was evaluated 1 and 2 y</w:t>
      </w:r>
      <w:r w:rsidR="000366AE">
        <w:t>ear</w:t>
      </w:r>
      <w:r w:rsidR="00FA0669" w:rsidRPr="0047012E">
        <w:t xml:space="preserve">s after vaccination (MenACWY-TT-016 and -017) and 18, 30 and 42 months after vaccination (MenACWY-TT-024, -025 and -026). In all persistence studies, percentage with </w:t>
      </w:r>
      <w:proofErr w:type="spellStart"/>
      <w:r w:rsidR="00FA0669" w:rsidRPr="0047012E">
        <w:t>rSBA</w:t>
      </w:r>
      <w:proofErr w:type="spellEnd"/>
      <w:r w:rsidR="00FA0669" w:rsidRPr="0047012E">
        <w:t xml:space="preserve"> titres ≥8 after vaccination with </w:t>
      </w:r>
      <w:proofErr w:type="spellStart"/>
      <w:r w:rsidR="00FA0669" w:rsidRPr="0047012E">
        <w:t>MenACWY</w:t>
      </w:r>
      <w:proofErr w:type="spellEnd"/>
      <w:r w:rsidR="00FA0669" w:rsidRPr="0047012E">
        <w:t xml:space="preserve">-TT at the persistence time points remained high for all </w:t>
      </w:r>
      <w:proofErr w:type="spellStart"/>
      <w:r w:rsidR="00FA0669" w:rsidRPr="0047012E">
        <w:t>serogroups</w:t>
      </w:r>
      <w:proofErr w:type="spellEnd"/>
      <w:r w:rsidR="00FA0669" w:rsidRPr="0047012E">
        <w:t xml:space="preserve"> (≥99.2%). </w:t>
      </w:r>
      <w:proofErr w:type="spellStart"/>
      <w:r w:rsidR="00FA0669" w:rsidRPr="0047012E">
        <w:t>rSBA</w:t>
      </w:r>
      <w:proofErr w:type="spellEnd"/>
      <w:r w:rsidR="00FA0669" w:rsidRPr="0047012E">
        <w:t xml:space="preserve"> GMTs decr</w:t>
      </w:r>
      <w:r w:rsidR="000366AE">
        <w:t>eased between one month post vaccination</w:t>
      </w:r>
      <w:r w:rsidR="00FA0669" w:rsidRPr="0047012E">
        <w:t xml:space="preserve"> and the persistence time points but remained higher than prior to vaccination for all four </w:t>
      </w:r>
      <w:proofErr w:type="spellStart"/>
      <w:r w:rsidR="00FA0669" w:rsidRPr="0047012E">
        <w:t>serogroups</w:t>
      </w:r>
      <w:proofErr w:type="spellEnd"/>
      <w:r w:rsidR="00FA0669" w:rsidRPr="0047012E">
        <w:t>.</w:t>
      </w:r>
      <w:r>
        <w:t xml:space="preserve"> </w:t>
      </w:r>
    </w:p>
    <w:p w:rsidR="00FA0669" w:rsidRPr="0047012E" w:rsidRDefault="00FA0669" w:rsidP="00A876F4">
      <w:r w:rsidRPr="0047012E">
        <w:t xml:space="preserve">For the persistence studies in which more than one persistence </w:t>
      </w:r>
      <w:proofErr w:type="spellStart"/>
      <w:r w:rsidRPr="0047012E">
        <w:t>timepoint</w:t>
      </w:r>
      <w:proofErr w:type="spellEnd"/>
      <w:r w:rsidRPr="0047012E">
        <w:t xml:space="preserve"> is available (studies MenACWY-TT-024/025/026, and MenACWY-TT-016/017), the highest drop in titres </w:t>
      </w:r>
      <w:r w:rsidR="000366AE" w:rsidRPr="0047012E">
        <w:t>occurred</w:t>
      </w:r>
      <w:r w:rsidRPr="0047012E">
        <w:t xml:space="preserve"> between the post-vaccination and first persistence </w:t>
      </w:r>
      <w:proofErr w:type="spellStart"/>
      <w:r w:rsidRPr="0047012E">
        <w:t>timepoint</w:t>
      </w:r>
      <w:proofErr w:type="spellEnd"/>
      <w:r w:rsidRPr="0047012E">
        <w:t xml:space="preserve">, with smaller declines in titres between first and subsequent persistence </w:t>
      </w:r>
      <w:proofErr w:type="spellStart"/>
      <w:r w:rsidRPr="0047012E">
        <w:t>timepoints</w:t>
      </w:r>
      <w:proofErr w:type="spellEnd"/>
      <w:r w:rsidRPr="0047012E">
        <w:t xml:space="preserve">. Exploratory analyses showed at year 2, </w:t>
      </w:r>
      <w:proofErr w:type="spellStart"/>
      <w:r w:rsidRPr="0047012E">
        <w:t>rSBA</w:t>
      </w:r>
      <w:proofErr w:type="spellEnd"/>
      <w:r w:rsidRPr="0047012E">
        <w:t xml:space="preserve"> </w:t>
      </w:r>
      <w:proofErr w:type="spellStart"/>
      <w:r w:rsidRPr="0047012E">
        <w:t>MenA</w:t>
      </w:r>
      <w:proofErr w:type="spellEnd"/>
      <w:r w:rsidRPr="0047012E">
        <w:t xml:space="preserve">, -W-135 and -Y GMTs were statistically significantly higher in </w:t>
      </w:r>
      <w:proofErr w:type="spellStart"/>
      <w:r w:rsidRPr="0047012E">
        <w:t>MenACWY</w:t>
      </w:r>
      <w:proofErr w:type="spellEnd"/>
      <w:r w:rsidRPr="0047012E">
        <w:t xml:space="preserve">-TT vs. </w:t>
      </w:r>
      <w:proofErr w:type="spellStart"/>
      <w:r w:rsidRPr="0047012E">
        <w:t>Mencevax</w:t>
      </w:r>
      <w:proofErr w:type="spellEnd"/>
      <w:r w:rsidRPr="0047012E">
        <w:t xml:space="preserve"> groups (-017=persistence MenACWY-TT-015). Forty-two months after primary vaccination, </w:t>
      </w:r>
      <w:proofErr w:type="spellStart"/>
      <w:r w:rsidRPr="0047012E">
        <w:t>MenACWY</w:t>
      </w:r>
      <w:proofErr w:type="spellEnd"/>
      <w:r w:rsidRPr="0047012E">
        <w:t xml:space="preserve">-TT recipients had significantly higher GMTs vs. </w:t>
      </w:r>
      <w:proofErr w:type="spellStart"/>
      <w:r w:rsidRPr="0047012E">
        <w:t>Mencevax</w:t>
      </w:r>
      <w:proofErr w:type="spellEnd"/>
      <w:r w:rsidRPr="0047012E">
        <w:t xml:space="preserve"> ACWY-group for </w:t>
      </w:r>
      <w:proofErr w:type="spellStart"/>
      <w:r w:rsidRPr="0047012E">
        <w:t>serogroup</w:t>
      </w:r>
      <w:proofErr w:type="spellEnd"/>
      <w:r w:rsidRPr="0047012E">
        <w:t xml:space="preserve"> MenW-135 in study MenACWY-TT-026 (persistence of MenACWY-TT-012).</w:t>
      </w:r>
    </w:p>
    <w:p w:rsidR="006F6E2C" w:rsidRDefault="00FA0669" w:rsidP="00A876F4">
      <w:pPr>
        <w:pStyle w:val="Heading5"/>
      </w:pPr>
      <w:r w:rsidRPr="0047012E">
        <w:t xml:space="preserve">Persistence of the immune response in adolescents and adults </w:t>
      </w:r>
    </w:p>
    <w:p w:rsidR="00FA0669" w:rsidRPr="0047012E" w:rsidRDefault="006F6E2C" w:rsidP="00A876F4">
      <w:r w:rsidRPr="00FB743C">
        <w:rPr>
          <w:i/>
          <w:iCs/>
        </w:rPr>
        <w:t>U</w:t>
      </w:r>
      <w:r w:rsidR="00FA0669" w:rsidRPr="00FB743C">
        <w:rPr>
          <w:i/>
          <w:iCs/>
        </w:rPr>
        <w:t xml:space="preserve">sing </w:t>
      </w:r>
      <w:proofErr w:type="spellStart"/>
      <w:r w:rsidR="00FA0669" w:rsidRPr="00FB743C">
        <w:rPr>
          <w:i/>
          <w:iCs/>
        </w:rPr>
        <w:t>hSBA</w:t>
      </w:r>
      <w:proofErr w:type="spellEnd"/>
      <w:r w:rsidR="00FA0669" w:rsidRPr="00FB743C">
        <w:rPr>
          <w:i/>
          <w:iCs/>
        </w:rPr>
        <w:t xml:space="preserve"> titres:</w:t>
      </w:r>
      <w:r w:rsidR="00FA0669" w:rsidRPr="0047012E">
        <w:t xml:space="preserve"> MenACWY-TT-025/026 evaluated immune persistence 30 and 42 months res</w:t>
      </w:r>
      <w:r w:rsidR="00FB743C">
        <w:t xml:space="preserve">pectively after vaccination of </w:t>
      </w:r>
      <w:r w:rsidR="00FA0669" w:rsidRPr="0047012E">
        <w:t>1</w:t>
      </w:r>
      <w:r w:rsidR="00033AEF">
        <w:t>5</w:t>
      </w:r>
      <w:r w:rsidR="00FA0669" w:rsidRPr="0047012E">
        <w:t xml:space="preserve"> to </w:t>
      </w:r>
      <w:r w:rsidR="00033AEF">
        <w:t>19</w:t>
      </w:r>
      <w:r w:rsidR="00FA0669" w:rsidRPr="0047012E">
        <w:t xml:space="preserve"> year olds with </w:t>
      </w:r>
      <w:proofErr w:type="spellStart"/>
      <w:r w:rsidR="00FA0669" w:rsidRPr="0047012E">
        <w:t>MenACWY</w:t>
      </w:r>
      <w:proofErr w:type="spellEnd"/>
      <w:r w:rsidR="00FA0669" w:rsidRPr="0047012E">
        <w:t xml:space="preserve">-TT or </w:t>
      </w:r>
      <w:proofErr w:type="spellStart"/>
      <w:r w:rsidR="00FA0669" w:rsidRPr="0047012E">
        <w:t>Mencevax</w:t>
      </w:r>
      <w:proofErr w:type="spellEnd"/>
      <w:r w:rsidR="00FA0669" w:rsidRPr="0047012E">
        <w:t xml:space="preserve"> in MenACWY-TT-012. 42 months after vaccination with </w:t>
      </w:r>
      <w:proofErr w:type="spellStart"/>
      <w:r w:rsidR="00FA0669" w:rsidRPr="0047012E">
        <w:t>MenACWYTT</w:t>
      </w:r>
      <w:proofErr w:type="spellEnd"/>
      <w:r w:rsidR="00FA0669" w:rsidRPr="0047012E">
        <w:t xml:space="preserve">, </w:t>
      </w:r>
      <w:proofErr w:type="spellStart"/>
      <w:r w:rsidR="00FA0669" w:rsidRPr="0047012E">
        <w:t>hSBA</w:t>
      </w:r>
      <w:proofErr w:type="spellEnd"/>
      <w:r w:rsidR="00FA0669" w:rsidRPr="0047012E">
        <w:t xml:space="preserve"> titres ≥4 and 8 persisted in ≥88.9% of subjects for </w:t>
      </w:r>
      <w:proofErr w:type="spellStart"/>
      <w:r w:rsidR="00FA0669" w:rsidRPr="0047012E">
        <w:t>serogroups</w:t>
      </w:r>
      <w:proofErr w:type="spellEnd"/>
      <w:r w:rsidR="00FA0669" w:rsidRPr="0047012E">
        <w:t xml:space="preserve"> C, W-135 and Y. For </w:t>
      </w:r>
      <w:proofErr w:type="spellStart"/>
      <w:r w:rsidR="00FA0669" w:rsidRPr="0047012E">
        <w:t>MenA</w:t>
      </w:r>
      <w:proofErr w:type="spellEnd"/>
      <w:r w:rsidR="00FA0669" w:rsidRPr="0047012E">
        <w:t xml:space="preserve">, persistence was lower in </w:t>
      </w:r>
      <w:proofErr w:type="spellStart"/>
      <w:r w:rsidR="00FA0669" w:rsidRPr="0047012E">
        <w:t>MenACWY</w:t>
      </w:r>
      <w:proofErr w:type="spellEnd"/>
      <w:r w:rsidR="00FA0669" w:rsidRPr="0047012E">
        <w:t>-TT group</w:t>
      </w:r>
      <w:r w:rsidR="00972FFE">
        <w:t>,</w:t>
      </w:r>
      <w:r w:rsidR="00FA0669" w:rsidRPr="0047012E">
        <w:t xml:space="preserve"> i.e. 61.1% and 50.0% </w:t>
      </w:r>
      <w:proofErr w:type="spellStart"/>
      <w:r w:rsidR="00FA0669" w:rsidRPr="0047012E">
        <w:t>hSBA</w:t>
      </w:r>
      <w:proofErr w:type="spellEnd"/>
      <w:r w:rsidR="00FA0669" w:rsidRPr="0047012E">
        <w:t xml:space="preserve"> titres ≥4 and ≥8 respectively; </w:t>
      </w:r>
      <w:proofErr w:type="spellStart"/>
      <w:r w:rsidR="00FA0669" w:rsidRPr="0047012E">
        <w:t>hSBA</w:t>
      </w:r>
      <w:proofErr w:type="spellEnd"/>
      <w:r w:rsidR="00FA0669" w:rsidRPr="0047012E">
        <w:t xml:space="preserve"> titres ≥4 and 8 persisted in ≥81.3% of </w:t>
      </w:r>
      <w:proofErr w:type="spellStart"/>
      <w:r w:rsidR="00FA0669" w:rsidRPr="0047012E">
        <w:t>Mencevax</w:t>
      </w:r>
      <w:proofErr w:type="spellEnd"/>
      <w:r w:rsidR="00FA0669" w:rsidRPr="0047012E">
        <w:t xml:space="preserve"> subjects for all four </w:t>
      </w:r>
      <w:proofErr w:type="spellStart"/>
      <w:r w:rsidR="00FA0669" w:rsidRPr="0047012E">
        <w:t>serogroups</w:t>
      </w:r>
      <w:proofErr w:type="spellEnd"/>
      <w:r w:rsidR="00FA0669" w:rsidRPr="0047012E">
        <w:t>. Not</w:t>
      </w:r>
      <w:r w:rsidR="00972FFE">
        <w:t>e</w:t>
      </w:r>
      <w:r w:rsidR="00FA0669" w:rsidRPr="0047012E">
        <w:t xml:space="preserve"> the small sample size for these data. </w:t>
      </w:r>
    </w:p>
    <w:p w:rsidR="00FA0669" w:rsidRPr="00FA0669" w:rsidRDefault="00FA0669" w:rsidP="00A876F4">
      <w:pPr>
        <w:rPr>
          <w:lang w:eastAsia="ja-JP"/>
        </w:rPr>
      </w:pPr>
      <w:r w:rsidRPr="0047012E">
        <w:t xml:space="preserve">Twelve month persistence data in 11-25 year olds given </w:t>
      </w:r>
      <w:proofErr w:type="spellStart"/>
      <w:r w:rsidRPr="0047012E">
        <w:t>MenACWY</w:t>
      </w:r>
      <w:proofErr w:type="spellEnd"/>
      <w:r w:rsidRPr="0047012E">
        <w:t>-</w:t>
      </w:r>
      <w:r w:rsidR="00972FFE">
        <w:t xml:space="preserve">TT or </w:t>
      </w:r>
      <w:proofErr w:type="spellStart"/>
      <w:r w:rsidR="00972FFE">
        <w:t>Menactra</w:t>
      </w:r>
      <w:proofErr w:type="spellEnd"/>
      <w:r w:rsidR="00972FFE">
        <w:t xml:space="preserve"> (MenACWY-TT-059)</w:t>
      </w:r>
      <w:r w:rsidRPr="0047012E">
        <w:t xml:space="preserve"> revealed </w:t>
      </w:r>
      <w:proofErr w:type="spellStart"/>
      <w:r w:rsidRPr="0047012E">
        <w:t>immun</w:t>
      </w:r>
      <w:r w:rsidR="00033AEF">
        <w:t>o</w:t>
      </w:r>
      <w:r w:rsidRPr="0047012E">
        <w:t>protective</w:t>
      </w:r>
      <w:proofErr w:type="spellEnd"/>
      <w:r w:rsidRPr="0047012E">
        <w:t xml:space="preserve"> </w:t>
      </w:r>
      <w:proofErr w:type="spellStart"/>
      <w:r w:rsidRPr="0047012E">
        <w:t>hSBA</w:t>
      </w:r>
      <w:proofErr w:type="spellEnd"/>
      <w:r w:rsidRPr="0047012E">
        <w:t xml:space="preserve"> titres for </w:t>
      </w:r>
      <w:proofErr w:type="spellStart"/>
      <w:r w:rsidRPr="0047012E">
        <w:t>MenC</w:t>
      </w:r>
      <w:proofErr w:type="spellEnd"/>
      <w:r w:rsidRPr="0047012E">
        <w:t xml:space="preserve">, MenW-135, and </w:t>
      </w:r>
      <w:proofErr w:type="spellStart"/>
      <w:r w:rsidRPr="0047012E">
        <w:t>MenY</w:t>
      </w:r>
      <w:proofErr w:type="spellEnd"/>
      <w:r w:rsidRPr="0047012E">
        <w:t xml:space="preserve"> ranging from 94.9%-98.5% vs. 73.3%-86.7% for </w:t>
      </w:r>
      <w:proofErr w:type="spellStart"/>
      <w:r w:rsidRPr="0047012E">
        <w:t>MenACWY</w:t>
      </w:r>
      <w:proofErr w:type="spellEnd"/>
      <w:r w:rsidRPr="0047012E">
        <w:t xml:space="preserve">-TT vs. </w:t>
      </w:r>
      <w:proofErr w:type="spellStart"/>
      <w:r w:rsidRPr="0047012E">
        <w:t>Menactra</w:t>
      </w:r>
      <w:proofErr w:type="spellEnd"/>
      <w:r w:rsidRPr="0047012E">
        <w:t xml:space="preserve"> recipients respectively, this difference was statistically significant. For </w:t>
      </w:r>
      <w:proofErr w:type="spellStart"/>
      <w:r w:rsidRPr="0047012E">
        <w:t>MenA</w:t>
      </w:r>
      <w:proofErr w:type="spellEnd"/>
      <w:r w:rsidRPr="0047012E">
        <w:t xml:space="preserve">, immune persistence was lower i.e. </w:t>
      </w:r>
      <w:proofErr w:type="spellStart"/>
      <w:r w:rsidRPr="0047012E">
        <w:t>hSBA</w:t>
      </w:r>
      <w:proofErr w:type="spellEnd"/>
      <w:r w:rsidRPr="0047012E">
        <w:t xml:space="preserve"> titres ≥8 in 29.1% and 31.3% in </w:t>
      </w:r>
      <w:proofErr w:type="spellStart"/>
      <w:r w:rsidRPr="0047012E">
        <w:t>MenACWY</w:t>
      </w:r>
      <w:proofErr w:type="spellEnd"/>
      <w:r w:rsidRPr="0047012E">
        <w:t xml:space="preserve">-TT and </w:t>
      </w:r>
      <w:proofErr w:type="spellStart"/>
      <w:r w:rsidRPr="0047012E">
        <w:t>Menactra</w:t>
      </w:r>
      <w:proofErr w:type="spellEnd"/>
      <w:r w:rsidRPr="0047012E">
        <w:t xml:space="preserve"> groups respectively; in both vaccine groups this represented a considerable titre decline since one month post va</w:t>
      </w:r>
      <w:r w:rsidR="00972FFE">
        <w:t xml:space="preserve">ccination </w:t>
      </w:r>
      <w:r w:rsidRPr="0047012E">
        <w:t xml:space="preserve">levels. This contrasts with some of the paradoxical increases in </w:t>
      </w:r>
      <w:proofErr w:type="spellStart"/>
      <w:r w:rsidRPr="0047012E">
        <w:t>MenW</w:t>
      </w:r>
      <w:proofErr w:type="spellEnd"/>
      <w:r w:rsidRPr="0047012E">
        <w:t xml:space="preserve"> titres (</w:t>
      </w:r>
      <w:proofErr w:type="spellStart"/>
      <w:r w:rsidRPr="0047012E">
        <w:t>MenACWY</w:t>
      </w:r>
      <w:proofErr w:type="spellEnd"/>
      <w:r w:rsidRPr="0047012E">
        <w:t xml:space="preserve">-TT </w:t>
      </w:r>
      <w:proofErr w:type="spellStart"/>
      <w:r w:rsidRPr="0047012E">
        <w:t>vax</w:t>
      </w:r>
      <w:proofErr w:type="spellEnd"/>
      <w:r w:rsidRPr="0047012E">
        <w:t xml:space="preserve">) seen at one year. </w:t>
      </w:r>
    </w:p>
    <w:p w:rsidR="00FA0669" w:rsidRPr="00FA0669" w:rsidRDefault="00FA0669" w:rsidP="00A876F4">
      <w:pPr>
        <w:pStyle w:val="Heading3"/>
      </w:pPr>
      <w:bookmarkStart w:id="74" w:name="_Ref271126605"/>
      <w:bookmarkStart w:id="75" w:name="_Toc272414657"/>
      <w:bookmarkStart w:id="76" w:name="_Toc290846282"/>
      <w:bookmarkStart w:id="77" w:name="_Toc343641683"/>
      <w:bookmarkStart w:id="78" w:name="_Toc375123740"/>
      <w:r w:rsidRPr="00FA0669">
        <w:t>Evaluator’s conclusions on clinical efficacy</w:t>
      </w:r>
      <w:r w:rsidR="00FB743C">
        <w:t xml:space="preserve">: </w:t>
      </w:r>
      <w:bookmarkEnd w:id="74"/>
      <w:bookmarkEnd w:id="75"/>
      <w:bookmarkEnd w:id="76"/>
      <w:bookmarkEnd w:id="77"/>
      <w:r w:rsidRPr="00FA0669">
        <w:t>Conclusions on protective efficacy</w:t>
      </w:r>
      <w:bookmarkEnd w:id="78"/>
    </w:p>
    <w:p w:rsidR="0023045D" w:rsidRDefault="00FA0669" w:rsidP="00A876F4">
      <w:r w:rsidRPr="00FB743C">
        <w:t>Immunogenicity</w:t>
      </w:r>
      <w:r w:rsidR="006134D7">
        <w:t xml:space="preserve"> studies conducted in subjects ≥</w:t>
      </w:r>
      <w:r w:rsidRPr="00FB743C">
        <w:t xml:space="preserve">12 months of age demonstrate that one IM dose </w:t>
      </w:r>
      <w:proofErr w:type="spellStart"/>
      <w:r w:rsidRPr="00FB743C">
        <w:t>MenACWY</w:t>
      </w:r>
      <w:proofErr w:type="spellEnd"/>
      <w:r w:rsidRPr="00FB743C">
        <w:t>-TT vacci</w:t>
      </w:r>
      <w:r w:rsidR="0023045D">
        <w:t xml:space="preserve">ne induces responses similar to or </w:t>
      </w:r>
      <w:r w:rsidRPr="00FB743C">
        <w:t xml:space="preserve">higher than licensed meningococcal vaccines. </w:t>
      </w:r>
      <w:proofErr w:type="spellStart"/>
      <w:r w:rsidRPr="00FB743C">
        <w:t>MenACWY</w:t>
      </w:r>
      <w:proofErr w:type="spellEnd"/>
      <w:r w:rsidRPr="00FB743C">
        <w:t xml:space="preserve">-TT induces immunological memory against the four Men </w:t>
      </w:r>
      <w:proofErr w:type="spellStart"/>
      <w:r w:rsidRPr="00FB743C">
        <w:t>serogroups</w:t>
      </w:r>
      <w:proofErr w:type="spellEnd"/>
      <w:r w:rsidRPr="00FB743C">
        <w:t xml:space="preserve"> even in toddlers 12-14 months of age</w:t>
      </w:r>
      <w:r w:rsidR="0023045D">
        <w:t>, historically an age group not/</w:t>
      </w:r>
      <w:r w:rsidRPr="00FB743C">
        <w:t xml:space="preserve">poorly responsive to meningococcal PS vaccines. </w:t>
      </w:r>
    </w:p>
    <w:p w:rsidR="0023045D" w:rsidRDefault="00FA0669" w:rsidP="00A876F4">
      <w:r w:rsidRPr="00FB743C">
        <w:t xml:space="preserve">Follow-up studies demonstrate </w:t>
      </w:r>
      <w:proofErr w:type="spellStart"/>
      <w:r w:rsidRPr="00FB743C">
        <w:t>immunopersistence</w:t>
      </w:r>
      <w:proofErr w:type="spellEnd"/>
      <w:r w:rsidRPr="00FB743C">
        <w:t xml:space="preserve"> similar/higher than those elicited by licensed meningococcal vaccines (</w:t>
      </w:r>
      <w:proofErr w:type="spellStart"/>
      <w:r w:rsidRPr="00FB743C">
        <w:t>Meningitec</w:t>
      </w:r>
      <w:proofErr w:type="spellEnd"/>
      <w:r w:rsidRPr="00FB743C">
        <w:t xml:space="preserve">; </w:t>
      </w:r>
      <w:proofErr w:type="spellStart"/>
      <w:r w:rsidRPr="00FB743C">
        <w:t>Mencevax</w:t>
      </w:r>
      <w:proofErr w:type="spellEnd"/>
      <w:r w:rsidRPr="00FB743C">
        <w:t xml:space="preserve">) using the GSK </w:t>
      </w:r>
      <w:proofErr w:type="spellStart"/>
      <w:r w:rsidRPr="00FB743C">
        <w:t>rSBA</w:t>
      </w:r>
      <w:proofErr w:type="spellEnd"/>
      <w:r w:rsidRPr="00FB743C">
        <w:t xml:space="preserve"> assay. Even in the youngest age group, </w:t>
      </w:r>
      <w:proofErr w:type="spellStart"/>
      <w:r w:rsidRPr="00FB743C">
        <w:t>hSBA</w:t>
      </w:r>
      <w:proofErr w:type="spellEnd"/>
      <w:r w:rsidRPr="00FB743C">
        <w:t xml:space="preserve"> </w:t>
      </w:r>
      <w:proofErr w:type="spellStart"/>
      <w:r w:rsidRPr="00FB743C">
        <w:t>MenC</w:t>
      </w:r>
      <w:proofErr w:type="spellEnd"/>
      <w:r w:rsidRPr="00FB743C">
        <w:t xml:space="preserve"> GMTs were higher compared to all age strata in the </w:t>
      </w:r>
      <w:proofErr w:type="spellStart"/>
      <w:r w:rsidRPr="00FB743C">
        <w:t>Meningitec</w:t>
      </w:r>
      <w:proofErr w:type="spellEnd"/>
      <w:r w:rsidRPr="00FB743C">
        <w:t xml:space="preserve"> group. </w:t>
      </w:r>
    </w:p>
    <w:p w:rsidR="0023045D" w:rsidRDefault="00FA0669" w:rsidP="00A876F4">
      <w:r w:rsidRPr="00FB743C">
        <w:t xml:space="preserve">For </w:t>
      </w:r>
      <w:proofErr w:type="spellStart"/>
      <w:r w:rsidRPr="00FB743C">
        <w:t>serogroups</w:t>
      </w:r>
      <w:proofErr w:type="spellEnd"/>
      <w:r w:rsidRPr="00FB743C">
        <w:t xml:space="preserve"> A, W-135, and Y, although the </w:t>
      </w:r>
      <w:proofErr w:type="spellStart"/>
      <w:r w:rsidRPr="00FB743C">
        <w:t>hSBA</w:t>
      </w:r>
      <w:proofErr w:type="spellEnd"/>
      <w:r w:rsidRPr="00FB743C">
        <w:t xml:space="preserve"> GMTs trended lower for the younger age group, percentages of subjects with SBA titres ≥8, GMTs and vaccine response reported for the three </w:t>
      </w:r>
      <w:proofErr w:type="spellStart"/>
      <w:r w:rsidRPr="00FB743C">
        <w:t>serogroups</w:t>
      </w:r>
      <w:proofErr w:type="spellEnd"/>
      <w:r w:rsidRPr="00FB743C">
        <w:t xml:space="preserve"> following a single dose of </w:t>
      </w:r>
      <w:proofErr w:type="spellStart"/>
      <w:r w:rsidRPr="00FB743C">
        <w:t>MenACWY</w:t>
      </w:r>
      <w:proofErr w:type="spellEnd"/>
      <w:r w:rsidRPr="00FB743C">
        <w:t xml:space="preserve">-TT were higher or very close to those reported in an older age group (6 to &lt;11 </w:t>
      </w:r>
      <w:r w:rsidR="00396F90">
        <w:t>years</w:t>
      </w:r>
      <w:r w:rsidRPr="00FB743C">
        <w:t xml:space="preserve">) with </w:t>
      </w:r>
      <w:proofErr w:type="spellStart"/>
      <w:r w:rsidRPr="00FB743C">
        <w:t>Mencevax</w:t>
      </w:r>
      <w:proofErr w:type="spellEnd"/>
      <w:r w:rsidRPr="00FB743C">
        <w:t xml:space="preserve">. Although SBA titres trended to </w:t>
      </w:r>
      <w:r w:rsidRPr="00FB743C">
        <w:lastRenderedPageBreak/>
        <w:t xml:space="preserve">be higher at persistence time-points for the older age groups in toddlers, there is limited precision in the point estimates because of the small persistence subsets at these persistence time-points and most 95% CIs overlap for the </w:t>
      </w:r>
      <w:proofErr w:type="spellStart"/>
      <w:r w:rsidRPr="00FB743C">
        <w:t>MenACWY</w:t>
      </w:r>
      <w:proofErr w:type="spellEnd"/>
      <w:r w:rsidRPr="00FB743C">
        <w:t xml:space="preserve">-TT group. </w:t>
      </w:r>
    </w:p>
    <w:p w:rsidR="00FB743C" w:rsidRDefault="00FA0669" w:rsidP="00A876F4">
      <w:r w:rsidRPr="00FB743C">
        <w:t xml:space="preserve">In terms of boosting with </w:t>
      </w:r>
      <w:proofErr w:type="spellStart"/>
      <w:r w:rsidRPr="00FB743C">
        <w:t>MenACWY</w:t>
      </w:r>
      <w:proofErr w:type="spellEnd"/>
      <w:r w:rsidRPr="00FB743C">
        <w:t xml:space="preserve">-TT in prior recipients of a plain PS vaccine, GMTs are lower for </w:t>
      </w:r>
      <w:proofErr w:type="spellStart"/>
      <w:r w:rsidRPr="00FB743C">
        <w:t>MenA</w:t>
      </w:r>
      <w:proofErr w:type="spellEnd"/>
      <w:r w:rsidRPr="00FB743C">
        <w:t xml:space="preserve">, and to a lesser extent for the other </w:t>
      </w:r>
      <w:proofErr w:type="spellStart"/>
      <w:r w:rsidRPr="00FB743C">
        <w:t>serogroups</w:t>
      </w:r>
      <w:proofErr w:type="spellEnd"/>
      <w:r w:rsidRPr="00FB743C">
        <w:t xml:space="preserve">, but there is induction of strong responses (3.9-30.1-fold increase of GMTs for all </w:t>
      </w:r>
      <w:proofErr w:type="spellStart"/>
      <w:r w:rsidRPr="00FB743C">
        <w:t>serogroups</w:t>
      </w:r>
      <w:proofErr w:type="spellEnd"/>
      <w:r w:rsidRPr="00FB743C">
        <w:t xml:space="preserve">) without any worrisome safety signal. </w:t>
      </w:r>
    </w:p>
    <w:p w:rsidR="00C22678" w:rsidRPr="00FB743C" w:rsidRDefault="00FA0669" w:rsidP="00A876F4">
      <w:r w:rsidRPr="00FB743C">
        <w:t xml:space="preserve">These data support both proposed indications of the </w:t>
      </w:r>
      <w:proofErr w:type="spellStart"/>
      <w:r w:rsidRPr="00FB743C">
        <w:t>MenACWY</w:t>
      </w:r>
      <w:proofErr w:type="spellEnd"/>
      <w:r w:rsidRPr="00FB743C">
        <w:t xml:space="preserve">-TT vaccine. i.e. FIRST, active immunisation against invasive meningococcal disease caused by </w:t>
      </w:r>
      <w:r w:rsidRPr="00FB743C">
        <w:rPr>
          <w:i/>
          <w:iCs/>
        </w:rPr>
        <w:t xml:space="preserve">N. </w:t>
      </w:r>
      <w:proofErr w:type="spellStart"/>
      <w:r w:rsidRPr="00FB743C">
        <w:rPr>
          <w:i/>
          <w:iCs/>
        </w:rPr>
        <w:t>meningitidis</w:t>
      </w:r>
      <w:proofErr w:type="spellEnd"/>
      <w:r w:rsidRPr="00FB743C">
        <w:t xml:space="preserve"> </w:t>
      </w:r>
      <w:proofErr w:type="spellStart"/>
      <w:r w:rsidRPr="00FB743C">
        <w:t>serogroups</w:t>
      </w:r>
      <w:proofErr w:type="spellEnd"/>
      <w:r w:rsidRPr="00FB743C">
        <w:t xml:space="preserve"> A, C, W-135 and Y in individuals 1- 55 y</w:t>
      </w:r>
      <w:r w:rsidR="0023045D">
        <w:t>ea</w:t>
      </w:r>
      <w:r w:rsidRPr="00FB743C">
        <w:t xml:space="preserve">rs of age. The vaccine is to be administered intramuscularly (IM) as a one-dose vaccination schedule. The SECOND proposed indication is as a Booster vaccination in subjects who have previously been vaccinated with a plain i.e. non conjugate PS meningococcal vaccine. </w:t>
      </w:r>
    </w:p>
    <w:p w:rsidR="00C22678" w:rsidRDefault="00C22678" w:rsidP="00A876F4">
      <w:pPr>
        <w:pStyle w:val="Heading2"/>
      </w:pPr>
      <w:bookmarkStart w:id="79" w:name="_Toc375123741"/>
      <w:r>
        <w:t>Clinical safety</w:t>
      </w:r>
      <w:bookmarkEnd w:id="79"/>
    </w:p>
    <w:p w:rsidR="00FA0669" w:rsidRPr="00FA0669" w:rsidRDefault="00FA0669" w:rsidP="00A876F4">
      <w:pPr>
        <w:pStyle w:val="Heading3"/>
      </w:pPr>
      <w:bookmarkStart w:id="80" w:name="_Toc272414659"/>
      <w:bookmarkStart w:id="81" w:name="_Toc290846284"/>
      <w:bookmarkStart w:id="82" w:name="_Toc343641685"/>
      <w:bookmarkStart w:id="83" w:name="_Toc375123742"/>
      <w:r w:rsidRPr="00FA0669">
        <w:t>Studies providing evaluable safety data</w:t>
      </w:r>
      <w:bookmarkEnd w:id="80"/>
      <w:bookmarkEnd w:id="81"/>
      <w:bookmarkEnd w:id="82"/>
      <w:bookmarkEnd w:id="83"/>
    </w:p>
    <w:p w:rsidR="009D5817" w:rsidRDefault="00FA0669" w:rsidP="00A876F4">
      <w:bookmarkStart w:id="84" w:name="_Ref268776745"/>
      <w:r w:rsidRPr="003B49D2">
        <w:t>All the Phase II &amp; III studies summarise safety data. Solicited and unsolicited safety information was gathered. Local AE solicited were pain, redness and swelling at the IS. General AE solicited were drowsiness, fever (≥37.5°C oral/</w:t>
      </w:r>
      <w:proofErr w:type="spellStart"/>
      <w:r w:rsidRPr="003B49D2">
        <w:t>axillary</w:t>
      </w:r>
      <w:proofErr w:type="spellEnd"/>
      <w:r w:rsidRPr="003B49D2">
        <w:t xml:space="preserve"> or ≥38°C rectal), irritability/fussiness, and loss of appetite in subjects &lt; 6 </w:t>
      </w:r>
      <w:r w:rsidR="00396F90">
        <w:t>years</w:t>
      </w:r>
      <w:r w:rsidR="009D5817">
        <w:t>,</w:t>
      </w:r>
      <w:r w:rsidRPr="003B49D2">
        <w:t xml:space="preserve"> and fatigue, fever (≥37.5°C oral/</w:t>
      </w:r>
      <w:proofErr w:type="spellStart"/>
      <w:r w:rsidRPr="003B49D2">
        <w:t>axillary</w:t>
      </w:r>
      <w:proofErr w:type="spellEnd"/>
      <w:r w:rsidRPr="003B49D2">
        <w:t xml:space="preserve">), gastrointestinal symptoms (i.e. nausea, abdominal pain, vomiting, and diarrhoea), and headache in subjects ≥6 </w:t>
      </w:r>
      <w:r w:rsidR="00396F90">
        <w:t>years</w:t>
      </w:r>
      <w:r w:rsidRPr="003B49D2">
        <w:t xml:space="preserve"> old. Diary cards were completed for Days 0-3 and/or Days 0-7 post vaccination (</w:t>
      </w:r>
      <w:proofErr w:type="spellStart"/>
      <w:r w:rsidRPr="003B49D2">
        <w:t>MenACWY</w:t>
      </w:r>
      <w:proofErr w:type="spellEnd"/>
      <w:r w:rsidRPr="003B49D2">
        <w:t xml:space="preserve">-TT 012, -013, -052 and -055); in children/toddlers, completed by parent/guardian. </w:t>
      </w:r>
    </w:p>
    <w:p w:rsidR="009D5817" w:rsidRDefault="00FA0669" w:rsidP="00A876F4">
      <w:r w:rsidRPr="003B49D2">
        <w:t xml:space="preserve">Unsolicited AEs </w:t>
      </w:r>
      <w:r w:rsidR="009D5817">
        <w:t xml:space="preserve">were </w:t>
      </w:r>
      <w:r w:rsidRPr="003B49D2">
        <w:t xml:space="preserve">collected Day 0-30 post </w:t>
      </w:r>
      <w:proofErr w:type="spellStart"/>
      <w:r w:rsidRPr="003B49D2">
        <w:t>vax</w:t>
      </w:r>
      <w:proofErr w:type="spellEnd"/>
      <w:r w:rsidRPr="003B49D2">
        <w:t xml:space="preserve">. Intensity of solicited local/general AEs assessed by the investigator according to a standard intensity scale and these were comparable across most of the studies; the intensity scales differed in the younger age group (&lt;6 </w:t>
      </w:r>
      <w:r w:rsidR="00396F90">
        <w:t>years</w:t>
      </w:r>
      <w:r w:rsidRPr="003B49D2">
        <w:t xml:space="preserve"> old). </w:t>
      </w:r>
    </w:p>
    <w:p w:rsidR="009D5817" w:rsidRDefault="00FA0669" w:rsidP="00A876F4">
      <w:r w:rsidRPr="003B49D2">
        <w:t xml:space="preserve">AE, SAE, New Onset Chronic Illness (NOCI) </w:t>
      </w:r>
      <w:r w:rsidR="009D5817">
        <w:t xml:space="preserve">were </w:t>
      </w:r>
      <w:r w:rsidRPr="003B49D2">
        <w:t xml:space="preserve">collected at the 6 months post the last vaccination visit (phone interview) or at a later date in persistence studies. </w:t>
      </w:r>
    </w:p>
    <w:p w:rsidR="00FA0669" w:rsidRPr="003B49D2" w:rsidRDefault="00FA0669" w:rsidP="00A876F4">
      <w:r w:rsidRPr="003B49D2">
        <w:t xml:space="preserve">In terms of statistical analyses for each solicited symptom, % subjects with symptoms (days 0-3 and/or Days 0-7) and their exact 95% CI </w:t>
      </w:r>
      <w:r w:rsidR="009D5817">
        <w:t xml:space="preserve">were </w:t>
      </w:r>
      <w:r w:rsidRPr="003B49D2">
        <w:t xml:space="preserve">summarised by vaccine group. The % of subjects reporting unsolicited symptoms &lt;31 days following </w:t>
      </w:r>
      <w:proofErr w:type="spellStart"/>
      <w:r w:rsidRPr="003B49D2">
        <w:t>vax</w:t>
      </w:r>
      <w:proofErr w:type="spellEnd"/>
      <w:r w:rsidRPr="003B49D2">
        <w:t xml:space="preserve"> </w:t>
      </w:r>
      <w:r w:rsidR="009D5817">
        <w:t xml:space="preserve">was </w:t>
      </w:r>
      <w:r w:rsidRPr="003B49D2">
        <w:t xml:space="preserve">summarised by vaccine group according to </w:t>
      </w:r>
      <w:proofErr w:type="spellStart"/>
      <w:r w:rsidRPr="003B49D2">
        <w:t>MedDRA</w:t>
      </w:r>
      <w:proofErr w:type="spellEnd"/>
      <w:r w:rsidRPr="003B49D2">
        <w:t xml:space="preserve"> preferred term; % of patients with solicited symptoms &lt;4 and/or &lt;7 days post </w:t>
      </w:r>
      <w:proofErr w:type="spellStart"/>
      <w:r w:rsidRPr="003B49D2">
        <w:t>vax</w:t>
      </w:r>
      <w:proofErr w:type="spellEnd"/>
      <w:r w:rsidRPr="003B49D2">
        <w:t xml:space="preserve"> </w:t>
      </w:r>
      <w:r w:rsidR="009D5817">
        <w:t xml:space="preserve">was </w:t>
      </w:r>
      <w:r w:rsidRPr="003B49D2">
        <w:t xml:space="preserve">summarised/analysed by vaccine group. </w:t>
      </w:r>
    </w:p>
    <w:p w:rsidR="00FA0669" w:rsidRPr="003B49D2" w:rsidRDefault="00FA0669" w:rsidP="00A876F4">
      <w:pPr>
        <w:pStyle w:val="ListBullet"/>
      </w:pPr>
      <w:r w:rsidRPr="003B49D2">
        <w:t>Pivotal efficacy studies</w:t>
      </w:r>
      <w:bookmarkEnd w:id="84"/>
    </w:p>
    <w:p w:rsidR="00FA0669" w:rsidRPr="003B49D2" w:rsidRDefault="00FA0669" w:rsidP="00A876F4">
      <w:r w:rsidRPr="003B49D2">
        <w:t>As above, note that laboratory tests did not form</w:t>
      </w:r>
      <w:r w:rsidR="00A876F4">
        <w:t xml:space="preserve"> part of the safety assessment.</w:t>
      </w:r>
    </w:p>
    <w:p w:rsidR="00FA0669" w:rsidRPr="003B49D2" w:rsidRDefault="00FA0669" w:rsidP="00A876F4">
      <w:pPr>
        <w:pStyle w:val="ListBullet"/>
      </w:pPr>
      <w:r w:rsidRPr="003B49D2">
        <w:t>Pivotal studies that assessed safety as a primary outcome</w:t>
      </w:r>
    </w:p>
    <w:p w:rsidR="00FA0669" w:rsidRPr="003B49D2" w:rsidRDefault="00FA0669" w:rsidP="00A876F4">
      <w:r w:rsidRPr="003B49D2">
        <w:t xml:space="preserve">See </w:t>
      </w:r>
      <w:r w:rsidR="00A876F4">
        <w:t>Section 8.1.1.</w:t>
      </w:r>
    </w:p>
    <w:p w:rsidR="00FA0669" w:rsidRPr="003B49D2" w:rsidRDefault="00FA0669" w:rsidP="00A876F4">
      <w:pPr>
        <w:pStyle w:val="ListBullet"/>
      </w:pPr>
      <w:r w:rsidRPr="003B49D2">
        <w:t>Dose-response and non-pivotal efficacy studies</w:t>
      </w:r>
    </w:p>
    <w:p w:rsidR="009D5817" w:rsidRDefault="00FA0669" w:rsidP="00A876F4">
      <w:r w:rsidRPr="003B49D2">
        <w:t>The dose-response and non-pivotal effica</w:t>
      </w:r>
      <w:r w:rsidR="009D5817">
        <w:t>cy studies provid</w:t>
      </w:r>
      <w:r w:rsidR="006134D7">
        <w:t xml:space="preserve">ing </w:t>
      </w:r>
      <w:r w:rsidR="009D5817">
        <w:t>safety data were</w:t>
      </w:r>
      <w:r w:rsidRPr="003B49D2">
        <w:t xml:space="preserve"> as follows: </w:t>
      </w:r>
    </w:p>
    <w:p w:rsidR="009D5817" w:rsidRDefault="00FA0669" w:rsidP="00A876F4">
      <w:r w:rsidRPr="003B49D2">
        <w:t xml:space="preserve">MenACWY-TT-012 and -013 provided immunogenicity and safety data on adolescents and Toddlers/children respectively in these Phase II </w:t>
      </w:r>
      <w:proofErr w:type="spellStart"/>
      <w:r w:rsidRPr="003B49D2">
        <w:t>MenACWY</w:t>
      </w:r>
      <w:proofErr w:type="spellEnd"/>
      <w:r w:rsidRPr="003B49D2">
        <w:t xml:space="preserve">-TT vaccine formulation selection studies. </w:t>
      </w:r>
    </w:p>
    <w:p w:rsidR="009D5817" w:rsidRDefault="00FA0669" w:rsidP="00A876F4">
      <w:r w:rsidRPr="003B49D2">
        <w:t xml:space="preserve">Safety data </w:t>
      </w:r>
      <w:r w:rsidR="009D5817">
        <w:t xml:space="preserve">were </w:t>
      </w:r>
      <w:r w:rsidRPr="003B49D2">
        <w:t>collected in Children, adolescents and ad</w:t>
      </w:r>
      <w:r w:rsidR="009D5817">
        <w:t xml:space="preserve">ults (MenACWY-TT-052 and -071); </w:t>
      </w:r>
      <w:r w:rsidRPr="003B49D2">
        <w:t xml:space="preserve">Toddlers and children (MenACWY-TT-027), Toddlers (MenACWY-TT-055). </w:t>
      </w:r>
    </w:p>
    <w:p w:rsidR="009D5817" w:rsidRDefault="00FA0669" w:rsidP="00A876F4">
      <w:r w:rsidRPr="003B49D2">
        <w:lastRenderedPageBreak/>
        <w:t>MenACWY-TT-016 EXT-015 Y1&amp; Y2 provided longer term safety data 1 and 2 y</w:t>
      </w:r>
      <w:r w:rsidR="009D5817">
        <w:t>ea</w:t>
      </w:r>
      <w:r w:rsidRPr="003B49D2">
        <w:t xml:space="preserve">rs post primary vaccine exposure in adolescents and adults; MenACWY-TT-016 </w:t>
      </w:r>
      <w:r w:rsidR="009D5817">
        <w:t xml:space="preserve">EXT-015 Y1&amp; Y2 provided longer </w:t>
      </w:r>
      <w:r w:rsidRPr="003B49D2">
        <w:t>term safety data 1 and 2 y</w:t>
      </w:r>
      <w:r w:rsidR="009D5817">
        <w:t>ea</w:t>
      </w:r>
      <w:r w:rsidRPr="003B49D2">
        <w:t xml:space="preserve">rs post primary vaccine exposure in adolescents and adults. </w:t>
      </w:r>
    </w:p>
    <w:p w:rsidR="009D5817" w:rsidRDefault="00FA0669" w:rsidP="00A876F4">
      <w:r w:rsidRPr="003B49D2">
        <w:t xml:space="preserve">MenACWY-TT-024 EXT-012 M18 &amp; M30 &amp; M42 – longer term safety data at months 18, 30 and 42 post primary vaccine exposure in Adolescents and adults. MenACWY-TT-059 EXT-052 Y1 – provided longer term safety data at 1 year post primary vaccine exposure in adolescents and adults. </w:t>
      </w:r>
    </w:p>
    <w:p w:rsidR="009D5817" w:rsidRDefault="00FA0669" w:rsidP="00A876F4">
      <w:r w:rsidRPr="003B49D2">
        <w:t xml:space="preserve">Study MenACWY-TT-014 BST-013 – provided longer term safety data at 15 months post primary vaccine exposure in Toddlers and children, and further safety data on boosting with a 1/5 dose of </w:t>
      </w:r>
      <w:proofErr w:type="spellStart"/>
      <w:r w:rsidRPr="003B49D2">
        <w:t>Mencevax</w:t>
      </w:r>
      <w:proofErr w:type="spellEnd"/>
      <w:r w:rsidRPr="003B49D2">
        <w:t xml:space="preserve"> ACWY. </w:t>
      </w:r>
    </w:p>
    <w:p w:rsidR="00FA0669" w:rsidRPr="003B49D2" w:rsidRDefault="00FA0669" w:rsidP="00A876F4">
      <w:r w:rsidRPr="003B49D2">
        <w:t xml:space="preserve">MenACWY-TT-028 EXT-027 Y1 &amp; Y2 &amp; Y3 – provided longer term safety data at 1, 2 and 3 </w:t>
      </w:r>
      <w:r w:rsidR="00396F90">
        <w:t>years</w:t>
      </w:r>
      <w:r w:rsidRPr="003B49D2">
        <w:t xml:space="preserve"> post primary vaccine exposure in Toddlers and children. Study MenACWY-TT-062 EXT 055 Y1provided longer term safety data at 1 year post vaccine exposure in Toddlers. </w:t>
      </w:r>
    </w:p>
    <w:p w:rsidR="00FA0669" w:rsidRPr="003B49D2" w:rsidRDefault="00FA0669" w:rsidP="00A876F4">
      <w:pPr>
        <w:pStyle w:val="ListBullet"/>
      </w:pPr>
      <w:r w:rsidRPr="003B49D2">
        <w:t>Other studies evaluable for safety only</w:t>
      </w:r>
    </w:p>
    <w:p w:rsidR="00FA0669" w:rsidRPr="003B49D2" w:rsidRDefault="00FA0669" w:rsidP="00A876F4">
      <w:r w:rsidRPr="003B49D2">
        <w:t>Not applicable.</w:t>
      </w:r>
    </w:p>
    <w:p w:rsidR="00FA0669" w:rsidRPr="003B49D2" w:rsidRDefault="00FA0669" w:rsidP="00A876F4">
      <w:pPr>
        <w:pStyle w:val="ListBullet"/>
      </w:pPr>
      <w:r w:rsidRPr="003B49D2">
        <w:t>Clinical pharmacology studies</w:t>
      </w:r>
    </w:p>
    <w:p w:rsidR="00FA0669" w:rsidRPr="003B49D2" w:rsidRDefault="00FA0669" w:rsidP="00A876F4">
      <w:r w:rsidRPr="003B49D2">
        <w:t>Not applicable.</w:t>
      </w:r>
      <w:bookmarkStart w:id="85" w:name="_Ref269204367"/>
    </w:p>
    <w:p w:rsidR="00FA0669" w:rsidRPr="0023147D" w:rsidRDefault="00FA0669" w:rsidP="00A16293">
      <w:pPr>
        <w:pStyle w:val="Heading4"/>
      </w:pPr>
      <w:bookmarkStart w:id="86" w:name="_Ref271195835"/>
      <w:bookmarkStart w:id="87" w:name="_Ref271195841"/>
      <w:bookmarkStart w:id="88" w:name="_Toc272414660"/>
      <w:bookmarkStart w:id="89" w:name="_Toc290846285"/>
      <w:bookmarkStart w:id="90" w:name="_Toc343641686"/>
      <w:r w:rsidRPr="0023147D">
        <w:t>Pivotal studies that assessed safety as a primary outcome</w:t>
      </w:r>
      <w:bookmarkEnd w:id="85"/>
      <w:bookmarkEnd w:id="86"/>
      <w:bookmarkEnd w:id="87"/>
      <w:bookmarkEnd w:id="88"/>
      <w:bookmarkEnd w:id="89"/>
      <w:bookmarkEnd w:id="90"/>
    </w:p>
    <w:p w:rsidR="00FA0669" w:rsidRPr="0023147D" w:rsidRDefault="00FA0669" w:rsidP="00A16293">
      <w:pPr>
        <w:pStyle w:val="Heading5"/>
      </w:pPr>
      <w:bookmarkStart w:id="91" w:name="_Toc343641687"/>
      <w:r w:rsidRPr="0023147D">
        <w:t>Studies MenACWY-TT-015, -036, -038</w:t>
      </w:r>
      <w:bookmarkEnd w:id="91"/>
    </w:p>
    <w:p w:rsidR="00D41C86" w:rsidRDefault="00FA0669" w:rsidP="00A16293">
      <w:r w:rsidRPr="003B49D2">
        <w:t>MenACWY-TT-015 had a co</w:t>
      </w:r>
      <w:r w:rsidR="00D41C86">
        <w:t>-</w:t>
      </w:r>
      <w:r w:rsidRPr="003B49D2">
        <w:t xml:space="preserve">primary endpoint evaluating </w:t>
      </w:r>
      <w:proofErr w:type="spellStart"/>
      <w:r w:rsidRPr="003B49D2">
        <w:t>noninferiority</w:t>
      </w:r>
      <w:proofErr w:type="spellEnd"/>
      <w:r w:rsidRPr="003B49D2">
        <w:t xml:space="preserve"> of </w:t>
      </w:r>
      <w:proofErr w:type="spellStart"/>
      <w:r w:rsidRPr="003B49D2">
        <w:t>MenACWY</w:t>
      </w:r>
      <w:proofErr w:type="spellEnd"/>
      <w:r w:rsidRPr="003B49D2">
        <w:t xml:space="preserve">-TT vs. </w:t>
      </w:r>
      <w:proofErr w:type="spellStart"/>
      <w:r w:rsidRPr="003B49D2">
        <w:t>Mencevax</w:t>
      </w:r>
      <w:proofErr w:type="spellEnd"/>
      <w:r w:rsidRPr="003B49D2">
        <w:t xml:space="preserve"> ACWY in terms of grade 3 general symptoms (solicited/unsolicited) within 4 days of vaccination. Grade 3 general symptoms reported by 1.3% and 0% of the </w:t>
      </w:r>
      <w:proofErr w:type="spellStart"/>
      <w:r w:rsidRPr="003B49D2">
        <w:t>MenACWY</w:t>
      </w:r>
      <w:proofErr w:type="spellEnd"/>
      <w:r w:rsidRPr="003B49D2">
        <w:t xml:space="preserve">-TT and </w:t>
      </w:r>
      <w:proofErr w:type="spellStart"/>
      <w:r w:rsidRPr="003B49D2">
        <w:t>Mencevax</w:t>
      </w:r>
      <w:proofErr w:type="spellEnd"/>
      <w:r w:rsidRPr="003B49D2">
        <w:t xml:space="preserve"> ACWY groups respectively (P-value= 0.1921). </w:t>
      </w:r>
    </w:p>
    <w:p w:rsidR="002F638E" w:rsidRDefault="00FA0669" w:rsidP="00A16293">
      <w:r w:rsidRPr="003B49D2">
        <w:t xml:space="preserve">Study MenACWY-TT-036, which also had a similar safety co-primary endpoint as -015, showed, on pooled safety and </w:t>
      </w:r>
      <w:proofErr w:type="spellStart"/>
      <w:r w:rsidRPr="003B49D2">
        <w:t>reactogenicity</w:t>
      </w:r>
      <w:proofErr w:type="spellEnd"/>
      <w:r w:rsidRPr="003B49D2">
        <w:t xml:space="preserve"> data, from MenACWY-TT-036 (11-17 year olds) and MenACWY-TT-035 (18-55 year olds), marginally more grade 3 general symptoms in </w:t>
      </w:r>
      <w:proofErr w:type="spellStart"/>
      <w:r w:rsidRPr="003B49D2">
        <w:t>MenACWY</w:t>
      </w:r>
      <w:proofErr w:type="spellEnd"/>
      <w:r w:rsidRPr="003B49D2">
        <w:t xml:space="preserve">-TT recipients 2.0% (vs. 1.4% in </w:t>
      </w:r>
      <w:proofErr w:type="spellStart"/>
      <w:r w:rsidRPr="003B49D2">
        <w:t>Mencevax</w:t>
      </w:r>
      <w:proofErr w:type="spellEnd"/>
      <w:r w:rsidRPr="003B49D2">
        <w:t xml:space="preserve"> ACWY) but this was still lower than the estimated background rate (3%) extrapolated from another meningococcal vaccine, and the difference was not statistically significantly different. </w:t>
      </w:r>
    </w:p>
    <w:p w:rsidR="002F638E" w:rsidRDefault="00FA0669" w:rsidP="00A16293">
      <w:r w:rsidRPr="003B49D2">
        <w:t xml:space="preserve">In MenACWY-TT-036, </w:t>
      </w:r>
      <w:proofErr w:type="spellStart"/>
      <w:r w:rsidRPr="003B49D2">
        <w:t>reactogenicity</w:t>
      </w:r>
      <w:proofErr w:type="spellEnd"/>
      <w:r w:rsidRPr="003B49D2">
        <w:t xml:space="preserve"> profiles </w:t>
      </w:r>
      <w:r w:rsidR="002F638E">
        <w:t xml:space="preserve">were </w:t>
      </w:r>
      <w:r w:rsidRPr="003B49D2">
        <w:t xml:space="preserve">comparable between the </w:t>
      </w:r>
      <w:proofErr w:type="spellStart"/>
      <w:r w:rsidRPr="003B49D2">
        <w:t>MenACWY</w:t>
      </w:r>
      <w:proofErr w:type="spellEnd"/>
      <w:r w:rsidRPr="003B49D2">
        <w:t xml:space="preserve">-TT and </w:t>
      </w:r>
      <w:proofErr w:type="spellStart"/>
      <w:r w:rsidRPr="003B49D2">
        <w:t>Mencevax</w:t>
      </w:r>
      <w:proofErr w:type="spellEnd"/>
      <w:r w:rsidRPr="003B49D2">
        <w:t xml:space="preserve"> ACWY vaccines. Pain at injection site (IS) reported in 26.2% (</w:t>
      </w:r>
      <w:proofErr w:type="spellStart"/>
      <w:r w:rsidRPr="003B49D2">
        <w:t>MenACWY</w:t>
      </w:r>
      <w:proofErr w:type="spellEnd"/>
      <w:r w:rsidRPr="003B49D2">
        <w:t>-TT) and 26.8% (</w:t>
      </w:r>
      <w:proofErr w:type="spellStart"/>
      <w:r w:rsidRPr="003B49D2">
        <w:t>Mencevax</w:t>
      </w:r>
      <w:proofErr w:type="spellEnd"/>
      <w:r w:rsidRPr="003B49D2">
        <w:t xml:space="preserve"> ACWY). Grade 3 solicited local symptoms </w:t>
      </w:r>
      <w:r w:rsidR="002F638E">
        <w:t xml:space="preserve">were </w:t>
      </w:r>
      <w:r w:rsidRPr="003B49D2">
        <w:t xml:space="preserve">uncommon, 0.3-1.2% of </w:t>
      </w:r>
      <w:proofErr w:type="spellStart"/>
      <w:r w:rsidRPr="003B49D2">
        <w:t>MenACWYTT</w:t>
      </w:r>
      <w:proofErr w:type="spellEnd"/>
      <w:r w:rsidRPr="003B49D2">
        <w:t xml:space="preserve"> subjects. </w:t>
      </w:r>
    </w:p>
    <w:p w:rsidR="002F638E" w:rsidRDefault="00FA0669" w:rsidP="00A16293">
      <w:r w:rsidRPr="003B49D2">
        <w:t xml:space="preserve">Solicited general symptoms </w:t>
      </w:r>
      <w:r w:rsidR="002F638E">
        <w:t xml:space="preserve">were </w:t>
      </w:r>
      <w:r w:rsidRPr="003B49D2">
        <w:t>comparable across groups i.e.</w:t>
      </w:r>
      <w:r w:rsidR="002F638E">
        <w:t xml:space="preserve"> </w:t>
      </w:r>
      <w:r w:rsidRPr="003B49D2">
        <w:t xml:space="preserve">fatigue (14.2-14.3%) and headache (10.6-13.4%). Grade 3 solicited general symptoms </w:t>
      </w:r>
      <w:r w:rsidR="002F638E">
        <w:t xml:space="preserve">were </w:t>
      </w:r>
      <w:r w:rsidRPr="003B49D2">
        <w:t xml:space="preserve">rare i.e. 0.0-0.9%. Fever reported infrequently, incidence 5.1-7.2% across the two vaccine groups. </w:t>
      </w:r>
    </w:p>
    <w:p w:rsidR="002F638E" w:rsidRDefault="00FA0669" w:rsidP="00A16293">
      <w:r w:rsidRPr="003B49D2">
        <w:t xml:space="preserve">Unsolicited AEs were comparable in </w:t>
      </w:r>
      <w:proofErr w:type="spellStart"/>
      <w:r w:rsidRPr="003B49D2">
        <w:t>MenACWY</w:t>
      </w:r>
      <w:proofErr w:type="spellEnd"/>
      <w:r w:rsidRPr="003B49D2">
        <w:t xml:space="preserve">-TT (9.4%) and </w:t>
      </w:r>
      <w:proofErr w:type="spellStart"/>
      <w:r w:rsidRPr="003B49D2">
        <w:t>Mencevax</w:t>
      </w:r>
      <w:proofErr w:type="spellEnd"/>
      <w:r w:rsidRPr="003B49D2">
        <w:t xml:space="preserve"> ACWY (10.1%) groups. Grade 3 events as well as events considered related to vaccination infrequent i.e. 1.4% (</w:t>
      </w:r>
      <w:proofErr w:type="spellStart"/>
      <w:r w:rsidRPr="003B49D2">
        <w:t>MenACWY</w:t>
      </w:r>
      <w:proofErr w:type="spellEnd"/>
      <w:r w:rsidRPr="003B49D2">
        <w:t>-TT) and 1.2% (</w:t>
      </w:r>
      <w:proofErr w:type="spellStart"/>
      <w:r w:rsidRPr="003B49D2">
        <w:t>Mencevax</w:t>
      </w:r>
      <w:proofErr w:type="spellEnd"/>
      <w:r w:rsidRPr="003B49D2">
        <w:t xml:space="preserve"> ACWY) groups. No clinical pattern of unsolicited AEs revealed. </w:t>
      </w:r>
    </w:p>
    <w:p w:rsidR="00FA0669" w:rsidRPr="003B49D2" w:rsidRDefault="00FA0669" w:rsidP="00A16293">
      <w:r w:rsidRPr="003B49D2">
        <w:t xml:space="preserve">A co-primary objective of MenACWY-TT-038 (children 2-10 </w:t>
      </w:r>
      <w:r w:rsidR="00396F90">
        <w:t>years</w:t>
      </w:r>
      <w:r w:rsidRPr="003B49D2">
        <w:t xml:space="preserve"> old) was to demonstrate non-inferiority of </w:t>
      </w:r>
      <w:proofErr w:type="spellStart"/>
      <w:r w:rsidRPr="003B49D2">
        <w:t>MenACWY</w:t>
      </w:r>
      <w:proofErr w:type="spellEnd"/>
      <w:r w:rsidRPr="003B49D2">
        <w:t xml:space="preserve">-TT vs. </w:t>
      </w:r>
      <w:proofErr w:type="spellStart"/>
      <w:r w:rsidRPr="003B49D2">
        <w:t>Mencevax</w:t>
      </w:r>
      <w:proofErr w:type="spellEnd"/>
      <w:r w:rsidRPr="003B49D2">
        <w:t xml:space="preserve"> ACWY in terms of grade 3 general symptoms (solicited/unsolicited)</w:t>
      </w:r>
      <w:r w:rsidR="002F638E">
        <w:t xml:space="preserve"> within 4 days of vaccination. </w:t>
      </w:r>
      <w:r w:rsidRPr="003B49D2">
        <w:t>Whilst the pre-determined criteria for non-inferiority (UL 3.0), were not met, grade 3 general symptoms were lower in both groups (0.3-0.9%) vs. expected (3%), and the difference between groups was n</w:t>
      </w:r>
      <w:r w:rsidR="00D978E1">
        <w:t xml:space="preserve">ot statistically significant </w:t>
      </w:r>
      <w:r w:rsidR="00D978E1">
        <w:lastRenderedPageBreak/>
        <w:t>(p </w:t>
      </w:r>
      <w:r w:rsidRPr="003B49D2">
        <w:t>=</w:t>
      </w:r>
      <w:r w:rsidR="00D978E1">
        <w:t> </w:t>
      </w:r>
      <w:r w:rsidRPr="003B49D2">
        <w:t xml:space="preserve">0.2202). Solicited </w:t>
      </w:r>
      <w:proofErr w:type="spellStart"/>
      <w:r w:rsidRPr="003B49D2">
        <w:t>reactogenicity</w:t>
      </w:r>
      <w:proofErr w:type="spellEnd"/>
      <w:r w:rsidRPr="003B49D2">
        <w:t xml:space="preserve"> data and other observed AEs were comparable to </w:t>
      </w:r>
      <w:proofErr w:type="spellStart"/>
      <w:r w:rsidRPr="003B49D2">
        <w:t>Mencevax</w:t>
      </w:r>
      <w:proofErr w:type="spellEnd"/>
      <w:r w:rsidRPr="003B49D2">
        <w:t xml:space="preserve"> ACWY i.e. Pain at IS was the predominant solicited local symptom post vaccination in 2 to 5 y</w:t>
      </w:r>
      <w:r w:rsidR="002F638E">
        <w:t>ea</w:t>
      </w:r>
      <w:r w:rsidRPr="003B49D2">
        <w:t xml:space="preserve">r olds (18.1-20.7%); in 6 to 10 year olds, 19.4% of </w:t>
      </w:r>
      <w:proofErr w:type="spellStart"/>
      <w:r w:rsidRPr="003B49D2">
        <w:t>MenACWY</w:t>
      </w:r>
      <w:proofErr w:type="spellEnd"/>
      <w:r w:rsidRPr="003B49D2">
        <w:t xml:space="preserve">-TT vs. 26.9% in </w:t>
      </w:r>
      <w:proofErr w:type="spellStart"/>
      <w:r w:rsidRPr="003B49D2">
        <w:t>Mencevax</w:t>
      </w:r>
      <w:proofErr w:type="spellEnd"/>
      <w:r w:rsidRPr="003B49D2">
        <w:t xml:space="preserve"> ACWY groups experienced IS pain. Solicited general symptoms were equivalent i.e. most commonly fever in 2-5 </w:t>
      </w:r>
      <w:r w:rsidR="00396F90">
        <w:t>years</w:t>
      </w:r>
      <w:r w:rsidRPr="003B49D2">
        <w:t xml:space="preserve"> old (6.4-8.7%); in 6 -10 year olds, solicited general symptoms ranged from 4.6-10.2% in both vaccine groups, most commonly, headache (9.4-10.2%). Grade 3 solicited local/general symptoms uncommon; ≥1 unsolicited symptom reported in 17.6% </w:t>
      </w:r>
      <w:proofErr w:type="spellStart"/>
      <w:r w:rsidRPr="003B49D2">
        <w:t>MenACWY</w:t>
      </w:r>
      <w:proofErr w:type="spellEnd"/>
      <w:r w:rsidRPr="003B49D2">
        <w:t xml:space="preserve">-TT and 19.9% </w:t>
      </w:r>
      <w:proofErr w:type="spellStart"/>
      <w:r w:rsidRPr="003B49D2">
        <w:t>Mencevax</w:t>
      </w:r>
      <w:proofErr w:type="spellEnd"/>
      <w:r w:rsidRPr="003B49D2">
        <w:t xml:space="preserve"> ACWY subjects. Grade 3 events and events considered related to vaccination were infrequent. Analysis of unsolicited symptoms did not reveal any particular trends. </w:t>
      </w:r>
      <w:bookmarkStart w:id="92" w:name="_Toc241374318"/>
      <w:bookmarkStart w:id="93" w:name="_Ref271196630"/>
      <w:bookmarkStart w:id="94" w:name="_Toc272414662"/>
      <w:bookmarkStart w:id="95" w:name="_Toc290846300"/>
    </w:p>
    <w:bookmarkEnd w:id="92"/>
    <w:bookmarkEnd w:id="93"/>
    <w:bookmarkEnd w:id="94"/>
    <w:bookmarkEnd w:id="95"/>
    <w:p w:rsidR="002F638E" w:rsidRDefault="00FA0669" w:rsidP="00A16293">
      <w:pPr>
        <w:pStyle w:val="Heading4"/>
      </w:pPr>
      <w:r w:rsidRPr="0023147D">
        <w:t>Study completion and withdrawals</w:t>
      </w:r>
      <w:r w:rsidRPr="003B49D2">
        <w:t xml:space="preserve"> </w:t>
      </w:r>
    </w:p>
    <w:p w:rsidR="00FA0669" w:rsidRPr="003B49D2" w:rsidRDefault="00FA0669" w:rsidP="00A16293">
      <w:r w:rsidRPr="003B49D2">
        <w:t xml:space="preserve">Of 10380 subjects vaccinated in the primary vaccination studies, 136 (1.3%) were withdrawn. Among 8007 subjects vaccinated with </w:t>
      </w:r>
      <w:proofErr w:type="spellStart"/>
      <w:r w:rsidRPr="003B49D2">
        <w:t>MenACWY</w:t>
      </w:r>
      <w:proofErr w:type="spellEnd"/>
      <w:r w:rsidRPr="003B49D2">
        <w:t xml:space="preserve">-TT, 106 (1.3%) were withdrawn. One </w:t>
      </w:r>
      <w:proofErr w:type="spellStart"/>
      <w:r w:rsidRPr="003B49D2">
        <w:t>MenACWY</w:t>
      </w:r>
      <w:proofErr w:type="spellEnd"/>
      <w:r w:rsidRPr="003B49D2">
        <w:t xml:space="preserve">-TT </w:t>
      </w:r>
      <w:proofErr w:type="spellStart"/>
      <w:r w:rsidRPr="003B49D2">
        <w:t>vacinee</w:t>
      </w:r>
      <w:proofErr w:type="spellEnd"/>
      <w:r w:rsidRPr="003B49D2">
        <w:t xml:space="preserve"> was withdrawn due to an SAE not considered by the investigator to be related to vaccination; five </w:t>
      </w:r>
      <w:proofErr w:type="spellStart"/>
      <w:r w:rsidRPr="003B49D2">
        <w:t>MenACWY</w:t>
      </w:r>
      <w:proofErr w:type="spellEnd"/>
      <w:r w:rsidRPr="003B49D2">
        <w:t xml:space="preserve">-TT-vaccinated subjects were withdrawn due to non-serious AE. </w:t>
      </w:r>
    </w:p>
    <w:p w:rsidR="002F638E" w:rsidRDefault="0023147D" w:rsidP="00A16293">
      <w:pPr>
        <w:pStyle w:val="Heading3"/>
      </w:pPr>
      <w:bookmarkStart w:id="96" w:name="_Toc375123743"/>
      <w:r w:rsidRPr="0023147D">
        <w:t xml:space="preserve">Overall </w:t>
      </w:r>
      <w:r w:rsidR="00A16293">
        <w:t>e</w:t>
      </w:r>
      <w:r w:rsidRPr="0023147D">
        <w:t xml:space="preserve">xtent of </w:t>
      </w:r>
      <w:r w:rsidR="00A16293">
        <w:t>e</w:t>
      </w:r>
      <w:r w:rsidRPr="0023147D">
        <w:t>xposure</w:t>
      </w:r>
      <w:bookmarkEnd w:id="96"/>
    </w:p>
    <w:p w:rsidR="00FA0669" w:rsidRPr="003B49D2" w:rsidRDefault="00FA0669" w:rsidP="00A16293">
      <w:r w:rsidRPr="003B49D2">
        <w:t xml:space="preserve">Of the completed studies, 9366 subjects aged 1-55 years have been vaccinated with one dose of </w:t>
      </w:r>
      <w:proofErr w:type="spellStart"/>
      <w:r w:rsidRPr="003B49D2">
        <w:t>MenACWY</w:t>
      </w:r>
      <w:proofErr w:type="spellEnd"/>
      <w:r w:rsidRPr="003B49D2">
        <w:t xml:space="preserve">-TT vaccine; data from 8108 subjects included in the pooled analysis (excludes MenACWY-TT-021(boosting), MenACWY-TT-071, 224 in MenACWY-TT-040 (group </w:t>
      </w:r>
      <w:proofErr w:type="spellStart"/>
      <w:r w:rsidRPr="003B49D2">
        <w:t>Infanrix</w:t>
      </w:r>
      <w:proofErr w:type="spellEnd"/>
      <w:r w:rsidRPr="003B49D2">
        <w:t xml:space="preserve"> </w:t>
      </w:r>
      <w:proofErr w:type="spellStart"/>
      <w:r w:rsidRPr="003B49D2">
        <w:t>hexa</w:t>
      </w:r>
      <w:proofErr w:type="spellEnd"/>
      <w:r w:rsidRPr="003B49D2">
        <w:t xml:space="preserve">) and 90 in MenACWY-TT-080 (group Pneumococcal). A total 189 subjects in MenACWY-TT-055 (2-dose group) received 2 doses of </w:t>
      </w:r>
      <w:proofErr w:type="spellStart"/>
      <w:r w:rsidRPr="003B49D2">
        <w:t>MenACWY</w:t>
      </w:r>
      <w:proofErr w:type="spellEnd"/>
      <w:r w:rsidRPr="003B49D2">
        <w:t xml:space="preserve">-TT. The pooled analysis included data from 10400 subjects vaccinated with </w:t>
      </w:r>
      <w:proofErr w:type="spellStart"/>
      <w:r w:rsidRPr="003B49D2">
        <w:t>MenACWY</w:t>
      </w:r>
      <w:proofErr w:type="spellEnd"/>
      <w:r w:rsidRPr="003B49D2">
        <w:t xml:space="preserve">-TT or a comparator vaccine at first study visit. Of these 10400 subjects, 8108 vaccinated with </w:t>
      </w:r>
      <w:proofErr w:type="spellStart"/>
      <w:r w:rsidRPr="003B49D2">
        <w:t>MenACWY</w:t>
      </w:r>
      <w:proofErr w:type="spellEnd"/>
      <w:r w:rsidRPr="003B49D2">
        <w:t xml:space="preserve">-TT, 1617 with </w:t>
      </w:r>
      <w:proofErr w:type="spellStart"/>
      <w:r w:rsidRPr="003B49D2">
        <w:t>Mencevax</w:t>
      </w:r>
      <w:proofErr w:type="spellEnd"/>
      <w:r w:rsidRPr="003B49D2">
        <w:t xml:space="preserve"> ACWY, 375 with </w:t>
      </w:r>
      <w:proofErr w:type="spellStart"/>
      <w:r w:rsidRPr="003B49D2">
        <w:t>Meningitec</w:t>
      </w:r>
      <w:proofErr w:type="spellEnd"/>
      <w:r w:rsidRPr="003B49D2">
        <w:t xml:space="preserve">, 103 with </w:t>
      </w:r>
      <w:proofErr w:type="spellStart"/>
      <w:r w:rsidRPr="003B49D2">
        <w:t>Menjugate</w:t>
      </w:r>
      <w:proofErr w:type="spellEnd"/>
      <w:r w:rsidRPr="003B49D2">
        <w:t xml:space="preserve"> and 197 with </w:t>
      </w:r>
      <w:proofErr w:type="spellStart"/>
      <w:r w:rsidRPr="003B49D2">
        <w:t>Menactra</w:t>
      </w:r>
      <w:proofErr w:type="spellEnd"/>
      <w:r w:rsidRPr="003B49D2">
        <w:t xml:space="preserve">. </w:t>
      </w:r>
    </w:p>
    <w:p w:rsidR="00FA0669" w:rsidRPr="003B49D2" w:rsidRDefault="00FA0669" w:rsidP="00A16293">
      <w:pPr>
        <w:pStyle w:val="Heading3"/>
      </w:pPr>
      <w:bookmarkStart w:id="97" w:name="_Toc241374319"/>
      <w:bookmarkStart w:id="98" w:name="_Ref271044764"/>
      <w:bookmarkStart w:id="99" w:name="_Toc272414663"/>
      <w:bookmarkStart w:id="100" w:name="_Toc290846301"/>
      <w:bookmarkStart w:id="101" w:name="_Toc343641688"/>
      <w:bookmarkStart w:id="102" w:name="_Toc375123744"/>
      <w:r w:rsidRPr="003B49D2">
        <w:t>Adverse events</w:t>
      </w:r>
      <w:bookmarkEnd w:id="97"/>
      <w:bookmarkEnd w:id="98"/>
      <w:bookmarkEnd w:id="99"/>
      <w:bookmarkEnd w:id="100"/>
      <w:bookmarkEnd w:id="101"/>
      <w:bookmarkEnd w:id="102"/>
    </w:p>
    <w:p w:rsidR="00FA0669" w:rsidRPr="003B49D2" w:rsidRDefault="00FA0669" w:rsidP="00A16293">
      <w:pPr>
        <w:pStyle w:val="Heading4"/>
      </w:pPr>
      <w:bookmarkStart w:id="103" w:name="_Ref272317284"/>
      <w:bookmarkStart w:id="104" w:name="_Ref272333565"/>
      <w:bookmarkStart w:id="105" w:name="_Toc272414664"/>
      <w:bookmarkStart w:id="106" w:name="_Toc290846302"/>
      <w:bookmarkStart w:id="107" w:name="_Toc343641689"/>
      <w:r w:rsidRPr="003B49D2">
        <w:t>All adverse events (irrespective of relationship to study treatment)</w:t>
      </w:r>
      <w:bookmarkEnd w:id="103"/>
      <w:bookmarkEnd w:id="104"/>
      <w:bookmarkEnd w:id="105"/>
      <w:bookmarkEnd w:id="106"/>
      <w:bookmarkEnd w:id="107"/>
    </w:p>
    <w:p w:rsidR="00FA0669" w:rsidRPr="003B49D2" w:rsidRDefault="00FA0669" w:rsidP="00A16293">
      <w:pPr>
        <w:pStyle w:val="Heading5"/>
      </w:pPr>
      <w:r w:rsidRPr="003B49D2">
        <w:t>Pivotal studies</w:t>
      </w:r>
    </w:p>
    <w:p w:rsidR="00215887" w:rsidRDefault="00FA0669" w:rsidP="00A16293">
      <w:pPr>
        <w:pStyle w:val="Heading6"/>
      </w:pPr>
      <w:r w:rsidRPr="0023147D">
        <w:t>Summary of pooled analysis of solicited local adverse events reported during the 4 day (Da</w:t>
      </w:r>
      <w:r w:rsidR="0023147D" w:rsidRPr="0023147D">
        <w:t>ys 0-3) post-vaccination period:</w:t>
      </w:r>
      <w:r w:rsidRPr="0023147D">
        <w:t xml:space="preserve"> </w:t>
      </w:r>
    </w:p>
    <w:p w:rsidR="00FA0669" w:rsidRPr="0023147D" w:rsidRDefault="00FA0669" w:rsidP="00A16293">
      <w:r w:rsidRPr="0023147D">
        <w:t xml:space="preserve">Methodology (see above), in addition, MenACWY-TT-039 included rash/exanthema, parotid/salivary gland swelling, </w:t>
      </w:r>
      <w:proofErr w:type="spellStart"/>
      <w:r w:rsidRPr="0023147D">
        <w:t>meningism</w:t>
      </w:r>
      <w:proofErr w:type="spellEnd"/>
      <w:r w:rsidRPr="0023147D">
        <w:t xml:space="preserve"> including febrile con</w:t>
      </w:r>
      <w:r w:rsidR="00215887">
        <w:t xml:space="preserve">vulsions (Days 0-42) and fever </w:t>
      </w:r>
      <w:r w:rsidRPr="0023147D">
        <w:t>recorded Days 0-14 and screened for Day 15-42 because of co</w:t>
      </w:r>
      <w:r w:rsidR="00F16395">
        <w:t>-</w:t>
      </w:r>
      <w:r w:rsidR="00215887" w:rsidRPr="0023147D">
        <w:t>administration</w:t>
      </w:r>
      <w:r w:rsidRPr="0023147D">
        <w:t xml:space="preserve"> with MMRV. MenACWY-TT-040 and 10PN-PD-DIT-014 included extensive swelling reaction (i.e. swelling with a diameter &gt;50mm) Days 0-3) post-vaccination period as </w:t>
      </w:r>
      <w:proofErr w:type="spellStart"/>
      <w:r w:rsidRPr="0023147D">
        <w:t>DTPa</w:t>
      </w:r>
      <w:proofErr w:type="spellEnd"/>
      <w:r w:rsidRPr="0023147D">
        <w:t>-HBV-IPV/</w:t>
      </w:r>
      <w:proofErr w:type="spellStart"/>
      <w:r w:rsidRPr="0023147D">
        <w:t>Hib</w:t>
      </w:r>
      <w:proofErr w:type="spellEnd"/>
      <w:r w:rsidRPr="0023147D">
        <w:t xml:space="preserve"> vaccine co-administered. </w:t>
      </w:r>
    </w:p>
    <w:p w:rsidR="00FA0669" w:rsidRPr="0023147D" w:rsidRDefault="00FA0669" w:rsidP="00A16293">
      <w:r w:rsidRPr="0023147D">
        <w:rPr>
          <w:i/>
          <w:iCs/>
        </w:rPr>
        <w:t>Solicited local AE</w:t>
      </w:r>
      <w:r w:rsidR="0023147D">
        <w:rPr>
          <w:i/>
          <w:iCs/>
        </w:rPr>
        <w:t xml:space="preserve">: </w:t>
      </w:r>
      <w:r w:rsidRPr="0023147D">
        <w:t xml:space="preserve">In the &lt;2 year olds, incidence of redness, pain and swelling at IS were 33.0%, 27.4% and 17.9%. In the 2-5, 6-10, 11-17 and 18 </w:t>
      </w:r>
      <w:r w:rsidR="00396F90">
        <w:t>years</w:t>
      </w:r>
      <w:r w:rsidRPr="0023147D">
        <w:t xml:space="preserve"> age groups the following were reported i.e. pain (24.1%, 33.8%, 39.9%, and 37.3% respectively), redness (23.3%, 26.1%, 14.3% and 16.8% respectively) and swelling (13.4%, 17.7%, 11.5% and 12.5% respectively). Grade 3 solicited local symptoms low i.e. 0.2-1.5% for pain, 1.2-3.6% for redness, 1.4-2.5 % for swelling. </w:t>
      </w:r>
    </w:p>
    <w:p w:rsidR="00FA0669" w:rsidRPr="0023147D" w:rsidRDefault="00FA0669" w:rsidP="00A16293">
      <w:r w:rsidRPr="0023147D">
        <w:t xml:space="preserve">Data mining analyses of solicited local AEs in the pooled </w:t>
      </w:r>
      <w:proofErr w:type="spellStart"/>
      <w:r w:rsidRPr="0023147D">
        <w:t>Meningitec</w:t>
      </w:r>
      <w:proofErr w:type="spellEnd"/>
      <w:r w:rsidRPr="0023147D">
        <w:t xml:space="preserve"> controlled studies (MenACWY-TT-013, -027, -039 and -040) revealed redness as the most common ISR (39.6% in </w:t>
      </w:r>
      <w:proofErr w:type="spellStart"/>
      <w:r w:rsidRPr="0023147D">
        <w:t>MenACWY</w:t>
      </w:r>
      <w:proofErr w:type="spellEnd"/>
      <w:r w:rsidRPr="0023147D">
        <w:t xml:space="preserve">-TT group; 31.4% in </w:t>
      </w:r>
      <w:proofErr w:type="spellStart"/>
      <w:r w:rsidRPr="0023147D">
        <w:t>Meningitec</w:t>
      </w:r>
      <w:proofErr w:type="spellEnd"/>
      <w:r w:rsidRPr="0023147D">
        <w:t xml:space="preserve"> group). There was a higher incidence of solicited pain, redness and swelling at the IS with </w:t>
      </w:r>
      <w:proofErr w:type="spellStart"/>
      <w:r w:rsidRPr="0023147D">
        <w:t>MenACWY</w:t>
      </w:r>
      <w:proofErr w:type="spellEnd"/>
      <w:r w:rsidR="00E7159B">
        <w:t>-</w:t>
      </w:r>
      <w:r w:rsidRPr="0023147D">
        <w:t xml:space="preserve">TT i.e. 27.4%, 39.6% and 19.3%, </w:t>
      </w:r>
      <w:r w:rsidRPr="0023147D">
        <w:lastRenderedPageBreak/>
        <w:t xml:space="preserve">respectively vs. 20.3%, 31.4% and 14.6%, respectively, with </w:t>
      </w:r>
      <w:proofErr w:type="spellStart"/>
      <w:r w:rsidRPr="0023147D">
        <w:t>Meningitec</w:t>
      </w:r>
      <w:proofErr w:type="spellEnd"/>
      <w:r w:rsidRPr="0023147D">
        <w:t xml:space="preserve"> bu</w:t>
      </w:r>
      <w:r w:rsidR="00215887">
        <w:t xml:space="preserve">t all P-values non significant </w:t>
      </w:r>
      <w:r w:rsidRPr="0023147D">
        <w:t>with the exception of pain at the injection site of grade 3 intensity.</w:t>
      </w:r>
    </w:p>
    <w:p w:rsidR="00FA0669" w:rsidRPr="0023147D" w:rsidRDefault="00FA0669" w:rsidP="00A16293">
      <w:r w:rsidRPr="0023147D">
        <w:t xml:space="preserve">Data mining analyses (solicited local AEs) in the </w:t>
      </w:r>
      <w:proofErr w:type="spellStart"/>
      <w:r w:rsidRPr="0023147D">
        <w:t>Menjugate</w:t>
      </w:r>
      <w:proofErr w:type="spellEnd"/>
      <w:r w:rsidRPr="0023147D">
        <w:t xml:space="preserve"> controlled study (MenACWY-TT-081) revealed redness as most common ISR in 2-5 </w:t>
      </w:r>
      <w:r w:rsidR="00396F90">
        <w:t>years</w:t>
      </w:r>
      <w:r w:rsidRPr="0023147D">
        <w:t xml:space="preserve"> </w:t>
      </w:r>
      <w:proofErr w:type="spellStart"/>
      <w:r w:rsidRPr="0023147D">
        <w:t>olds</w:t>
      </w:r>
      <w:proofErr w:type="spellEnd"/>
      <w:r w:rsidRPr="0023147D">
        <w:t xml:space="preserve"> and pain at IS in 6-10 year olds with no difference in incidence between the two vaccines. In the pooled </w:t>
      </w:r>
      <w:proofErr w:type="spellStart"/>
      <w:r w:rsidRPr="0023147D">
        <w:t>Mencevax</w:t>
      </w:r>
      <w:proofErr w:type="spellEnd"/>
      <w:r w:rsidRPr="0023147D">
        <w:t xml:space="preserve"> ACWY controlled studies (MenACWY-TT-012,-013,-015,-027,-035,-036,-037,-038 and -093) most frequently reported solicited local AE was IS pain in all age groups in both vaccine arms. The incidence of grade 3 redness and grade 3 swelling was higher in the </w:t>
      </w:r>
      <w:proofErr w:type="spellStart"/>
      <w:r w:rsidRPr="0023147D">
        <w:t>MenACWY</w:t>
      </w:r>
      <w:proofErr w:type="spellEnd"/>
      <w:r w:rsidRPr="0023147D">
        <w:t xml:space="preserve">-TT group vs. </w:t>
      </w:r>
      <w:proofErr w:type="spellStart"/>
      <w:r w:rsidRPr="0023147D">
        <w:t>Mencevax</w:t>
      </w:r>
      <w:proofErr w:type="spellEnd"/>
      <w:r w:rsidRPr="0023147D">
        <w:t xml:space="preserve"> ACWY in 2-5 and the 6-10 year olds. These imbalances were also detected in the pooled 6-10 and 11-17 age groups. The incidence of redness and swelling was higher in the </w:t>
      </w:r>
      <w:proofErr w:type="spellStart"/>
      <w:r w:rsidRPr="0023147D">
        <w:t>MenACWY</w:t>
      </w:r>
      <w:proofErr w:type="spellEnd"/>
      <w:r w:rsidRPr="0023147D">
        <w:t xml:space="preserve">-TT group vs. </w:t>
      </w:r>
      <w:proofErr w:type="spellStart"/>
      <w:r w:rsidRPr="0023147D">
        <w:t>Mencevax</w:t>
      </w:r>
      <w:proofErr w:type="spellEnd"/>
      <w:r w:rsidRPr="0023147D">
        <w:t xml:space="preserve"> ACWY in 11-17 year olds. These imbalances were also detected in the pooled 6-10 and 11-17 age groups. Incidence of local pain (any), redness (any and grade 3) and swelling (any and grade 3) was more frequent in the </w:t>
      </w:r>
      <w:proofErr w:type="spellStart"/>
      <w:r w:rsidRPr="0023147D">
        <w:t>MenACWY</w:t>
      </w:r>
      <w:proofErr w:type="spellEnd"/>
      <w:r w:rsidRPr="0023147D">
        <w:t xml:space="preserve">-TT group compared to the </w:t>
      </w:r>
      <w:proofErr w:type="spellStart"/>
      <w:r w:rsidRPr="0023147D">
        <w:t>Mencevax</w:t>
      </w:r>
      <w:proofErr w:type="spellEnd"/>
      <w:r w:rsidRPr="0023147D">
        <w:t xml:space="preserve"> ACWY group in the 18 year olds.</w:t>
      </w:r>
    </w:p>
    <w:p w:rsidR="00FA0669" w:rsidRPr="0023147D" w:rsidRDefault="00FA0669" w:rsidP="00A16293">
      <w:r w:rsidRPr="0023147D">
        <w:t>No heterogeneity across studies detected (</w:t>
      </w:r>
      <w:proofErr w:type="spellStart"/>
      <w:r w:rsidRPr="0023147D">
        <w:t>Breslow</w:t>
      </w:r>
      <w:proofErr w:type="spellEnd"/>
      <w:r w:rsidRPr="0023147D">
        <w:t xml:space="preserve"> and Day test with respect to incidence of solicited local AEs reported within 4-day post-vaccination) except: IS swelling in 2-5 year olds (10.5 % in </w:t>
      </w:r>
      <w:proofErr w:type="spellStart"/>
      <w:r w:rsidRPr="0023147D">
        <w:t>MenACWY</w:t>
      </w:r>
      <w:proofErr w:type="spellEnd"/>
      <w:r w:rsidRPr="0023147D">
        <w:t xml:space="preserve">-TT vs. 10.7% in the </w:t>
      </w:r>
      <w:proofErr w:type="spellStart"/>
      <w:r w:rsidRPr="0023147D">
        <w:t>MencevaxACWY</w:t>
      </w:r>
      <w:proofErr w:type="spellEnd"/>
      <w:r w:rsidRPr="0023147D">
        <w:t xml:space="preserve">, P-value interact =0.036); IS swelling in ≥18 </w:t>
      </w:r>
      <w:r w:rsidR="00396F90">
        <w:t>years</w:t>
      </w:r>
      <w:r w:rsidRPr="0023147D">
        <w:t xml:space="preserve"> age group (11.6 % in </w:t>
      </w:r>
      <w:proofErr w:type="spellStart"/>
      <w:r w:rsidRPr="0023147D">
        <w:t>MenACWY</w:t>
      </w:r>
      <w:proofErr w:type="spellEnd"/>
      <w:r w:rsidRPr="0023147D">
        <w:t xml:space="preserve">-TT and 6.9% in the </w:t>
      </w:r>
      <w:proofErr w:type="spellStart"/>
      <w:r w:rsidRPr="0023147D">
        <w:t>Mencevax</w:t>
      </w:r>
      <w:proofErr w:type="spellEnd"/>
      <w:r w:rsidRPr="0023147D">
        <w:t xml:space="preserve"> AC</w:t>
      </w:r>
      <w:r w:rsidR="00F16395">
        <w:t xml:space="preserve">WY, P-value interact = 0.032). </w:t>
      </w:r>
      <w:r w:rsidRPr="0023147D">
        <w:t xml:space="preserve">Most frequent solicited local AE in both </w:t>
      </w:r>
      <w:proofErr w:type="spellStart"/>
      <w:r w:rsidRPr="0023147D">
        <w:t>MenACWYTT</w:t>
      </w:r>
      <w:proofErr w:type="spellEnd"/>
      <w:r w:rsidRPr="0023147D">
        <w:t xml:space="preserve"> and </w:t>
      </w:r>
      <w:proofErr w:type="spellStart"/>
      <w:r w:rsidRPr="0023147D">
        <w:t>Menactra</w:t>
      </w:r>
      <w:proofErr w:type="spellEnd"/>
      <w:r w:rsidRPr="0023147D">
        <w:t xml:space="preserve"> groups, in the 11-17 and 18 </w:t>
      </w:r>
      <w:r w:rsidR="00396F90">
        <w:t>years</w:t>
      </w:r>
      <w:r w:rsidRPr="0023147D">
        <w:t xml:space="preserve"> age groups, was IS pain, differences non-significant. </w:t>
      </w:r>
    </w:p>
    <w:p w:rsidR="00F16395" w:rsidRDefault="00FA0669" w:rsidP="00A16293">
      <w:pPr>
        <w:pStyle w:val="Heading6"/>
      </w:pPr>
      <w:r w:rsidRPr="0023147D">
        <w:t>Summary of pooled analysis of solicited general adverse events reported during the 4 day (Da</w:t>
      </w:r>
      <w:r w:rsidR="00F16395">
        <w:t>ys 0-3) post-vaccination period</w:t>
      </w:r>
      <w:r w:rsidRPr="0023147D">
        <w:t xml:space="preserve"> </w:t>
      </w:r>
    </w:p>
    <w:p w:rsidR="00FA0669" w:rsidRPr="0023147D" w:rsidRDefault="00FA0669" w:rsidP="00A16293">
      <w:r w:rsidRPr="0023147D">
        <w:t xml:space="preserve">The most frequently reported solicited general AE in &lt;2 </w:t>
      </w:r>
      <w:r w:rsidR="00396F90">
        <w:t>years</w:t>
      </w:r>
      <w:r w:rsidRPr="0023147D">
        <w:t xml:space="preserve"> </w:t>
      </w:r>
      <w:proofErr w:type="spellStart"/>
      <w:r w:rsidRPr="0023147D">
        <w:t>olds</w:t>
      </w:r>
      <w:proofErr w:type="spellEnd"/>
      <w:r w:rsidRPr="0023147D">
        <w:t xml:space="preserve">, were irritability (40.6%) drowsiness (32.1%), loss of appetite (24.8%) and fever (20.3%). In the 2-5 year olds, drowsiness (10.8%), irritability (9.2%), loss of appetite (8.2%) and fever (8.1%) were reported. In the 6-10 year olds, headache (15.6%), fatigue (15.1%), GI upset (9.1%) and fever (8.4%) reported. In 11-17 year olds, fatigue (20.9%), headache (20.8%), GI upset (8.9%) and fever (5.3%) reported. In 18 year olds, in order of frequency, headache (19.9%), fatigue (19.1%), GI symptoms (8.4%), fever (5.7%). Grade 3 events in 12-23 months and 2-5 </w:t>
      </w:r>
      <w:r w:rsidR="00396F90">
        <w:t>years</w:t>
      </w:r>
      <w:r w:rsidRPr="0023147D">
        <w:t xml:space="preserve"> age groups low (0.1-0.9%); likewise, low in 6 year olds i.e. fatigue (1.0-1.4%), headache (0.7-1.0%), GI upset (0.4%), fever (0.2%). For both subjects 1-5 and 6 </w:t>
      </w:r>
      <w:r w:rsidR="00396F90">
        <w:t>years</w:t>
      </w:r>
      <w:r w:rsidRPr="0023147D">
        <w:t xml:space="preserve"> of age, majority of solicited general symptoms were considered vaccine related. </w:t>
      </w:r>
    </w:p>
    <w:p w:rsidR="00FA0669" w:rsidRPr="0023147D" w:rsidRDefault="006134D7" w:rsidP="00A16293">
      <w:pPr>
        <w:pStyle w:val="Heading6"/>
      </w:pPr>
      <w:r>
        <w:t>C</w:t>
      </w:r>
      <w:r w:rsidR="00FA0669" w:rsidRPr="0023147D">
        <w:t>o</w:t>
      </w:r>
      <w:r>
        <w:t>mparison with</w:t>
      </w:r>
      <w:r w:rsidR="00F02803">
        <w:t xml:space="preserve"> the control vaccines</w:t>
      </w:r>
    </w:p>
    <w:p w:rsidR="00FA0669" w:rsidRPr="00E7159B" w:rsidRDefault="00FA0669" w:rsidP="00A16293">
      <w:r w:rsidRPr="00E7159B">
        <w:t xml:space="preserve">In </w:t>
      </w:r>
      <w:proofErr w:type="spellStart"/>
      <w:r w:rsidRPr="00E7159B">
        <w:t>Meningitec</w:t>
      </w:r>
      <w:proofErr w:type="spellEnd"/>
      <w:r w:rsidRPr="00E7159B">
        <w:t xml:space="preserve"> controlled studies (MenACWY-TT-013, -027, -039 and -040), most frequently reported solicited general AE (both groups): irritability in 40.2% </w:t>
      </w:r>
      <w:proofErr w:type="spellStart"/>
      <w:r w:rsidRPr="00E7159B">
        <w:t>MenACWY</w:t>
      </w:r>
      <w:proofErr w:type="spellEnd"/>
      <w:r w:rsidRPr="00E7159B">
        <w:t xml:space="preserve">-TT group and 33.2% of </w:t>
      </w:r>
      <w:proofErr w:type="spellStart"/>
      <w:r w:rsidRPr="00E7159B">
        <w:t>Meningitec</w:t>
      </w:r>
      <w:proofErr w:type="spellEnd"/>
      <w:r w:rsidRPr="00E7159B">
        <w:t xml:space="preserve"> group; Data mining revealed fever 37.5°C and fever &gt;38.0°C in the </w:t>
      </w:r>
      <w:proofErr w:type="spellStart"/>
      <w:r w:rsidRPr="00E7159B">
        <w:t>MenACWY</w:t>
      </w:r>
      <w:proofErr w:type="spellEnd"/>
      <w:r w:rsidRPr="00E7159B">
        <w:t xml:space="preserve">-TT group (17.6% and 5.8%) was higher vs. </w:t>
      </w:r>
      <w:proofErr w:type="spellStart"/>
      <w:r w:rsidRPr="00E7159B">
        <w:t>Meningitec</w:t>
      </w:r>
      <w:proofErr w:type="spellEnd"/>
      <w:r w:rsidRPr="00E7159B">
        <w:t xml:space="preserve"> (13.5% and 3.2%) respectively. Heterogeneity across studies was detected from the </w:t>
      </w:r>
      <w:proofErr w:type="spellStart"/>
      <w:r w:rsidRPr="00E7159B">
        <w:t>Breslow</w:t>
      </w:r>
      <w:proofErr w:type="spellEnd"/>
      <w:r w:rsidRPr="00E7159B">
        <w:t xml:space="preserve"> and Day test for the following events indicating that for these events the imbalances between the </w:t>
      </w:r>
      <w:proofErr w:type="spellStart"/>
      <w:r w:rsidRPr="00E7159B">
        <w:t>MenACWY</w:t>
      </w:r>
      <w:proofErr w:type="spellEnd"/>
      <w:r w:rsidRPr="00E7159B">
        <w:t xml:space="preserve">-TT and the </w:t>
      </w:r>
      <w:proofErr w:type="spellStart"/>
      <w:r w:rsidRPr="00E7159B">
        <w:t>Meningitec</w:t>
      </w:r>
      <w:proofErr w:type="spellEnd"/>
      <w:r w:rsidRPr="00E7159B">
        <w:t xml:space="preserve"> groups (as measured by Relative Risks) varied across studies: Fever &gt;38.0°C (5.8% of subjects in the </w:t>
      </w:r>
      <w:proofErr w:type="spellStart"/>
      <w:r w:rsidRPr="00E7159B">
        <w:t>MenACWY</w:t>
      </w:r>
      <w:proofErr w:type="spellEnd"/>
      <w:r w:rsidRPr="00E7159B">
        <w:t xml:space="preserve">-TT group and 3.2% of subjects in the </w:t>
      </w:r>
      <w:proofErr w:type="spellStart"/>
      <w:r w:rsidRPr="00E7159B">
        <w:t>Meningitec</w:t>
      </w:r>
      <w:proofErr w:type="spellEnd"/>
      <w:r w:rsidRPr="00E7159B">
        <w:t xml:space="preserve"> group, P-value interact = 0.029); Irritability assessed as related to vaccination (36.5% of </w:t>
      </w:r>
      <w:proofErr w:type="spellStart"/>
      <w:r w:rsidRPr="00E7159B">
        <w:t>MenACWY</w:t>
      </w:r>
      <w:proofErr w:type="spellEnd"/>
      <w:r w:rsidRPr="00E7159B">
        <w:t xml:space="preserve">-TT group vs. 28.9% of </w:t>
      </w:r>
      <w:proofErr w:type="spellStart"/>
      <w:r w:rsidRPr="00E7159B">
        <w:t>Meningitec</w:t>
      </w:r>
      <w:proofErr w:type="spellEnd"/>
      <w:r w:rsidRPr="00E7159B">
        <w:t xml:space="preserve"> group, P-value interact = 0.037). </w:t>
      </w:r>
    </w:p>
    <w:p w:rsidR="00FA0669" w:rsidRPr="00E7159B" w:rsidRDefault="00FA0669" w:rsidP="00A16293">
      <w:r w:rsidRPr="00E7159B">
        <w:t xml:space="preserve">In the </w:t>
      </w:r>
      <w:proofErr w:type="spellStart"/>
      <w:r w:rsidRPr="00E7159B">
        <w:t>Menjugate</w:t>
      </w:r>
      <w:proofErr w:type="spellEnd"/>
      <w:r w:rsidRPr="00E7159B">
        <w:t xml:space="preserve"> controlled study, MenACWY-TT-081 (in 2-5 year olds), drowsiness and irritability were reported in 14.2% and 15.4% of </w:t>
      </w:r>
      <w:proofErr w:type="spellStart"/>
      <w:r w:rsidRPr="00E7159B">
        <w:t>MenACWY</w:t>
      </w:r>
      <w:proofErr w:type="spellEnd"/>
      <w:r w:rsidRPr="00E7159B">
        <w:t xml:space="preserve">-TT group and 11.3% and 11.3% of subjects in </w:t>
      </w:r>
      <w:proofErr w:type="spellStart"/>
      <w:r w:rsidRPr="00E7159B">
        <w:t>Menjugate</w:t>
      </w:r>
      <w:proofErr w:type="spellEnd"/>
      <w:r w:rsidRPr="00E7159B">
        <w:t xml:space="preserve"> group respecti</w:t>
      </w:r>
      <w:r w:rsidR="00F02803" w:rsidRPr="00E7159B">
        <w:t xml:space="preserve">vely. In 6-10 year olds, 22.3% </w:t>
      </w:r>
      <w:r w:rsidRPr="00E7159B">
        <w:t xml:space="preserve">and 22% of </w:t>
      </w:r>
      <w:proofErr w:type="spellStart"/>
      <w:r w:rsidRPr="00E7159B">
        <w:t>MenACWY</w:t>
      </w:r>
      <w:proofErr w:type="spellEnd"/>
      <w:r w:rsidRPr="00E7159B">
        <w:t xml:space="preserve">-TT and </w:t>
      </w:r>
      <w:proofErr w:type="spellStart"/>
      <w:r w:rsidRPr="00E7159B">
        <w:t>Menjugate</w:t>
      </w:r>
      <w:proofErr w:type="spellEnd"/>
      <w:r w:rsidRPr="00E7159B">
        <w:t xml:space="preserve"> group respectively reported fatigue. Data mining analysis indicated headache (assessed as related to vaccination by investigator) in the 6-10 year olds was higher in </w:t>
      </w:r>
      <w:proofErr w:type="spellStart"/>
      <w:r w:rsidRPr="00E7159B">
        <w:t>MenACWY</w:t>
      </w:r>
      <w:proofErr w:type="spellEnd"/>
      <w:r w:rsidRPr="00E7159B">
        <w:t xml:space="preserve">-TT group vs. </w:t>
      </w:r>
      <w:proofErr w:type="spellStart"/>
      <w:r w:rsidRPr="00E7159B">
        <w:t>Menjugate</w:t>
      </w:r>
      <w:proofErr w:type="spellEnd"/>
      <w:r w:rsidRPr="00E7159B">
        <w:t xml:space="preserve"> group, 16.2% vs. 4.0% respectively, P-value = 0.048);</w:t>
      </w:r>
    </w:p>
    <w:p w:rsidR="00FA0669" w:rsidRPr="00E7159B" w:rsidRDefault="00FA0669" w:rsidP="00A16293">
      <w:r w:rsidRPr="00E7159B">
        <w:lastRenderedPageBreak/>
        <w:t xml:space="preserve">In </w:t>
      </w:r>
      <w:proofErr w:type="spellStart"/>
      <w:r w:rsidRPr="00E7159B">
        <w:t>Mencevax</w:t>
      </w:r>
      <w:proofErr w:type="spellEnd"/>
      <w:r w:rsidRPr="00E7159B">
        <w:t xml:space="preserve"> ACWY controlled studies (MenACWY-TT-012,-013,-015,-027,-035,-036,-037,-038 and -093), in 2-5 year olds, drowsiness was the most frequently reported AE in 10.1% </w:t>
      </w:r>
      <w:proofErr w:type="spellStart"/>
      <w:r w:rsidRPr="00E7159B">
        <w:t>MenACWY</w:t>
      </w:r>
      <w:proofErr w:type="spellEnd"/>
      <w:r w:rsidRPr="00E7159B">
        <w:t xml:space="preserve">-TT subjects  and 8.2% </w:t>
      </w:r>
      <w:proofErr w:type="spellStart"/>
      <w:r w:rsidRPr="00E7159B">
        <w:t>Mencevax</w:t>
      </w:r>
      <w:proofErr w:type="spellEnd"/>
      <w:r w:rsidRPr="00E7159B">
        <w:t xml:space="preserve"> subjects followed by irritability in 7.8% and 9.6% </w:t>
      </w:r>
      <w:proofErr w:type="spellStart"/>
      <w:r w:rsidRPr="00E7159B">
        <w:t>MenACWY</w:t>
      </w:r>
      <w:proofErr w:type="spellEnd"/>
      <w:r w:rsidRPr="00E7159B">
        <w:t xml:space="preserve">-TT and </w:t>
      </w:r>
      <w:proofErr w:type="spellStart"/>
      <w:r w:rsidRPr="00E7159B">
        <w:t>Mencevax</w:t>
      </w:r>
      <w:proofErr w:type="spellEnd"/>
      <w:r w:rsidRPr="00E7159B">
        <w:t xml:space="preserve"> ACWY subjects respectively. In 6-10 and 11-17 year olds, headache reported in 12.4% and 15.8% of subjects in </w:t>
      </w:r>
      <w:proofErr w:type="spellStart"/>
      <w:r w:rsidRPr="00E7159B">
        <w:t>MenACWY</w:t>
      </w:r>
      <w:proofErr w:type="spellEnd"/>
      <w:r w:rsidRPr="00E7159B">
        <w:t xml:space="preserve">-TT and 11.1% and 12.9% in the </w:t>
      </w:r>
      <w:proofErr w:type="spellStart"/>
      <w:r w:rsidRPr="00E7159B">
        <w:t>Mencevax</w:t>
      </w:r>
      <w:proofErr w:type="spellEnd"/>
      <w:r w:rsidRPr="00E7159B">
        <w:t xml:space="preserve"> ACWY groups respectively. Fatigue assessed as related to vaccination by the investigator (11.1% of </w:t>
      </w:r>
      <w:proofErr w:type="spellStart"/>
      <w:r w:rsidRPr="00E7159B">
        <w:t>MenACWY</w:t>
      </w:r>
      <w:proofErr w:type="spellEnd"/>
      <w:r w:rsidRPr="00E7159B">
        <w:t xml:space="preserve">-TT group and 10.2% of </w:t>
      </w:r>
      <w:proofErr w:type="spellStart"/>
      <w:r w:rsidRPr="00E7159B">
        <w:t>Mencevax</w:t>
      </w:r>
      <w:proofErr w:type="spellEnd"/>
      <w:r w:rsidRPr="00E7159B">
        <w:t xml:space="preserve"> ACWY group, P-value interact = 0.033) in the 6- 10 year olds. In ≥18 year olds, headache in 20.7% </w:t>
      </w:r>
      <w:proofErr w:type="spellStart"/>
      <w:r w:rsidRPr="00E7159B">
        <w:t>MenACWY</w:t>
      </w:r>
      <w:proofErr w:type="spellEnd"/>
      <w:r w:rsidRPr="00E7159B">
        <w:t xml:space="preserve">-TT and 20.4% fatigue in </w:t>
      </w:r>
      <w:proofErr w:type="spellStart"/>
      <w:r w:rsidRPr="00E7159B">
        <w:t>Mencevax</w:t>
      </w:r>
      <w:proofErr w:type="spellEnd"/>
      <w:r w:rsidRPr="00E7159B">
        <w:t xml:space="preserve"> ACWY groups. Data mining analysis indicated headache assessed as related to vaccination in the 6-10 and 11-17 age groups was significantly higher in </w:t>
      </w:r>
      <w:proofErr w:type="spellStart"/>
      <w:r w:rsidRPr="00E7159B">
        <w:t>MenACWY</w:t>
      </w:r>
      <w:proofErr w:type="spellEnd"/>
      <w:r w:rsidRPr="00E7159B">
        <w:t xml:space="preserve">-TT subjects.  In ≥18 year olds, fatigue and GI symptoms (4.1% of </w:t>
      </w:r>
      <w:proofErr w:type="spellStart"/>
      <w:r w:rsidRPr="00E7159B">
        <w:t>MenACWY</w:t>
      </w:r>
      <w:proofErr w:type="spellEnd"/>
      <w:r w:rsidRPr="00E7159B">
        <w:t xml:space="preserve">-TT group and 3.5% of subjects in </w:t>
      </w:r>
      <w:proofErr w:type="spellStart"/>
      <w:r w:rsidRPr="00E7159B">
        <w:t>Mencevax</w:t>
      </w:r>
      <w:proofErr w:type="spellEnd"/>
      <w:r w:rsidRPr="00E7159B">
        <w:t xml:space="preserve"> ACWY group, P-value interact = 0.035) were significantly more common in the </w:t>
      </w:r>
      <w:proofErr w:type="spellStart"/>
      <w:r w:rsidRPr="00E7159B">
        <w:t>MenACWY</w:t>
      </w:r>
      <w:proofErr w:type="spellEnd"/>
      <w:r w:rsidRPr="00E7159B">
        <w:t>-TT group;</w:t>
      </w:r>
    </w:p>
    <w:p w:rsidR="00FA0669" w:rsidRPr="00E7159B" w:rsidRDefault="0023147D" w:rsidP="00A16293">
      <w:r w:rsidRPr="00E7159B">
        <w:t>I</w:t>
      </w:r>
      <w:r w:rsidR="00FA0669" w:rsidRPr="00E7159B">
        <w:t xml:space="preserve">n the </w:t>
      </w:r>
      <w:proofErr w:type="spellStart"/>
      <w:r w:rsidR="00FA0669" w:rsidRPr="00E7159B">
        <w:t>Menactra</w:t>
      </w:r>
      <w:proofErr w:type="spellEnd"/>
      <w:r w:rsidR="00FA0669" w:rsidRPr="00E7159B">
        <w:t xml:space="preserve"> controlled study (MenACWY-TT-052), in 11-17 year olds, headache most frequently reported in both groups i.e. 27.9% in </w:t>
      </w:r>
      <w:proofErr w:type="spellStart"/>
      <w:r w:rsidR="00FA0669" w:rsidRPr="00E7159B">
        <w:t>MenACWY</w:t>
      </w:r>
      <w:proofErr w:type="spellEnd"/>
      <w:r w:rsidR="00FA0669" w:rsidRPr="00E7159B">
        <w:t xml:space="preserve">-TT and 31.6% of </w:t>
      </w:r>
      <w:proofErr w:type="spellStart"/>
      <w:r w:rsidR="00FA0669" w:rsidRPr="00E7159B">
        <w:t>Menactra</w:t>
      </w:r>
      <w:proofErr w:type="spellEnd"/>
      <w:r w:rsidR="00FA0669" w:rsidRPr="00E7159B">
        <w:t xml:space="preserve"> subjects. In subjects ≥18 </w:t>
      </w:r>
      <w:r w:rsidR="00396F90" w:rsidRPr="00E7159B">
        <w:t>years</w:t>
      </w:r>
      <w:r w:rsidR="00FA0669" w:rsidRPr="00E7159B">
        <w:t xml:space="preserve"> old, fatigue reported in 32.8% and 40.0% of </w:t>
      </w:r>
      <w:proofErr w:type="spellStart"/>
      <w:r w:rsidR="00FA0669" w:rsidRPr="00E7159B">
        <w:t>MenACWY</w:t>
      </w:r>
      <w:proofErr w:type="spellEnd"/>
      <w:r w:rsidR="00FA0669" w:rsidRPr="00E7159B">
        <w:t xml:space="preserve">-TT and </w:t>
      </w:r>
      <w:proofErr w:type="spellStart"/>
      <w:r w:rsidR="00FA0669" w:rsidRPr="00E7159B">
        <w:t>Menactra</w:t>
      </w:r>
      <w:proofErr w:type="spellEnd"/>
      <w:r w:rsidR="00FA0669" w:rsidRPr="00E7159B">
        <w:t xml:space="preserve"> subjects respectively. No significant differences between groups for any solicited general AE.</w:t>
      </w:r>
    </w:p>
    <w:p w:rsidR="00FE6DA7" w:rsidRPr="00FE6DA7" w:rsidRDefault="00FA0669" w:rsidP="00A16293">
      <w:pPr>
        <w:pStyle w:val="Heading6"/>
      </w:pPr>
      <w:r w:rsidRPr="00FE6DA7">
        <w:t xml:space="preserve">Solicited adverse events reported in </w:t>
      </w:r>
      <w:r w:rsidR="00A16293">
        <w:t>s</w:t>
      </w:r>
      <w:r w:rsidRPr="00FE6DA7">
        <w:t xml:space="preserve">tudy MenACWY-TT-021 </w:t>
      </w:r>
    </w:p>
    <w:p w:rsidR="00F02803" w:rsidRDefault="00FA0669" w:rsidP="00A16293">
      <w:r w:rsidRPr="0023147D">
        <w:t xml:space="preserve">There was no worrisome safety signal revealed by prime (with </w:t>
      </w:r>
      <w:proofErr w:type="spellStart"/>
      <w:r w:rsidRPr="0023147D">
        <w:t>MencevaxACWY</w:t>
      </w:r>
      <w:proofErr w:type="spellEnd"/>
      <w:r w:rsidRPr="0023147D">
        <w:t>) boost (</w:t>
      </w:r>
      <w:proofErr w:type="spellStart"/>
      <w:r w:rsidRPr="0023147D">
        <w:t>MenACWY</w:t>
      </w:r>
      <w:proofErr w:type="spellEnd"/>
      <w:r w:rsidRPr="0023147D">
        <w:t xml:space="preserve">-TT, 30-42 months later) in healthy 2–30 year olds compared to the </w:t>
      </w:r>
      <w:proofErr w:type="spellStart"/>
      <w:r w:rsidRPr="0023147D">
        <w:t>reactogenicity</w:t>
      </w:r>
      <w:proofErr w:type="spellEnd"/>
      <w:r w:rsidRPr="0023147D">
        <w:t xml:space="preserve"> and safety of </w:t>
      </w:r>
      <w:proofErr w:type="spellStart"/>
      <w:r w:rsidRPr="0023147D">
        <w:t>MenACWY</w:t>
      </w:r>
      <w:proofErr w:type="spellEnd"/>
      <w:r w:rsidRPr="0023147D">
        <w:t xml:space="preserve">-TT vaccine in age-strata matched subjects who were meningococcal vaccine naïve/or no receipt for ≥10 </w:t>
      </w:r>
      <w:r w:rsidR="00396F90">
        <w:t>years</w:t>
      </w:r>
      <w:r w:rsidRPr="0023147D">
        <w:t xml:space="preserve">. However, compliance with completion of the diary cards was lower in the primed group (85.9%) than the </w:t>
      </w:r>
      <w:proofErr w:type="spellStart"/>
      <w:r w:rsidRPr="0023147D">
        <w:t>unprimed</w:t>
      </w:r>
      <w:proofErr w:type="spellEnd"/>
      <w:r w:rsidRPr="0023147D">
        <w:t xml:space="preserve"> group (97.5%) for both local and general symptoms, largely due to the conduct of the studies during religious holidays in and/or summer months where subjects were away. </w:t>
      </w:r>
    </w:p>
    <w:p w:rsidR="00FE6DA7" w:rsidRDefault="00FA0669" w:rsidP="00A16293">
      <w:r w:rsidRPr="00F02803">
        <w:rPr>
          <w:i/>
          <w:iCs/>
        </w:rPr>
        <w:t>Solicited local AE:</w:t>
      </w:r>
      <w:r w:rsidRPr="0023147D">
        <w:t xml:space="preserve"> IS pain was the most frequently reported solicited local AE for both groups 50.9% of primed and 35.1% </w:t>
      </w:r>
      <w:proofErr w:type="spellStart"/>
      <w:r w:rsidRPr="0023147D">
        <w:t>unprimed</w:t>
      </w:r>
      <w:proofErr w:type="spellEnd"/>
      <w:r w:rsidRPr="0023147D">
        <w:t>; Grade 3 IS pain occurred in 4.8% (primed) and 0.0% (</w:t>
      </w:r>
      <w:proofErr w:type="spellStart"/>
      <w:r w:rsidRPr="0023147D">
        <w:t>unprimed</w:t>
      </w:r>
      <w:proofErr w:type="spellEnd"/>
      <w:r w:rsidRPr="0023147D">
        <w:t xml:space="preserve">); redness and swelling at the injection site was 21.2% and 24.2%, respectively in the primed group and 22.1% and 26.0% in the </w:t>
      </w:r>
      <w:proofErr w:type="spellStart"/>
      <w:r w:rsidRPr="0023147D">
        <w:t>unprimed</w:t>
      </w:r>
      <w:proofErr w:type="spellEnd"/>
      <w:r w:rsidRPr="0023147D">
        <w:t xml:space="preserve"> group. Grade 3 redness and swelling uncommon i.e. 1.8% and 5.5% of subjects respectively in the primed group and 1.3% and 2.6% of subjects respectively in </w:t>
      </w:r>
      <w:proofErr w:type="spellStart"/>
      <w:r w:rsidRPr="0023147D">
        <w:t>unprimed</w:t>
      </w:r>
      <w:proofErr w:type="spellEnd"/>
      <w:r w:rsidRPr="0023147D">
        <w:t xml:space="preserve"> group. Incidence of any pain and grade 3 pain higher in the </w:t>
      </w:r>
      <w:proofErr w:type="spellStart"/>
      <w:r w:rsidRPr="0023147D">
        <w:t>Mencevax</w:t>
      </w:r>
      <w:proofErr w:type="spellEnd"/>
      <w:r w:rsidRPr="0023147D">
        <w:t xml:space="preserve"> ACWY primed group vs. </w:t>
      </w:r>
      <w:proofErr w:type="spellStart"/>
      <w:r w:rsidRPr="0023147D">
        <w:t>unprimed</w:t>
      </w:r>
      <w:proofErr w:type="spellEnd"/>
      <w:r w:rsidRPr="0023147D">
        <w:t xml:space="preserve"> group (P-values = 0.0212 and 0.0494, respectively). Bias could have been introduced with respect to pain, as an open study and pain is a subjective symptom. </w:t>
      </w:r>
    </w:p>
    <w:p w:rsidR="00FE6DA7" w:rsidRPr="00FE6DA7" w:rsidRDefault="00FA0669" w:rsidP="00A16293">
      <w:pPr>
        <w:pStyle w:val="Heading6"/>
      </w:pPr>
      <w:r w:rsidRPr="00FE6DA7">
        <w:t>Solicited general AE</w:t>
      </w:r>
      <w:r w:rsidR="00F02803">
        <w:t xml:space="preserve"> </w:t>
      </w:r>
      <w:r w:rsidR="00A16293">
        <w:t>in s</w:t>
      </w:r>
      <w:r w:rsidRPr="00F02803">
        <w:t>tudy MenACWY-TT-021</w:t>
      </w:r>
    </w:p>
    <w:p w:rsidR="00FA0669" w:rsidRPr="0023147D" w:rsidRDefault="00FA0669" w:rsidP="00A16293">
      <w:r w:rsidRPr="0023147D">
        <w:t xml:space="preserve">Most frequently reported were fatigue and headache in both group i.e. 35.8% and 19.5% of subjects reported fatigue and 31.5% and 22.1% of subjects reported headache in the primed group and the </w:t>
      </w:r>
      <w:proofErr w:type="spellStart"/>
      <w:r w:rsidRPr="0023147D">
        <w:t>unprimed</w:t>
      </w:r>
      <w:proofErr w:type="spellEnd"/>
      <w:r w:rsidRPr="0023147D">
        <w:t xml:space="preserve"> group, respectively. Fever (≥37.5°C oral) occurred in 20.0% (primed) and 19.5% (</w:t>
      </w:r>
      <w:proofErr w:type="spellStart"/>
      <w:r w:rsidRPr="0023147D">
        <w:t>unprimed</w:t>
      </w:r>
      <w:proofErr w:type="spellEnd"/>
      <w:r w:rsidRPr="0023147D">
        <w:t xml:space="preserve">). Two primed group subjects vs. none had grade 3 fever. GI symptoms reported in 15.8% and 13.0% of primed vs. </w:t>
      </w:r>
      <w:proofErr w:type="spellStart"/>
      <w:r w:rsidRPr="0023147D">
        <w:t>unprimed</w:t>
      </w:r>
      <w:proofErr w:type="spellEnd"/>
      <w:r w:rsidRPr="0023147D">
        <w:t xml:space="preserve"> subjects respectively. In terms of significantly higher incidence in the primed vs. </w:t>
      </w:r>
      <w:proofErr w:type="spellStart"/>
      <w:r w:rsidRPr="0023147D">
        <w:t>unprimed</w:t>
      </w:r>
      <w:proofErr w:type="spellEnd"/>
      <w:r w:rsidRPr="0023147D">
        <w:t xml:space="preserve"> groups: Fatigue (35.8% vs.19.5% P value= 0.0105); Fatigue assessed as related (32.7% vs. 11.7%, P-value = 0.0005), Fever (≥37.5° C) assessed as related (18.8% vs. 7.8%, P-value = 0.0268), Headache assessed as related (27.3% vs.11.7%, P-value = 0.0067). </w:t>
      </w:r>
    </w:p>
    <w:p w:rsidR="00FE6DA7" w:rsidRPr="00FE6DA7" w:rsidRDefault="00FA0669" w:rsidP="00A16293">
      <w:pPr>
        <w:pStyle w:val="Heading6"/>
      </w:pPr>
      <w:r w:rsidRPr="00FE6DA7">
        <w:t>Pooled analysis of unsolicited adverse events reported during the 31-day (</w:t>
      </w:r>
      <w:r w:rsidR="00A16293">
        <w:t>d</w:t>
      </w:r>
      <w:r w:rsidRPr="00FE6DA7">
        <w:t>ay</w:t>
      </w:r>
      <w:r w:rsidR="00F02803">
        <w:t>s 0-30) post-vaccination period</w:t>
      </w:r>
      <w:r w:rsidRPr="00FE6DA7">
        <w:t xml:space="preserve"> </w:t>
      </w:r>
    </w:p>
    <w:p w:rsidR="00F02803" w:rsidRDefault="00FA0669" w:rsidP="00A16293">
      <w:r w:rsidRPr="0023147D">
        <w:t xml:space="preserve">Following single IM </w:t>
      </w:r>
      <w:proofErr w:type="spellStart"/>
      <w:r w:rsidRPr="0023147D">
        <w:t>MenACWY</w:t>
      </w:r>
      <w:proofErr w:type="spellEnd"/>
      <w:r w:rsidRPr="0023147D">
        <w:t xml:space="preserve">-TT 12.3-44.5% across age groups (44.5% of subjects in the below 2 </w:t>
      </w:r>
      <w:r w:rsidR="00396F90">
        <w:t>years</w:t>
      </w:r>
      <w:r w:rsidRPr="0023147D">
        <w:t xml:space="preserve"> of age group, 23.5% of subjects in the 2-5 </w:t>
      </w:r>
      <w:r w:rsidR="00396F90">
        <w:t>years</w:t>
      </w:r>
      <w:r w:rsidRPr="0023147D">
        <w:t xml:space="preserve"> age group, 17.3% of subjects in the 6</w:t>
      </w:r>
      <w:r w:rsidR="006134D7">
        <w:noBreakHyphen/>
      </w:r>
      <w:r w:rsidRPr="0023147D">
        <w:t xml:space="preserve">10 </w:t>
      </w:r>
      <w:r w:rsidR="00396F90">
        <w:t>years</w:t>
      </w:r>
      <w:r w:rsidRPr="0023147D">
        <w:t xml:space="preserve"> age group, 12.3% of subjects in the 11-17 </w:t>
      </w:r>
      <w:r w:rsidR="00396F90">
        <w:t>years</w:t>
      </w:r>
      <w:r w:rsidRPr="0023147D">
        <w:t xml:space="preserve"> age group and 18.1% of subjects ≥18 </w:t>
      </w:r>
      <w:r w:rsidR="00396F90">
        <w:t>years</w:t>
      </w:r>
      <w:r w:rsidRPr="0023147D">
        <w:t xml:space="preserve"> age, reported at least one unsolicited AE of any intensity 0-30 days post vaccination. </w:t>
      </w:r>
    </w:p>
    <w:p w:rsidR="00FA0669" w:rsidRPr="0023147D" w:rsidRDefault="00FA0669" w:rsidP="008064B0">
      <w:r w:rsidRPr="0023147D">
        <w:lastRenderedPageBreak/>
        <w:t xml:space="preserve">URTI most frequently reported in all age groups (ranging 1.4-6.5%). In those &lt;2 </w:t>
      </w:r>
      <w:r w:rsidR="00396F90">
        <w:t>years</w:t>
      </w:r>
      <w:r w:rsidRPr="0023147D">
        <w:t xml:space="preserve"> age, rhinitis reported by 6.5%. Unsolicited AE grade 3 intensity reported in 1.1% and 5.3% across age groups. In terms of any grade unsolicited AE considered vaccine related, 2.9%-9.9% and those of grade 3 intensity consider vaccine related in 0.1% across all age groups (Note: 0.9% in the &lt; 2 </w:t>
      </w:r>
      <w:r w:rsidR="00396F90">
        <w:t>years</w:t>
      </w:r>
      <w:r w:rsidRPr="0023147D">
        <w:t xml:space="preserve"> age stratum).</w:t>
      </w:r>
    </w:p>
    <w:p w:rsidR="00F02803" w:rsidRDefault="00F02803" w:rsidP="008064B0">
      <w:r w:rsidRPr="00F02803">
        <w:rPr>
          <w:i/>
          <w:iCs/>
        </w:rPr>
        <w:t>Below age 2 years:</w:t>
      </w:r>
      <w:r>
        <w:t xml:space="preserve"> </w:t>
      </w:r>
      <w:r w:rsidR="00FA0669" w:rsidRPr="0023147D">
        <w:t xml:space="preserve">At least one unsolicited AE of any intensity reported by 44.5% of subjects below 2 </w:t>
      </w:r>
      <w:r w:rsidR="00396F90">
        <w:t>years</w:t>
      </w:r>
      <w:r w:rsidR="00FA0669" w:rsidRPr="0023147D">
        <w:t xml:space="preserve"> of age (MenACWY-TT-013, -027, -039, -040, -055, -080 and 10PN-PD-DIT-014). Rhinitis (6.5%) and URTI (6.5%) most frequently reported followed by diarrhoea (5.5%) and teething (4.1%). </w:t>
      </w:r>
      <w:proofErr w:type="spellStart"/>
      <w:r w:rsidR="00FA0669" w:rsidRPr="0023147D">
        <w:t>Lymphadenopathy</w:t>
      </w:r>
      <w:proofErr w:type="spellEnd"/>
      <w:r w:rsidR="00FA0669" w:rsidRPr="0023147D">
        <w:t xml:space="preserve"> and iron deficiency anaemia were the unsolicited AEs reported under blood and lymphatic disorders SOC (≤0.1% of subjects). The most frequently reported AE under nervous system disorder: crying (0.9%), somnolence (0.4%), headache (0.2%) and poor quality sleep (0.2%). Other nervous system disorders reported include balance disorder, clumsiness, epilepsy, febrile convulsion, and psychomotor hyperactivity (reported by one subject each). </w:t>
      </w:r>
    </w:p>
    <w:p w:rsidR="00F02803" w:rsidRDefault="00FA0669" w:rsidP="008064B0">
      <w:r w:rsidRPr="00F02803">
        <w:rPr>
          <w:i/>
          <w:iCs/>
        </w:rPr>
        <w:t xml:space="preserve">2-5 </w:t>
      </w:r>
      <w:r w:rsidR="00396F90">
        <w:rPr>
          <w:i/>
          <w:iCs/>
        </w:rPr>
        <w:t>years</w:t>
      </w:r>
      <w:r w:rsidRPr="00F02803">
        <w:rPr>
          <w:i/>
          <w:iCs/>
        </w:rPr>
        <w:t xml:space="preserve"> age group</w:t>
      </w:r>
      <w:r w:rsidRPr="0023147D">
        <w:t xml:space="preserve"> (MenACWY-TT-013, -027, -038</w:t>
      </w:r>
      <w:r w:rsidR="00F02803">
        <w:t xml:space="preserve"> and -081): reported by 23.5%. </w:t>
      </w:r>
      <w:r w:rsidRPr="0023147D">
        <w:t>URTI most frequently reported in 5.0% of subjects, followed by rhinitis (3.6%) and p</w:t>
      </w:r>
      <w:r w:rsidR="00396F90">
        <w:t>yr</w:t>
      </w:r>
      <w:r w:rsidRPr="0023147D">
        <w:t xml:space="preserve">exia (2.9%). Lymphadenitis and </w:t>
      </w:r>
      <w:proofErr w:type="spellStart"/>
      <w:r w:rsidRPr="0023147D">
        <w:t>lymphadenopathy</w:t>
      </w:r>
      <w:proofErr w:type="spellEnd"/>
      <w:r w:rsidRPr="0023147D">
        <w:t xml:space="preserve"> were reported each by 0.1%. Headache was the most frequently reported nervous system disorder (0.4%). Other nervous system disorders reported include febrile convulsion, head discomfort, and </w:t>
      </w:r>
      <w:proofErr w:type="spellStart"/>
      <w:r w:rsidRPr="0023147D">
        <w:t>vagus</w:t>
      </w:r>
      <w:proofErr w:type="spellEnd"/>
      <w:r w:rsidRPr="0023147D">
        <w:t xml:space="preserve"> nerve disorder (0.1% each). </w:t>
      </w:r>
    </w:p>
    <w:p w:rsidR="00F02803" w:rsidRDefault="00FA0669" w:rsidP="008064B0">
      <w:r w:rsidRPr="00F02803">
        <w:rPr>
          <w:i/>
          <w:iCs/>
        </w:rPr>
        <w:t xml:space="preserve">6-10 </w:t>
      </w:r>
      <w:r w:rsidR="00396F90">
        <w:rPr>
          <w:i/>
          <w:iCs/>
        </w:rPr>
        <w:t>years</w:t>
      </w:r>
      <w:r w:rsidRPr="00F02803">
        <w:rPr>
          <w:i/>
          <w:iCs/>
        </w:rPr>
        <w:t xml:space="preserve"> age group</w:t>
      </w:r>
      <w:r w:rsidRPr="0023147D">
        <w:t xml:space="preserve"> (</w:t>
      </w:r>
      <w:proofErr w:type="spellStart"/>
      <w:r w:rsidRPr="0023147D">
        <w:t>MenACWY</w:t>
      </w:r>
      <w:proofErr w:type="spellEnd"/>
      <w:r w:rsidRPr="0023147D">
        <w:t>-TT -027, -038, -052 and -081): Reported by 17.3% of subjects in this age group with URTI (2.8%), p</w:t>
      </w:r>
      <w:r w:rsidR="00396F90">
        <w:t>yr</w:t>
      </w:r>
      <w:r w:rsidRPr="0023147D">
        <w:t xml:space="preserve">exia (2.0%) and rhinitis (1.8%). </w:t>
      </w:r>
      <w:proofErr w:type="spellStart"/>
      <w:r w:rsidRPr="0023147D">
        <w:t>Lymphadenopathy</w:t>
      </w:r>
      <w:proofErr w:type="spellEnd"/>
      <w:r w:rsidRPr="0023147D">
        <w:t xml:space="preserve"> was the only unsolicited AE reported under blood and lymphatic disorders (0.1%). The most frequently reported AE under nervous system disorder was headache (1.1%). Other nervous system disorders reported include dizziness (0.2%) and </w:t>
      </w:r>
      <w:proofErr w:type="spellStart"/>
      <w:r w:rsidRPr="0023147D">
        <w:t>hypoaesthesia</w:t>
      </w:r>
      <w:proofErr w:type="spellEnd"/>
      <w:r w:rsidRPr="0023147D">
        <w:t xml:space="preserve"> (0.1%). </w:t>
      </w:r>
    </w:p>
    <w:p w:rsidR="00F02803" w:rsidRDefault="00FA0669" w:rsidP="008064B0">
      <w:r w:rsidRPr="00F02803">
        <w:rPr>
          <w:i/>
          <w:iCs/>
        </w:rPr>
        <w:t xml:space="preserve">11-17 </w:t>
      </w:r>
      <w:r w:rsidR="00396F90">
        <w:rPr>
          <w:i/>
          <w:iCs/>
        </w:rPr>
        <w:t>years</w:t>
      </w:r>
      <w:r w:rsidRPr="00F02803">
        <w:rPr>
          <w:i/>
          <w:iCs/>
        </w:rPr>
        <w:t xml:space="preserve"> age group</w:t>
      </w:r>
      <w:r w:rsidRPr="0023147D">
        <w:t xml:space="preserve"> (</w:t>
      </w:r>
      <w:proofErr w:type="spellStart"/>
      <w:r w:rsidRPr="0023147D">
        <w:t>MenACWY</w:t>
      </w:r>
      <w:proofErr w:type="spellEnd"/>
      <w:r w:rsidRPr="0023147D">
        <w:t xml:space="preserve">-TT -012, -015, -036, -037 and -052): Reported by 12.3% of subjects in this age stratum; URTI (1.4%) was the most frequently reported followed by </w:t>
      </w:r>
      <w:proofErr w:type="spellStart"/>
      <w:r w:rsidRPr="0023147D">
        <w:t>nasopharyngitis</w:t>
      </w:r>
      <w:proofErr w:type="spellEnd"/>
      <w:r w:rsidRPr="0023147D">
        <w:t xml:space="preserve"> (0.7) and </w:t>
      </w:r>
      <w:proofErr w:type="spellStart"/>
      <w:r w:rsidRPr="0023147D">
        <w:t>oropharyngeal</w:t>
      </w:r>
      <w:proofErr w:type="spellEnd"/>
      <w:r w:rsidRPr="0023147D">
        <w:t xml:space="preserve"> pain (0.6%). Lymphadenitis and </w:t>
      </w:r>
      <w:proofErr w:type="spellStart"/>
      <w:r w:rsidRPr="0023147D">
        <w:t>lymphadenopathy</w:t>
      </w:r>
      <w:proofErr w:type="spellEnd"/>
      <w:r w:rsidRPr="0023147D">
        <w:t xml:space="preserve"> reported by 0.1% and 0.05% respectively. Headache and dizziness the most frequently reported nervous system disorders (0.5%). Other nervous system disorders reported include </w:t>
      </w:r>
      <w:proofErr w:type="spellStart"/>
      <w:r w:rsidRPr="0023147D">
        <w:t>presyncope</w:t>
      </w:r>
      <w:proofErr w:type="spellEnd"/>
      <w:r w:rsidRPr="0023147D">
        <w:t xml:space="preserve"> and syncope reported by 0.1% of subjects and head discomfort, migraine, and </w:t>
      </w:r>
      <w:proofErr w:type="spellStart"/>
      <w:r w:rsidRPr="0023147D">
        <w:t>paraesthesia</w:t>
      </w:r>
      <w:proofErr w:type="spellEnd"/>
      <w:r w:rsidRPr="0023147D">
        <w:t xml:space="preserve"> reported each by 0.05% of subjects. </w:t>
      </w:r>
    </w:p>
    <w:p w:rsidR="00FA0669" w:rsidRPr="0023147D" w:rsidRDefault="00FA0669" w:rsidP="008064B0">
      <w:r w:rsidRPr="00F02803">
        <w:rPr>
          <w:i/>
          <w:iCs/>
        </w:rPr>
        <w:t xml:space="preserve">18 </w:t>
      </w:r>
      <w:r w:rsidR="00396F90">
        <w:rPr>
          <w:i/>
          <w:iCs/>
        </w:rPr>
        <w:t>years</w:t>
      </w:r>
      <w:r w:rsidRPr="00F02803">
        <w:rPr>
          <w:i/>
          <w:iCs/>
        </w:rPr>
        <w:t xml:space="preserve"> of age and above</w:t>
      </w:r>
      <w:r w:rsidRPr="0023147D">
        <w:t xml:space="preserve"> (</w:t>
      </w:r>
      <w:proofErr w:type="spellStart"/>
      <w:r w:rsidRPr="0023147D">
        <w:t>MenACWY</w:t>
      </w:r>
      <w:proofErr w:type="spellEnd"/>
      <w:r w:rsidRPr="0023147D">
        <w:t xml:space="preserve">-TT -012, -015, -035, -052 and -093): reported unsolicited AE in 18.1%, URTI most frequently (2.3%) the most frequently reported followed by headache (2.0%), </w:t>
      </w:r>
      <w:proofErr w:type="spellStart"/>
      <w:r w:rsidRPr="0023147D">
        <w:t>nasopharyngitis</w:t>
      </w:r>
      <w:proofErr w:type="spellEnd"/>
      <w:r w:rsidRPr="0023147D">
        <w:t xml:space="preserve"> (1.4%) and </w:t>
      </w:r>
      <w:r w:rsidR="00F02803" w:rsidRPr="0023147D">
        <w:t>dysmenorrhoea</w:t>
      </w:r>
      <w:r w:rsidRPr="0023147D">
        <w:t xml:space="preserve"> (1.4%). One subject reported </w:t>
      </w:r>
      <w:proofErr w:type="spellStart"/>
      <w:r w:rsidRPr="0023147D">
        <w:t>lymphadenopathy</w:t>
      </w:r>
      <w:proofErr w:type="spellEnd"/>
      <w:r w:rsidRPr="0023147D">
        <w:t xml:space="preserve">. Headache was the most frequently reported nervous system disorder (2.0%). Other nervous system disorders reported were dizziness (0.4%), </w:t>
      </w:r>
      <w:proofErr w:type="spellStart"/>
      <w:r w:rsidRPr="0023147D">
        <w:t>hypoaesthesia</w:t>
      </w:r>
      <w:proofErr w:type="spellEnd"/>
      <w:r w:rsidRPr="0023147D">
        <w:t xml:space="preserve"> (0.2%) and migraine (0.0%).</w:t>
      </w:r>
    </w:p>
    <w:p w:rsidR="00FA0669" w:rsidRPr="00FE6DA7" w:rsidRDefault="00FA0669" w:rsidP="008064B0">
      <w:pPr>
        <w:pStyle w:val="Heading6"/>
      </w:pPr>
      <w:r w:rsidRPr="00FE6DA7">
        <w:t>Comparative analyses</w:t>
      </w:r>
    </w:p>
    <w:p w:rsidR="00FE6DA7" w:rsidRDefault="00FA0669" w:rsidP="008064B0">
      <w:pPr>
        <w:pStyle w:val="ListBullet"/>
      </w:pPr>
      <w:r w:rsidRPr="0023147D">
        <w:t xml:space="preserve">Comparison with </w:t>
      </w:r>
      <w:proofErr w:type="spellStart"/>
      <w:r w:rsidRPr="0023147D">
        <w:t>Meningitec</w:t>
      </w:r>
      <w:proofErr w:type="spellEnd"/>
      <w:r w:rsidRPr="0023147D">
        <w:t xml:space="preserve"> (MenACWY-TT-013, -027, -039 and -040): </w:t>
      </w:r>
    </w:p>
    <w:p w:rsidR="00FA0669" w:rsidRPr="0023147D" w:rsidRDefault="00FA0669" w:rsidP="008064B0">
      <w:r w:rsidRPr="0023147D">
        <w:t xml:space="preserve">Data mining </w:t>
      </w:r>
      <w:r w:rsidR="00FE6DA7" w:rsidRPr="0023147D">
        <w:t>analyses</w:t>
      </w:r>
      <w:r w:rsidRPr="0023147D">
        <w:t xml:space="preserve"> indicated that unsolicited symptoms of any intensity considered vaccine related higher in </w:t>
      </w:r>
      <w:proofErr w:type="spellStart"/>
      <w:r w:rsidRPr="0023147D">
        <w:t>MenACWY</w:t>
      </w:r>
      <w:proofErr w:type="spellEnd"/>
      <w:r w:rsidRPr="0023147D">
        <w:t xml:space="preserve">-TT subjects vs. </w:t>
      </w:r>
      <w:proofErr w:type="spellStart"/>
      <w:r w:rsidRPr="0023147D">
        <w:t>Meningitec</w:t>
      </w:r>
      <w:proofErr w:type="spellEnd"/>
      <w:r w:rsidRPr="0023147D">
        <w:t xml:space="preserve"> (14.4% vs. 7.2% respectively, P-value = 0.030). Bias may have occurred as MenACWY-TT-027, -039, -040 were open studies. Study MenACWY-TT-013 was partially DB study but only the four different formulations of </w:t>
      </w:r>
      <w:proofErr w:type="spellStart"/>
      <w:r w:rsidRPr="0023147D">
        <w:t>MenACWY</w:t>
      </w:r>
      <w:proofErr w:type="spellEnd"/>
      <w:r w:rsidRPr="0023147D">
        <w:t xml:space="preserve">-TT candidate vaccine were administered DB. No differences were observed with respect to individual unsolicited symptoms of any intensity considered to be related to vaccination by the investigator between </w:t>
      </w:r>
      <w:proofErr w:type="spellStart"/>
      <w:r w:rsidRPr="0023147D">
        <w:t>MenACWY</w:t>
      </w:r>
      <w:proofErr w:type="spellEnd"/>
      <w:r w:rsidRPr="0023147D">
        <w:t xml:space="preserve">-TT and </w:t>
      </w:r>
      <w:proofErr w:type="spellStart"/>
      <w:r w:rsidRPr="0023147D">
        <w:t>Meningitec</w:t>
      </w:r>
      <w:proofErr w:type="spellEnd"/>
      <w:r w:rsidRPr="0023147D">
        <w:t xml:space="preserve"> groups. There was no difference in grade 3 events, which were low between groups (1.3% of </w:t>
      </w:r>
      <w:proofErr w:type="spellStart"/>
      <w:r w:rsidRPr="0023147D">
        <w:t>MenACWY</w:t>
      </w:r>
      <w:proofErr w:type="spellEnd"/>
      <w:r w:rsidRPr="0023147D">
        <w:t xml:space="preserve">-TT group and 0.5% </w:t>
      </w:r>
      <w:proofErr w:type="spellStart"/>
      <w:r w:rsidRPr="0023147D">
        <w:t>Meningitec</w:t>
      </w:r>
      <w:proofErr w:type="spellEnd"/>
      <w:r w:rsidRPr="0023147D">
        <w:t xml:space="preserve">, P value non-significant). </w:t>
      </w:r>
    </w:p>
    <w:p w:rsidR="00FE6DA7" w:rsidRDefault="00FA0669" w:rsidP="008064B0">
      <w:pPr>
        <w:pStyle w:val="ListBullet"/>
      </w:pPr>
      <w:r w:rsidRPr="0023147D">
        <w:t>Comparison w</w:t>
      </w:r>
      <w:r w:rsidR="008064B0">
        <w:t xml:space="preserve">ith </w:t>
      </w:r>
      <w:proofErr w:type="spellStart"/>
      <w:r w:rsidR="008064B0">
        <w:t>Menjugate</w:t>
      </w:r>
      <w:proofErr w:type="spellEnd"/>
      <w:r w:rsidR="008064B0">
        <w:t xml:space="preserve"> (MenACWY-TT-081):</w:t>
      </w:r>
    </w:p>
    <w:p w:rsidR="00FA0669" w:rsidRPr="0023147D" w:rsidRDefault="00FA0669" w:rsidP="008064B0">
      <w:r w:rsidRPr="0023147D">
        <w:lastRenderedPageBreak/>
        <w:t xml:space="preserve">No grade 3 unsolicited AEs considered related to vaccination in </w:t>
      </w:r>
      <w:proofErr w:type="spellStart"/>
      <w:r w:rsidRPr="0023147D">
        <w:t>MenACWY</w:t>
      </w:r>
      <w:proofErr w:type="spellEnd"/>
      <w:r w:rsidRPr="0023147D">
        <w:t xml:space="preserve">-TT and </w:t>
      </w:r>
      <w:proofErr w:type="spellStart"/>
      <w:r w:rsidRPr="0023147D">
        <w:t>Menjugate</w:t>
      </w:r>
      <w:proofErr w:type="spellEnd"/>
      <w:r w:rsidRPr="0023147D">
        <w:t xml:space="preserve"> groups in the 2-5 &amp; 6-10 year olds. In both age groups, one </w:t>
      </w:r>
      <w:proofErr w:type="spellStart"/>
      <w:r w:rsidRPr="0023147D">
        <w:t>MenACWY</w:t>
      </w:r>
      <w:proofErr w:type="spellEnd"/>
      <w:r w:rsidRPr="0023147D">
        <w:t>-TT subject reported one unsolicited symptom of grade 3 intensity (</w:t>
      </w:r>
      <w:proofErr w:type="spellStart"/>
      <w:r w:rsidRPr="0023147D">
        <w:t>p</w:t>
      </w:r>
      <w:r w:rsidR="00396F90">
        <w:t>year</w:t>
      </w:r>
      <w:r w:rsidRPr="0023147D">
        <w:t>exia</w:t>
      </w:r>
      <w:proofErr w:type="spellEnd"/>
      <w:r w:rsidRPr="0023147D">
        <w:t xml:space="preserve"> in the 2-5 </w:t>
      </w:r>
      <w:r w:rsidR="00396F90">
        <w:t>years</w:t>
      </w:r>
      <w:r w:rsidRPr="0023147D">
        <w:t xml:space="preserve"> age group and injury in the 6-10 </w:t>
      </w:r>
      <w:r w:rsidR="00396F90">
        <w:t>years</w:t>
      </w:r>
      <w:r w:rsidRPr="0023147D">
        <w:t xml:space="preserve"> age group). Data mining analyses in did not reveal any differences between the vaccines in regards to any intensity unsolicited AE in 2-5 and 6-10 </w:t>
      </w:r>
      <w:r w:rsidR="00396F90">
        <w:t>years</w:t>
      </w:r>
      <w:r w:rsidRPr="0023147D">
        <w:t xml:space="preserve"> age groups.</w:t>
      </w:r>
    </w:p>
    <w:p w:rsidR="00FE6DA7" w:rsidRDefault="00FA0669" w:rsidP="008064B0">
      <w:pPr>
        <w:pStyle w:val="ListBullet"/>
      </w:pPr>
      <w:r w:rsidRPr="0023147D">
        <w:t xml:space="preserve">Comparison with </w:t>
      </w:r>
      <w:proofErr w:type="spellStart"/>
      <w:r w:rsidRPr="0023147D">
        <w:t>Mencevax</w:t>
      </w:r>
      <w:proofErr w:type="spellEnd"/>
      <w:r w:rsidRPr="0023147D">
        <w:t xml:space="preserve"> ACWY (</w:t>
      </w:r>
      <w:r w:rsidR="008064B0">
        <w:t>MenACWY-TT-013, -027 and -038):</w:t>
      </w:r>
    </w:p>
    <w:p w:rsidR="00F02803" w:rsidRDefault="00FA0669" w:rsidP="008064B0">
      <w:r w:rsidRPr="0023147D">
        <w:t xml:space="preserve">Reported in 24.0% and 24.1% of </w:t>
      </w:r>
      <w:proofErr w:type="spellStart"/>
      <w:r w:rsidRPr="0023147D">
        <w:t>MenACWY</w:t>
      </w:r>
      <w:proofErr w:type="spellEnd"/>
      <w:r w:rsidRPr="0023147D">
        <w:t xml:space="preserve">-TT group and </w:t>
      </w:r>
      <w:proofErr w:type="spellStart"/>
      <w:r w:rsidRPr="0023147D">
        <w:t>Mencevax</w:t>
      </w:r>
      <w:proofErr w:type="spellEnd"/>
      <w:r w:rsidRPr="0023147D">
        <w:t xml:space="preserve"> ACWY respectively in the 2-5 </w:t>
      </w:r>
      <w:r w:rsidR="00396F90">
        <w:t>years</w:t>
      </w:r>
      <w:r w:rsidRPr="0023147D">
        <w:t xml:space="preserve"> age group, with URTI most frequent. Of grade 3 intensity reported by 1.3% </w:t>
      </w:r>
      <w:proofErr w:type="spellStart"/>
      <w:r w:rsidRPr="0023147D">
        <w:t>MenACWY</w:t>
      </w:r>
      <w:proofErr w:type="spellEnd"/>
      <w:r w:rsidRPr="0023147D">
        <w:t xml:space="preserve">-TT subjects and 0.7% of </w:t>
      </w:r>
      <w:proofErr w:type="spellStart"/>
      <w:r w:rsidRPr="0023147D">
        <w:t>Mencevax</w:t>
      </w:r>
      <w:proofErr w:type="spellEnd"/>
      <w:r w:rsidRPr="0023147D">
        <w:t xml:space="preserve"> ACWY subjects. In the 2-5 </w:t>
      </w:r>
      <w:r w:rsidR="00396F90">
        <w:t>years</w:t>
      </w:r>
      <w:r w:rsidRPr="0023147D">
        <w:t xml:space="preserve"> age group one subject in </w:t>
      </w:r>
      <w:proofErr w:type="spellStart"/>
      <w:r w:rsidRPr="0023147D">
        <w:t>MenACWY</w:t>
      </w:r>
      <w:proofErr w:type="spellEnd"/>
      <w:r w:rsidRPr="0023147D">
        <w:t>-TT group reported one unsolicited symptom of grade 3 intensity (haematom</w:t>
      </w:r>
      <w:r w:rsidR="00F02803">
        <w:t xml:space="preserve">a) considered vaccine related. </w:t>
      </w:r>
      <w:r w:rsidRPr="0023147D">
        <w:t xml:space="preserve">Data mining analysis revealed </w:t>
      </w:r>
      <w:proofErr w:type="spellStart"/>
      <w:r w:rsidRPr="0023147D">
        <w:t>nasopharyngitis</w:t>
      </w:r>
      <w:proofErr w:type="spellEnd"/>
      <w:r w:rsidRPr="0023147D">
        <w:t xml:space="preserve"> was higher in the </w:t>
      </w:r>
      <w:proofErr w:type="spellStart"/>
      <w:r w:rsidRPr="0023147D">
        <w:t>Mencevax</w:t>
      </w:r>
      <w:proofErr w:type="spellEnd"/>
      <w:r w:rsidRPr="0023147D">
        <w:t xml:space="preserve"> ACWY (1.8%) group as compared to the </w:t>
      </w:r>
      <w:proofErr w:type="spellStart"/>
      <w:r w:rsidRPr="0023147D">
        <w:t>MenACWY</w:t>
      </w:r>
      <w:proofErr w:type="spellEnd"/>
      <w:r w:rsidRPr="0023147D">
        <w:t xml:space="preserve">-TT group (0.0%) (P-value = 0.030). In MenACWY-TT-027 and -038 (6-10 year olds), 18.5% of </w:t>
      </w:r>
      <w:proofErr w:type="spellStart"/>
      <w:r w:rsidRPr="0023147D">
        <w:t>MenACWY</w:t>
      </w:r>
      <w:proofErr w:type="spellEnd"/>
      <w:r w:rsidRPr="0023147D">
        <w:t xml:space="preserve">-TT and 20.4% of </w:t>
      </w:r>
      <w:proofErr w:type="spellStart"/>
      <w:r w:rsidRPr="0023147D">
        <w:t>Mencevax</w:t>
      </w:r>
      <w:proofErr w:type="spellEnd"/>
      <w:r w:rsidRPr="0023147D">
        <w:t xml:space="preserve"> ACWY subjects reported any grade AE, most frequently URTI; AE of grade 3 reported by 1.7% and 2.2% of </w:t>
      </w:r>
      <w:proofErr w:type="spellStart"/>
      <w:r w:rsidRPr="0023147D">
        <w:t>MenACWY</w:t>
      </w:r>
      <w:proofErr w:type="spellEnd"/>
      <w:r w:rsidRPr="0023147D">
        <w:t xml:space="preserve">-TT and </w:t>
      </w:r>
      <w:proofErr w:type="spellStart"/>
      <w:r w:rsidRPr="0023147D">
        <w:t>Mencevax</w:t>
      </w:r>
      <w:proofErr w:type="spellEnd"/>
      <w:r w:rsidRPr="0023147D">
        <w:t xml:space="preserve"> ACWY groups respectively. </w:t>
      </w:r>
    </w:p>
    <w:p w:rsidR="00C03B31" w:rsidRDefault="00FA0669" w:rsidP="008064B0">
      <w:r w:rsidRPr="0023147D">
        <w:t xml:space="preserve">Data mining analysis showed unsolicited AE did not differ significantly across studies MenACWY-TT-027 and -038, in the 6-10 </w:t>
      </w:r>
      <w:r w:rsidR="00396F90">
        <w:t>years</w:t>
      </w:r>
      <w:r w:rsidRPr="0023147D">
        <w:t xml:space="preserve"> age group except for URTI (P-value interact=0.046) and for any unsolicited AEs considered as being related to vaccination by the investigator (P-value interact=0.012). In MenACWY-TT-012,-015 and -036, in the 11-17 </w:t>
      </w:r>
      <w:r w:rsidR="00396F90">
        <w:t>years</w:t>
      </w:r>
      <w:r w:rsidRPr="0023147D">
        <w:t xml:space="preserve"> age group, no unsolicited AEs of grade 3 intensity considered to vaccine related; all grade 3 irrespective of relatedness were rare i.e. 0.1% of </w:t>
      </w:r>
      <w:proofErr w:type="spellStart"/>
      <w:r w:rsidRPr="0023147D">
        <w:t>MenACWY</w:t>
      </w:r>
      <w:proofErr w:type="spellEnd"/>
      <w:r w:rsidRPr="0023147D">
        <w:t xml:space="preserve">-TT group and 0.3% of </w:t>
      </w:r>
      <w:proofErr w:type="spellStart"/>
      <w:r w:rsidRPr="0023147D">
        <w:t>Mencevax</w:t>
      </w:r>
      <w:proofErr w:type="spellEnd"/>
      <w:r w:rsidRPr="0023147D">
        <w:t xml:space="preserve"> ACWY group; any grade unsolicited AE reported in 8.3% of </w:t>
      </w:r>
      <w:proofErr w:type="spellStart"/>
      <w:r w:rsidRPr="0023147D">
        <w:t>MenACWY</w:t>
      </w:r>
      <w:proofErr w:type="spellEnd"/>
      <w:r w:rsidRPr="0023147D">
        <w:t xml:space="preserve">-TT and 9.3% of </w:t>
      </w:r>
      <w:proofErr w:type="spellStart"/>
      <w:r w:rsidRPr="0023147D">
        <w:t>Mencevax</w:t>
      </w:r>
      <w:proofErr w:type="spellEnd"/>
      <w:r w:rsidRPr="0023147D">
        <w:t xml:space="preserve"> ACWY with URTI most frequent. Non significant differences in AE profile revealed. </w:t>
      </w:r>
    </w:p>
    <w:p w:rsidR="00FA0669" w:rsidRPr="0023147D" w:rsidRDefault="00FA0669" w:rsidP="008064B0">
      <w:r w:rsidRPr="0023147D">
        <w:t xml:space="preserve">In those ≥18 </w:t>
      </w:r>
      <w:r w:rsidR="00396F90">
        <w:t>years</w:t>
      </w:r>
      <w:r w:rsidRPr="0023147D">
        <w:t xml:space="preserve"> of age (MenACWY-TT-012,-015,- 035 and -093) 18.1% of </w:t>
      </w:r>
      <w:proofErr w:type="spellStart"/>
      <w:r w:rsidRPr="0023147D">
        <w:t>MenACWY</w:t>
      </w:r>
      <w:proofErr w:type="spellEnd"/>
      <w:r w:rsidRPr="0023147D">
        <w:t xml:space="preserve">-TT group and 18.0% </w:t>
      </w:r>
      <w:proofErr w:type="spellStart"/>
      <w:r w:rsidRPr="0023147D">
        <w:t>Mencevax</w:t>
      </w:r>
      <w:proofErr w:type="spellEnd"/>
      <w:r w:rsidRPr="0023147D">
        <w:t xml:space="preserve"> ACWY group with unsolicited AE, most frequently  URTI and headache, the latter non significantly different between vaccines. Grade 3 intensity AE reported by 2.0% in the </w:t>
      </w:r>
      <w:proofErr w:type="spellStart"/>
      <w:r w:rsidRPr="0023147D">
        <w:t>MenACWY</w:t>
      </w:r>
      <w:proofErr w:type="spellEnd"/>
      <w:r w:rsidRPr="0023147D">
        <w:t xml:space="preserve">-TT group and 1.3% in </w:t>
      </w:r>
      <w:proofErr w:type="spellStart"/>
      <w:r w:rsidRPr="0023147D">
        <w:t>Mencevax</w:t>
      </w:r>
      <w:proofErr w:type="spellEnd"/>
      <w:r w:rsidRPr="0023147D">
        <w:t xml:space="preserve"> ACWY group (P-value = 0.182). Three subjects (0.2%) from </w:t>
      </w:r>
      <w:proofErr w:type="spellStart"/>
      <w:r w:rsidRPr="0023147D">
        <w:t>MenACWY</w:t>
      </w:r>
      <w:proofErr w:type="spellEnd"/>
      <w:r w:rsidRPr="0023147D">
        <w:t xml:space="preserve">-TT group and 2 subjects (0.3%) from </w:t>
      </w:r>
      <w:proofErr w:type="spellStart"/>
      <w:r w:rsidRPr="0023147D">
        <w:t>Mencevax</w:t>
      </w:r>
      <w:proofErr w:type="spellEnd"/>
      <w:r w:rsidRPr="0023147D">
        <w:t xml:space="preserve"> ACWY group with grade 3 reported AE considered vaccine related. Overall, </w:t>
      </w:r>
      <w:proofErr w:type="spellStart"/>
      <w:r w:rsidRPr="0023147D">
        <w:t>myalgia</w:t>
      </w:r>
      <w:proofErr w:type="spellEnd"/>
      <w:r w:rsidRPr="0023147D">
        <w:t xml:space="preserve"> (all &lt;grade 3) was higher in the </w:t>
      </w:r>
      <w:proofErr w:type="spellStart"/>
      <w:r w:rsidRPr="0023147D">
        <w:t>MenACWY</w:t>
      </w:r>
      <w:proofErr w:type="spellEnd"/>
      <w:r w:rsidRPr="0023147D">
        <w:t xml:space="preserve">-TT group (0.6% vs. 0.0%) (P-value = 0.040). Of note, none of the </w:t>
      </w:r>
      <w:proofErr w:type="spellStart"/>
      <w:r w:rsidRPr="0023147D">
        <w:t>myalgia</w:t>
      </w:r>
      <w:proofErr w:type="spellEnd"/>
      <w:r w:rsidRPr="0023147D">
        <w:t xml:space="preserve"> cases reported was of Grade 3 intensity. </w:t>
      </w:r>
    </w:p>
    <w:p w:rsidR="00C03B31" w:rsidRPr="00F02803" w:rsidRDefault="00FA0669" w:rsidP="008064B0">
      <w:pPr>
        <w:pStyle w:val="ListBullet"/>
      </w:pPr>
      <w:r w:rsidRPr="00F02803">
        <w:t xml:space="preserve">Comparison </w:t>
      </w:r>
      <w:r w:rsidR="008064B0">
        <w:t xml:space="preserve">with </w:t>
      </w:r>
      <w:proofErr w:type="spellStart"/>
      <w:r w:rsidR="008064B0">
        <w:t>Menactra</w:t>
      </w:r>
      <w:proofErr w:type="spellEnd"/>
      <w:r w:rsidR="008064B0">
        <w:t xml:space="preserve"> (MenACWY-TT-052):</w:t>
      </w:r>
    </w:p>
    <w:p w:rsidR="00FA0669" w:rsidRPr="0023147D" w:rsidRDefault="00FA0669" w:rsidP="008064B0">
      <w:r w:rsidRPr="0023147D">
        <w:t xml:space="preserve">No unsolicited AEs of grade 3 intensity reported in those ≥18 </w:t>
      </w:r>
      <w:r w:rsidR="00396F90">
        <w:t>years</w:t>
      </w:r>
      <w:r w:rsidRPr="0023147D">
        <w:t xml:space="preserve">; overall, any grade AE reported in 17.4% of </w:t>
      </w:r>
      <w:proofErr w:type="spellStart"/>
      <w:r w:rsidRPr="0023147D">
        <w:t>MenACWY</w:t>
      </w:r>
      <w:proofErr w:type="spellEnd"/>
      <w:r w:rsidRPr="0023147D">
        <w:t xml:space="preserve">-TT and 19.2% of </w:t>
      </w:r>
      <w:proofErr w:type="spellStart"/>
      <w:r w:rsidRPr="0023147D">
        <w:t>Menactra</w:t>
      </w:r>
      <w:proofErr w:type="spellEnd"/>
      <w:r w:rsidRPr="0023147D">
        <w:t xml:space="preserve"> groups in the 11-17 </w:t>
      </w:r>
      <w:r w:rsidR="00396F90">
        <w:t>years</w:t>
      </w:r>
      <w:r w:rsidRPr="0023147D">
        <w:t xml:space="preserve"> age strata and by 19.7% (</w:t>
      </w:r>
      <w:proofErr w:type="spellStart"/>
      <w:r w:rsidRPr="0023147D">
        <w:t>MenACWY</w:t>
      </w:r>
      <w:proofErr w:type="spellEnd"/>
      <w:r w:rsidRPr="0023147D">
        <w:t>-TT) and 15.0% (</w:t>
      </w:r>
      <w:proofErr w:type="spellStart"/>
      <w:r w:rsidRPr="0023147D">
        <w:t>Menactra</w:t>
      </w:r>
      <w:proofErr w:type="spellEnd"/>
      <w:r w:rsidRPr="0023147D">
        <w:t xml:space="preserve">) in the ≥18 year olds. Data mining revealed that the incidence of URTI was higher in the </w:t>
      </w:r>
      <w:proofErr w:type="spellStart"/>
      <w:r w:rsidRPr="0023147D">
        <w:t>Menactra</w:t>
      </w:r>
      <w:proofErr w:type="spellEnd"/>
      <w:r w:rsidRPr="0023147D">
        <w:t xml:space="preserve"> group (3.4%) in 11-17 year olds vs. </w:t>
      </w:r>
      <w:proofErr w:type="spellStart"/>
      <w:r w:rsidRPr="0023147D">
        <w:t>MenACWY</w:t>
      </w:r>
      <w:proofErr w:type="spellEnd"/>
      <w:r w:rsidRPr="0023147D">
        <w:t>-TT group (0.8%) (P-value = 0.044).</w:t>
      </w:r>
    </w:p>
    <w:p w:rsidR="00FA0669" w:rsidRPr="0023147D" w:rsidRDefault="00FA0669" w:rsidP="008064B0">
      <w:pPr>
        <w:pStyle w:val="Heading5"/>
      </w:pPr>
      <w:r w:rsidRPr="0023147D">
        <w:t>Other studies</w:t>
      </w:r>
    </w:p>
    <w:p w:rsidR="00FA0669" w:rsidRPr="0023147D" w:rsidRDefault="00FA0669" w:rsidP="008064B0">
      <w:pPr>
        <w:pStyle w:val="Heading6"/>
      </w:pPr>
      <w:r w:rsidRPr="0023147D">
        <w:t>Unsolicited adverse even</w:t>
      </w:r>
      <w:r w:rsidR="008064B0">
        <w:t>ts reported during the 31-day (d</w:t>
      </w:r>
      <w:r w:rsidRPr="0023147D">
        <w:t>ays 0-30) post-vaccination period in study MenACWY-TT-021 (boosting study)</w:t>
      </w:r>
    </w:p>
    <w:p w:rsidR="00FA0669" w:rsidRPr="0023147D" w:rsidRDefault="00FA0669" w:rsidP="008064B0">
      <w:r w:rsidRPr="0023147D">
        <w:t xml:space="preserve">Unsolicited AE of any grade reported in 9.9% of those previously primed with </w:t>
      </w:r>
      <w:proofErr w:type="spellStart"/>
      <w:r w:rsidRPr="0023147D">
        <w:t>Mencevax</w:t>
      </w:r>
      <w:proofErr w:type="spellEnd"/>
      <w:r w:rsidRPr="0023147D">
        <w:t xml:space="preserve"> ACWY and 13.9% of the </w:t>
      </w:r>
      <w:proofErr w:type="spellStart"/>
      <w:r w:rsidRPr="0023147D">
        <w:t>unprimed</w:t>
      </w:r>
      <w:proofErr w:type="spellEnd"/>
      <w:r w:rsidRPr="0023147D">
        <w:t xml:space="preserve"> group. Most commonly, in primed vs. </w:t>
      </w:r>
      <w:proofErr w:type="spellStart"/>
      <w:r w:rsidRPr="0023147D">
        <w:t>unprimed</w:t>
      </w:r>
      <w:proofErr w:type="spellEnd"/>
      <w:r w:rsidRPr="0023147D">
        <w:t xml:space="preserve"> respectively, tonsillitis (2.1% </w:t>
      </w:r>
      <w:proofErr w:type="spellStart"/>
      <w:r w:rsidRPr="0023147D">
        <w:t>vs</w:t>
      </w:r>
      <w:proofErr w:type="spellEnd"/>
      <w:r w:rsidRPr="0023147D">
        <w:t xml:space="preserve"> 5.1%) and dizziness (3.1% vs. 0.0%). AE of grade 3 intensity, reported by 1.6% in primed vs. none in </w:t>
      </w:r>
      <w:proofErr w:type="spellStart"/>
      <w:r w:rsidRPr="0023147D">
        <w:t>unprimed</w:t>
      </w:r>
      <w:proofErr w:type="spellEnd"/>
      <w:r w:rsidRPr="0023147D">
        <w:t xml:space="preserve"> group. These consisted of, p</w:t>
      </w:r>
      <w:r w:rsidR="00396F90">
        <w:t>yr</w:t>
      </w:r>
      <w:r w:rsidRPr="0023147D">
        <w:t xml:space="preserve">exia, tendon rupture and back pain. At least one unsolicited symptom assessed as vaccine related, reported by 3 subjects (1.6%) in the primed group i.e. pain, decreased appetite, dizziness and pallor. </w:t>
      </w:r>
    </w:p>
    <w:p w:rsidR="00FA0669" w:rsidRPr="0023147D" w:rsidRDefault="00FA0669" w:rsidP="008064B0">
      <w:pPr>
        <w:pStyle w:val="Heading4"/>
      </w:pPr>
      <w:bookmarkStart w:id="108" w:name="_Ref272333567"/>
      <w:bookmarkStart w:id="109" w:name="_Toc272414665"/>
      <w:bookmarkStart w:id="110" w:name="_Toc290846303"/>
      <w:bookmarkStart w:id="111" w:name="_Toc343641690"/>
      <w:r w:rsidRPr="0023147D">
        <w:lastRenderedPageBreak/>
        <w:t>Treatment-related adverse events (adverse drug reactions)</w:t>
      </w:r>
      <w:bookmarkEnd w:id="108"/>
      <w:bookmarkEnd w:id="109"/>
      <w:bookmarkEnd w:id="110"/>
      <w:bookmarkEnd w:id="111"/>
    </w:p>
    <w:p w:rsidR="00FA0669" w:rsidRPr="0023147D" w:rsidRDefault="00FA0669" w:rsidP="008064B0">
      <w:pPr>
        <w:pStyle w:val="Heading5"/>
      </w:pPr>
      <w:r w:rsidRPr="0023147D">
        <w:t>Pivotal studies</w:t>
      </w:r>
    </w:p>
    <w:p w:rsidR="00FA0669" w:rsidRPr="0023147D" w:rsidRDefault="00FA0669" w:rsidP="008064B0">
      <w:r w:rsidRPr="0023147D">
        <w:t>See above.</w:t>
      </w:r>
    </w:p>
    <w:p w:rsidR="00FA0669" w:rsidRPr="0023147D" w:rsidRDefault="00FA0669" w:rsidP="008064B0">
      <w:pPr>
        <w:pStyle w:val="Heading5"/>
      </w:pPr>
      <w:r w:rsidRPr="0023147D">
        <w:t>Other studies</w:t>
      </w:r>
    </w:p>
    <w:p w:rsidR="00FA0669" w:rsidRPr="0023147D" w:rsidRDefault="00FA0669" w:rsidP="008064B0">
      <w:r w:rsidRPr="0023147D">
        <w:t>See above.</w:t>
      </w:r>
    </w:p>
    <w:p w:rsidR="00FA0669" w:rsidRPr="0023147D" w:rsidRDefault="00FA0669" w:rsidP="008064B0">
      <w:pPr>
        <w:pStyle w:val="Heading4"/>
      </w:pPr>
      <w:bookmarkStart w:id="112" w:name="_Toc241374320"/>
      <w:bookmarkStart w:id="113" w:name="_Ref272333507"/>
      <w:bookmarkStart w:id="114" w:name="_Toc272414666"/>
      <w:bookmarkStart w:id="115" w:name="_Toc290846304"/>
      <w:bookmarkStart w:id="116" w:name="_Toc343641691"/>
      <w:r w:rsidRPr="0023147D">
        <w:t>Deaths and other serious adverse events</w:t>
      </w:r>
      <w:bookmarkEnd w:id="112"/>
      <w:bookmarkEnd w:id="113"/>
      <w:bookmarkEnd w:id="114"/>
      <w:bookmarkEnd w:id="115"/>
      <w:bookmarkEnd w:id="116"/>
    </w:p>
    <w:p w:rsidR="00FA0669" w:rsidRPr="0023147D" w:rsidRDefault="00FA0669" w:rsidP="008064B0">
      <w:pPr>
        <w:pStyle w:val="Heading5"/>
      </w:pPr>
      <w:r w:rsidRPr="0023147D">
        <w:t>Pivotal studies</w:t>
      </w:r>
    </w:p>
    <w:p w:rsidR="001F6059" w:rsidRDefault="001F6059" w:rsidP="008064B0">
      <w:pPr>
        <w:pStyle w:val="Heading6"/>
      </w:pPr>
      <w:r>
        <w:t>Deaths</w:t>
      </w:r>
    </w:p>
    <w:p w:rsidR="00FA0669" w:rsidRPr="0023147D" w:rsidRDefault="00FA0669" w:rsidP="008064B0">
      <w:r w:rsidRPr="0023147D">
        <w:t xml:space="preserve">No deaths reported during the 31-day post-vaccination period in any </w:t>
      </w:r>
      <w:r w:rsidR="00CD176C">
        <w:t xml:space="preserve">studies of </w:t>
      </w:r>
      <w:proofErr w:type="spellStart"/>
      <w:r w:rsidR="00CD176C">
        <w:t>MenACWY</w:t>
      </w:r>
      <w:proofErr w:type="spellEnd"/>
      <w:r w:rsidR="00CD176C">
        <w:t xml:space="preserve">-TT vaccine. </w:t>
      </w:r>
      <w:r w:rsidRPr="0023147D">
        <w:t xml:space="preserve">During 6-month extended safety follow-up one infant (in MenACWY-TT-040,) died of accidental drowning, 117 and 75 days after </w:t>
      </w:r>
      <w:proofErr w:type="spellStart"/>
      <w:r w:rsidRPr="0023147D">
        <w:t>Infanrix</w:t>
      </w:r>
      <w:proofErr w:type="spellEnd"/>
      <w:r w:rsidRPr="0023147D">
        <w:t xml:space="preserve"> </w:t>
      </w:r>
      <w:proofErr w:type="spellStart"/>
      <w:r w:rsidRPr="0023147D">
        <w:t>h</w:t>
      </w:r>
      <w:r w:rsidR="00C03B31">
        <w:t>exa</w:t>
      </w:r>
      <w:proofErr w:type="spellEnd"/>
      <w:r w:rsidR="00C03B31">
        <w:t xml:space="preserve"> and </w:t>
      </w:r>
      <w:proofErr w:type="spellStart"/>
      <w:r w:rsidR="00C03B31">
        <w:t>MenACWY</w:t>
      </w:r>
      <w:proofErr w:type="spellEnd"/>
      <w:r w:rsidR="00C03B31">
        <w:t>-TT respectively</w:t>
      </w:r>
      <w:r w:rsidRPr="0023147D">
        <w:t xml:space="preserve">. </w:t>
      </w:r>
    </w:p>
    <w:p w:rsidR="00C03B31" w:rsidRDefault="008064B0" w:rsidP="008064B0">
      <w:pPr>
        <w:pStyle w:val="Heading6"/>
      </w:pPr>
      <w:r>
        <w:t>Serious a</w:t>
      </w:r>
      <w:r w:rsidR="00FA0669" w:rsidRPr="0023147D">
        <w:t xml:space="preserve">dverse </w:t>
      </w:r>
      <w:r>
        <w:t>e</w:t>
      </w:r>
      <w:r w:rsidR="00CD176C">
        <w:t>vents</w:t>
      </w:r>
    </w:p>
    <w:p w:rsidR="00FA0669" w:rsidRPr="0023147D" w:rsidRDefault="00FA0669" w:rsidP="00B01CCF">
      <w:r w:rsidRPr="0023147D">
        <w:t xml:space="preserve">From 8108 </w:t>
      </w:r>
      <w:proofErr w:type="spellStart"/>
      <w:r w:rsidRPr="0023147D">
        <w:t>MenACWY</w:t>
      </w:r>
      <w:proofErr w:type="spellEnd"/>
      <w:r w:rsidRPr="0023147D">
        <w:t>-TT vaccinated subjects, 29 (0.4%) reported ≥</w:t>
      </w:r>
      <w:r w:rsidR="00A102B4">
        <w:t xml:space="preserve"> 1 </w:t>
      </w:r>
      <w:r w:rsidRPr="0023147D">
        <w:t xml:space="preserve">SAE within the 31-days post vaccination. In regards to age groups differences, 0.8% of &lt;2 year olds, 0.3% of 2-5 year olds, 0.2% of 11-17 year olds and 0.2% of ≥18 year olds had one or more SAE. No SAEs were reported in the 6 to 10 year olds. None of the SAEs reported in those under 2 and 2-5 </w:t>
      </w:r>
      <w:r w:rsidR="00396F90">
        <w:t>years</w:t>
      </w:r>
      <w:r w:rsidRPr="0023147D">
        <w:t xml:space="preserve"> age considered vaccine related. In the 11-17 </w:t>
      </w:r>
      <w:r w:rsidR="00396F90">
        <w:t>years</w:t>
      </w:r>
      <w:r w:rsidRPr="0023147D">
        <w:t xml:space="preserve"> age group, two SAEs (concussion and syncope) reported by one subject 8 days after vaccination with </w:t>
      </w:r>
      <w:proofErr w:type="spellStart"/>
      <w:r w:rsidRPr="0023147D">
        <w:t>MenACWY</w:t>
      </w:r>
      <w:proofErr w:type="spellEnd"/>
      <w:r w:rsidRPr="0023147D">
        <w:t xml:space="preserve">-TT and </w:t>
      </w:r>
      <w:proofErr w:type="spellStart"/>
      <w:r w:rsidRPr="0023147D">
        <w:t>Twinrix</w:t>
      </w:r>
      <w:proofErr w:type="spellEnd"/>
      <w:r w:rsidRPr="0023147D">
        <w:t xml:space="preserve"> vaccines in study MenACWY-TT-037, considered vaccine related. In the ≥18 year age group, three SAEs were considered vaccine related </w:t>
      </w:r>
      <w:proofErr w:type="spellStart"/>
      <w:r w:rsidRPr="0023147D">
        <w:t>i.e</w:t>
      </w:r>
      <w:proofErr w:type="spellEnd"/>
      <w:r w:rsidRPr="0023147D">
        <w:t xml:space="preserve">: abdominal pain and gastritis reported by one subject 5 days after vaccination with </w:t>
      </w:r>
      <w:proofErr w:type="spellStart"/>
      <w:r w:rsidRPr="0023147D">
        <w:t>MenACWY</w:t>
      </w:r>
      <w:proofErr w:type="spellEnd"/>
      <w:r w:rsidRPr="0023147D">
        <w:t xml:space="preserve">-TT in MenACWY-TT-035; SAE of blighted ovum reported by one subject 29 days after vaccination with </w:t>
      </w:r>
      <w:proofErr w:type="spellStart"/>
      <w:r w:rsidRPr="0023147D">
        <w:t>MenACWY</w:t>
      </w:r>
      <w:proofErr w:type="spellEnd"/>
      <w:r w:rsidRPr="0023147D">
        <w:t>-TT in MenACWY-TT-093.</w:t>
      </w:r>
    </w:p>
    <w:p w:rsidR="00FA0669" w:rsidRPr="0023147D" w:rsidRDefault="00FA0669" w:rsidP="00B01CCF">
      <w:r w:rsidRPr="0023147D">
        <w:t xml:space="preserve">Of SAE not considered related (8108 subjects </w:t>
      </w:r>
      <w:proofErr w:type="spellStart"/>
      <w:r w:rsidRPr="0023147D">
        <w:t>MenACWY</w:t>
      </w:r>
      <w:proofErr w:type="spellEnd"/>
      <w:r w:rsidRPr="0023147D">
        <w:t xml:space="preserve">-TT vaccinated), two subjects reported nervous system disorder SAEs (one case of febrile convulsion in &lt;2 </w:t>
      </w:r>
      <w:r w:rsidR="00396F90">
        <w:t>years</w:t>
      </w:r>
      <w:r w:rsidRPr="0023147D">
        <w:t xml:space="preserve"> age group and one case of syncope in 11-17 </w:t>
      </w:r>
      <w:r w:rsidR="00396F90">
        <w:t>years</w:t>
      </w:r>
      <w:r w:rsidRPr="0023147D">
        <w:t xml:space="preserve"> age group). Data mining analysis in </w:t>
      </w:r>
      <w:proofErr w:type="spellStart"/>
      <w:r w:rsidRPr="0023147D">
        <w:t>MenACWY</w:t>
      </w:r>
      <w:proofErr w:type="spellEnd"/>
      <w:r w:rsidRPr="0023147D">
        <w:t xml:space="preserve">-TT and </w:t>
      </w:r>
      <w:proofErr w:type="spellStart"/>
      <w:r w:rsidRPr="0023147D">
        <w:t>Meningitec</w:t>
      </w:r>
      <w:proofErr w:type="spellEnd"/>
      <w:r w:rsidRPr="0023147D">
        <w:t xml:space="preserve"> groups did not identify any differences between groups for any SAEs reported except bronchitis, higher in </w:t>
      </w:r>
      <w:proofErr w:type="spellStart"/>
      <w:r w:rsidRPr="0023147D">
        <w:t>Meningitec</w:t>
      </w:r>
      <w:proofErr w:type="spellEnd"/>
      <w:r w:rsidRPr="0023147D">
        <w:t xml:space="preserve"> (0.8%) vs. </w:t>
      </w:r>
      <w:proofErr w:type="spellStart"/>
      <w:r w:rsidRPr="0023147D">
        <w:t>MenACWY</w:t>
      </w:r>
      <w:proofErr w:type="spellEnd"/>
      <w:r w:rsidRPr="0023147D">
        <w:t xml:space="preserve">-TT group (0.0%) (P-value = 0.027). No SAEs reported in </w:t>
      </w:r>
      <w:proofErr w:type="spellStart"/>
      <w:r w:rsidRPr="0023147D">
        <w:t>Mencevax</w:t>
      </w:r>
      <w:proofErr w:type="spellEnd"/>
      <w:r w:rsidRPr="0023147D">
        <w:t xml:space="preserve"> ACWY controlled studies (MenACWY-TT-027 and -038) in the 6-10 </w:t>
      </w:r>
      <w:r w:rsidR="00396F90">
        <w:t>years</w:t>
      </w:r>
      <w:r w:rsidRPr="0023147D">
        <w:t xml:space="preserve"> age group during the 31-day post-</w:t>
      </w:r>
      <w:proofErr w:type="spellStart"/>
      <w:r w:rsidRPr="0023147D">
        <w:t>vax</w:t>
      </w:r>
      <w:proofErr w:type="spellEnd"/>
      <w:r w:rsidRPr="0023147D">
        <w:t xml:space="preserve"> period. Data mining analysis did not identify any differences between </w:t>
      </w:r>
      <w:proofErr w:type="spellStart"/>
      <w:r w:rsidRPr="0023147D">
        <w:t>MenACWY</w:t>
      </w:r>
      <w:proofErr w:type="spellEnd"/>
      <w:r w:rsidRPr="0023147D">
        <w:t xml:space="preserve">-TT and </w:t>
      </w:r>
      <w:proofErr w:type="spellStart"/>
      <w:r w:rsidRPr="0023147D">
        <w:t>Mencevax</w:t>
      </w:r>
      <w:proofErr w:type="spellEnd"/>
      <w:r w:rsidRPr="0023147D">
        <w:t xml:space="preserve"> ACWY for SAEs. No SAEs reported within the 31-day post vaccination period in ≥18 year olds in the </w:t>
      </w:r>
      <w:proofErr w:type="spellStart"/>
      <w:r w:rsidRPr="0023147D">
        <w:t>MenACWYTT</w:t>
      </w:r>
      <w:proofErr w:type="spellEnd"/>
      <w:r w:rsidRPr="0023147D">
        <w:t xml:space="preserve"> or </w:t>
      </w:r>
      <w:proofErr w:type="spellStart"/>
      <w:r w:rsidRPr="0023147D">
        <w:t>Menactra</w:t>
      </w:r>
      <w:proofErr w:type="spellEnd"/>
      <w:r w:rsidRPr="0023147D">
        <w:t xml:space="preserve"> group of this study. </w:t>
      </w:r>
    </w:p>
    <w:p w:rsidR="00FA0669" w:rsidRPr="0023147D" w:rsidRDefault="00FA0669" w:rsidP="00B01CCF">
      <w:r w:rsidRPr="00CD176C">
        <w:rPr>
          <w:i/>
          <w:iCs/>
        </w:rPr>
        <w:t xml:space="preserve">SAEs reported during the 31-day (Days 0-30) post-vaccination period in </w:t>
      </w:r>
      <w:proofErr w:type="spellStart"/>
      <w:r w:rsidRPr="00CD176C">
        <w:rPr>
          <w:i/>
          <w:iCs/>
        </w:rPr>
        <w:t>MenACWY</w:t>
      </w:r>
      <w:proofErr w:type="spellEnd"/>
      <w:r w:rsidRPr="00CD176C">
        <w:rPr>
          <w:i/>
          <w:iCs/>
        </w:rPr>
        <w:t>-TT 021(booster study):</w:t>
      </w:r>
      <w:r w:rsidRPr="0023147D">
        <w:t xml:space="preserve"> One SAE, i.e. tendon rupture not considered vaccine related, occurring in one subject in the primed group, 22 days after vaccination.</w:t>
      </w:r>
    </w:p>
    <w:p w:rsidR="00FA0669" w:rsidRPr="0023147D" w:rsidRDefault="00FA0669" w:rsidP="00B01CCF">
      <w:r w:rsidRPr="00CD176C">
        <w:rPr>
          <w:i/>
          <w:iCs/>
        </w:rPr>
        <w:t>SAEs reported during the 31-day (Days 0-30) post-vaccination period in MenACWY-TT-071:</w:t>
      </w:r>
      <w:r w:rsidRPr="0023147D">
        <w:t xml:space="preserve"> Three SAEs reported during the 31-day post</w:t>
      </w:r>
      <w:r w:rsidR="00CD176C">
        <w:t>-</w:t>
      </w:r>
      <w:r w:rsidRPr="0023147D">
        <w:t xml:space="preserve">vaccination period; one subject in </w:t>
      </w:r>
      <w:proofErr w:type="spellStart"/>
      <w:r w:rsidRPr="0023147D">
        <w:t>MenACWY</w:t>
      </w:r>
      <w:proofErr w:type="spellEnd"/>
      <w:r w:rsidRPr="0023147D">
        <w:t xml:space="preserve">-TT lot-A group reported one SAE (asthma) and one subject in </w:t>
      </w:r>
      <w:proofErr w:type="spellStart"/>
      <w:r w:rsidRPr="0023147D">
        <w:t>Menactra</w:t>
      </w:r>
      <w:proofErr w:type="spellEnd"/>
      <w:r w:rsidRPr="0023147D">
        <w:t xml:space="preserve"> group reported two SAEs (jaw fracture and post</w:t>
      </w:r>
      <w:r w:rsidR="00CD176C">
        <w:t>-</w:t>
      </w:r>
      <w:r w:rsidRPr="0023147D">
        <w:t xml:space="preserve">procedural haematoma), none considered vaccine related. </w:t>
      </w:r>
    </w:p>
    <w:p w:rsidR="00FA0669" w:rsidRPr="0023147D" w:rsidRDefault="00FA0669" w:rsidP="00B01CCF">
      <w:r w:rsidRPr="00B01CCF">
        <w:rPr>
          <w:i/>
        </w:rPr>
        <w:t>SAEs reported retrospectively in immunogenicity persistence studies (Studies MenACWY-TT-014,-016,-017,-024,-025,-026,-028, -029, -030,- 043Y2, -048Y2, -059Y1, -062Y1)</w:t>
      </w:r>
      <w:r w:rsidRPr="00CD176C">
        <w:t>:</w:t>
      </w:r>
      <w:r w:rsidRPr="0023147D">
        <w:t xml:space="preserve"> These are SAEs occurring between completion of vaccination studies and the start of the respective persistence studies.</w:t>
      </w:r>
      <w:r w:rsidR="00CD176C">
        <w:t xml:space="preserve"> </w:t>
      </w:r>
      <w:r w:rsidRPr="0023147D">
        <w:t>From 185 subjects who returned for immunogenicity persistence study 014, four subjects experienced ≥1 SAE [of which one SAE (</w:t>
      </w:r>
      <w:proofErr w:type="spellStart"/>
      <w:r w:rsidRPr="0023147D">
        <w:t>mastoiditis</w:t>
      </w:r>
      <w:proofErr w:type="spellEnd"/>
      <w:r w:rsidRPr="0023147D">
        <w:t xml:space="preserve">) reported by 1 subject from the </w:t>
      </w:r>
      <w:proofErr w:type="spellStart"/>
      <w:r w:rsidRPr="0023147D">
        <w:t>MenACWY</w:t>
      </w:r>
      <w:proofErr w:type="spellEnd"/>
      <w:r w:rsidRPr="0023147D">
        <w:t xml:space="preserve">-TT (3-5 year) group]. None were considered vaccination related. All resolved without </w:t>
      </w:r>
      <w:proofErr w:type="spellStart"/>
      <w:r w:rsidRPr="0023147D">
        <w:t>sequelae</w:t>
      </w:r>
      <w:proofErr w:type="spellEnd"/>
      <w:r w:rsidRPr="0023147D">
        <w:t>. In persistence studies MenACWY-TT-016, -017, -024, -025, -026, -028, -029, -</w:t>
      </w:r>
      <w:r w:rsidRPr="0023147D">
        <w:lastRenderedPageBreak/>
        <w:t>030, - 043Y2, -048Y2, -059Y1 and -062Y1 only SAEs considered vaccination were reportable and none were.</w:t>
      </w:r>
    </w:p>
    <w:p w:rsidR="00C03B31" w:rsidRPr="00C03B31" w:rsidRDefault="00FA0669" w:rsidP="00B01CCF">
      <w:pPr>
        <w:pStyle w:val="Heading6"/>
      </w:pPr>
      <w:r w:rsidRPr="00C03B31">
        <w:t>N</w:t>
      </w:r>
      <w:r w:rsidR="001F6059">
        <w:t xml:space="preserve">ew </w:t>
      </w:r>
      <w:r w:rsidR="00B01CCF">
        <w:t>o</w:t>
      </w:r>
      <w:r w:rsidR="001F6059">
        <w:t xml:space="preserve">nset </w:t>
      </w:r>
      <w:r w:rsidR="00B01CCF">
        <w:t>c</w:t>
      </w:r>
      <w:r w:rsidR="001F6059">
        <w:t xml:space="preserve">hronic </w:t>
      </w:r>
      <w:r w:rsidR="00B01CCF">
        <w:t>i</w:t>
      </w:r>
      <w:r w:rsidR="001F6059">
        <w:t xml:space="preserve">llness </w:t>
      </w:r>
      <w:r w:rsidRPr="00C03B31">
        <w:t xml:space="preserve">reported in the </w:t>
      </w:r>
      <w:r w:rsidR="00B01CCF">
        <w:t>e</w:t>
      </w:r>
      <w:r w:rsidRPr="00C03B31">
        <w:t xml:space="preserve">xtended </w:t>
      </w:r>
      <w:r w:rsidR="00B01CCF">
        <w:t>s</w:t>
      </w:r>
      <w:r w:rsidRPr="00C03B31">
        <w:t xml:space="preserve">afety </w:t>
      </w:r>
      <w:r w:rsidR="00B01CCF">
        <w:t>f</w:t>
      </w:r>
      <w:r w:rsidRPr="00C03B31">
        <w:t>ollow-</w:t>
      </w:r>
      <w:r w:rsidR="00B01CCF">
        <w:t>up period of 6 months:</w:t>
      </w:r>
    </w:p>
    <w:p w:rsidR="00FA0669" w:rsidRPr="0023147D" w:rsidRDefault="00FA0669" w:rsidP="00B01CCF">
      <w:r w:rsidRPr="0023147D">
        <w:t xml:space="preserve">Data mining analysis in </w:t>
      </w:r>
      <w:proofErr w:type="spellStart"/>
      <w:r w:rsidRPr="0023147D">
        <w:t>MenACWY</w:t>
      </w:r>
      <w:proofErr w:type="spellEnd"/>
      <w:r w:rsidRPr="0023147D">
        <w:t>-TT and control groups did not identify any NOCIs requiring further exploration.</w:t>
      </w:r>
    </w:p>
    <w:p w:rsidR="00FA0669" w:rsidRPr="0023147D" w:rsidRDefault="00FA0669" w:rsidP="00B01CCF">
      <w:pPr>
        <w:pStyle w:val="Heading5"/>
      </w:pPr>
      <w:r w:rsidRPr="0023147D">
        <w:t>Other studies</w:t>
      </w:r>
    </w:p>
    <w:p w:rsidR="001F6059" w:rsidRDefault="00FA0669" w:rsidP="00B01CCF">
      <w:pPr>
        <w:pStyle w:val="Heading6"/>
      </w:pPr>
      <w:r w:rsidRPr="0023147D">
        <w:t xml:space="preserve">Ongoing vaccination studies </w:t>
      </w:r>
    </w:p>
    <w:p w:rsidR="00FA0669" w:rsidRPr="0023147D" w:rsidRDefault="00FA0669" w:rsidP="00B01CCF">
      <w:r w:rsidRPr="0023147D">
        <w:t xml:space="preserve">In study MenACWY-TT-057 BST, from a total of 1304 subjects vaccinated with </w:t>
      </w:r>
      <w:proofErr w:type="spellStart"/>
      <w:r w:rsidRPr="0023147D">
        <w:t>MenACWY</w:t>
      </w:r>
      <w:proofErr w:type="spellEnd"/>
      <w:r w:rsidRPr="0023147D">
        <w:t xml:space="preserve">-TT, GSK </w:t>
      </w:r>
      <w:proofErr w:type="spellStart"/>
      <w:r w:rsidRPr="0023147D">
        <w:t>Biologicals</w:t>
      </w:r>
      <w:proofErr w:type="spellEnd"/>
      <w:r w:rsidRPr="0023147D">
        <w:t xml:space="preserve">’ </w:t>
      </w:r>
      <w:proofErr w:type="spellStart"/>
      <w:r w:rsidRPr="0023147D">
        <w:t>HibMenCY</w:t>
      </w:r>
      <w:proofErr w:type="spellEnd"/>
      <w:r w:rsidRPr="0023147D">
        <w:t xml:space="preserve">-TT or </w:t>
      </w:r>
      <w:proofErr w:type="spellStart"/>
      <w:r w:rsidRPr="0023147D">
        <w:t>Infanrix</w:t>
      </w:r>
      <w:proofErr w:type="spellEnd"/>
      <w:r w:rsidRPr="0023147D">
        <w:t xml:space="preserve">, 31 subjects reported at least one SAE. One of these SAEs (floppy infant) was considered possibly related to </w:t>
      </w:r>
      <w:proofErr w:type="spellStart"/>
      <w:r w:rsidRPr="0023147D">
        <w:t>MenACWY</w:t>
      </w:r>
      <w:proofErr w:type="spellEnd"/>
      <w:r w:rsidRPr="0023147D">
        <w:t xml:space="preserve">-TT and </w:t>
      </w:r>
      <w:proofErr w:type="spellStart"/>
      <w:r w:rsidRPr="0023147D">
        <w:t>Infanrix</w:t>
      </w:r>
      <w:proofErr w:type="spellEnd"/>
      <w:r w:rsidRPr="0023147D">
        <w:t xml:space="preserve"> and CIOMS report submitted.  In MenACWY-TT-083, 103/1843 subjects vaccinated with </w:t>
      </w:r>
      <w:proofErr w:type="spellStart"/>
      <w:r w:rsidRPr="0023147D">
        <w:t>MenACWY</w:t>
      </w:r>
      <w:proofErr w:type="spellEnd"/>
      <w:r w:rsidRPr="0023147D">
        <w:t xml:space="preserve">-TT, </w:t>
      </w:r>
      <w:proofErr w:type="spellStart"/>
      <w:r w:rsidRPr="0023147D">
        <w:t>Menjugate</w:t>
      </w:r>
      <w:proofErr w:type="spellEnd"/>
      <w:r w:rsidRPr="0023147D">
        <w:t xml:space="preserve"> or </w:t>
      </w:r>
      <w:proofErr w:type="spellStart"/>
      <w:r w:rsidRPr="0023147D">
        <w:t>NeisVac</w:t>
      </w:r>
      <w:proofErr w:type="spellEnd"/>
      <w:r w:rsidRPr="0023147D">
        <w:t xml:space="preserve">-C, reported ≥ 1 SAE with one SAE (epilepsy) considered possibly related. In MenACWY-TT-085, 1/369 subjects vaccinated with </w:t>
      </w:r>
      <w:proofErr w:type="spellStart"/>
      <w:r w:rsidRPr="0023147D">
        <w:t>MenACWY</w:t>
      </w:r>
      <w:proofErr w:type="spellEnd"/>
      <w:r w:rsidRPr="0023147D">
        <w:t xml:space="preserve">-TT or </w:t>
      </w:r>
      <w:proofErr w:type="spellStart"/>
      <w:r w:rsidRPr="0023147D">
        <w:t>Mencevax</w:t>
      </w:r>
      <w:proofErr w:type="spellEnd"/>
      <w:r w:rsidRPr="0023147D">
        <w:t>, reported an SAE of fatal CVA (</w:t>
      </w:r>
      <w:proofErr w:type="spellStart"/>
      <w:r w:rsidRPr="0023147D">
        <w:t>Mencevax</w:t>
      </w:r>
      <w:proofErr w:type="spellEnd"/>
      <w:r w:rsidRPr="0023147D">
        <w:t xml:space="preserve"> recipient). Ongoing persistence studies: No SAEs considered causally related in ongoing persistence studies MenACWY-TT-018, -019, -031, -048Y3, -043Y3, -043Y4, - 059Y3, -062Y3, -088M32. In study MenACWY-TT-048Y4 in which subjects were given a </w:t>
      </w:r>
      <w:proofErr w:type="spellStart"/>
      <w:r w:rsidRPr="0023147D">
        <w:t>MenACWY</w:t>
      </w:r>
      <w:proofErr w:type="spellEnd"/>
      <w:r w:rsidRPr="0023147D">
        <w:t xml:space="preserve">-TT booster, 4 </w:t>
      </w:r>
      <w:r w:rsidR="00396F90">
        <w:t>years</w:t>
      </w:r>
      <w:r w:rsidRPr="0023147D">
        <w:t xml:space="preserve"> after vaccination in MenACWY-TT-039, two subjects reported 2 SAEs (thumb injury; allergic reaction), neither considered related.</w:t>
      </w:r>
    </w:p>
    <w:p w:rsidR="00FA0669" w:rsidRPr="0023147D" w:rsidRDefault="00FA0669" w:rsidP="00B01CCF">
      <w:pPr>
        <w:pStyle w:val="Heading4"/>
      </w:pPr>
      <w:bookmarkStart w:id="117" w:name="_Toc241374325"/>
      <w:bookmarkStart w:id="118" w:name="_Ref272333477"/>
      <w:bookmarkStart w:id="119" w:name="_Toc272414667"/>
      <w:bookmarkStart w:id="120" w:name="_Toc290846305"/>
      <w:bookmarkStart w:id="121" w:name="_Toc343641692"/>
      <w:r w:rsidRPr="0023147D">
        <w:t>Discontinuation due to adverse events</w:t>
      </w:r>
      <w:bookmarkEnd w:id="117"/>
      <w:bookmarkEnd w:id="118"/>
      <w:bookmarkEnd w:id="119"/>
      <w:bookmarkEnd w:id="120"/>
      <w:bookmarkEnd w:id="121"/>
    </w:p>
    <w:p w:rsidR="00FA0669" w:rsidRPr="0023147D" w:rsidRDefault="00B01CCF" w:rsidP="00B01CCF">
      <w:pPr>
        <w:pStyle w:val="Heading5"/>
      </w:pPr>
      <w:r>
        <w:t>Withdrawals</w:t>
      </w:r>
    </w:p>
    <w:p w:rsidR="00FA0669" w:rsidRPr="0023147D" w:rsidRDefault="00FA0669" w:rsidP="00B01CCF">
      <w:r w:rsidRPr="0023147D">
        <w:t xml:space="preserve">98.7% completion (10264/10400 included in pooled analysis). Of 8108 subjects 1-55 </w:t>
      </w:r>
      <w:r w:rsidR="00396F90">
        <w:t>years</w:t>
      </w:r>
      <w:r w:rsidRPr="0023147D">
        <w:t xml:space="preserve"> of age vaccinated with </w:t>
      </w:r>
      <w:proofErr w:type="spellStart"/>
      <w:r w:rsidRPr="0023147D">
        <w:t>MenACWY</w:t>
      </w:r>
      <w:proofErr w:type="spellEnd"/>
      <w:r w:rsidR="009C15B2">
        <w:t>-</w:t>
      </w:r>
      <w:r w:rsidRPr="0023147D">
        <w:t>TT at the first study visit in completed clinical studies, only one subject withdrawn because of a SAE (dog bite 27 days after vaccination, not related), and 5 subjects due to non</w:t>
      </w:r>
      <w:r w:rsidR="001F6059">
        <w:t>-</w:t>
      </w:r>
      <w:r w:rsidRPr="0023147D">
        <w:t xml:space="preserve">serious AEs, one of these 5 was considered possibly related to vaccination i.e. grade 3 headache which began 2 days after vaccination and lasted in total 4 days, resolved without </w:t>
      </w:r>
      <w:proofErr w:type="spellStart"/>
      <w:r w:rsidRPr="0023147D">
        <w:t>sequelae</w:t>
      </w:r>
      <w:proofErr w:type="spellEnd"/>
      <w:r w:rsidRPr="0023147D">
        <w:t>.</w:t>
      </w:r>
    </w:p>
    <w:p w:rsidR="00FA0669" w:rsidRPr="0023147D" w:rsidRDefault="00FA0669" w:rsidP="00B01CCF">
      <w:pPr>
        <w:pStyle w:val="Heading3"/>
      </w:pPr>
      <w:bookmarkStart w:id="122" w:name="_Toc241374321"/>
      <w:bookmarkStart w:id="123" w:name="_Ref271044780"/>
      <w:bookmarkStart w:id="124" w:name="_Ref271196640"/>
      <w:bookmarkStart w:id="125" w:name="_Ref272333085"/>
      <w:bookmarkStart w:id="126" w:name="_Toc272414668"/>
      <w:bookmarkStart w:id="127" w:name="_Toc290846306"/>
      <w:bookmarkStart w:id="128" w:name="_Toc343641693"/>
      <w:bookmarkStart w:id="129" w:name="_Toc375123745"/>
      <w:r w:rsidRPr="0023147D">
        <w:t>Laboratory tests</w:t>
      </w:r>
      <w:bookmarkEnd w:id="122"/>
      <w:bookmarkEnd w:id="123"/>
      <w:bookmarkEnd w:id="124"/>
      <w:bookmarkEnd w:id="125"/>
      <w:bookmarkEnd w:id="126"/>
      <w:bookmarkEnd w:id="127"/>
      <w:bookmarkEnd w:id="128"/>
      <w:bookmarkEnd w:id="129"/>
    </w:p>
    <w:p w:rsidR="00FA0669" w:rsidRPr="0023147D" w:rsidRDefault="00FA0669" w:rsidP="00B01CCF">
      <w:r w:rsidRPr="0023147D">
        <w:t xml:space="preserve">No laboratory tests or special tests (ECG) performed, not applicable. </w:t>
      </w:r>
    </w:p>
    <w:p w:rsidR="00FA0669" w:rsidRPr="0023147D" w:rsidRDefault="00FA0669" w:rsidP="00B01CCF">
      <w:pPr>
        <w:pStyle w:val="Heading3"/>
      </w:pPr>
      <w:bookmarkStart w:id="130" w:name="_Toc343641694"/>
      <w:bookmarkStart w:id="131" w:name="_Toc375123746"/>
      <w:r w:rsidRPr="0023147D">
        <w:t xml:space="preserve">Drug-drug interactions – </w:t>
      </w:r>
      <w:r w:rsidR="00C03B31">
        <w:t>co-</w:t>
      </w:r>
      <w:r w:rsidR="00C03B31" w:rsidRPr="0023147D">
        <w:t>administered</w:t>
      </w:r>
      <w:r w:rsidRPr="0023147D">
        <w:t xml:space="preserve"> vaccines</w:t>
      </w:r>
      <w:bookmarkEnd w:id="130"/>
      <w:bookmarkEnd w:id="131"/>
    </w:p>
    <w:p w:rsidR="0081401B" w:rsidRDefault="00FA0669" w:rsidP="00B01CCF">
      <w:r w:rsidRPr="0023147D">
        <w:t xml:space="preserve">The safety of </w:t>
      </w:r>
      <w:proofErr w:type="spellStart"/>
      <w:r w:rsidRPr="0023147D">
        <w:t>MenACWY</w:t>
      </w:r>
      <w:proofErr w:type="spellEnd"/>
      <w:r w:rsidRPr="0023147D">
        <w:t xml:space="preserve">-TT when administered concomitantly with </w:t>
      </w:r>
      <w:proofErr w:type="spellStart"/>
      <w:r w:rsidRPr="0023147D">
        <w:t>Infanrix</w:t>
      </w:r>
      <w:proofErr w:type="spellEnd"/>
      <w:r w:rsidRPr="0023147D">
        <w:t xml:space="preserve"> </w:t>
      </w:r>
      <w:proofErr w:type="spellStart"/>
      <w:r w:rsidRPr="0023147D">
        <w:t>hexa</w:t>
      </w:r>
      <w:proofErr w:type="spellEnd"/>
      <w:r w:rsidRPr="0023147D">
        <w:t xml:space="preserve">, MMRV, </w:t>
      </w:r>
      <w:proofErr w:type="spellStart"/>
      <w:r w:rsidRPr="0023147D">
        <w:t>Twinrix</w:t>
      </w:r>
      <w:proofErr w:type="spellEnd"/>
      <w:r w:rsidRPr="0023147D">
        <w:t xml:space="preserve">, </w:t>
      </w:r>
      <w:proofErr w:type="spellStart"/>
      <w:r w:rsidRPr="0023147D">
        <w:t>Flurarix</w:t>
      </w:r>
      <w:proofErr w:type="spellEnd"/>
      <w:r w:rsidRPr="0023147D">
        <w:t xml:space="preserve"> and </w:t>
      </w:r>
      <w:proofErr w:type="spellStart"/>
      <w:r w:rsidRPr="0023147D">
        <w:t>Synflorix</w:t>
      </w:r>
      <w:proofErr w:type="spellEnd"/>
      <w:r w:rsidRPr="0023147D">
        <w:t xml:space="preserve"> was evaluated as secondary objective in six studies. </w:t>
      </w:r>
    </w:p>
    <w:p w:rsidR="001F6059" w:rsidRDefault="00FA0669" w:rsidP="00B01CCF">
      <w:pPr>
        <w:pStyle w:val="Heading4"/>
      </w:pPr>
      <w:r w:rsidRPr="001F6059">
        <w:t>Co-administration with MMRV (MenACWY-TT-039)</w:t>
      </w:r>
      <w:r w:rsidRPr="0023147D">
        <w:t xml:space="preserve"> </w:t>
      </w:r>
    </w:p>
    <w:p w:rsidR="00FA0669" w:rsidRPr="0023147D" w:rsidRDefault="00FA0669" w:rsidP="00B01CCF">
      <w:r w:rsidRPr="0023147D">
        <w:t xml:space="preserve">No impact on </w:t>
      </w:r>
      <w:proofErr w:type="spellStart"/>
      <w:r w:rsidRPr="0023147D">
        <w:t>reactogenicity</w:t>
      </w:r>
      <w:proofErr w:type="spellEnd"/>
      <w:r w:rsidRPr="0023147D">
        <w:t xml:space="preserve"> at either injection site. Drowsiness (related), and irritability (all and related) higher in Co-Ad vaccines vs. MMRV (</w:t>
      </w:r>
      <w:proofErr w:type="spellStart"/>
      <w:r w:rsidRPr="0023147D">
        <w:t>Priorix</w:t>
      </w:r>
      <w:proofErr w:type="spellEnd"/>
      <w:r w:rsidRPr="0023147D">
        <w:t xml:space="preserve"> tetra) alone group; fever &gt;39.5°C was higher in MMRV group. Fever and rash between Days 5 and 12 post-vaccination were most likely to be attributable to </w:t>
      </w:r>
      <w:proofErr w:type="spellStart"/>
      <w:r w:rsidRPr="0023147D">
        <w:t>Priorix</w:t>
      </w:r>
      <w:proofErr w:type="spellEnd"/>
      <w:r w:rsidRPr="0023147D">
        <w:t xml:space="preserve"> tetra and were more frequently reported in Co-ad and </w:t>
      </w:r>
      <w:proofErr w:type="spellStart"/>
      <w:r w:rsidRPr="0023147D">
        <w:t>Priorix</w:t>
      </w:r>
      <w:proofErr w:type="spellEnd"/>
      <w:r w:rsidRPr="0023147D">
        <w:t xml:space="preserve"> tetra groups vs. </w:t>
      </w:r>
      <w:proofErr w:type="spellStart"/>
      <w:r w:rsidRPr="0023147D">
        <w:t>MenACWY</w:t>
      </w:r>
      <w:proofErr w:type="spellEnd"/>
      <w:r w:rsidRPr="0023147D">
        <w:t xml:space="preserve">-TT alone group. This was expected because subjects in the </w:t>
      </w:r>
      <w:proofErr w:type="spellStart"/>
      <w:r w:rsidRPr="0023147D">
        <w:t>MenACWY</w:t>
      </w:r>
      <w:proofErr w:type="spellEnd"/>
      <w:r w:rsidRPr="0023147D">
        <w:t xml:space="preserve">-TT group did not receive </w:t>
      </w:r>
      <w:proofErr w:type="spellStart"/>
      <w:r w:rsidRPr="0023147D">
        <w:t>Priorix</w:t>
      </w:r>
      <w:proofErr w:type="spellEnd"/>
      <w:r w:rsidRPr="0023147D">
        <w:t xml:space="preserve"> tetra at the first vaccination visit. </w:t>
      </w:r>
      <w:proofErr w:type="spellStart"/>
      <w:r w:rsidRPr="0023147D">
        <w:t>Priorix</w:t>
      </w:r>
      <w:proofErr w:type="spellEnd"/>
      <w:r w:rsidRPr="0023147D">
        <w:t xml:space="preserve">-Tetra is known to induce a higher incidence of fever after the first dose, as compared to MMR co-administered with </w:t>
      </w:r>
      <w:proofErr w:type="spellStart"/>
      <w:r w:rsidRPr="0023147D">
        <w:t>varicella</w:t>
      </w:r>
      <w:proofErr w:type="spellEnd"/>
      <w:r w:rsidRPr="0023147D">
        <w:t xml:space="preserve"> vaccine.</w:t>
      </w:r>
    </w:p>
    <w:p w:rsidR="001F6059" w:rsidRDefault="00FA0669" w:rsidP="00B01CCF">
      <w:pPr>
        <w:pStyle w:val="Heading4"/>
      </w:pPr>
      <w:r w:rsidRPr="001F6059">
        <w:t xml:space="preserve">Co-administration with </w:t>
      </w:r>
      <w:proofErr w:type="spellStart"/>
      <w:r w:rsidRPr="001F6059">
        <w:t>DTPa</w:t>
      </w:r>
      <w:proofErr w:type="spellEnd"/>
      <w:r w:rsidRPr="001F6059">
        <w:t>-HBV-IPV/</w:t>
      </w:r>
      <w:proofErr w:type="spellStart"/>
      <w:r w:rsidRPr="001F6059">
        <w:t>Hib</w:t>
      </w:r>
      <w:proofErr w:type="spellEnd"/>
      <w:r w:rsidRPr="001F6059">
        <w:t xml:space="preserve"> (MenACWY-TT-040)</w:t>
      </w:r>
    </w:p>
    <w:p w:rsidR="00FA0669" w:rsidRPr="0023147D" w:rsidRDefault="00FA0669" w:rsidP="00B01CCF">
      <w:proofErr w:type="spellStart"/>
      <w:r w:rsidRPr="0023147D">
        <w:t>MenACWY</w:t>
      </w:r>
      <w:proofErr w:type="spellEnd"/>
      <w:r w:rsidRPr="0023147D">
        <w:t xml:space="preserve">-TT vaccine co-administered with </w:t>
      </w:r>
      <w:proofErr w:type="spellStart"/>
      <w:r w:rsidRPr="0023147D">
        <w:t>Infanrix</w:t>
      </w:r>
      <w:proofErr w:type="spellEnd"/>
      <w:r w:rsidRPr="0023147D">
        <w:t xml:space="preserve"> </w:t>
      </w:r>
      <w:proofErr w:type="spellStart"/>
      <w:r w:rsidRPr="0023147D">
        <w:t>hexa</w:t>
      </w:r>
      <w:proofErr w:type="spellEnd"/>
      <w:r w:rsidRPr="0023147D">
        <w:t xml:space="preserve"> had a similar safety profile compared to </w:t>
      </w:r>
      <w:proofErr w:type="spellStart"/>
      <w:r w:rsidRPr="0023147D">
        <w:t>Infanrix</w:t>
      </w:r>
      <w:proofErr w:type="spellEnd"/>
      <w:r w:rsidRPr="0023147D">
        <w:t xml:space="preserve"> </w:t>
      </w:r>
      <w:proofErr w:type="spellStart"/>
      <w:r w:rsidRPr="0023147D">
        <w:t>hexa</w:t>
      </w:r>
      <w:proofErr w:type="spellEnd"/>
      <w:r w:rsidRPr="0023147D">
        <w:t xml:space="preserve"> given alone except for injection site redness (all and &gt; 30mm) and swelling (all) </w:t>
      </w:r>
      <w:r w:rsidRPr="0023147D">
        <w:lastRenderedPageBreak/>
        <w:t>which were less frequently reported in the co-administered group. A separate analyses by, did not reveal any other trends in terms of incidence of any or grade 3 solicited AE by pre-vaccination anti-TT concentrations.</w:t>
      </w:r>
    </w:p>
    <w:p w:rsidR="001F6059" w:rsidRDefault="00FA0669" w:rsidP="00B01CCF">
      <w:pPr>
        <w:pStyle w:val="Heading4"/>
      </w:pPr>
      <w:r w:rsidRPr="001F6059">
        <w:t>Co-administration with 10-valent pneumococcal vaccine (MenACWY-TT-080)</w:t>
      </w:r>
    </w:p>
    <w:p w:rsidR="00FA0669" w:rsidRPr="0023147D" w:rsidRDefault="00FA0669" w:rsidP="00B01CCF">
      <w:r w:rsidRPr="0023147D">
        <w:t xml:space="preserve">Across all vaccine groups (co-ad or </w:t>
      </w:r>
      <w:proofErr w:type="spellStart"/>
      <w:r w:rsidRPr="0023147D">
        <w:t>MenACWY</w:t>
      </w:r>
      <w:proofErr w:type="spellEnd"/>
      <w:r w:rsidRPr="0023147D">
        <w:t xml:space="preserve">-TT and </w:t>
      </w:r>
      <w:proofErr w:type="spellStart"/>
      <w:r w:rsidRPr="0023147D">
        <w:t>Synflorix</w:t>
      </w:r>
      <w:proofErr w:type="spellEnd"/>
      <w:r w:rsidRPr="0023147D">
        <w:t xml:space="preserve"> – the 10-valent pneumococcal vaccine administered alone), pain and irritability were most commonly solicited AE; grade 3 AE uncommon. Fever in 11.0-19.8% across the three vaccine groups. Co-administration of </w:t>
      </w:r>
      <w:proofErr w:type="spellStart"/>
      <w:r w:rsidRPr="0023147D">
        <w:t>MenACWY</w:t>
      </w:r>
      <w:proofErr w:type="spellEnd"/>
      <w:r w:rsidRPr="0023147D">
        <w:t xml:space="preserve">-TT and </w:t>
      </w:r>
      <w:proofErr w:type="spellStart"/>
      <w:r w:rsidRPr="0023147D">
        <w:t>Synflorix</w:t>
      </w:r>
      <w:proofErr w:type="spellEnd"/>
      <w:r w:rsidRPr="0023147D">
        <w:t xml:space="preserve"> boost ref AE profile, similar to that of staggered administration of these vaccines.</w:t>
      </w:r>
    </w:p>
    <w:p w:rsidR="001F6059" w:rsidRDefault="00FA0669" w:rsidP="00B01CCF">
      <w:pPr>
        <w:pStyle w:val="Heading4"/>
      </w:pPr>
      <w:r w:rsidRPr="0023147D">
        <w:t>Co-administration with hepatitis A and B vaccine (MenACWY-TT-037)</w:t>
      </w:r>
    </w:p>
    <w:p w:rsidR="00FA0669" w:rsidRPr="0023147D" w:rsidRDefault="00FA0669" w:rsidP="00B01CCF">
      <w:r w:rsidRPr="0023147D">
        <w:t xml:space="preserve">The solicited </w:t>
      </w:r>
      <w:proofErr w:type="spellStart"/>
      <w:r w:rsidRPr="0023147D">
        <w:t>reactogenicity</w:t>
      </w:r>
      <w:proofErr w:type="spellEnd"/>
      <w:r w:rsidRPr="0023147D">
        <w:t xml:space="preserve"> data and other observed AEs did not reveal any safety signal of concern with </w:t>
      </w:r>
      <w:proofErr w:type="spellStart"/>
      <w:r w:rsidRPr="0023147D">
        <w:t>MenACWY</w:t>
      </w:r>
      <w:proofErr w:type="spellEnd"/>
      <w:r w:rsidRPr="0023147D">
        <w:t xml:space="preserve">-TT or </w:t>
      </w:r>
      <w:proofErr w:type="spellStart"/>
      <w:r w:rsidRPr="0023147D">
        <w:t>Twinrix</w:t>
      </w:r>
      <w:proofErr w:type="spellEnd"/>
      <w:r w:rsidRPr="0023147D">
        <w:t xml:space="preserve"> vaccines, either alone or in combination.</w:t>
      </w:r>
    </w:p>
    <w:p w:rsidR="001F6059" w:rsidRDefault="00FA0669" w:rsidP="00B01CCF">
      <w:pPr>
        <w:pStyle w:val="Heading4"/>
      </w:pPr>
      <w:r w:rsidRPr="0023147D">
        <w:t xml:space="preserve">Co-administration with </w:t>
      </w:r>
      <w:proofErr w:type="spellStart"/>
      <w:r w:rsidRPr="0023147D">
        <w:t>Fluarix</w:t>
      </w:r>
      <w:proofErr w:type="spellEnd"/>
      <w:r w:rsidRPr="0023147D">
        <w:t xml:space="preserve"> (MenACWY-TT-035)</w:t>
      </w:r>
    </w:p>
    <w:p w:rsidR="00FA0669" w:rsidRPr="0023147D" w:rsidRDefault="00FA0669" w:rsidP="00B01CCF">
      <w:r w:rsidRPr="0023147D">
        <w:t xml:space="preserve">IS Swelling (all) at </w:t>
      </w:r>
      <w:proofErr w:type="spellStart"/>
      <w:r w:rsidRPr="0023147D">
        <w:t>MenACWY</w:t>
      </w:r>
      <w:proofErr w:type="spellEnd"/>
      <w:r w:rsidRPr="0023147D">
        <w:t xml:space="preserve">-TT vaccine lower but incidence of grade 3 pain (at any site) higher in co-ad group vs. </w:t>
      </w:r>
      <w:proofErr w:type="spellStart"/>
      <w:r w:rsidRPr="0023147D">
        <w:t>MenACWY</w:t>
      </w:r>
      <w:proofErr w:type="spellEnd"/>
      <w:r w:rsidRPr="0023147D">
        <w:t>-TT g</w:t>
      </w:r>
      <w:r w:rsidR="009C15B2">
        <w:t>rou</w:t>
      </w:r>
      <w:r w:rsidRPr="0023147D">
        <w:t xml:space="preserve">p. </w:t>
      </w:r>
      <w:proofErr w:type="spellStart"/>
      <w:r w:rsidRPr="0023147D">
        <w:t>Reactogenicity</w:t>
      </w:r>
      <w:proofErr w:type="spellEnd"/>
      <w:r w:rsidRPr="0023147D">
        <w:t xml:space="preserve"> profiles were comparable between the co-ad group vs. </w:t>
      </w:r>
      <w:proofErr w:type="spellStart"/>
      <w:r w:rsidRPr="0023147D">
        <w:t>MenACWY</w:t>
      </w:r>
      <w:proofErr w:type="spellEnd"/>
      <w:r w:rsidRPr="0023147D">
        <w:t xml:space="preserve">-TT alone. </w:t>
      </w:r>
    </w:p>
    <w:p w:rsidR="00FA0669" w:rsidRPr="0023147D" w:rsidRDefault="0081401B" w:rsidP="00B01CCF">
      <w:pPr>
        <w:pStyle w:val="Heading3"/>
      </w:pPr>
      <w:bookmarkStart w:id="132" w:name="_Toc343641695"/>
      <w:bookmarkStart w:id="133" w:name="_Toc375123747"/>
      <w:r>
        <w:t>P</w:t>
      </w:r>
      <w:r w:rsidR="00FA0669" w:rsidRPr="0023147D">
        <w:t>regnancy</w:t>
      </w:r>
      <w:bookmarkEnd w:id="132"/>
      <w:bookmarkEnd w:id="133"/>
    </w:p>
    <w:p w:rsidR="00FA0669" w:rsidRPr="0023147D" w:rsidRDefault="00FA0669" w:rsidP="00B01CCF">
      <w:r w:rsidRPr="0023147D">
        <w:t>Pregnancy</w:t>
      </w:r>
      <w:r w:rsidR="0081401B">
        <w:t xml:space="preserve"> was</w:t>
      </w:r>
      <w:r w:rsidRPr="0023147D">
        <w:t xml:space="preserve"> an exclusion for participation, however a total of 38 pregnancies reported during follow-up. No deleterious safety signal in these very small numbers.</w:t>
      </w:r>
    </w:p>
    <w:p w:rsidR="00FA0669" w:rsidRPr="0023147D" w:rsidRDefault="00FA0669" w:rsidP="00B01CCF">
      <w:pPr>
        <w:pStyle w:val="Heading3"/>
      </w:pPr>
      <w:bookmarkStart w:id="134" w:name="_Toc241374326"/>
      <w:bookmarkStart w:id="135" w:name="_Ref272333048"/>
      <w:bookmarkStart w:id="136" w:name="_Toc272414679"/>
      <w:bookmarkStart w:id="137" w:name="_Toc290846317"/>
      <w:bookmarkStart w:id="138" w:name="_Toc343641696"/>
      <w:bookmarkStart w:id="139" w:name="_Toc375123748"/>
      <w:r w:rsidRPr="0023147D">
        <w:t>Post-marketing experience</w:t>
      </w:r>
      <w:bookmarkEnd w:id="134"/>
      <w:bookmarkEnd w:id="135"/>
      <w:bookmarkEnd w:id="136"/>
      <w:bookmarkEnd w:id="137"/>
      <w:bookmarkEnd w:id="138"/>
      <w:bookmarkEnd w:id="139"/>
    </w:p>
    <w:p w:rsidR="00FA0669" w:rsidRPr="0023147D" w:rsidRDefault="00FA0669" w:rsidP="00B01CCF">
      <w:r w:rsidRPr="0023147D">
        <w:t xml:space="preserve">No </w:t>
      </w:r>
      <w:proofErr w:type="spellStart"/>
      <w:r w:rsidRPr="0023147D">
        <w:t>postmarketing</w:t>
      </w:r>
      <w:proofErr w:type="spellEnd"/>
      <w:r w:rsidRPr="0023147D">
        <w:t xml:space="preserve"> data available. </w:t>
      </w:r>
      <w:proofErr w:type="spellStart"/>
      <w:r w:rsidRPr="0023147D">
        <w:t>MenACWY</w:t>
      </w:r>
      <w:proofErr w:type="spellEnd"/>
      <w:r w:rsidRPr="0023147D">
        <w:t>-TT</w:t>
      </w:r>
      <w:r w:rsidR="001950A9">
        <w:t xml:space="preserve"> </w:t>
      </w:r>
      <w:r w:rsidRPr="0023147D">
        <w:t>not licensed up to DLP of 12-Dec-2011.</w:t>
      </w:r>
    </w:p>
    <w:p w:rsidR="00FA0669" w:rsidRPr="0023147D" w:rsidRDefault="00FA0669" w:rsidP="00B01CCF">
      <w:pPr>
        <w:pStyle w:val="Heading3"/>
      </w:pPr>
      <w:bookmarkStart w:id="140" w:name="_Ref272333005"/>
      <w:bookmarkStart w:id="141" w:name="_Toc272414680"/>
      <w:bookmarkStart w:id="142" w:name="_Toc290846318"/>
      <w:bookmarkStart w:id="143" w:name="_Toc343641697"/>
      <w:bookmarkStart w:id="144" w:name="_Toc375123749"/>
      <w:r w:rsidRPr="0023147D">
        <w:t>Safety issues with the potential for major regulatory imp</w:t>
      </w:r>
      <w:bookmarkEnd w:id="140"/>
      <w:bookmarkEnd w:id="141"/>
      <w:r w:rsidRPr="0023147D">
        <w:t>act</w:t>
      </w:r>
      <w:bookmarkEnd w:id="142"/>
      <w:bookmarkEnd w:id="143"/>
      <w:bookmarkEnd w:id="144"/>
    </w:p>
    <w:p w:rsidR="00FA0669" w:rsidRPr="0023147D" w:rsidRDefault="00FA0669" w:rsidP="00B01CCF">
      <w:pPr>
        <w:pStyle w:val="ListBullet"/>
      </w:pPr>
      <w:bookmarkStart w:id="145" w:name="_Toc272414681"/>
      <w:bookmarkStart w:id="146" w:name="_Toc290846319"/>
      <w:bookmarkStart w:id="147" w:name="_Toc343641698"/>
      <w:r w:rsidRPr="0023147D">
        <w:t>Liver toxicity</w:t>
      </w:r>
      <w:bookmarkEnd w:id="145"/>
      <w:bookmarkEnd w:id="146"/>
      <w:bookmarkEnd w:id="147"/>
    </w:p>
    <w:p w:rsidR="00FA0669" w:rsidRPr="0023147D" w:rsidRDefault="00FA0669" w:rsidP="0081401B">
      <w:pPr>
        <w:pStyle w:val="ListBullet"/>
      </w:pPr>
      <w:bookmarkStart w:id="148" w:name="_Toc272414682"/>
      <w:bookmarkStart w:id="149" w:name="_Toc290846320"/>
      <w:bookmarkStart w:id="150" w:name="_Toc343641699"/>
      <w:r w:rsidRPr="0023147D">
        <w:t>Haematological toxicity</w:t>
      </w:r>
      <w:bookmarkEnd w:id="148"/>
      <w:bookmarkEnd w:id="149"/>
      <w:bookmarkEnd w:id="150"/>
    </w:p>
    <w:p w:rsidR="00FA0669" w:rsidRPr="0023147D" w:rsidRDefault="00FA0669" w:rsidP="00B01CCF">
      <w:pPr>
        <w:pStyle w:val="ListBullet"/>
      </w:pPr>
      <w:bookmarkStart w:id="151" w:name="_Toc272414683"/>
      <w:bookmarkStart w:id="152" w:name="_Toc290846321"/>
      <w:bookmarkStart w:id="153" w:name="_Toc343641700"/>
      <w:r w:rsidRPr="0023147D">
        <w:t>Serious skin reactions</w:t>
      </w:r>
      <w:bookmarkEnd w:id="151"/>
      <w:bookmarkEnd w:id="152"/>
      <w:bookmarkEnd w:id="153"/>
    </w:p>
    <w:p w:rsidR="00FA0669" w:rsidRPr="0023147D" w:rsidRDefault="00FA0669" w:rsidP="00B01CCF">
      <w:r w:rsidRPr="0023147D">
        <w:t>None reported.</w:t>
      </w:r>
    </w:p>
    <w:p w:rsidR="00FA0669" w:rsidRPr="0023147D" w:rsidRDefault="00FA0669" w:rsidP="00B01CCF">
      <w:pPr>
        <w:pStyle w:val="ListBullet"/>
      </w:pPr>
      <w:bookmarkStart w:id="154" w:name="_Toc272414684"/>
      <w:bookmarkStart w:id="155" w:name="_Toc290846322"/>
      <w:bookmarkStart w:id="156" w:name="_Toc343641701"/>
      <w:r w:rsidRPr="0023147D">
        <w:t>Cardiovascular safety</w:t>
      </w:r>
      <w:bookmarkEnd w:id="154"/>
      <w:bookmarkEnd w:id="155"/>
      <w:bookmarkEnd w:id="156"/>
    </w:p>
    <w:p w:rsidR="00FA0669" w:rsidRPr="0023147D" w:rsidRDefault="00FA0669" w:rsidP="00B01CCF">
      <w:r w:rsidRPr="0023147D">
        <w:t>None revealed in any age group.</w:t>
      </w:r>
    </w:p>
    <w:p w:rsidR="00FA0669" w:rsidRPr="0023147D" w:rsidRDefault="00FA0669" w:rsidP="00B01CCF">
      <w:pPr>
        <w:pStyle w:val="ListBullet"/>
      </w:pPr>
      <w:bookmarkStart w:id="157" w:name="_Toc241374323"/>
      <w:bookmarkStart w:id="158" w:name="_Toc272414685"/>
      <w:bookmarkStart w:id="159" w:name="_Toc290846323"/>
      <w:bookmarkStart w:id="160" w:name="_Toc343641702"/>
      <w:r w:rsidRPr="0023147D">
        <w:t>Unwanted immunological events</w:t>
      </w:r>
      <w:bookmarkEnd w:id="157"/>
      <w:bookmarkEnd w:id="158"/>
      <w:bookmarkEnd w:id="159"/>
      <w:bookmarkEnd w:id="160"/>
    </w:p>
    <w:p w:rsidR="00FA0669" w:rsidRPr="0023147D" w:rsidRDefault="00FA0669" w:rsidP="00B01CCF">
      <w:r w:rsidRPr="0023147D">
        <w:t>None revealed in any age group.</w:t>
      </w:r>
    </w:p>
    <w:p w:rsidR="00FA0669" w:rsidRPr="0023147D" w:rsidRDefault="00FA0669" w:rsidP="00B01CCF">
      <w:pPr>
        <w:pStyle w:val="Heading3"/>
      </w:pPr>
      <w:bookmarkStart w:id="161" w:name="_Toc272414686"/>
      <w:bookmarkStart w:id="162" w:name="_Ref273005527"/>
      <w:bookmarkStart w:id="163" w:name="_Toc290846324"/>
      <w:bookmarkStart w:id="164" w:name="_Toc343641703"/>
      <w:bookmarkStart w:id="165" w:name="_Toc375123750"/>
      <w:r w:rsidRPr="0023147D">
        <w:t>Other safety issues</w:t>
      </w:r>
      <w:bookmarkEnd w:id="161"/>
      <w:bookmarkEnd w:id="162"/>
      <w:bookmarkEnd w:id="163"/>
      <w:bookmarkEnd w:id="164"/>
      <w:bookmarkEnd w:id="165"/>
    </w:p>
    <w:p w:rsidR="0038314A" w:rsidRDefault="00FA0669" w:rsidP="00B01CCF">
      <w:pPr>
        <w:pStyle w:val="Heading4"/>
      </w:pPr>
      <w:r w:rsidRPr="0023147D">
        <w:t>Potent</w:t>
      </w:r>
      <w:r w:rsidR="001E63FD">
        <w:t>ial hypersensitivity (HS) cases</w:t>
      </w:r>
    </w:p>
    <w:p w:rsidR="001E63FD" w:rsidRDefault="00FA0669" w:rsidP="00D0272A">
      <w:r w:rsidRPr="0023147D">
        <w:t xml:space="preserve">Uncommon event, data mine was conducted nevertheless. Sixty-seven subjects vaccinated with </w:t>
      </w:r>
      <w:proofErr w:type="spellStart"/>
      <w:r w:rsidRPr="0023147D">
        <w:t>MenACWY</w:t>
      </w:r>
      <w:proofErr w:type="spellEnd"/>
      <w:r w:rsidRPr="0023147D">
        <w:t>-TT reported symptoms which may an HS reactio</w:t>
      </w:r>
      <w:r w:rsidR="009C15B2">
        <w:t>n; 60/67 reported during the 31</w:t>
      </w:r>
      <w:r w:rsidR="009C15B2">
        <w:noBreakHyphen/>
      </w:r>
      <w:r w:rsidRPr="0023147D">
        <w:t xml:space="preserve">day post vaccination period albeit 31/67 events occurring &gt;one week after vaccination (and associated with other AE suggesting an alternate aetiology), making vaccine HS unlikely. </w:t>
      </w:r>
    </w:p>
    <w:p w:rsidR="0038314A" w:rsidRDefault="00FA0669" w:rsidP="00D0272A">
      <w:r w:rsidRPr="0023147D">
        <w:t xml:space="preserve">Sixteen subjects experienced AEs considered causally related to vaccination i.e. dyspnoea (2 cases), </w:t>
      </w:r>
      <w:proofErr w:type="spellStart"/>
      <w:r w:rsidRPr="0023147D">
        <w:t>pruritus</w:t>
      </w:r>
      <w:proofErr w:type="spellEnd"/>
      <w:r w:rsidRPr="0023147D">
        <w:t xml:space="preserve"> (7 cases) and </w:t>
      </w:r>
      <w:proofErr w:type="spellStart"/>
      <w:r w:rsidRPr="0023147D">
        <w:t>urticaria</w:t>
      </w:r>
      <w:proofErr w:type="spellEnd"/>
      <w:r w:rsidRPr="0023147D">
        <w:t xml:space="preserve"> (7 cases); only two of these events classified as grade 3 </w:t>
      </w:r>
      <w:r w:rsidRPr="0023147D">
        <w:lastRenderedPageBreak/>
        <w:t xml:space="preserve">(dyspnoea and </w:t>
      </w:r>
      <w:proofErr w:type="spellStart"/>
      <w:r w:rsidRPr="0023147D">
        <w:t>urticaria</w:t>
      </w:r>
      <w:proofErr w:type="spellEnd"/>
      <w:r w:rsidRPr="0023147D">
        <w:t xml:space="preserve">). Only </w:t>
      </w:r>
      <w:proofErr w:type="spellStart"/>
      <w:r w:rsidRPr="0023147D">
        <w:t>urticaria</w:t>
      </w:r>
      <w:proofErr w:type="spellEnd"/>
      <w:r w:rsidRPr="0023147D">
        <w:t xml:space="preserve"> was reported at a frequency &gt;0.1% (0.3% over 6-month safety follow-up period). No different between vaccine arms detected. Overall, these supplementary post-hoc analyses do not suggest an increased risk for HS AE in </w:t>
      </w:r>
      <w:proofErr w:type="spellStart"/>
      <w:r w:rsidRPr="0023147D">
        <w:t>MenACWY</w:t>
      </w:r>
      <w:proofErr w:type="spellEnd"/>
      <w:r w:rsidRPr="0023147D">
        <w:t xml:space="preserve">-TT recipients. </w:t>
      </w:r>
    </w:p>
    <w:p w:rsidR="00FA0669" w:rsidRPr="0023147D" w:rsidRDefault="00FA0669" w:rsidP="00D0272A">
      <w:r w:rsidRPr="0023147D">
        <w:t xml:space="preserve">Rash reported in the Extended Safety Follow-Up period of 6 months (Day 0–6 months). Data mining in the </w:t>
      </w:r>
      <w:proofErr w:type="spellStart"/>
      <w:r w:rsidRPr="0023147D">
        <w:t>MenACWY</w:t>
      </w:r>
      <w:proofErr w:type="spellEnd"/>
      <w:r w:rsidRPr="0023147D">
        <w:t xml:space="preserve">-TT and control groups did not identify any rashes requiring further exploration; no heterogeneity across studies detected from the </w:t>
      </w:r>
      <w:proofErr w:type="spellStart"/>
      <w:r w:rsidRPr="0023147D">
        <w:t>Breslow</w:t>
      </w:r>
      <w:proofErr w:type="spellEnd"/>
      <w:r w:rsidRPr="0023147D">
        <w:t xml:space="preserve"> and Day test with respect to rashes reported from dose 1 up to study end following administration of </w:t>
      </w:r>
      <w:proofErr w:type="spellStart"/>
      <w:r w:rsidRPr="0023147D">
        <w:t>MenACWY</w:t>
      </w:r>
      <w:r w:rsidR="009C15B2">
        <w:noBreakHyphen/>
      </w:r>
      <w:r w:rsidRPr="0023147D">
        <w:t>TT</w:t>
      </w:r>
      <w:proofErr w:type="spellEnd"/>
      <w:r w:rsidRPr="0023147D">
        <w:t xml:space="preserve"> across age groups.</w:t>
      </w:r>
    </w:p>
    <w:p w:rsidR="00FA0669" w:rsidRPr="0023147D" w:rsidRDefault="00FA0669" w:rsidP="00D0272A">
      <w:pPr>
        <w:pStyle w:val="Heading4"/>
      </w:pPr>
      <w:bookmarkStart w:id="166" w:name="_Toc241374322"/>
      <w:bookmarkStart w:id="167" w:name="_Ref272331212"/>
      <w:bookmarkStart w:id="168" w:name="_Toc272414687"/>
      <w:bookmarkStart w:id="169" w:name="_Toc290846325"/>
      <w:bookmarkStart w:id="170" w:name="_Toc343641704"/>
      <w:r w:rsidRPr="0023147D">
        <w:t>Safety in special populations</w:t>
      </w:r>
      <w:bookmarkEnd w:id="166"/>
      <w:bookmarkEnd w:id="167"/>
      <w:bookmarkEnd w:id="168"/>
      <w:bookmarkEnd w:id="169"/>
      <w:bookmarkEnd w:id="170"/>
    </w:p>
    <w:p w:rsidR="00FA0669" w:rsidRPr="0023147D" w:rsidRDefault="00FA0669" w:rsidP="00D0272A">
      <w:r w:rsidRPr="0023147D">
        <w:t xml:space="preserve">The immunogenicity of the </w:t>
      </w:r>
      <w:proofErr w:type="spellStart"/>
      <w:r w:rsidRPr="0023147D">
        <w:t>MenACWY</w:t>
      </w:r>
      <w:proofErr w:type="spellEnd"/>
      <w:r w:rsidRPr="0023147D">
        <w:t xml:space="preserve">-TT vaccine has been evaluated in the paediatric population in MenACWY-TT-013, -027, -038, -039, -040, -055, -080 and -081 for children aged 1-10 </w:t>
      </w:r>
      <w:r w:rsidR="00396F90">
        <w:t>years</w:t>
      </w:r>
      <w:r w:rsidRPr="0023147D">
        <w:t xml:space="preserve"> and in adolescents 11-17 </w:t>
      </w:r>
      <w:r w:rsidR="00396F90">
        <w:t>years</w:t>
      </w:r>
      <w:r w:rsidRPr="0023147D">
        <w:t xml:space="preserve"> old in MenACWY-TT-012, -015, -036, and -037. In addition, MenACWY-TT-052 included 10-17 year olds. No other specific populations have been studied during </w:t>
      </w:r>
      <w:proofErr w:type="spellStart"/>
      <w:r w:rsidRPr="0023147D">
        <w:t>MenACWY</w:t>
      </w:r>
      <w:proofErr w:type="spellEnd"/>
      <w:r w:rsidRPr="0023147D">
        <w:t xml:space="preserve">-TT vaccine development. No particular safety concerns revealed in any age group or compared to licensed meningococcal vaccines. No data is provided for the safety and immunogenicity of this vaccine in those &gt;55 </w:t>
      </w:r>
      <w:r w:rsidR="00396F90">
        <w:t>years</w:t>
      </w:r>
      <w:r w:rsidRPr="0023147D">
        <w:t xml:space="preserve"> of age. In addition, immunodeficiency of any sort including HIV was an exclusion from </w:t>
      </w:r>
      <w:proofErr w:type="spellStart"/>
      <w:r w:rsidRPr="0023147D">
        <w:t>MenACWY</w:t>
      </w:r>
      <w:proofErr w:type="spellEnd"/>
      <w:r w:rsidRPr="0023147D">
        <w:t>-TT studies, hence, the immunogenicity, immune persistence and safety of this vaccine in this setting is unknown.</w:t>
      </w:r>
    </w:p>
    <w:p w:rsidR="00FA0669" w:rsidRPr="0023147D" w:rsidRDefault="00FA0669" w:rsidP="00D0272A">
      <w:pPr>
        <w:pStyle w:val="Heading3"/>
      </w:pPr>
      <w:bookmarkStart w:id="171" w:name="_Toc241374324"/>
      <w:bookmarkStart w:id="172" w:name="_Ref272331214"/>
      <w:bookmarkStart w:id="173" w:name="_Toc272414688"/>
      <w:bookmarkStart w:id="174" w:name="_Toc290846326"/>
      <w:bookmarkStart w:id="175" w:name="_Toc343641705"/>
      <w:bookmarkStart w:id="176" w:name="_Toc375123751"/>
      <w:r w:rsidRPr="0023147D">
        <w:t>Safety related to drug-drug interactions and other interactions</w:t>
      </w:r>
      <w:bookmarkEnd w:id="171"/>
      <w:bookmarkEnd w:id="172"/>
      <w:bookmarkEnd w:id="173"/>
      <w:bookmarkEnd w:id="174"/>
      <w:bookmarkEnd w:id="175"/>
      <w:bookmarkEnd w:id="176"/>
    </w:p>
    <w:p w:rsidR="00FA0669" w:rsidRPr="0023147D" w:rsidRDefault="00FA0669" w:rsidP="00D0272A">
      <w:r w:rsidRPr="0023147D">
        <w:t>None revealed in any age group.</w:t>
      </w:r>
    </w:p>
    <w:p w:rsidR="00FA0669" w:rsidRPr="0023147D" w:rsidRDefault="00FA0669" w:rsidP="00D0272A">
      <w:pPr>
        <w:pStyle w:val="Heading3"/>
      </w:pPr>
      <w:bookmarkStart w:id="177" w:name="_Toc272414689"/>
      <w:bookmarkStart w:id="178" w:name="_Toc290846327"/>
      <w:bookmarkStart w:id="179" w:name="_Toc343641706"/>
      <w:bookmarkStart w:id="180" w:name="_Toc375123752"/>
      <w:r w:rsidRPr="0023147D">
        <w:t>Other safety issue</w:t>
      </w:r>
      <w:bookmarkEnd w:id="177"/>
      <w:bookmarkEnd w:id="178"/>
      <w:bookmarkEnd w:id="179"/>
      <w:bookmarkEnd w:id="180"/>
    </w:p>
    <w:p w:rsidR="00FA0669" w:rsidRPr="0023147D" w:rsidRDefault="001E63FD" w:rsidP="00D0272A">
      <w:r>
        <w:t>N</w:t>
      </w:r>
      <w:r w:rsidR="00FA0669" w:rsidRPr="0023147D">
        <w:t>one</w:t>
      </w:r>
      <w:r>
        <w:t>.</w:t>
      </w:r>
    </w:p>
    <w:p w:rsidR="00FA0669" w:rsidRPr="0023147D" w:rsidRDefault="00FA0669" w:rsidP="00D0272A">
      <w:pPr>
        <w:pStyle w:val="Heading3"/>
      </w:pPr>
      <w:bookmarkStart w:id="181" w:name="_Toc241374328"/>
      <w:bookmarkStart w:id="182" w:name="_Toc272414691"/>
      <w:bookmarkStart w:id="183" w:name="_Toc290846329"/>
      <w:bookmarkStart w:id="184" w:name="_Toc343641708"/>
      <w:bookmarkStart w:id="185" w:name="_Toc375123753"/>
      <w:r w:rsidRPr="0023147D">
        <w:t>Evaluator’s overall conclusions on clinical safety</w:t>
      </w:r>
      <w:bookmarkEnd w:id="181"/>
      <w:bookmarkEnd w:id="182"/>
      <w:bookmarkEnd w:id="183"/>
      <w:bookmarkEnd w:id="184"/>
      <w:bookmarkEnd w:id="185"/>
    </w:p>
    <w:p w:rsidR="00C22678" w:rsidRPr="0023147D" w:rsidRDefault="00FA0669" w:rsidP="00D0272A">
      <w:r w:rsidRPr="0023147D">
        <w:t>Favourable safety pro</w:t>
      </w:r>
      <w:r w:rsidR="00D0272A">
        <w:t>file in all age groups studied.</w:t>
      </w:r>
    </w:p>
    <w:p w:rsidR="00C22678" w:rsidRDefault="00C22678" w:rsidP="00D0272A">
      <w:pPr>
        <w:pStyle w:val="Heading2"/>
      </w:pPr>
      <w:bookmarkStart w:id="186" w:name="_Toc375123754"/>
      <w:r>
        <w:t>First round benefit-risk assessment</w:t>
      </w:r>
      <w:bookmarkEnd w:id="186"/>
    </w:p>
    <w:p w:rsidR="00694AB7" w:rsidRPr="00694AB7" w:rsidRDefault="00694AB7" w:rsidP="00D0272A">
      <w:pPr>
        <w:pStyle w:val="Heading3"/>
      </w:pPr>
      <w:bookmarkStart w:id="187" w:name="_Toc236802592"/>
      <w:bookmarkStart w:id="188" w:name="_Toc241374331"/>
      <w:bookmarkStart w:id="189" w:name="_Ref272160836"/>
      <w:bookmarkStart w:id="190" w:name="_Toc272414693"/>
      <w:bookmarkStart w:id="191" w:name="_Toc290846331"/>
      <w:bookmarkStart w:id="192" w:name="_Toc343641710"/>
      <w:bookmarkStart w:id="193" w:name="_Toc375123755"/>
      <w:r w:rsidRPr="00694AB7">
        <w:t>First round assessment of benefits</w:t>
      </w:r>
      <w:bookmarkEnd w:id="187"/>
      <w:bookmarkEnd w:id="188"/>
      <w:bookmarkEnd w:id="189"/>
      <w:bookmarkEnd w:id="190"/>
      <w:bookmarkEnd w:id="191"/>
      <w:bookmarkEnd w:id="192"/>
      <w:bookmarkEnd w:id="193"/>
    </w:p>
    <w:p w:rsidR="00694AB7" w:rsidRPr="0038314A" w:rsidRDefault="00694AB7" w:rsidP="00D0272A">
      <w:r w:rsidRPr="0038314A">
        <w:t xml:space="preserve">The benefits of </w:t>
      </w:r>
      <w:proofErr w:type="spellStart"/>
      <w:r w:rsidRPr="0038314A">
        <w:t>MenACWY</w:t>
      </w:r>
      <w:proofErr w:type="spellEnd"/>
      <w:r w:rsidRPr="0038314A">
        <w:t>-TT in the proposed usage are:</w:t>
      </w:r>
    </w:p>
    <w:p w:rsidR="00694AB7" w:rsidRPr="00694AB7" w:rsidRDefault="00694AB7" w:rsidP="00D0272A">
      <w:pPr>
        <w:pStyle w:val="ListBullet"/>
        <w:rPr>
          <w:lang w:eastAsia="ja-JP"/>
        </w:rPr>
      </w:pPr>
      <w:r w:rsidRPr="00694AB7">
        <w:rPr>
          <w:lang w:eastAsia="ja-JP"/>
        </w:rPr>
        <w:t xml:space="preserve">Equivalent if not higher levels of protective immunogenicity to all 4 meningococcal </w:t>
      </w:r>
      <w:proofErr w:type="spellStart"/>
      <w:r w:rsidR="00B7059A" w:rsidRPr="00694AB7">
        <w:rPr>
          <w:lang w:eastAsia="ja-JP"/>
        </w:rPr>
        <w:t>sero</w:t>
      </w:r>
      <w:r w:rsidR="00B7059A">
        <w:rPr>
          <w:lang w:eastAsia="ja-JP"/>
        </w:rPr>
        <w:t>group</w:t>
      </w:r>
      <w:r w:rsidR="00B7059A" w:rsidRPr="00694AB7">
        <w:rPr>
          <w:lang w:eastAsia="ja-JP"/>
        </w:rPr>
        <w:t>s</w:t>
      </w:r>
      <w:proofErr w:type="spellEnd"/>
      <w:r w:rsidR="00B7059A" w:rsidRPr="00694AB7">
        <w:rPr>
          <w:lang w:eastAsia="ja-JP"/>
        </w:rPr>
        <w:t xml:space="preserve"> </w:t>
      </w:r>
      <w:r w:rsidRPr="00694AB7">
        <w:rPr>
          <w:lang w:eastAsia="ja-JP"/>
        </w:rPr>
        <w:t xml:space="preserve">(A,C, W-135, Y)  including in the younger age group &lt;2 </w:t>
      </w:r>
      <w:r w:rsidR="00396F90">
        <w:rPr>
          <w:lang w:eastAsia="ja-JP"/>
        </w:rPr>
        <w:t>years</w:t>
      </w:r>
      <w:r w:rsidRPr="00694AB7">
        <w:rPr>
          <w:lang w:eastAsia="ja-JP"/>
        </w:rPr>
        <w:t xml:space="preserve"> who tend to mount poorer and less persistent immune responses to PS meningococcal vaccines;</w:t>
      </w:r>
    </w:p>
    <w:p w:rsidR="00694AB7" w:rsidRPr="00694AB7" w:rsidRDefault="00694AB7" w:rsidP="00D0272A">
      <w:pPr>
        <w:pStyle w:val="ListBullet"/>
        <w:rPr>
          <w:lang w:eastAsia="ja-JP"/>
        </w:rPr>
      </w:pPr>
      <w:r w:rsidRPr="00694AB7">
        <w:rPr>
          <w:lang w:eastAsia="ja-JP"/>
        </w:rPr>
        <w:t>Potential protection from invasive meningococcal disease;</w:t>
      </w:r>
    </w:p>
    <w:p w:rsidR="00694AB7" w:rsidRPr="00694AB7" w:rsidRDefault="00694AB7" w:rsidP="00694AB7">
      <w:pPr>
        <w:pStyle w:val="ListBullet"/>
        <w:rPr>
          <w:lang w:eastAsia="ja-JP"/>
        </w:rPr>
      </w:pPr>
      <w:r w:rsidRPr="00694AB7">
        <w:rPr>
          <w:lang w:eastAsia="ja-JP"/>
        </w:rPr>
        <w:t xml:space="preserve">Boosting of immune responses to all 4 meningococcal </w:t>
      </w:r>
      <w:proofErr w:type="spellStart"/>
      <w:r w:rsidR="00B7059A" w:rsidRPr="00694AB7">
        <w:rPr>
          <w:lang w:eastAsia="ja-JP"/>
        </w:rPr>
        <w:t>sero</w:t>
      </w:r>
      <w:r w:rsidR="00B7059A">
        <w:rPr>
          <w:lang w:eastAsia="ja-JP"/>
        </w:rPr>
        <w:t>groups</w:t>
      </w:r>
      <w:proofErr w:type="spellEnd"/>
      <w:r w:rsidR="00B7059A" w:rsidRPr="00694AB7">
        <w:rPr>
          <w:lang w:eastAsia="ja-JP"/>
        </w:rPr>
        <w:t xml:space="preserve"> </w:t>
      </w:r>
      <w:r w:rsidRPr="00694AB7">
        <w:rPr>
          <w:lang w:eastAsia="ja-JP"/>
        </w:rPr>
        <w:t>in those primed with a PS vaccine which might protect better against invasive meningococcal disease.</w:t>
      </w:r>
    </w:p>
    <w:p w:rsidR="00694AB7" w:rsidRPr="00694AB7" w:rsidRDefault="00694AB7" w:rsidP="00D0272A">
      <w:pPr>
        <w:pStyle w:val="Heading3"/>
      </w:pPr>
      <w:bookmarkStart w:id="194" w:name="_Toc236802596"/>
      <w:bookmarkStart w:id="195" w:name="_Toc241374334"/>
      <w:bookmarkStart w:id="196" w:name="_Ref272160964"/>
      <w:bookmarkStart w:id="197" w:name="_Toc272414694"/>
      <w:bookmarkStart w:id="198" w:name="_Toc290846332"/>
      <w:bookmarkStart w:id="199" w:name="_Toc343641711"/>
      <w:bookmarkStart w:id="200" w:name="_Toc375123756"/>
      <w:r w:rsidRPr="00694AB7">
        <w:lastRenderedPageBreak/>
        <w:t>First round assessment of risks</w:t>
      </w:r>
      <w:bookmarkEnd w:id="194"/>
      <w:bookmarkEnd w:id="195"/>
      <w:bookmarkEnd w:id="196"/>
      <w:bookmarkEnd w:id="197"/>
      <w:bookmarkEnd w:id="198"/>
      <w:bookmarkEnd w:id="199"/>
      <w:bookmarkEnd w:id="200"/>
    </w:p>
    <w:p w:rsidR="00694AB7" w:rsidRPr="0038314A" w:rsidRDefault="00694AB7" w:rsidP="00D0272A">
      <w:r w:rsidRPr="0038314A">
        <w:t xml:space="preserve">The risks of </w:t>
      </w:r>
      <w:proofErr w:type="spellStart"/>
      <w:r w:rsidRPr="0038314A">
        <w:t>MenACWY</w:t>
      </w:r>
      <w:proofErr w:type="spellEnd"/>
      <w:r w:rsidRPr="0038314A">
        <w:t xml:space="preserve">-TT in the proposed usage are: Relatively small in terms of solicited local and general AE and unsolicited AE. Moreover, these are equivalent to licensed comparator meningococcal vaccines. </w:t>
      </w:r>
    </w:p>
    <w:p w:rsidR="00694AB7" w:rsidRPr="0038314A" w:rsidRDefault="00694AB7" w:rsidP="00D0272A">
      <w:pPr>
        <w:pStyle w:val="Heading3"/>
      </w:pPr>
      <w:bookmarkStart w:id="201" w:name="_Toc236802597"/>
      <w:bookmarkStart w:id="202" w:name="_Toc241374335"/>
      <w:bookmarkStart w:id="203" w:name="_Toc272414695"/>
      <w:bookmarkStart w:id="204" w:name="_Toc290846333"/>
      <w:bookmarkStart w:id="205" w:name="_Toc343641712"/>
      <w:bookmarkStart w:id="206" w:name="_Toc375123757"/>
      <w:r w:rsidRPr="0038314A">
        <w:t>First round assessment of benefit-risk balance</w:t>
      </w:r>
      <w:bookmarkEnd w:id="201"/>
      <w:bookmarkEnd w:id="202"/>
      <w:bookmarkEnd w:id="203"/>
      <w:bookmarkEnd w:id="204"/>
      <w:bookmarkEnd w:id="205"/>
      <w:bookmarkEnd w:id="206"/>
    </w:p>
    <w:p w:rsidR="00C22678" w:rsidRPr="0038314A" w:rsidRDefault="00694AB7" w:rsidP="00D0272A">
      <w:r w:rsidRPr="0038314A">
        <w:t xml:space="preserve">The benefit-risk balance of </w:t>
      </w:r>
      <w:proofErr w:type="spellStart"/>
      <w:r w:rsidRPr="0038314A">
        <w:t>MenACWY</w:t>
      </w:r>
      <w:proofErr w:type="spellEnd"/>
      <w:r w:rsidRPr="0038314A">
        <w:t>-TT, given the proposed usage, is favourable.</w:t>
      </w:r>
    </w:p>
    <w:p w:rsidR="00C22678" w:rsidRDefault="00C22678" w:rsidP="00D0272A">
      <w:pPr>
        <w:pStyle w:val="Heading2"/>
      </w:pPr>
      <w:bookmarkStart w:id="207" w:name="_Toc375123758"/>
      <w:r>
        <w:t>First round recommendation regarding authorisation</w:t>
      </w:r>
      <w:bookmarkEnd w:id="207"/>
    </w:p>
    <w:p w:rsidR="00C22678" w:rsidRPr="00EE275D" w:rsidRDefault="00694AB7" w:rsidP="00D0272A">
      <w:r w:rsidRPr="00EE275D">
        <w:t>Favourable, I recommend the authorisation of this product for the indications sought in this application.</w:t>
      </w:r>
    </w:p>
    <w:p w:rsidR="00C22678" w:rsidRDefault="00C22678" w:rsidP="00D0272A">
      <w:pPr>
        <w:pStyle w:val="Heading2"/>
      </w:pPr>
      <w:bookmarkStart w:id="208" w:name="_Toc375123759"/>
      <w:r>
        <w:t>Clinical questions</w:t>
      </w:r>
      <w:bookmarkEnd w:id="208"/>
    </w:p>
    <w:p w:rsidR="00694AB7" w:rsidRDefault="00D0272A" w:rsidP="00D0272A">
      <w:pPr>
        <w:rPr>
          <w:lang w:eastAsia="ja-JP"/>
        </w:rPr>
      </w:pPr>
      <w:r>
        <w:rPr>
          <w:lang w:eastAsia="ja-JP"/>
        </w:rPr>
        <w:t>None.</w:t>
      </w:r>
    </w:p>
    <w:p w:rsidR="00C618F7" w:rsidRDefault="00C618F7" w:rsidP="00D0272A">
      <w:pPr>
        <w:pStyle w:val="Heading2"/>
      </w:pPr>
      <w:bookmarkStart w:id="209" w:name="_Toc375123760"/>
      <w:r>
        <w:t>Second round evaluation of clinical data submitted in response to questions</w:t>
      </w:r>
      <w:bookmarkEnd w:id="209"/>
    </w:p>
    <w:p w:rsidR="00EE275D" w:rsidRPr="00EE275D" w:rsidRDefault="00EE275D" w:rsidP="00D0272A">
      <w:r w:rsidRPr="00EE275D">
        <w:t>Not applicable.</w:t>
      </w:r>
    </w:p>
    <w:p w:rsidR="00C618F7" w:rsidRDefault="00C618F7" w:rsidP="00C618F7">
      <w:pPr>
        <w:pStyle w:val="Heading2"/>
      </w:pPr>
      <w:bookmarkStart w:id="210" w:name="_Toc375123761"/>
      <w:r>
        <w:t>References</w:t>
      </w:r>
      <w:bookmarkEnd w:id="210"/>
    </w:p>
    <w:p w:rsidR="00694AB7" w:rsidRPr="00694AB7" w:rsidRDefault="00694AB7" w:rsidP="00CF4EF5">
      <w:pPr>
        <w:pStyle w:val="ListBullet"/>
        <w:rPr>
          <w:lang w:eastAsia="ja-JP"/>
        </w:rPr>
      </w:pPr>
      <w:r w:rsidRPr="00694AB7">
        <w:rPr>
          <w:lang w:eastAsia="ja-JP"/>
        </w:rPr>
        <w:t xml:space="preserve">Andrews N, Borrow R, Miller E. Validation of serological correlate of protection for meningococcal C conjugate vaccine by using efficacy estimates from </w:t>
      </w:r>
      <w:proofErr w:type="spellStart"/>
      <w:r w:rsidRPr="00694AB7">
        <w:rPr>
          <w:lang w:eastAsia="ja-JP"/>
        </w:rPr>
        <w:t>postlicensure</w:t>
      </w:r>
      <w:proofErr w:type="spellEnd"/>
      <w:r w:rsidRPr="00694AB7">
        <w:rPr>
          <w:lang w:eastAsia="ja-JP"/>
        </w:rPr>
        <w:t xml:space="preserve"> surveillance in England. </w:t>
      </w:r>
      <w:proofErr w:type="spellStart"/>
      <w:r w:rsidRPr="00694AB7">
        <w:rPr>
          <w:i/>
          <w:iCs/>
          <w:lang w:eastAsia="ja-JP"/>
        </w:rPr>
        <w:t>Clin</w:t>
      </w:r>
      <w:proofErr w:type="spellEnd"/>
      <w:r w:rsidRPr="00694AB7">
        <w:rPr>
          <w:i/>
          <w:iCs/>
          <w:lang w:eastAsia="ja-JP"/>
        </w:rPr>
        <w:t xml:space="preserve"> </w:t>
      </w:r>
      <w:proofErr w:type="spellStart"/>
      <w:r w:rsidRPr="00694AB7">
        <w:rPr>
          <w:i/>
          <w:iCs/>
          <w:lang w:eastAsia="ja-JP"/>
        </w:rPr>
        <w:t>Diagn</w:t>
      </w:r>
      <w:proofErr w:type="spellEnd"/>
      <w:r w:rsidRPr="00694AB7">
        <w:rPr>
          <w:i/>
          <w:iCs/>
          <w:lang w:eastAsia="ja-JP"/>
        </w:rPr>
        <w:t xml:space="preserve"> Lab </w:t>
      </w:r>
      <w:proofErr w:type="spellStart"/>
      <w:r w:rsidRPr="00694AB7">
        <w:rPr>
          <w:i/>
          <w:iCs/>
          <w:lang w:eastAsia="ja-JP"/>
        </w:rPr>
        <w:t>Immunol</w:t>
      </w:r>
      <w:proofErr w:type="spellEnd"/>
      <w:r w:rsidRPr="00694AB7">
        <w:rPr>
          <w:i/>
          <w:iCs/>
          <w:lang w:eastAsia="ja-JP"/>
        </w:rPr>
        <w:t xml:space="preserve">. </w:t>
      </w:r>
      <w:r w:rsidRPr="00694AB7">
        <w:rPr>
          <w:lang w:eastAsia="ja-JP"/>
        </w:rPr>
        <w:t>2003;10(5):780-6.</w:t>
      </w:r>
    </w:p>
    <w:p w:rsidR="00694AB7" w:rsidRPr="00694AB7" w:rsidRDefault="00694AB7" w:rsidP="00CF4EF5">
      <w:pPr>
        <w:pStyle w:val="ListBullet"/>
        <w:rPr>
          <w:lang w:eastAsia="ja-JP"/>
        </w:rPr>
      </w:pPr>
      <w:proofErr w:type="spellStart"/>
      <w:r w:rsidRPr="00694AB7">
        <w:rPr>
          <w:lang w:eastAsia="ja-JP"/>
        </w:rPr>
        <w:t>Artenstein</w:t>
      </w:r>
      <w:proofErr w:type="spellEnd"/>
      <w:r w:rsidRPr="00694AB7">
        <w:rPr>
          <w:lang w:eastAsia="ja-JP"/>
        </w:rPr>
        <w:t xml:space="preserve"> MS, Gold R, </w:t>
      </w:r>
      <w:proofErr w:type="spellStart"/>
      <w:r w:rsidRPr="00694AB7">
        <w:rPr>
          <w:lang w:eastAsia="ja-JP"/>
        </w:rPr>
        <w:t>Zimmerly</w:t>
      </w:r>
      <w:proofErr w:type="spellEnd"/>
      <w:r w:rsidRPr="00694AB7">
        <w:rPr>
          <w:lang w:eastAsia="ja-JP"/>
        </w:rPr>
        <w:t xml:space="preserve"> JG et al. Prevention of meningococcal disease by group C PS vaccine. </w:t>
      </w:r>
      <w:r w:rsidRPr="00694AB7">
        <w:rPr>
          <w:i/>
          <w:iCs/>
          <w:lang w:eastAsia="ja-JP"/>
        </w:rPr>
        <w:t xml:space="preserve">N </w:t>
      </w:r>
      <w:proofErr w:type="spellStart"/>
      <w:r w:rsidRPr="00694AB7">
        <w:rPr>
          <w:i/>
          <w:iCs/>
          <w:lang w:eastAsia="ja-JP"/>
        </w:rPr>
        <w:t>Engl</w:t>
      </w:r>
      <w:proofErr w:type="spellEnd"/>
      <w:r w:rsidRPr="00694AB7">
        <w:rPr>
          <w:i/>
          <w:iCs/>
          <w:lang w:eastAsia="ja-JP"/>
        </w:rPr>
        <w:t xml:space="preserve"> J Med</w:t>
      </w:r>
      <w:r w:rsidRPr="00694AB7">
        <w:rPr>
          <w:lang w:eastAsia="ja-JP"/>
        </w:rPr>
        <w:t>. 1970; 282: 417-420.</w:t>
      </w:r>
    </w:p>
    <w:p w:rsidR="00694AB7" w:rsidRPr="00694AB7" w:rsidRDefault="00694AB7" w:rsidP="00CF4EF5">
      <w:pPr>
        <w:pStyle w:val="ListBullet"/>
        <w:rPr>
          <w:lang w:eastAsia="ja-JP"/>
        </w:rPr>
      </w:pPr>
      <w:proofErr w:type="spellStart"/>
      <w:r w:rsidRPr="00694AB7">
        <w:rPr>
          <w:lang w:eastAsia="ja-JP"/>
        </w:rPr>
        <w:t>Bosmans</w:t>
      </w:r>
      <w:proofErr w:type="spellEnd"/>
      <w:r w:rsidRPr="00694AB7">
        <w:rPr>
          <w:lang w:eastAsia="ja-JP"/>
        </w:rPr>
        <w:t xml:space="preserve"> E, </w:t>
      </w:r>
      <w:proofErr w:type="spellStart"/>
      <w:r w:rsidRPr="00694AB7">
        <w:rPr>
          <w:lang w:eastAsia="ja-JP"/>
        </w:rPr>
        <w:t>Vimont-Vicary</w:t>
      </w:r>
      <w:proofErr w:type="spellEnd"/>
      <w:r w:rsidRPr="00694AB7">
        <w:rPr>
          <w:lang w:eastAsia="ja-JP"/>
        </w:rPr>
        <w:t xml:space="preserve"> P, Andre FE et al. Protective efficacy of a bivalent (A+C) meningococcal vaccine during a cerebrospinal meningitis epidemic in Rwanda. </w:t>
      </w:r>
      <w:r w:rsidRPr="00694AB7">
        <w:rPr>
          <w:i/>
          <w:iCs/>
          <w:lang w:eastAsia="ja-JP"/>
        </w:rPr>
        <w:t xml:space="preserve">Ann </w:t>
      </w:r>
      <w:proofErr w:type="spellStart"/>
      <w:r w:rsidRPr="00694AB7">
        <w:rPr>
          <w:i/>
          <w:iCs/>
          <w:lang w:eastAsia="ja-JP"/>
        </w:rPr>
        <w:t>oc</w:t>
      </w:r>
      <w:proofErr w:type="spellEnd"/>
      <w:r w:rsidRPr="00694AB7">
        <w:rPr>
          <w:lang w:eastAsia="ja-JP"/>
        </w:rPr>
        <w:t xml:space="preserve"> </w:t>
      </w:r>
      <w:r w:rsidRPr="00694AB7">
        <w:rPr>
          <w:i/>
          <w:iCs/>
          <w:lang w:eastAsia="ja-JP"/>
        </w:rPr>
        <w:t xml:space="preserve">Belg Med Trop. </w:t>
      </w:r>
      <w:r w:rsidRPr="00694AB7">
        <w:rPr>
          <w:lang w:eastAsia="ja-JP"/>
        </w:rPr>
        <w:t>1980; 60:297-306.</w:t>
      </w:r>
    </w:p>
    <w:p w:rsidR="00694AB7" w:rsidRPr="00694AB7" w:rsidRDefault="00694AB7" w:rsidP="00CF4EF5">
      <w:pPr>
        <w:pStyle w:val="ListBullet"/>
        <w:rPr>
          <w:lang w:eastAsia="ja-JP"/>
        </w:rPr>
      </w:pPr>
      <w:r w:rsidRPr="00694AB7">
        <w:rPr>
          <w:lang w:eastAsia="ja-JP"/>
        </w:rPr>
        <w:t xml:space="preserve">Flexner S. </w:t>
      </w:r>
      <w:proofErr w:type="spellStart"/>
      <w:r w:rsidRPr="00694AB7">
        <w:rPr>
          <w:lang w:eastAsia="ja-JP"/>
        </w:rPr>
        <w:t>Influenzal</w:t>
      </w:r>
      <w:proofErr w:type="spellEnd"/>
      <w:r w:rsidRPr="00694AB7">
        <w:rPr>
          <w:lang w:eastAsia="ja-JP"/>
        </w:rPr>
        <w:t xml:space="preserve"> meningitis serum. </w:t>
      </w:r>
      <w:r w:rsidRPr="00694AB7">
        <w:rPr>
          <w:i/>
          <w:iCs/>
          <w:lang w:eastAsia="ja-JP"/>
        </w:rPr>
        <w:t>California State Journal of Medicine</w:t>
      </w:r>
      <w:r w:rsidRPr="00694AB7">
        <w:rPr>
          <w:lang w:eastAsia="ja-JP"/>
        </w:rPr>
        <w:t>. 1913; 11(4):170.</w:t>
      </w:r>
    </w:p>
    <w:p w:rsidR="00694AB7" w:rsidRPr="00694AB7" w:rsidRDefault="00694AB7" w:rsidP="00CB01DB">
      <w:pPr>
        <w:pStyle w:val="ListBullet"/>
        <w:rPr>
          <w:lang w:eastAsia="ja-JP"/>
        </w:rPr>
      </w:pPr>
      <w:proofErr w:type="spellStart"/>
      <w:r w:rsidRPr="00694AB7">
        <w:rPr>
          <w:lang w:eastAsia="ja-JP"/>
        </w:rPr>
        <w:t>Goldschneider</w:t>
      </w:r>
      <w:proofErr w:type="spellEnd"/>
      <w:r w:rsidRPr="00694AB7">
        <w:rPr>
          <w:lang w:eastAsia="ja-JP"/>
        </w:rPr>
        <w:t xml:space="preserve"> I, </w:t>
      </w:r>
      <w:proofErr w:type="spellStart"/>
      <w:r w:rsidRPr="00694AB7">
        <w:rPr>
          <w:lang w:eastAsia="ja-JP"/>
        </w:rPr>
        <w:t>Gotschlich</w:t>
      </w:r>
      <w:proofErr w:type="spellEnd"/>
      <w:r w:rsidRPr="00694AB7">
        <w:rPr>
          <w:lang w:eastAsia="ja-JP"/>
        </w:rPr>
        <w:t xml:space="preserve"> EC, </w:t>
      </w:r>
      <w:proofErr w:type="spellStart"/>
      <w:r w:rsidRPr="00694AB7">
        <w:rPr>
          <w:lang w:eastAsia="ja-JP"/>
        </w:rPr>
        <w:t>Artenstein</w:t>
      </w:r>
      <w:proofErr w:type="spellEnd"/>
      <w:r w:rsidRPr="00694AB7">
        <w:rPr>
          <w:lang w:eastAsia="ja-JP"/>
        </w:rPr>
        <w:t xml:space="preserve"> MS. Human immunity to the </w:t>
      </w:r>
      <w:proofErr w:type="spellStart"/>
      <w:r w:rsidRPr="00694AB7">
        <w:rPr>
          <w:lang w:eastAsia="ja-JP"/>
        </w:rPr>
        <w:t>meningococcus</w:t>
      </w:r>
      <w:proofErr w:type="spellEnd"/>
      <w:r w:rsidRPr="00694AB7">
        <w:rPr>
          <w:lang w:eastAsia="ja-JP"/>
        </w:rPr>
        <w:t xml:space="preserve">. II. Development of natural immunity. </w:t>
      </w:r>
      <w:r w:rsidRPr="00694AB7">
        <w:rPr>
          <w:i/>
          <w:iCs/>
          <w:lang w:eastAsia="ja-JP"/>
        </w:rPr>
        <w:t xml:space="preserve">J Exp Med. </w:t>
      </w:r>
      <w:r w:rsidRPr="00694AB7">
        <w:rPr>
          <w:lang w:eastAsia="ja-JP"/>
        </w:rPr>
        <w:t>1969b;129:1307-26.</w:t>
      </w:r>
    </w:p>
    <w:p w:rsidR="00694AB7" w:rsidRPr="00694AB7" w:rsidRDefault="00694AB7" w:rsidP="00CF4EF5">
      <w:pPr>
        <w:pStyle w:val="ListBullet"/>
        <w:rPr>
          <w:lang w:eastAsia="ja-JP"/>
        </w:rPr>
      </w:pPr>
      <w:proofErr w:type="spellStart"/>
      <w:r w:rsidRPr="00694AB7">
        <w:rPr>
          <w:lang w:eastAsia="ja-JP"/>
        </w:rPr>
        <w:t>Granoff</w:t>
      </w:r>
      <w:proofErr w:type="spellEnd"/>
      <w:r w:rsidRPr="00694AB7">
        <w:rPr>
          <w:lang w:eastAsia="ja-JP"/>
        </w:rPr>
        <w:t xml:space="preserve"> DM, Morgan A, </w:t>
      </w:r>
      <w:proofErr w:type="spellStart"/>
      <w:r w:rsidRPr="00694AB7">
        <w:rPr>
          <w:lang w:eastAsia="ja-JP"/>
        </w:rPr>
        <w:t>Welsch</w:t>
      </w:r>
      <w:proofErr w:type="spellEnd"/>
      <w:r w:rsidRPr="00694AB7">
        <w:rPr>
          <w:lang w:eastAsia="ja-JP"/>
        </w:rPr>
        <w:t xml:space="preserve"> JA. Immunogenicity of an investigational </w:t>
      </w:r>
      <w:proofErr w:type="spellStart"/>
      <w:r w:rsidRPr="00694AB7">
        <w:rPr>
          <w:lang w:eastAsia="ja-JP"/>
        </w:rPr>
        <w:t>quadrivalent</w:t>
      </w:r>
      <w:proofErr w:type="spellEnd"/>
      <w:r w:rsidRPr="00694AB7">
        <w:rPr>
          <w:lang w:eastAsia="ja-JP"/>
        </w:rPr>
        <w:t xml:space="preserve"> </w:t>
      </w:r>
      <w:proofErr w:type="spellStart"/>
      <w:r w:rsidRPr="00694AB7">
        <w:rPr>
          <w:i/>
          <w:iCs/>
          <w:lang w:eastAsia="ja-JP"/>
        </w:rPr>
        <w:t>Neisseria</w:t>
      </w:r>
      <w:proofErr w:type="spellEnd"/>
      <w:r w:rsidRPr="00694AB7">
        <w:rPr>
          <w:i/>
          <w:iCs/>
          <w:lang w:eastAsia="ja-JP"/>
        </w:rPr>
        <w:t xml:space="preserve"> </w:t>
      </w:r>
      <w:proofErr w:type="spellStart"/>
      <w:r w:rsidRPr="00694AB7">
        <w:rPr>
          <w:i/>
          <w:iCs/>
          <w:lang w:eastAsia="ja-JP"/>
        </w:rPr>
        <w:t>meningitidis</w:t>
      </w:r>
      <w:proofErr w:type="spellEnd"/>
      <w:r w:rsidRPr="00694AB7">
        <w:rPr>
          <w:lang w:eastAsia="ja-JP"/>
        </w:rPr>
        <w:t xml:space="preserve">- diphtheria </w:t>
      </w:r>
      <w:proofErr w:type="spellStart"/>
      <w:r w:rsidRPr="00694AB7">
        <w:rPr>
          <w:lang w:eastAsia="ja-JP"/>
        </w:rPr>
        <w:t>toxoid</w:t>
      </w:r>
      <w:proofErr w:type="spellEnd"/>
      <w:r w:rsidRPr="00694AB7">
        <w:rPr>
          <w:lang w:eastAsia="ja-JP"/>
        </w:rPr>
        <w:t xml:space="preserve"> conjugate vaccine in 2-year old children. </w:t>
      </w:r>
      <w:r w:rsidRPr="00694AB7">
        <w:rPr>
          <w:i/>
          <w:iCs/>
          <w:lang w:eastAsia="ja-JP"/>
        </w:rPr>
        <w:t xml:space="preserve">Vaccine </w:t>
      </w:r>
      <w:r w:rsidRPr="00694AB7">
        <w:rPr>
          <w:lang w:eastAsia="ja-JP"/>
        </w:rPr>
        <w:t>2005; 23: 4307-4314.</w:t>
      </w:r>
    </w:p>
    <w:p w:rsidR="00694AB7" w:rsidRPr="00694AB7" w:rsidRDefault="00694AB7" w:rsidP="00CF4EF5">
      <w:pPr>
        <w:pStyle w:val="ListBullet"/>
        <w:rPr>
          <w:lang w:eastAsia="ja-JP"/>
        </w:rPr>
      </w:pPr>
      <w:proofErr w:type="spellStart"/>
      <w:r w:rsidRPr="00694AB7">
        <w:rPr>
          <w:lang w:eastAsia="ja-JP"/>
        </w:rPr>
        <w:t>Granoff</w:t>
      </w:r>
      <w:proofErr w:type="spellEnd"/>
      <w:r w:rsidRPr="00694AB7">
        <w:rPr>
          <w:lang w:eastAsia="ja-JP"/>
        </w:rPr>
        <w:t xml:space="preserve"> DM. Relative importance of complement-mediated bactericidal and </w:t>
      </w:r>
      <w:proofErr w:type="spellStart"/>
      <w:r w:rsidRPr="00694AB7">
        <w:rPr>
          <w:lang w:eastAsia="ja-JP"/>
        </w:rPr>
        <w:t>opsonic</w:t>
      </w:r>
      <w:proofErr w:type="spellEnd"/>
      <w:r w:rsidRPr="00694AB7">
        <w:rPr>
          <w:lang w:eastAsia="ja-JP"/>
        </w:rPr>
        <w:t xml:space="preserve"> activity for protection against meningococcal disease. </w:t>
      </w:r>
      <w:r w:rsidRPr="00694AB7">
        <w:rPr>
          <w:i/>
          <w:iCs/>
          <w:lang w:eastAsia="ja-JP"/>
        </w:rPr>
        <w:t>Vaccine</w:t>
      </w:r>
      <w:r w:rsidRPr="00694AB7">
        <w:rPr>
          <w:lang w:eastAsia="ja-JP"/>
        </w:rPr>
        <w:t xml:space="preserve">. 2009; 27 </w:t>
      </w:r>
      <w:proofErr w:type="spellStart"/>
      <w:r w:rsidRPr="00694AB7">
        <w:rPr>
          <w:lang w:eastAsia="ja-JP"/>
        </w:rPr>
        <w:t>Suppl</w:t>
      </w:r>
      <w:proofErr w:type="spellEnd"/>
      <w:r w:rsidRPr="00694AB7">
        <w:rPr>
          <w:lang w:eastAsia="ja-JP"/>
        </w:rPr>
        <w:t xml:space="preserve"> 2:B117-25.</w:t>
      </w:r>
    </w:p>
    <w:p w:rsidR="00694AB7" w:rsidRPr="00694AB7" w:rsidRDefault="00694AB7" w:rsidP="00CF4EF5">
      <w:pPr>
        <w:pStyle w:val="ListBullet"/>
        <w:rPr>
          <w:lang w:eastAsia="ja-JP"/>
        </w:rPr>
      </w:pPr>
      <w:r w:rsidRPr="00694AB7">
        <w:rPr>
          <w:lang w:eastAsia="ja-JP"/>
        </w:rPr>
        <w:t xml:space="preserve">Leach A, </w:t>
      </w:r>
      <w:proofErr w:type="spellStart"/>
      <w:r w:rsidRPr="00694AB7">
        <w:rPr>
          <w:lang w:eastAsia="ja-JP"/>
        </w:rPr>
        <w:t>Twumasi</w:t>
      </w:r>
      <w:proofErr w:type="spellEnd"/>
      <w:r w:rsidRPr="00694AB7">
        <w:rPr>
          <w:lang w:eastAsia="ja-JP"/>
        </w:rPr>
        <w:t xml:space="preserve"> PA, </w:t>
      </w:r>
      <w:proofErr w:type="spellStart"/>
      <w:r w:rsidRPr="00694AB7">
        <w:rPr>
          <w:lang w:eastAsia="ja-JP"/>
        </w:rPr>
        <w:t>Kumah</w:t>
      </w:r>
      <w:proofErr w:type="spellEnd"/>
      <w:r w:rsidRPr="00694AB7">
        <w:rPr>
          <w:lang w:eastAsia="ja-JP"/>
        </w:rPr>
        <w:t xml:space="preserve"> S et al. Induction of immunologic memory in Gambian children by vaccination in infancy with </w:t>
      </w:r>
      <w:proofErr w:type="spellStart"/>
      <w:r w:rsidRPr="00694AB7">
        <w:rPr>
          <w:lang w:eastAsia="ja-JP"/>
        </w:rPr>
        <w:t>agroup</w:t>
      </w:r>
      <w:proofErr w:type="spellEnd"/>
      <w:r w:rsidRPr="00694AB7">
        <w:rPr>
          <w:lang w:eastAsia="ja-JP"/>
        </w:rPr>
        <w:t xml:space="preserve"> A plus group C meningococcal PS-protein conjugate vaccine. </w:t>
      </w:r>
      <w:r w:rsidRPr="00694AB7">
        <w:rPr>
          <w:i/>
          <w:iCs/>
          <w:lang w:eastAsia="ja-JP"/>
        </w:rPr>
        <w:t xml:space="preserve">J Infect Dis. </w:t>
      </w:r>
      <w:r w:rsidRPr="00694AB7">
        <w:rPr>
          <w:lang w:eastAsia="ja-JP"/>
        </w:rPr>
        <w:t>1997; 175: 200-204.</w:t>
      </w:r>
    </w:p>
    <w:p w:rsidR="00694AB7" w:rsidRPr="00694AB7" w:rsidRDefault="00694AB7" w:rsidP="00CF4EF5">
      <w:pPr>
        <w:pStyle w:val="ListBullet"/>
        <w:rPr>
          <w:lang w:eastAsia="ja-JP"/>
        </w:rPr>
      </w:pPr>
      <w:r w:rsidRPr="00694AB7">
        <w:rPr>
          <w:lang w:eastAsia="ja-JP"/>
        </w:rPr>
        <w:lastRenderedPageBreak/>
        <w:t xml:space="preserve">MacDonald NE, </w:t>
      </w:r>
      <w:proofErr w:type="spellStart"/>
      <w:r w:rsidRPr="00694AB7">
        <w:rPr>
          <w:lang w:eastAsia="ja-JP"/>
        </w:rPr>
        <w:t>Halperin</w:t>
      </w:r>
      <w:proofErr w:type="spellEnd"/>
      <w:r w:rsidRPr="00694AB7">
        <w:rPr>
          <w:lang w:eastAsia="ja-JP"/>
        </w:rPr>
        <w:t xml:space="preserve"> SA, Law BJ et al. Induction of immunologic memory by conjugate </w:t>
      </w:r>
      <w:proofErr w:type="spellStart"/>
      <w:r w:rsidRPr="00694AB7">
        <w:rPr>
          <w:lang w:eastAsia="ja-JP"/>
        </w:rPr>
        <w:t>vs</w:t>
      </w:r>
      <w:proofErr w:type="spellEnd"/>
      <w:r w:rsidRPr="00694AB7">
        <w:rPr>
          <w:lang w:eastAsia="ja-JP"/>
        </w:rPr>
        <w:t xml:space="preserve"> plain meningococcal C PS vaccine in toddlers: a randomized controlled trial. </w:t>
      </w:r>
      <w:r w:rsidRPr="001C2A59">
        <w:rPr>
          <w:i/>
          <w:iCs/>
          <w:lang w:eastAsia="ja-JP"/>
        </w:rPr>
        <w:t>JAMA</w:t>
      </w:r>
      <w:r w:rsidRPr="00694AB7">
        <w:rPr>
          <w:lang w:eastAsia="ja-JP"/>
        </w:rPr>
        <w:t>. 1998; 280: 1685-1689.</w:t>
      </w:r>
    </w:p>
    <w:p w:rsidR="00694AB7" w:rsidRPr="00694AB7" w:rsidRDefault="00694AB7" w:rsidP="00CF4EF5">
      <w:pPr>
        <w:pStyle w:val="ListBullet"/>
        <w:rPr>
          <w:lang w:eastAsia="ja-JP"/>
        </w:rPr>
      </w:pPr>
      <w:proofErr w:type="spellStart"/>
      <w:r w:rsidRPr="00694AB7">
        <w:rPr>
          <w:lang w:eastAsia="ja-JP"/>
        </w:rPr>
        <w:t>Maslanka</w:t>
      </w:r>
      <w:proofErr w:type="spellEnd"/>
      <w:r w:rsidRPr="00694AB7">
        <w:rPr>
          <w:lang w:eastAsia="ja-JP"/>
        </w:rPr>
        <w:t xml:space="preserve"> SE, </w:t>
      </w:r>
      <w:proofErr w:type="spellStart"/>
      <w:r w:rsidRPr="00694AB7">
        <w:rPr>
          <w:lang w:eastAsia="ja-JP"/>
        </w:rPr>
        <w:t>Gheesling</w:t>
      </w:r>
      <w:proofErr w:type="spellEnd"/>
      <w:r w:rsidRPr="00694AB7">
        <w:rPr>
          <w:lang w:eastAsia="ja-JP"/>
        </w:rPr>
        <w:t xml:space="preserve"> LL, </w:t>
      </w:r>
      <w:proofErr w:type="spellStart"/>
      <w:r w:rsidRPr="00694AB7">
        <w:rPr>
          <w:lang w:eastAsia="ja-JP"/>
        </w:rPr>
        <w:t>Libutti</w:t>
      </w:r>
      <w:proofErr w:type="spellEnd"/>
      <w:r w:rsidRPr="00694AB7">
        <w:rPr>
          <w:lang w:eastAsia="ja-JP"/>
        </w:rPr>
        <w:t xml:space="preserve"> DE et al. Standardization and a </w:t>
      </w:r>
      <w:proofErr w:type="spellStart"/>
      <w:r w:rsidRPr="00694AB7">
        <w:rPr>
          <w:lang w:eastAsia="ja-JP"/>
        </w:rPr>
        <w:t>Multilaboratory</w:t>
      </w:r>
      <w:proofErr w:type="spellEnd"/>
      <w:r w:rsidRPr="00694AB7">
        <w:rPr>
          <w:lang w:eastAsia="ja-JP"/>
        </w:rPr>
        <w:t xml:space="preserve"> Comparison of </w:t>
      </w:r>
      <w:proofErr w:type="spellStart"/>
      <w:r w:rsidRPr="00694AB7">
        <w:rPr>
          <w:i/>
          <w:iCs/>
          <w:lang w:eastAsia="ja-JP"/>
        </w:rPr>
        <w:t>Neisseria</w:t>
      </w:r>
      <w:proofErr w:type="spellEnd"/>
      <w:r w:rsidRPr="00694AB7">
        <w:rPr>
          <w:i/>
          <w:iCs/>
          <w:lang w:eastAsia="ja-JP"/>
        </w:rPr>
        <w:t xml:space="preserve"> </w:t>
      </w:r>
      <w:proofErr w:type="spellStart"/>
      <w:r w:rsidRPr="00694AB7">
        <w:rPr>
          <w:i/>
          <w:iCs/>
          <w:lang w:eastAsia="ja-JP"/>
        </w:rPr>
        <w:t>meningitidis</w:t>
      </w:r>
      <w:proofErr w:type="spellEnd"/>
      <w:r w:rsidRPr="00694AB7">
        <w:rPr>
          <w:i/>
          <w:iCs/>
          <w:lang w:eastAsia="ja-JP"/>
        </w:rPr>
        <w:t xml:space="preserve"> </w:t>
      </w:r>
      <w:proofErr w:type="spellStart"/>
      <w:r w:rsidRPr="00694AB7">
        <w:rPr>
          <w:lang w:eastAsia="ja-JP"/>
        </w:rPr>
        <w:t>Serogroup</w:t>
      </w:r>
      <w:proofErr w:type="spellEnd"/>
      <w:r w:rsidRPr="00694AB7">
        <w:rPr>
          <w:lang w:eastAsia="ja-JP"/>
        </w:rPr>
        <w:t xml:space="preserve"> A and C Serum Bactericidal Assays. </w:t>
      </w:r>
      <w:proofErr w:type="spellStart"/>
      <w:r w:rsidRPr="00694AB7">
        <w:rPr>
          <w:i/>
          <w:iCs/>
          <w:lang w:eastAsia="ja-JP"/>
        </w:rPr>
        <w:t>Clin</w:t>
      </w:r>
      <w:proofErr w:type="spellEnd"/>
      <w:r w:rsidRPr="00694AB7">
        <w:rPr>
          <w:i/>
          <w:iCs/>
          <w:lang w:eastAsia="ja-JP"/>
        </w:rPr>
        <w:t xml:space="preserve"> </w:t>
      </w:r>
      <w:proofErr w:type="spellStart"/>
      <w:r w:rsidRPr="00694AB7">
        <w:rPr>
          <w:i/>
          <w:iCs/>
          <w:lang w:eastAsia="ja-JP"/>
        </w:rPr>
        <w:t>Diagn</w:t>
      </w:r>
      <w:proofErr w:type="spellEnd"/>
      <w:r w:rsidRPr="00694AB7">
        <w:rPr>
          <w:i/>
          <w:iCs/>
          <w:lang w:eastAsia="ja-JP"/>
        </w:rPr>
        <w:t xml:space="preserve"> Lab </w:t>
      </w:r>
      <w:proofErr w:type="spellStart"/>
      <w:r w:rsidRPr="00694AB7">
        <w:rPr>
          <w:i/>
          <w:iCs/>
          <w:lang w:eastAsia="ja-JP"/>
        </w:rPr>
        <w:t>Immunol</w:t>
      </w:r>
      <w:proofErr w:type="spellEnd"/>
      <w:r w:rsidRPr="00694AB7">
        <w:rPr>
          <w:i/>
          <w:iCs/>
          <w:lang w:eastAsia="ja-JP"/>
        </w:rPr>
        <w:t xml:space="preserve">. </w:t>
      </w:r>
      <w:r w:rsidRPr="00694AB7">
        <w:rPr>
          <w:lang w:eastAsia="ja-JP"/>
        </w:rPr>
        <w:t>1997;4(2):156-167.</w:t>
      </w:r>
    </w:p>
    <w:p w:rsidR="00694AB7" w:rsidRPr="00694AB7" w:rsidRDefault="00694AB7" w:rsidP="00CF4EF5">
      <w:pPr>
        <w:pStyle w:val="ListBullet"/>
        <w:rPr>
          <w:lang w:eastAsia="ja-JP"/>
        </w:rPr>
      </w:pPr>
      <w:proofErr w:type="spellStart"/>
      <w:r w:rsidRPr="00694AB7">
        <w:rPr>
          <w:lang w:eastAsia="ja-JP"/>
        </w:rPr>
        <w:t>Mohle-Boetani</w:t>
      </w:r>
      <w:proofErr w:type="spellEnd"/>
      <w:r w:rsidRPr="00694AB7">
        <w:rPr>
          <w:lang w:eastAsia="ja-JP"/>
        </w:rPr>
        <w:t xml:space="preserve"> JC, </w:t>
      </w:r>
      <w:proofErr w:type="spellStart"/>
      <w:r w:rsidRPr="00694AB7">
        <w:rPr>
          <w:lang w:eastAsia="ja-JP"/>
        </w:rPr>
        <w:t>Ajello</w:t>
      </w:r>
      <w:proofErr w:type="spellEnd"/>
      <w:r w:rsidRPr="00694AB7">
        <w:rPr>
          <w:lang w:eastAsia="ja-JP"/>
        </w:rPr>
        <w:t xml:space="preserve"> G, </w:t>
      </w:r>
      <w:proofErr w:type="spellStart"/>
      <w:r w:rsidRPr="00694AB7">
        <w:rPr>
          <w:lang w:eastAsia="ja-JP"/>
        </w:rPr>
        <w:t>Breneman</w:t>
      </w:r>
      <w:proofErr w:type="spellEnd"/>
      <w:r w:rsidRPr="00694AB7">
        <w:rPr>
          <w:lang w:eastAsia="ja-JP"/>
        </w:rPr>
        <w:t xml:space="preserve"> E, et al. Carriage of </w:t>
      </w:r>
      <w:proofErr w:type="spellStart"/>
      <w:r w:rsidRPr="00694AB7">
        <w:rPr>
          <w:i/>
          <w:iCs/>
          <w:lang w:eastAsia="ja-JP"/>
        </w:rPr>
        <w:t>Haemophilus</w:t>
      </w:r>
      <w:proofErr w:type="spellEnd"/>
      <w:r w:rsidRPr="00694AB7">
        <w:rPr>
          <w:i/>
          <w:iCs/>
          <w:lang w:eastAsia="ja-JP"/>
        </w:rPr>
        <w:t xml:space="preserve"> </w:t>
      </w:r>
      <w:proofErr w:type="spellStart"/>
      <w:r w:rsidRPr="00694AB7">
        <w:rPr>
          <w:i/>
          <w:iCs/>
          <w:lang w:eastAsia="ja-JP"/>
        </w:rPr>
        <w:t>influenzae</w:t>
      </w:r>
      <w:proofErr w:type="spellEnd"/>
      <w:r w:rsidRPr="00694AB7">
        <w:rPr>
          <w:i/>
          <w:iCs/>
          <w:lang w:eastAsia="ja-JP"/>
        </w:rPr>
        <w:t xml:space="preserve"> </w:t>
      </w:r>
      <w:r w:rsidRPr="00694AB7">
        <w:rPr>
          <w:lang w:eastAsia="ja-JP"/>
        </w:rPr>
        <w:t xml:space="preserve">type b in children after widespread vaccination with conjugate </w:t>
      </w:r>
      <w:proofErr w:type="spellStart"/>
      <w:r w:rsidRPr="009C15B2">
        <w:rPr>
          <w:i/>
          <w:iCs/>
          <w:lang w:eastAsia="ja-JP"/>
        </w:rPr>
        <w:t>Haemophilus</w:t>
      </w:r>
      <w:proofErr w:type="spellEnd"/>
      <w:r w:rsidRPr="009C15B2">
        <w:rPr>
          <w:i/>
          <w:iCs/>
          <w:lang w:eastAsia="ja-JP"/>
        </w:rPr>
        <w:t xml:space="preserve"> </w:t>
      </w:r>
      <w:proofErr w:type="spellStart"/>
      <w:r w:rsidRPr="009C15B2">
        <w:rPr>
          <w:i/>
          <w:iCs/>
          <w:lang w:eastAsia="ja-JP"/>
        </w:rPr>
        <w:t>influenzae</w:t>
      </w:r>
      <w:proofErr w:type="spellEnd"/>
      <w:r w:rsidRPr="00694AB7">
        <w:rPr>
          <w:lang w:eastAsia="ja-JP"/>
        </w:rPr>
        <w:t xml:space="preserve"> type b vaccines. </w:t>
      </w:r>
      <w:proofErr w:type="spellStart"/>
      <w:r w:rsidRPr="00694AB7">
        <w:rPr>
          <w:i/>
          <w:iCs/>
          <w:lang w:eastAsia="ja-JP"/>
        </w:rPr>
        <w:t>Pediatr</w:t>
      </w:r>
      <w:proofErr w:type="spellEnd"/>
      <w:r w:rsidRPr="00694AB7">
        <w:rPr>
          <w:i/>
          <w:iCs/>
          <w:lang w:eastAsia="ja-JP"/>
        </w:rPr>
        <w:t xml:space="preserve"> Infect. </w:t>
      </w:r>
      <w:proofErr w:type="spellStart"/>
      <w:r w:rsidRPr="00694AB7">
        <w:rPr>
          <w:i/>
          <w:iCs/>
          <w:lang w:eastAsia="ja-JP"/>
        </w:rPr>
        <w:t>Dis</w:t>
      </w:r>
      <w:proofErr w:type="spellEnd"/>
      <w:r w:rsidRPr="00694AB7">
        <w:rPr>
          <w:i/>
          <w:iCs/>
          <w:lang w:eastAsia="ja-JP"/>
        </w:rPr>
        <w:t xml:space="preserve"> J. </w:t>
      </w:r>
      <w:r w:rsidRPr="00694AB7">
        <w:rPr>
          <w:lang w:eastAsia="ja-JP"/>
        </w:rPr>
        <w:t>1993; 12: 589-593</w:t>
      </w:r>
    </w:p>
    <w:p w:rsidR="00694AB7" w:rsidRPr="00694AB7" w:rsidRDefault="00694AB7" w:rsidP="00CF4EF5">
      <w:pPr>
        <w:pStyle w:val="ListBullet"/>
        <w:rPr>
          <w:lang w:eastAsia="ja-JP"/>
        </w:rPr>
      </w:pPr>
      <w:r w:rsidRPr="00694AB7">
        <w:rPr>
          <w:lang w:eastAsia="ja-JP"/>
        </w:rPr>
        <w:t xml:space="preserve">O’Brien KL, Millar E, Zell M, </w:t>
      </w:r>
      <w:proofErr w:type="spellStart"/>
      <w:r w:rsidRPr="00694AB7">
        <w:rPr>
          <w:lang w:eastAsia="ja-JP"/>
        </w:rPr>
        <w:t>Bronsdon</w:t>
      </w:r>
      <w:proofErr w:type="spellEnd"/>
      <w:r w:rsidRPr="00694AB7">
        <w:rPr>
          <w:lang w:eastAsia="ja-JP"/>
        </w:rPr>
        <w:t xml:space="preserve"> et al. Effect of pneumococcal conjugate vaccine on nasopharyngeal colonization among immunized and unimmunized children. </w:t>
      </w:r>
      <w:r w:rsidRPr="00694AB7">
        <w:rPr>
          <w:i/>
          <w:iCs/>
          <w:lang w:eastAsia="ja-JP"/>
        </w:rPr>
        <w:t>J. Infect. Dis</w:t>
      </w:r>
      <w:r w:rsidRPr="00694AB7">
        <w:rPr>
          <w:lang w:eastAsia="ja-JP"/>
        </w:rPr>
        <w:t>. 2007; 196: 1211-1220.</w:t>
      </w:r>
    </w:p>
    <w:p w:rsidR="00694AB7" w:rsidRPr="00694AB7" w:rsidRDefault="00694AB7" w:rsidP="00CF4EF5">
      <w:pPr>
        <w:pStyle w:val="ListBullet"/>
        <w:rPr>
          <w:lang w:eastAsia="ja-JP"/>
        </w:rPr>
      </w:pPr>
      <w:r w:rsidRPr="00694AB7">
        <w:rPr>
          <w:lang w:eastAsia="ja-JP"/>
        </w:rPr>
        <w:t>Soriano-</w:t>
      </w:r>
      <w:proofErr w:type="spellStart"/>
      <w:r w:rsidRPr="00694AB7">
        <w:rPr>
          <w:lang w:eastAsia="ja-JP"/>
        </w:rPr>
        <w:t>Gabarro</w:t>
      </w:r>
      <w:proofErr w:type="spellEnd"/>
      <w:r w:rsidRPr="00694AB7">
        <w:rPr>
          <w:lang w:eastAsia="ja-JP"/>
        </w:rPr>
        <w:t xml:space="preserve"> M, </w:t>
      </w:r>
      <w:proofErr w:type="spellStart"/>
      <w:r w:rsidRPr="00694AB7">
        <w:rPr>
          <w:lang w:eastAsia="ja-JP"/>
        </w:rPr>
        <w:t>Toé</w:t>
      </w:r>
      <w:proofErr w:type="spellEnd"/>
      <w:r w:rsidRPr="00694AB7">
        <w:rPr>
          <w:lang w:eastAsia="ja-JP"/>
        </w:rPr>
        <w:t xml:space="preserve"> L, </w:t>
      </w:r>
      <w:proofErr w:type="spellStart"/>
      <w:r w:rsidRPr="00694AB7">
        <w:rPr>
          <w:lang w:eastAsia="ja-JP"/>
        </w:rPr>
        <w:t>Tiendrebeogo</w:t>
      </w:r>
      <w:proofErr w:type="spellEnd"/>
      <w:r w:rsidRPr="00694AB7">
        <w:rPr>
          <w:lang w:eastAsia="ja-JP"/>
        </w:rPr>
        <w:t xml:space="preserve"> S et al. Effectiveness of a trivalent </w:t>
      </w:r>
      <w:proofErr w:type="spellStart"/>
      <w:r w:rsidRPr="00694AB7">
        <w:rPr>
          <w:lang w:eastAsia="ja-JP"/>
        </w:rPr>
        <w:t>serogroup</w:t>
      </w:r>
      <w:proofErr w:type="spellEnd"/>
      <w:r w:rsidRPr="00694AB7">
        <w:rPr>
          <w:lang w:eastAsia="ja-JP"/>
        </w:rPr>
        <w:t xml:space="preserve"> A/C/W135 meningococcal PS vaccine in Burkina Faso, 2003. </w:t>
      </w:r>
      <w:r w:rsidRPr="00694AB7">
        <w:rPr>
          <w:i/>
          <w:iCs/>
          <w:lang w:eastAsia="ja-JP"/>
        </w:rPr>
        <w:t>Vaccine</w:t>
      </w:r>
      <w:r w:rsidRPr="00694AB7">
        <w:rPr>
          <w:lang w:eastAsia="ja-JP"/>
        </w:rPr>
        <w:t>. 2007;25S:A92-A96.</w:t>
      </w:r>
    </w:p>
    <w:p w:rsidR="00694AB7" w:rsidRPr="00694AB7" w:rsidRDefault="00694AB7" w:rsidP="00CF4EF5">
      <w:pPr>
        <w:pStyle w:val="ListBullet"/>
        <w:rPr>
          <w:lang w:eastAsia="ja-JP"/>
        </w:rPr>
      </w:pPr>
      <w:r w:rsidRPr="00694AB7">
        <w:rPr>
          <w:lang w:eastAsia="ja-JP"/>
        </w:rPr>
        <w:t xml:space="preserve">Trotter CL, Ramsay ME. Vaccination against meningococcal disease in Europe: review and recommendations for the use of conjugate vaccines. </w:t>
      </w:r>
      <w:r w:rsidRPr="00694AB7">
        <w:rPr>
          <w:i/>
          <w:iCs/>
          <w:lang w:eastAsia="ja-JP"/>
        </w:rPr>
        <w:t xml:space="preserve">FEMS </w:t>
      </w:r>
      <w:proofErr w:type="spellStart"/>
      <w:r w:rsidRPr="00694AB7">
        <w:rPr>
          <w:i/>
          <w:iCs/>
          <w:lang w:eastAsia="ja-JP"/>
        </w:rPr>
        <w:t>Microbiol</w:t>
      </w:r>
      <w:proofErr w:type="spellEnd"/>
      <w:r w:rsidRPr="00694AB7">
        <w:rPr>
          <w:i/>
          <w:iCs/>
          <w:lang w:eastAsia="ja-JP"/>
        </w:rPr>
        <w:t xml:space="preserve"> Rev. </w:t>
      </w:r>
      <w:r w:rsidRPr="00694AB7">
        <w:rPr>
          <w:lang w:eastAsia="ja-JP"/>
        </w:rPr>
        <w:t>2007; 31:101-107.</w:t>
      </w:r>
    </w:p>
    <w:p w:rsidR="009C15B2" w:rsidRDefault="00694AB7" w:rsidP="00CF4EF5">
      <w:pPr>
        <w:pStyle w:val="ListBullet"/>
        <w:rPr>
          <w:lang w:eastAsia="ja-JP"/>
        </w:rPr>
      </w:pPr>
      <w:r w:rsidRPr="00694AB7">
        <w:rPr>
          <w:lang w:eastAsia="ja-JP"/>
        </w:rPr>
        <w:t xml:space="preserve">Trotter CL, Maiden MCJ. </w:t>
      </w:r>
      <w:proofErr w:type="spellStart"/>
      <w:r w:rsidRPr="00694AB7">
        <w:rPr>
          <w:lang w:eastAsia="ja-JP"/>
        </w:rPr>
        <w:t>Meningococal</w:t>
      </w:r>
      <w:proofErr w:type="spellEnd"/>
      <w:r w:rsidRPr="00694AB7">
        <w:rPr>
          <w:lang w:eastAsia="ja-JP"/>
        </w:rPr>
        <w:t xml:space="preserve"> vaccines and herd immunity: lessons learned from </w:t>
      </w:r>
      <w:proofErr w:type="spellStart"/>
      <w:r w:rsidRPr="00694AB7">
        <w:rPr>
          <w:lang w:eastAsia="ja-JP"/>
        </w:rPr>
        <w:t>serogroup</w:t>
      </w:r>
      <w:proofErr w:type="spellEnd"/>
      <w:r w:rsidRPr="00694AB7">
        <w:rPr>
          <w:lang w:eastAsia="ja-JP"/>
        </w:rPr>
        <w:t xml:space="preserve"> C conjugate vaccine programs. </w:t>
      </w:r>
      <w:proofErr w:type="spellStart"/>
      <w:r w:rsidRPr="00694AB7">
        <w:rPr>
          <w:i/>
          <w:iCs/>
          <w:lang w:eastAsia="ja-JP"/>
        </w:rPr>
        <w:t>Expet</w:t>
      </w:r>
      <w:proofErr w:type="spellEnd"/>
      <w:r w:rsidRPr="00694AB7">
        <w:rPr>
          <w:i/>
          <w:iCs/>
          <w:lang w:eastAsia="ja-JP"/>
        </w:rPr>
        <w:t xml:space="preserve"> Rev. Vaccines</w:t>
      </w:r>
      <w:r w:rsidRPr="00694AB7">
        <w:rPr>
          <w:lang w:eastAsia="ja-JP"/>
        </w:rPr>
        <w:t xml:space="preserve">.2009; 8(7); 851-861. </w:t>
      </w:r>
    </w:p>
    <w:p w:rsidR="00694AB7" w:rsidRPr="00694AB7" w:rsidRDefault="00694AB7" w:rsidP="00CF4EF5">
      <w:pPr>
        <w:pStyle w:val="ListBullet"/>
        <w:rPr>
          <w:lang w:eastAsia="ja-JP"/>
        </w:rPr>
      </w:pPr>
      <w:r w:rsidRPr="00694AB7">
        <w:rPr>
          <w:lang w:eastAsia="ja-JP"/>
        </w:rPr>
        <w:t xml:space="preserve">Van </w:t>
      </w:r>
      <w:proofErr w:type="spellStart"/>
      <w:r w:rsidRPr="00694AB7">
        <w:rPr>
          <w:lang w:eastAsia="ja-JP"/>
        </w:rPr>
        <w:t>Deuren</w:t>
      </w:r>
      <w:proofErr w:type="spellEnd"/>
      <w:r w:rsidRPr="00694AB7">
        <w:rPr>
          <w:lang w:eastAsia="ja-JP"/>
        </w:rPr>
        <w:t xml:space="preserve"> M, </w:t>
      </w:r>
      <w:proofErr w:type="spellStart"/>
      <w:r w:rsidRPr="00694AB7">
        <w:rPr>
          <w:lang w:eastAsia="ja-JP"/>
        </w:rPr>
        <w:t>Brandtzaeg</w:t>
      </w:r>
      <w:proofErr w:type="spellEnd"/>
      <w:r w:rsidRPr="00694AB7">
        <w:rPr>
          <w:lang w:eastAsia="ja-JP"/>
        </w:rPr>
        <w:t xml:space="preserve"> P and </w:t>
      </w:r>
      <w:proofErr w:type="spellStart"/>
      <w:r w:rsidRPr="00694AB7">
        <w:rPr>
          <w:lang w:eastAsia="ja-JP"/>
        </w:rPr>
        <w:t>vander</w:t>
      </w:r>
      <w:proofErr w:type="spellEnd"/>
      <w:r w:rsidRPr="00694AB7">
        <w:rPr>
          <w:lang w:eastAsia="ja-JP"/>
        </w:rPr>
        <w:t xml:space="preserve"> Meer J. Update on meningococcal disease with emphasis on pathogenesis and clinical management. </w:t>
      </w:r>
      <w:proofErr w:type="spellStart"/>
      <w:r w:rsidRPr="00694AB7">
        <w:rPr>
          <w:i/>
          <w:iCs/>
          <w:lang w:eastAsia="ja-JP"/>
        </w:rPr>
        <w:t>Clin</w:t>
      </w:r>
      <w:proofErr w:type="spellEnd"/>
      <w:r w:rsidRPr="00694AB7">
        <w:rPr>
          <w:i/>
          <w:iCs/>
          <w:lang w:eastAsia="ja-JP"/>
        </w:rPr>
        <w:t xml:space="preserve"> </w:t>
      </w:r>
      <w:proofErr w:type="spellStart"/>
      <w:r w:rsidRPr="00694AB7">
        <w:rPr>
          <w:i/>
          <w:iCs/>
          <w:lang w:eastAsia="ja-JP"/>
        </w:rPr>
        <w:t>Microbiol</w:t>
      </w:r>
      <w:proofErr w:type="spellEnd"/>
      <w:r w:rsidRPr="00694AB7">
        <w:rPr>
          <w:i/>
          <w:iCs/>
          <w:lang w:eastAsia="ja-JP"/>
        </w:rPr>
        <w:t xml:space="preserve"> Rev</w:t>
      </w:r>
      <w:r w:rsidRPr="00694AB7">
        <w:rPr>
          <w:lang w:eastAsia="ja-JP"/>
        </w:rPr>
        <w:t>. 2000;13(1):144-166.</w:t>
      </w:r>
    </w:p>
    <w:p w:rsidR="00694AB7" w:rsidRPr="00694AB7" w:rsidRDefault="00694AB7" w:rsidP="00CF4EF5">
      <w:pPr>
        <w:pStyle w:val="ListBullet"/>
        <w:rPr>
          <w:lang w:eastAsia="ja-JP"/>
        </w:rPr>
      </w:pPr>
      <w:proofErr w:type="spellStart"/>
      <w:r w:rsidRPr="00694AB7">
        <w:rPr>
          <w:lang w:eastAsia="ja-JP"/>
        </w:rPr>
        <w:t>Wahdan</w:t>
      </w:r>
      <w:proofErr w:type="spellEnd"/>
      <w:r w:rsidRPr="00694AB7">
        <w:rPr>
          <w:lang w:eastAsia="ja-JP"/>
        </w:rPr>
        <w:t xml:space="preserve"> MH, </w:t>
      </w:r>
      <w:proofErr w:type="spellStart"/>
      <w:r w:rsidRPr="00694AB7">
        <w:rPr>
          <w:lang w:eastAsia="ja-JP"/>
        </w:rPr>
        <w:t>Sallam</w:t>
      </w:r>
      <w:proofErr w:type="spellEnd"/>
      <w:r w:rsidRPr="00694AB7">
        <w:rPr>
          <w:lang w:eastAsia="ja-JP"/>
        </w:rPr>
        <w:t xml:space="preserve"> SA, Hassan MN, et al. A controlled field trial of a </w:t>
      </w:r>
      <w:proofErr w:type="spellStart"/>
      <w:r w:rsidRPr="00694AB7">
        <w:rPr>
          <w:lang w:eastAsia="ja-JP"/>
        </w:rPr>
        <w:t>serogroup</w:t>
      </w:r>
      <w:proofErr w:type="spellEnd"/>
      <w:r w:rsidRPr="00694AB7">
        <w:rPr>
          <w:lang w:eastAsia="ja-JP"/>
        </w:rPr>
        <w:t xml:space="preserve"> A meningococcal PS vaccine. </w:t>
      </w:r>
      <w:r w:rsidRPr="00694AB7">
        <w:rPr>
          <w:i/>
          <w:iCs/>
          <w:lang w:eastAsia="ja-JP"/>
        </w:rPr>
        <w:t>Bull World Health Organ</w:t>
      </w:r>
      <w:r w:rsidRPr="00694AB7">
        <w:rPr>
          <w:lang w:eastAsia="ja-JP"/>
        </w:rPr>
        <w:t>. 1973; 48: 667-673.</w:t>
      </w:r>
    </w:p>
    <w:p w:rsidR="00694AB7" w:rsidRPr="00694AB7" w:rsidRDefault="00694AB7" w:rsidP="00CF4EF5">
      <w:pPr>
        <w:pStyle w:val="ListBullet"/>
        <w:rPr>
          <w:lang w:eastAsia="ja-JP"/>
        </w:rPr>
      </w:pPr>
      <w:proofErr w:type="spellStart"/>
      <w:r w:rsidRPr="00694AB7">
        <w:rPr>
          <w:lang w:eastAsia="ja-JP"/>
        </w:rPr>
        <w:t>Wahdan</w:t>
      </w:r>
      <w:proofErr w:type="spellEnd"/>
      <w:r w:rsidRPr="00694AB7">
        <w:rPr>
          <w:lang w:eastAsia="ja-JP"/>
        </w:rPr>
        <w:t xml:space="preserve"> MH, </w:t>
      </w:r>
      <w:proofErr w:type="spellStart"/>
      <w:r w:rsidRPr="00694AB7">
        <w:rPr>
          <w:lang w:eastAsia="ja-JP"/>
        </w:rPr>
        <w:t>Sallam</w:t>
      </w:r>
      <w:proofErr w:type="spellEnd"/>
      <w:r w:rsidRPr="00694AB7">
        <w:rPr>
          <w:lang w:eastAsia="ja-JP"/>
        </w:rPr>
        <w:t xml:space="preserve"> SA, Hassan MN, et al. A second controlled field trial of a </w:t>
      </w:r>
      <w:proofErr w:type="spellStart"/>
      <w:r w:rsidRPr="00694AB7">
        <w:rPr>
          <w:lang w:eastAsia="ja-JP"/>
        </w:rPr>
        <w:t>serogroup</w:t>
      </w:r>
      <w:proofErr w:type="spellEnd"/>
      <w:r w:rsidRPr="00694AB7">
        <w:rPr>
          <w:lang w:eastAsia="ja-JP"/>
        </w:rPr>
        <w:t xml:space="preserve"> A meningococcal PS vaccine in Alexandria. </w:t>
      </w:r>
      <w:r w:rsidRPr="00694AB7">
        <w:rPr>
          <w:i/>
          <w:iCs/>
          <w:lang w:eastAsia="ja-JP"/>
        </w:rPr>
        <w:t>Bull World Health Organ</w:t>
      </w:r>
      <w:r w:rsidRPr="00694AB7">
        <w:rPr>
          <w:lang w:eastAsia="ja-JP"/>
        </w:rPr>
        <w:t>. 1977; 55: 645-651.</w:t>
      </w:r>
    </w:p>
    <w:p w:rsidR="00694AB7" w:rsidRPr="00694AB7" w:rsidRDefault="00694AB7" w:rsidP="00CF4EF5">
      <w:pPr>
        <w:pStyle w:val="ListBullet"/>
        <w:rPr>
          <w:lang w:eastAsia="ja-JP"/>
        </w:rPr>
      </w:pPr>
      <w:r w:rsidRPr="00694AB7">
        <w:rPr>
          <w:lang w:eastAsia="ja-JP"/>
        </w:rPr>
        <w:t xml:space="preserve">World Health Organization (WHO). Meningococcal vaccines: WHO position paper, November 2011. </w:t>
      </w:r>
      <w:r w:rsidRPr="00694AB7">
        <w:rPr>
          <w:i/>
          <w:iCs/>
          <w:lang w:eastAsia="ja-JP"/>
        </w:rPr>
        <w:t xml:space="preserve">Wkly. </w:t>
      </w:r>
      <w:proofErr w:type="spellStart"/>
      <w:r w:rsidRPr="00694AB7">
        <w:rPr>
          <w:i/>
          <w:iCs/>
          <w:lang w:eastAsia="ja-JP"/>
        </w:rPr>
        <w:t>Epidemiol</w:t>
      </w:r>
      <w:proofErr w:type="spellEnd"/>
      <w:r w:rsidRPr="00694AB7">
        <w:rPr>
          <w:i/>
          <w:iCs/>
          <w:lang w:eastAsia="ja-JP"/>
        </w:rPr>
        <w:t xml:space="preserve">. Rec. </w:t>
      </w:r>
      <w:r w:rsidRPr="00694AB7">
        <w:rPr>
          <w:lang w:eastAsia="ja-JP"/>
        </w:rPr>
        <w:t>2011; 86:521-540.</w:t>
      </w:r>
    </w:p>
    <w:bookmarkEnd w:id="2"/>
    <w:bookmarkEnd w:id="1"/>
    <w:bookmarkEnd w:id="0"/>
    <w:p w:rsidR="003D1E62" w:rsidRPr="001D043B" w:rsidRDefault="003D1E62" w:rsidP="002666AC">
      <w:pPr>
        <w:sectPr w:rsidR="003D1E62" w:rsidRPr="001D043B" w:rsidSect="008D770F">
          <w:footerReference w:type="default" r:id="rId39"/>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40"/>
      <w:headerReference w:type="default" r:id="rId41"/>
      <w:footerReference w:type="default" r:id="rId42"/>
      <w:headerReference w:type="first" r:id="rId43"/>
      <w:footerReference w:type="first" r:id="rId4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CD4" w:rsidRDefault="00A85CD4" w:rsidP="00C40A36">
      <w:pPr>
        <w:spacing w:after="0"/>
      </w:pPr>
      <w:r>
        <w:separator/>
      </w:r>
    </w:p>
  </w:endnote>
  <w:endnote w:type="continuationSeparator" w:id="0">
    <w:p w:rsidR="00A85CD4" w:rsidRDefault="00A85CD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A85CD4" w:rsidRPr="00487162" w:rsidTr="0053625B">
      <w:trPr>
        <w:trHeight w:val="269"/>
      </w:trPr>
      <w:tc>
        <w:tcPr>
          <w:tcW w:w="7938" w:type="dxa"/>
          <w:tcMar>
            <w:top w:w="142" w:type="dxa"/>
            <w:bottom w:w="0" w:type="dxa"/>
          </w:tcMar>
        </w:tcPr>
        <w:p w:rsidR="00A85CD4" w:rsidRPr="00487162" w:rsidRDefault="00A85CD4" w:rsidP="000921EA">
          <w:pPr>
            <w:pStyle w:val="Footer"/>
          </w:pPr>
          <w:r w:rsidRPr="00487162">
            <w:t>PM-20</w:t>
          </w:r>
          <w:r>
            <w:t>12</w:t>
          </w:r>
          <w:r w:rsidRPr="00487162">
            <w:t>-</w:t>
          </w:r>
          <w:r>
            <w:t>01958</w:t>
          </w:r>
          <w:r w:rsidRPr="00487162">
            <w:t>-</w:t>
          </w:r>
          <w:r>
            <w:t>3</w:t>
          </w:r>
          <w:r w:rsidRPr="00487162">
            <w:t>-</w:t>
          </w:r>
          <w:r>
            <w:t xml:space="preserve">2 Extract from the Clinical Evaluation Report for </w:t>
          </w:r>
          <w:r w:rsidRPr="003E799E">
            <w:rPr>
              <w:lang w:val="en-US"/>
            </w:rPr>
            <w:t>Meningococcal</w:t>
          </w:r>
          <w:r>
            <w:rPr>
              <w:lang w:val="en-US"/>
            </w:rPr>
            <w:t xml:space="preserve"> (groups A,C, W-135, Y)</w:t>
          </w:r>
          <w:r w:rsidRPr="003E799E">
            <w:rPr>
              <w:lang w:val="en-US"/>
            </w:rPr>
            <w:t xml:space="preserve"> polysaccharide </w:t>
          </w:r>
          <w:r w:rsidR="00067226">
            <w:rPr>
              <w:lang w:val="en-US"/>
            </w:rPr>
            <w:t>tetan</w:t>
          </w:r>
          <w:r>
            <w:rPr>
              <w:lang w:val="en-US"/>
            </w:rPr>
            <w:t xml:space="preserve">us </w:t>
          </w:r>
          <w:proofErr w:type="spellStart"/>
          <w:r>
            <w:rPr>
              <w:lang w:val="en-US"/>
            </w:rPr>
            <w:t>toxoid</w:t>
          </w:r>
          <w:proofErr w:type="spellEnd"/>
          <w:r>
            <w:rPr>
              <w:lang w:val="en-US"/>
            </w:rPr>
            <w:t xml:space="preserve"> </w:t>
          </w:r>
          <w:r>
            <w:t>conjugate</w:t>
          </w:r>
          <w:r w:rsidRPr="003E799E">
            <w:rPr>
              <w:lang w:val="en-US"/>
            </w:rPr>
            <w:t xml:space="preserve"> vaccine</w:t>
          </w:r>
          <w:r w:rsidRPr="003E799E">
            <w:t xml:space="preserve"> </w:t>
          </w:r>
          <w:r w:rsidR="006239E0">
            <w:t>(</w:t>
          </w:r>
          <w:proofErr w:type="spellStart"/>
          <w:r w:rsidR="006239E0">
            <w:t>Nimenrix</w:t>
          </w:r>
          <w:proofErr w:type="spellEnd"/>
          <w:r w:rsidR="006239E0">
            <w:t>)</w:t>
          </w:r>
        </w:p>
      </w:tc>
      <w:tc>
        <w:tcPr>
          <w:tcW w:w="923" w:type="dxa"/>
          <w:tcMar>
            <w:top w:w="142" w:type="dxa"/>
            <w:bottom w:w="0" w:type="dxa"/>
          </w:tcMar>
        </w:tcPr>
        <w:p w:rsidR="00A85CD4" w:rsidRPr="00487162" w:rsidRDefault="00A85CD4" w:rsidP="00D855D4">
          <w:pPr>
            <w:pStyle w:val="Footer"/>
            <w:jc w:val="right"/>
          </w:pPr>
          <w:r w:rsidRPr="00487162">
            <w:t xml:space="preserve">Page </w:t>
          </w:r>
          <w:r>
            <w:t>2</w:t>
          </w:r>
          <w:r w:rsidRPr="00487162">
            <w:t xml:space="preserve"> of </w:t>
          </w:r>
          <w:fldSimple w:instr=" NUMPAGES  \* Arabic ">
            <w:r w:rsidR="00AC5AE1">
              <w:rPr>
                <w:noProof/>
              </w:rPr>
              <w:t>53</w:t>
            </w:r>
          </w:fldSimple>
        </w:p>
      </w:tc>
    </w:tr>
  </w:tbl>
  <w:p w:rsidR="00A85CD4" w:rsidRDefault="00A85CD4"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A85CD4" w:rsidRPr="00487162" w:rsidTr="000921EA">
      <w:trPr>
        <w:trHeight w:val="269"/>
      </w:trPr>
      <w:tc>
        <w:tcPr>
          <w:tcW w:w="7797" w:type="dxa"/>
          <w:tcMar>
            <w:top w:w="142" w:type="dxa"/>
            <w:bottom w:w="0" w:type="dxa"/>
          </w:tcMar>
        </w:tcPr>
        <w:p w:rsidR="00A85CD4" w:rsidRPr="00487162" w:rsidRDefault="00A85CD4" w:rsidP="00D855D4">
          <w:pPr>
            <w:pStyle w:val="Footer"/>
          </w:pPr>
          <w:r w:rsidRPr="00CB01DB">
            <w:t xml:space="preserve">PM-2012-01958-3-2 Extract from the Clinical Evaluation Report for </w:t>
          </w:r>
          <w:r w:rsidRPr="000921EA">
            <w:rPr>
              <w:lang w:val="en-US"/>
            </w:rPr>
            <w:t>Meningococcal (groups A,C</w:t>
          </w:r>
          <w:r w:rsidR="00067226">
            <w:rPr>
              <w:lang w:val="en-US"/>
            </w:rPr>
            <w:t>, W-135, Y) polysaccharide tetan</w:t>
          </w:r>
          <w:r w:rsidRPr="000921EA">
            <w:rPr>
              <w:lang w:val="en-US"/>
            </w:rPr>
            <w:t xml:space="preserve">us </w:t>
          </w:r>
          <w:proofErr w:type="spellStart"/>
          <w:r w:rsidRPr="000921EA">
            <w:rPr>
              <w:lang w:val="en-US"/>
            </w:rPr>
            <w:t>toxoid</w:t>
          </w:r>
          <w:proofErr w:type="spellEnd"/>
          <w:r w:rsidRPr="000921EA">
            <w:rPr>
              <w:lang w:val="en-US"/>
            </w:rPr>
            <w:t xml:space="preserve"> </w:t>
          </w:r>
          <w:r w:rsidRPr="000921EA">
            <w:t>conjugate</w:t>
          </w:r>
          <w:r w:rsidRPr="000921EA">
            <w:rPr>
              <w:lang w:val="en-US"/>
            </w:rPr>
            <w:t xml:space="preserve"> vaccine</w:t>
          </w:r>
          <w:r w:rsidRPr="000921EA">
            <w:t xml:space="preserve"> </w:t>
          </w:r>
          <w:r w:rsidR="006239E0">
            <w:t>(</w:t>
          </w:r>
          <w:proofErr w:type="spellStart"/>
          <w:r w:rsidRPr="000921EA">
            <w:t>Nimenrix</w:t>
          </w:r>
          <w:proofErr w:type="spellEnd"/>
          <w:r w:rsidR="006239E0">
            <w:t>)</w:t>
          </w:r>
        </w:p>
      </w:tc>
      <w:tc>
        <w:tcPr>
          <w:tcW w:w="1064" w:type="dxa"/>
          <w:tcMar>
            <w:top w:w="142" w:type="dxa"/>
            <w:bottom w:w="0" w:type="dxa"/>
          </w:tcMar>
        </w:tcPr>
        <w:p w:rsidR="00A85CD4" w:rsidRPr="00487162" w:rsidRDefault="00A85CD4" w:rsidP="00E45619">
          <w:pPr>
            <w:pStyle w:val="Footer"/>
            <w:jc w:val="right"/>
          </w:pPr>
          <w:r w:rsidRPr="00487162">
            <w:t xml:space="preserve">Page </w:t>
          </w:r>
          <w:fldSimple w:instr="PAGE">
            <w:r w:rsidR="00AC5AE1">
              <w:rPr>
                <w:noProof/>
              </w:rPr>
              <w:t>3</w:t>
            </w:r>
          </w:fldSimple>
          <w:r w:rsidRPr="00487162">
            <w:t xml:space="preserve"> of </w:t>
          </w:r>
          <w:fldSimple w:instr=" NUMPAGES  \* Arabic ">
            <w:r w:rsidR="00AC5AE1">
              <w:rPr>
                <w:noProof/>
              </w:rPr>
              <w:t>53</w:t>
            </w:r>
          </w:fldSimple>
        </w:p>
      </w:tc>
    </w:tr>
  </w:tbl>
  <w:p w:rsidR="00A85CD4" w:rsidRDefault="00A85CD4"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A85CD4" w:rsidRPr="00487162" w:rsidTr="00E45619">
      <w:trPr>
        <w:trHeight w:val="269"/>
      </w:trPr>
      <w:tc>
        <w:tcPr>
          <w:tcW w:w="4519" w:type="dxa"/>
          <w:tcBorders>
            <w:top w:val="single" w:sz="4" w:space="0" w:color="auto"/>
          </w:tcBorders>
          <w:tcMar>
            <w:top w:w="142" w:type="dxa"/>
            <w:bottom w:w="0" w:type="dxa"/>
          </w:tcMar>
        </w:tcPr>
        <w:p w:rsidR="00A85CD4" w:rsidRPr="00487162" w:rsidRDefault="00A85CD4" w:rsidP="00FE1DEE">
          <w:pPr>
            <w:pStyle w:val="Footer"/>
          </w:pPr>
          <w:r w:rsidRPr="00487162">
            <w:t>Document title, Part #, Section # - Section title</w:t>
          </w:r>
        </w:p>
        <w:p w:rsidR="00A85CD4" w:rsidRPr="00487162" w:rsidRDefault="00A85CD4" w:rsidP="00FE1DEE">
          <w:pPr>
            <w:pStyle w:val="Footer"/>
          </w:pPr>
          <w:r w:rsidRPr="00487162">
            <w:t>V1.0 October 2010</w:t>
          </w:r>
        </w:p>
      </w:tc>
      <w:tc>
        <w:tcPr>
          <w:tcW w:w="4342" w:type="dxa"/>
          <w:tcBorders>
            <w:top w:val="single" w:sz="4" w:space="0" w:color="auto"/>
          </w:tcBorders>
          <w:tcMar>
            <w:top w:w="142" w:type="dxa"/>
            <w:bottom w:w="0" w:type="dxa"/>
          </w:tcMar>
        </w:tcPr>
        <w:p w:rsidR="00A85CD4" w:rsidRPr="00487162" w:rsidRDefault="00A85CD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A85CD4" w:rsidRDefault="00A85CD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92" w:type="dxa"/>
      <w:tblBorders>
        <w:top w:val="single" w:sz="4" w:space="0" w:color="auto"/>
      </w:tblBorders>
      <w:tblLayout w:type="fixed"/>
      <w:tblCellMar>
        <w:top w:w="170" w:type="dxa"/>
        <w:left w:w="0" w:type="dxa"/>
        <w:bottom w:w="170" w:type="dxa"/>
        <w:right w:w="0" w:type="dxa"/>
      </w:tblCellMar>
      <w:tblLook w:val="04A0"/>
    </w:tblPr>
    <w:tblGrid>
      <w:gridCol w:w="12191"/>
      <w:gridCol w:w="1701"/>
    </w:tblGrid>
    <w:tr w:rsidR="008D0E3B" w:rsidRPr="00487162" w:rsidTr="008D0E3B">
      <w:trPr>
        <w:trHeight w:val="269"/>
      </w:trPr>
      <w:tc>
        <w:tcPr>
          <w:tcW w:w="12191" w:type="dxa"/>
          <w:tcMar>
            <w:top w:w="142" w:type="dxa"/>
            <w:bottom w:w="0" w:type="dxa"/>
          </w:tcMar>
        </w:tcPr>
        <w:p w:rsidR="008D0E3B" w:rsidRPr="00487162" w:rsidRDefault="008D0E3B" w:rsidP="00D855D4">
          <w:pPr>
            <w:pStyle w:val="Footer"/>
          </w:pPr>
          <w:r w:rsidRPr="00CB01DB">
            <w:t xml:space="preserve">PM-2012-01958-3-2 Extract from the Clinical Evaluation Report for </w:t>
          </w:r>
          <w:r w:rsidRPr="000921EA">
            <w:rPr>
              <w:lang w:val="en-US"/>
            </w:rPr>
            <w:t>Meningococcal (groups A,C</w:t>
          </w:r>
          <w:r>
            <w:rPr>
              <w:lang w:val="en-US"/>
            </w:rPr>
            <w:t>, W-135, Y) polysaccharide tetan</w:t>
          </w:r>
          <w:r w:rsidRPr="000921EA">
            <w:rPr>
              <w:lang w:val="en-US"/>
            </w:rPr>
            <w:t xml:space="preserve">us </w:t>
          </w:r>
          <w:proofErr w:type="spellStart"/>
          <w:r w:rsidRPr="000921EA">
            <w:rPr>
              <w:lang w:val="en-US"/>
            </w:rPr>
            <w:t>toxoid</w:t>
          </w:r>
          <w:proofErr w:type="spellEnd"/>
          <w:r w:rsidRPr="000921EA">
            <w:rPr>
              <w:lang w:val="en-US"/>
            </w:rPr>
            <w:t xml:space="preserve"> </w:t>
          </w:r>
          <w:r w:rsidRPr="000921EA">
            <w:t>conjugate</w:t>
          </w:r>
          <w:r w:rsidRPr="000921EA">
            <w:rPr>
              <w:lang w:val="en-US"/>
            </w:rPr>
            <w:t xml:space="preserve"> vaccine</w:t>
          </w:r>
          <w:r w:rsidRPr="000921EA">
            <w:t xml:space="preserve"> </w:t>
          </w:r>
          <w:r>
            <w:t>(</w:t>
          </w:r>
          <w:proofErr w:type="spellStart"/>
          <w:r w:rsidRPr="000921EA">
            <w:t>Nimenrix</w:t>
          </w:r>
          <w:proofErr w:type="spellEnd"/>
          <w:r>
            <w:t>)</w:t>
          </w:r>
        </w:p>
      </w:tc>
      <w:tc>
        <w:tcPr>
          <w:tcW w:w="1701" w:type="dxa"/>
          <w:tcMar>
            <w:top w:w="142" w:type="dxa"/>
            <w:bottom w:w="0" w:type="dxa"/>
          </w:tcMar>
        </w:tcPr>
        <w:p w:rsidR="008D0E3B" w:rsidRPr="00487162" w:rsidRDefault="008D0E3B" w:rsidP="00E45619">
          <w:pPr>
            <w:pStyle w:val="Footer"/>
            <w:jc w:val="right"/>
          </w:pPr>
          <w:r w:rsidRPr="00487162">
            <w:t xml:space="preserve">Page </w:t>
          </w:r>
          <w:fldSimple w:instr="PAGE">
            <w:r w:rsidR="00AC5AE1">
              <w:rPr>
                <w:noProof/>
              </w:rPr>
              <w:t>34</w:t>
            </w:r>
          </w:fldSimple>
          <w:r w:rsidRPr="00487162">
            <w:t xml:space="preserve"> of </w:t>
          </w:r>
          <w:fldSimple w:instr=" NUMPAGES  \* Arabic ">
            <w:r w:rsidR="00AC5AE1">
              <w:rPr>
                <w:noProof/>
              </w:rPr>
              <w:t>53</w:t>
            </w:r>
          </w:fldSimple>
        </w:p>
      </w:tc>
    </w:tr>
  </w:tbl>
  <w:p w:rsidR="008D0E3B" w:rsidRDefault="008D0E3B"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8D0E3B" w:rsidRPr="00487162" w:rsidTr="000921EA">
      <w:trPr>
        <w:trHeight w:val="269"/>
      </w:trPr>
      <w:tc>
        <w:tcPr>
          <w:tcW w:w="7797" w:type="dxa"/>
          <w:tcMar>
            <w:top w:w="142" w:type="dxa"/>
            <w:bottom w:w="0" w:type="dxa"/>
          </w:tcMar>
        </w:tcPr>
        <w:p w:rsidR="008D0E3B" w:rsidRPr="00487162" w:rsidRDefault="008D0E3B" w:rsidP="00D855D4">
          <w:pPr>
            <w:pStyle w:val="Footer"/>
          </w:pPr>
          <w:r w:rsidRPr="00CB01DB">
            <w:t xml:space="preserve">PM-2012-01958-3-2 Extract from the Clinical Evaluation Report for </w:t>
          </w:r>
          <w:r w:rsidRPr="000921EA">
            <w:rPr>
              <w:lang w:val="en-US"/>
            </w:rPr>
            <w:t>Meningococcal (groups A,C</w:t>
          </w:r>
          <w:r>
            <w:rPr>
              <w:lang w:val="en-US"/>
            </w:rPr>
            <w:t>, W-135, Y) polysaccharide tetan</w:t>
          </w:r>
          <w:r w:rsidRPr="000921EA">
            <w:rPr>
              <w:lang w:val="en-US"/>
            </w:rPr>
            <w:t xml:space="preserve">us </w:t>
          </w:r>
          <w:proofErr w:type="spellStart"/>
          <w:r w:rsidRPr="000921EA">
            <w:rPr>
              <w:lang w:val="en-US"/>
            </w:rPr>
            <w:t>toxoid</w:t>
          </w:r>
          <w:proofErr w:type="spellEnd"/>
          <w:r w:rsidRPr="000921EA">
            <w:rPr>
              <w:lang w:val="en-US"/>
            </w:rPr>
            <w:t xml:space="preserve"> </w:t>
          </w:r>
          <w:r w:rsidRPr="000921EA">
            <w:t>conjugate</w:t>
          </w:r>
          <w:r w:rsidRPr="000921EA">
            <w:rPr>
              <w:lang w:val="en-US"/>
            </w:rPr>
            <w:t xml:space="preserve"> vaccine</w:t>
          </w:r>
          <w:r w:rsidRPr="000921EA">
            <w:t xml:space="preserve"> </w:t>
          </w:r>
          <w:r>
            <w:t>(</w:t>
          </w:r>
          <w:proofErr w:type="spellStart"/>
          <w:r w:rsidRPr="000921EA">
            <w:t>Nimenrix</w:t>
          </w:r>
          <w:proofErr w:type="spellEnd"/>
          <w:r>
            <w:t>)</w:t>
          </w:r>
        </w:p>
      </w:tc>
      <w:tc>
        <w:tcPr>
          <w:tcW w:w="1064" w:type="dxa"/>
          <w:tcMar>
            <w:top w:w="142" w:type="dxa"/>
            <w:bottom w:w="0" w:type="dxa"/>
          </w:tcMar>
        </w:tcPr>
        <w:p w:rsidR="008D0E3B" w:rsidRPr="00487162" w:rsidRDefault="008D0E3B" w:rsidP="00E45619">
          <w:pPr>
            <w:pStyle w:val="Footer"/>
            <w:jc w:val="right"/>
          </w:pPr>
          <w:r w:rsidRPr="00487162">
            <w:t xml:space="preserve">Page </w:t>
          </w:r>
          <w:fldSimple w:instr="PAGE">
            <w:r w:rsidR="00AC5AE1">
              <w:rPr>
                <w:noProof/>
              </w:rPr>
              <w:t>52</w:t>
            </w:r>
          </w:fldSimple>
          <w:r w:rsidRPr="00487162">
            <w:t xml:space="preserve"> of </w:t>
          </w:r>
          <w:fldSimple w:instr=" NUMPAGES  \* Arabic ">
            <w:r w:rsidR="00AC5AE1">
              <w:rPr>
                <w:noProof/>
              </w:rPr>
              <w:t>53</w:t>
            </w:r>
          </w:fldSimple>
        </w:p>
      </w:tc>
    </w:tr>
  </w:tbl>
  <w:p w:rsidR="008D0E3B" w:rsidRDefault="008D0E3B"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A85CD4" w:rsidRPr="00487162" w:rsidTr="008D770F">
              <w:trPr>
                <w:trHeight w:hRule="exact" w:val="564"/>
              </w:trPr>
              <w:tc>
                <w:tcPr>
                  <w:tcW w:w="9175" w:type="dxa"/>
                </w:tcPr>
                <w:p w:rsidR="00A85CD4" w:rsidRPr="00487162" w:rsidRDefault="00A85CD4" w:rsidP="008E7846">
                  <w:pPr>
                    <w:pStyle w:val="TGASignoff"/>
                  </w:pPr>
                  <w:r w:rsidRPr="00487162">
                    <w:t>Therapeutic Goods Administration</w:t>
                  </w:r>
                </w:p>
              </w:tc>
            </w:tr>
            <w:tr w:rsidR="00A85CD4" w:rsidRPr="00487162" w:rsidTr="00E45619">
              <w:trPr>
                <w:trHeight w:val="1221"/>
              </w:trPr>
              <w:tc>
                <w:tcPr>
                  <w:tcW w:w="9175" w:type="dxa"/>
                  <w:tcMar>
                    <w:top w:w="28" w:type="dxa"/>
                  </w:tcMar>
                </w:tcPr>
                <w:p w:rsidR="00A85CD4" w:rsidRPr="00487162" w:rsidRDefault="00A85CD4" w:rsidP="00E45619">
                  <w:pPr>
                    <w:pStyle w:val="Address"/>
                  </w:pPr>
                  <w:r w:rsidRPr="00487162">
                    <w:t>PO Box 100 Woden ACT 2606 Australia</w:t>
                  </w:r>
                </w:p>
                <w:p w:rsidR="00A85CD4" w:rsidRPr="00487162" w:rsidRDefault="00A85CD4"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A85CD4" w:rsidRPr="008D770F" w:rsidRDefault="00C131DD" w:rsidP="008D770F">
                  <w:pPr>
                    <w:pStyle w:val="Address"/>
                    <w:spacing w:line="260" w:lineRule="atLeast"/>
                    <w:rPr>
                      <w:b/>
                      <w:color w:val="0000FF"/>
                      <w:u w:val="single"/>
                    </w:rPr>
                  </w:pPr>
                  <w:hyperlink r:id="rId2" w:history="1">
                    <w:r w:rsidR="00A85CD4" w:rsidRPr="007C06C7">
                      <w:rPr>
                        <w:rStyle w:val="Hyperlink"/>
                        <w:b/>
                      </w:rPr>
                      <w:t>http://www.tga.gov.au</w:t>
                    </w:r>
                  </w:hyperlink>
                </w:p>
              </w:tc>
            </w:tr>
          </w:tbl>
          <w:p w:rsidR="00A85CD4" w:rsidRDefault="00C131DD"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A85CD4" w:rsidTr="0010601F">
      <w:trPr>
        <w:trHeight w:val="108"/>
      </w:trPr>
      <w:tc>
        <w:tcPr>
          <w:tcW w:w="8875" w:type="dxa"/>
          <w:gridSpan w:val="2"/>
          <w:tcBorders>
            <w:bottom w:val="single" w:sz="4" w:space="0" w:color="auto"/>
          </w:tcBorders>
          <w:tcMar>
            <w:right w:w="284" w:type="dxa"/>
          </w:tcMar>
        </w:tcPr>
        <w:p w:rsidR="00A85CD4" w:rsidRDefault="00AC5AE1" w:rsidP="006E08B3">
          <w:pPr>
            <w:pStyle w:val="Heading3"/>
          </w:pPr>
          <w:r>
            <w:t>Copy</w:t>
          </w:r>
          <w:r w:rsidR="00A85CD4">
            <w:t>right</w:t>
          </w:r>
        </w:p>
        <w:p w:rsidR="00A85CD4" w:rsidRDefault="00A85CD4" w:rsidP="006E08B3">
          <w:r>
            <w:rPr>
              <w:rFonts w:cs="Arial"/>
            </w:rPr>
            <w:t>©</w:t>
          </w:r>
          <w:r>
            <w:t xml:space="preserve"> Commonwealth of Australia [add year]</w:t>
          </w:r>
        </w:p>
        <w:p w:rsidR="00A85CD4" w:rsidRDefault="00A85CD4" w:rsidP="006E08B3"/>
        <w:p w:rsidR="00A85CD4" w:rsidRDefault="00A85CD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85CD4" w:rsidRDefault="00A85CD4" w:rsidP="006E08B3"/>
        <w:p w:rsidR="00A85CD4" w:rsidRDefault="00A85CD4" w:rsidP="006E08B3">
          <w:pPr>
            <w:pStyle w:val="Heading3"/>
          </w:pPr>
          <w:r>
            <w:t>Confidentiality</w:t>
          </w:r>
        </w:p>
        <w:p w:rsidR="00A85CD4" w:rsidRDefault="00A85CD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85CD4" w:rsidRDefault="00A85CD4" w:rsidP="006E08B3"/>
        <w:p w:rsidR="00A85CD4" w:rsidRDefault="00A85CD4" w:rsidP="006E08B3">
          <w:r>
            <w:t>For submission made by individuals, all personal details, other than your name, will be removed from your submission before it is published on the TGA’s Internet site.</w:t>
          </w:r>
        </w:p>
        <w:p w:rsidR="00A85CD4" w:rsidRDefault="00A85CD4" w:rsidP="006E08B3"/>
        <w:p w:rsidR="00A85CD4" w:rsidRDefault="00A85CD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85CD4" w:rsidTr="0010601F">
      <w:trPr>
        <w:trHeight w:val="417"/>
      </w:trPr>
      <w:tc>
        <w:tcPr>
          <w:tcW w:w="4519" w:type="dxa"/>
          <w:tcBorders>
            <w:top w:val="single" w:sz="4" w:space="0" w:color="auto"/>
          </w:tcBorders>
          <w:tcMar>
            <w:top w:w="142" w:type="dxa"/>
            <w:bottom w:w="0" w:type="dxa"/>
          </w:tcMar>
        </w:tcPr>
        <w:p w:rsidR="00A85CD4" w:rsidRDefault="00A85CD4" w:rsidP="006E08B3">
          <w:r>
            <w:t>Document title, Part #, Section # - Section title</w:t>
          </w:r>
        </w:p>
        <w:p w:rsidR="00A85CD4" w:rsidRDefault="00A85CD4" w:rsidP="006E08B3">
          <w:r>
            <w:t>V1.0 October 2010</w:t>
          </w:r>
        </w:p>
      </w:tc>
      <w:tc>
        <w:tcPr>
          <w:tcW w:w="4356" w:type="dxa"/>
          <w:tcBorders>
            <w:top w:val="single" w:sz="4" w:space="0" w:color="auto"/>
          </w:tcBorders>
          <w:tcMar>
            <w:top w:w="142" w:type="dxa"/>
            <w:bottom w:w="0" w:type="dxa"/>
          </w:tcMar>
        </w:tcPr>
        <w:p w:rsidR="00A85CD4" w:rsidRDefault="00A85CD4" w:rsidP="006E08B3">
          <w:pPr>
            <w:jc w:val="right"/>
          </w:pPr>
          <w:r>
            <w:t xml:space="preserve">Page </w:t>
          </w:r>
          <w:fldSimple w:instr=" PAGE   \* MERGEFORMAT ">
            <w:r w:rsidR="00AC5AE1">
              <w:rPr>
                <w:noProof/>
              </w:rPr>
              <w:t>0</w:t>
            </w:r>
          </w:fldSimple>
          <w:r>
            <w:t xml:space="preserve"> of </w:t>
          </w:r>
          <w:fldSimple w:instr=" NUMPAGES  \* Arabic ">
            <w:r w:rsidR="00AC5AE1">
              <w:rPr>
                <w:noProof/>
              </w:rPr>
              <w:t>53</w:t>
            </w:r>
          </w:fldSimple>
          <w:r>
            <w:t xml:space="preserve">  </w:t>
          </w:r>
        </w:p>
      </w:tc>
    </w:tr>
  </w:tbl>
  <w:p w:rsidR="00A85CD4" w:rsidRDefault="00A85CD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CD4" w:rsidRDefault="00A85CD4" w:rsidP="00C40A36">
      <w:pPr>
        <w:spacing w:after="0"/>
      </w:pPr>
      <w:r>
        <w:separator/>
      </w:r>
    </w:p>
  </w:footnote>
  <w:footnote w:type="continuationSeparator" w:id="0">
    <w:p w:rsidR="00A85CD4" w:rsidRDefault="00A85CD4"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D4" w:rsidRDefault="00A85CD4"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D4" w:rsidRDefault="00A85CD4">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-1084939</wp:posOffset>
          </wp:positionH>
          <wp:positionV relativeFrom="paragraph">
            <wp:posOffset>-583896</wp:posOffset>
          </wp:positionV>
          <wp:extent cx="7574445" cy="10702455"/>
          <wp:effectExtent l="19050" t="0" r="7455"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4445" cy="10702455"/>
                  </a:xfrm>
                  <a:prstGeom prst="rect">
                    <a:avLst/>
                  </a:prstGeom>
                </pic:spPr>
              </pic:pic>
            </a:graphicData>
          </a:graphic>
        </wp:anchor>
      </w:drawing>
    </w:r>
  </w:p>
  <w:p w:rsidR="00A85CD4" w:rsidRDefault="00404D3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D4" w:rsidRDefault="00A85CD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D4" w:rsidRDefault="00A85CD4">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D4" w:rsidRDefault="00A85CD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D4" w:rsidRDefault="00A85CD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D4" w:rsidRDefault="00A85CD4"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CD4" w:rsidRDefault="00A85CD4" w:rsidP="006E08B3">
    <w:r>
      <w:t>Therapeutic Goods Administration</w:t>
    </w:r>
  </w:p>
  <w:p w:rsidR="00A85CD4" w:rsidRDefault="00A85CD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8CEE2B4"/>
    <w:lvl w:ilvl="0">
      <w:start w:val="1"/>
      <w:numFmt w:val="bullet"/>
      <w:lvlText w:val=""/>
      <w:lvlJc w:val="left"/>
      <w:pPr>
        <w:tabs>
          <w:tab w:val="num" w:pos="360"/>
        </w:tabs>
        <w:ind w:left="360" w:hanging="360"/>
      </w:pPr>
      <w:rPr>
        <w:rFonts w:ascii="Symbol" w:hAnsi="Symbol" w:hint="default"/>
      </w:rPr>
    </w:lvl>
  </w:abstractNum>
  <w:abstractNum w:abstractNumId="1">
    <w:nsid w:val="018903EE"/>
    <w:multiLevelType w:val="hybridMultilevel"/>
    <w:tmpl w:val="E6724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210FFE"/>
    <w:multiLevelType w:val="hybridMultilevel"/>
    <w:tmpl w:val="76621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21E4094"/>
    <w:multiLevelType w:val="hybridMultilevel"/>
    <w:tmpl w:val="66986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6B96756"/>
    <w:multiLevelType w:val="hybridMultilevel"/>
    <w:tmpl w:val="235C0900"/>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F29759D"/>
    <w:multiLevelType w:val="hybridMultilevel"/>
    <w:tmpl w:val="D6122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401E7372"/>
    <w:multiLevelType w:val="hybridMultilevel"/>
    <w:tmpl w:val="6A940C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46F327F7"/>
    <w:multiLevelType w:val="hybridMultilevel"/>
    <w:tmpl w:val="CE80A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8450C75"/>
    <w:multiLevelType w:val="hybridMultilevel"/>
    <w:tmpl w:val="3D9AAB36"/>
    <w:lvl w:ilvl="0" w:tplc="9EFCD41C">
      <w:start w:val="1"/>
      <w:numFmt w:val="bullet"/>
      <w:lvlText w:val=""/>
      <w:lvlJc w:val="left"/>
      <w:pPr>
        <w:ind w:left="360" w:hanging="360"/>
      </w:pPr>
      <w:rPr>
        <w:rFonts w:ascii="Symbol" w:hAnsi="Symbol" w:hint="default"/>
      </w:rPr>
    </w:lvl>
    <w:lvl w:ilvl="1" w:tplc="DCF072C0" w:tentative="1">
      <w:start w:val="1"/>
      <w:numFmt w:val="bullet"/>
      <w:lvlText w:val="o"/>
      <w:lvlJc w:val="left"/>
      <w:pPr>
        <w:ind w:left="1080" w:hanging="360"/>
      </w:pPr>
      <w:rPr>
        <w:rFonts w:ascii="Courier New" w:hAnsi="Courier New" w:cs="Courier New" w:hint="default"/>
      </w:rPr>
    </w:lvl>
    <w:lvl w:ilvl="2" w:tplc="BDD41816" w:tentative="1">
      <w:start w:val="1"/>
      <w:numFmt w:val="bullet"/>
      <w:lvlText w:val=""/>
      <w:lvlJc w:val="left"/>
      <w:pPr>
        <w:ind w:left="1800" w:hanging="360"/>
      </w:pPr>
      <w:rPr>
        <w:rFonts w:ascii="Wingdings" w:hAnsi="Wingdings" w:hint="default"/>
      </w:rPr>
    </w:lvl>
    <w:lvl w:ilvl="3" w:tplc="52B433C6" w:tentative="1">
      <w:start w:val="1"/>
      <w:numFmt w:val="bullet"/>
      <w:lvlText w:val=""/>
      <w:lvlJc w:val="left"/>
      <w:pPr>
        <w:ind w:left="2520" w:hanging="360"/>
      </w:pPr>
      <w:rPr>
        <w:rFonts w:ascii="Symbol" w:hAnsi="Symbol" w:hint="default"/>
      </w:rPr>
    </w:lvl>
    <w:lvl w:ilvl="4" w:tplc="AF560ACC" w:tentative="1">
      <w:start w:val="1"/>
      <w:numFmt w:val="bullet"/>
      <w:lvlText w:val="o"/>
      <w:lvlJc w:val="left"/>
      <w:pPr>
        <w:ind w:left="3240" w:hanging="360"/>
      </w:pPr>
      <w:rPr>
        <w:rFonts w:ascii="Courier New" w:hAnsi="Courier New" w:cs="Courier New" w:hint="default"/>
      </w:rPr>
    </w:lvl>
    <w:lvl w:ilvl="5" w:tplc="910AC8D6" w:tentative="1">
      <w:start w:val="1"/>
      <w:numFmt w:val="bullet"/>
      <w:lvlText w:val=""/>
      <w:lvlJc w:val="left"/>
      <w:pPr>
        <w:ind w:left="3960" w:hanging="360"/>
      </w:pPr>
      <w:rPr>
        <w:rFonts w:ascii="Wingdings" w:hAnsi="Wingdings" w:hint="default"/>
      </w:rPr>
    </w:lvl>
    <w:lvl w:ilvl="6" w:tplc="45B6A230" w:tentative="1">
      <w:start w:val="1"/>
      <w:numFmt w:val="bullet"/>
      <w:lvlText w:val=""/>
      <w:lvlJc w:val="left"/>
      <w:pPr>
        <w:ind w:left="4680" w:hanging="360"/>
      </w:pPr>
      <w:rPr>
        <w:rFonts w:ascii="Symbol" w:hAnsi="Symbol" w:hint="default"/>
      </w:rPr>
    </w:lvl>
    <w:lvl w:ilvl="7" w:tplc="B2D04E46" w:tentative="1">
      <w:start w:val="1"/>
      <w:numFmt w:val="bullet"/>
      <w:lvlText w:val="o"/>
      <w:lvlJc w:val="left"/>
      <w:pPr>
        <w:ind w:left="5400" w:hanging="360"/>
      </w:pPr>
      <w:rPr>
        <w:rFonts w:ascii="Courier New" w:hAnsi="Courier New" w:cs="Courier New" w:hint="default"/>
      </w:rPr>
    </w:lvl>
    <w:lvl w:ilvl="8" w:tplc="28DCC522" w:tentative="1">
      <w:start w:val="1"/>
      <w:numFmt w:val="bullet"/>
      <w:lvlText w:val=""/>
      <w:lvlJc w:val="left"/>
      <w:pPr>
        <w:ind w:left="6120" w:hanging="360"/>
      </w:pPr>
      <w:rPr>
        <w:rFonts w:ascii="Wingdings" w:hAnsi="Wingdings" w:hint="default"/>
      </w:rPr>
    </w:lvl>
  </w:abstractNum>
  <w:abstractNum w:abstractNumId="14">
    <w:nsid w:val="6470575A"/>
    <w:multiLevelType w:val="hybridMultilevel"/>
    <w:tmpl w:val="CF7A37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63F595D"/>
    <w:multiLevelType w:val="hybridMultilevel"/>
    <w:tmpl w:val="86B69502"/>
    <w:lvl w:ilvl="0" w:tplc="0C090001">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6D214E8B"/>
    <w:multiLevelType w:val="hybridMultilevel"/>
    <w:tmpl w:val="4426C4F8"/>
    <w:lvl w:ilvl="0" w:tplc="0310CC4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8">
    <w:nsid w:val="75AA4B8C"/>
    <w:multiLevelType w:val="hybridMultilevel"/>
    <w:tmpl w:val="F104B26A"/>
    <w:lvl w:ilvl="0" w:tplc="0C090001">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9">
    <w:nsid w:val="769174E9"/>
    <w:multiLevelType w:val="hybridMultilevel"/>
    <w:tmpl w:val="E044443A"/>
    <w:lvl w:ilvl="0" w:tplc="D910F5CC">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num w:numId="1">
    <w:abstractNumId w:val="6"/>
  </w:num>
  <w:num w:numId="2">
    <w:abstractNumId w:val="4"/>
  </w:num>
  <w:num w:numId="3">
    <w:abstractNumId w:val="6"/>
  </w:num>
  <w:num w:numId="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6"/>
  </w:num>
  <w:num w:numId="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3"/>
  </w:num>
  <w:num w:numId="8">
    <w:abstractNumId w:val="1"/>
  </w:num>
  <w:num w:numId="9">
    <w:abstractNumId w:val="12"/>
  </w:num>
  <w:num w:numId="10">
    <w:abstractNumId w:val="19"/>
  </w:num>
  <w:num w:numId="11">
    <w:abstractNumId w:val="7"/>
  </w:num>
  <w:num w:numId="12">
    <w:abstractNumId w:val="11"/>
  </w:num>
  <w:num w:numId="13">
    <w:abstractNumId w:val="18"/>
  </w:num>
  <w:num w:numId="14">
    <w:abstractNumId w:val="5"/>
  </w:num>
  <w:num w:numId="15">
    <w:abstractNumId w:val="2"/>
  </w:num>
  <w:num w:numId="16">
    <w:abstractNumId w:val="17"/>
  </w:num>
  <w:num w:numId="17">
    <w:abstractNumId w:val="9"/>
  </w:num>
  <w:num w:numId="18">
    <w:abstractNumId w:val="10"/>
  </w:num>
  <w:num w:numId="19">
    <w:abstractNumId w:val="3"/>
  </w:num>
  <w:num w:numId="20">
    <w:abstractNumId w:val="15"/>
  </w:num>
  <w:num w:numId="21">
    <w:abstractNumId w:val="14"/>
  </w:num>
  <w:num w:numId="22">
    <w:abstractNumId w:val="8"/>
  </w:num>
  <w:num w:numId="2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69634">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15A50"/>
    <w:rsid w:val="000246AE"/>
    <w:rsid w:val="00025C67"/>
    <w:rsid w:val="00032DD9"/>
    <w:rsid w:val="00033AEF"/>
    <w:rsid w:val="000366AE"/>
    <w:rsid w:val="00040ACB"/>
    <w:rsid w:val="0005559E"/>
    <w:rsid w:val="00067226"/>
    <w:rsid w:val="00070787"/>
    <w:rsid w:val="00077775"/>
    <w:rsid w:val="00090471"/>
    <w:rsid w:val="000921EA"/>
    <w:rsid w:val="000A3AED"/>
    <w:rsid w:val="000A63AF"/>
    <w:rsid w:val="000B3532"/>
    <w:rsid w:val="000B3A75"/>
    <w:rsid w:val="000C2D3D"/>
    <w:rsid w:val="000C690F"/>
    <w:rsid w:val="000C74C7"/>
    <w:rsid w:val="000D1295"/>
    <w:rsid w:val="000D2EF1"/>
    <w:rsid w:val="000D391B"/>
    <w:rsid w:val="000D3D6D"/>
    <w:rsid w:val="000D4FC7"/>
    <w:rsid w:val="000D5093"/>
    <w:rsid w:val="000E6BD4"/>
    <w:rsid w:val="000F02F9"/>
    <w:rsid w:val="000F3F83"/>
    <w:rsid w:val="000F4869"/>
    <w:rsid w:val="000F5B42"/>
    <w:rsid w:val="000F6E6F"/>
    <w:rsid w:val="00101CF7"/>
    <w:rsid w:val="001035D5"/>
    <w:rsid w:val="00104613"/>
    <w:rsid w:val="0010601F"/>
    <w:rsid w:val="0010788A"/>
    <w:rsid w:val="00107A31"/>
    <w:rsid w:val="00110EA5"/>
    <w:rsid w:val="00112F56"/>
    <w:rsid w:val="00125318"/>
    <w:rsid w:val="001305A2"/>
    <w:rsid w:val="00133238"/>
    <w:rsid w:val="0014197B"/>
    <w:rsid w:val="001447CD"/>
    <w:rsid w:val="001470D5"/>
    <w:rsid w:val="001516B1"/>
    <w:rsid w:val="00154EBB"/>
    <w:rsid w:val="00156316"/>
    <w:rsid w:val="00165389"/>
    <w:rsid w:val="0017078F"/>
    <w:rsid w:val="00172168"/>
    <w:rsid w:val="0017693F"/>
    <w:rsid w:val="0018110E"/>
    <w:rsid w:val="00181684"/>
    <w:rsid w:val="00183A2D"/>
    <w:rsid w:val="001843C6"/>
    <w:rsid w:val="001850E0"/>
    <w:rsid w:val="001950A9"/>
    <w:rsid w:val="001A2158"/>
    <w:rsid w:val="001A525F"/>
    <w:rsid w:val="001B09F9"/>
    <w:rsid w:val="001B6448"/>
    <w:rsid w:val="001B66A7"/>
    <w:rsid w:val="001C2A59"/>
    <w:rsid w:val="001D0019"/>
    <w:rsid w:val="001D315B"/>
    <w:rsid w:val="001E07CF"/>
    <w:rsid w:val="001E59F1"/>
    <w:rsid w:val="001E63FD"/>
    <w:rsid w:val="001F49EB"/>
    <w:rsid w:val="001F6059"/>
    <w:rsid w:val="001F6CBA"/>
    <w:rsid w:val="00201D4E"/>
    <w:rsid w:val="002076C9"/>
    <w:rsid w:val="00215887"/>
    <w:rsid w:val="00220B8A"/>
    <w:rsid w:val="002257F3"/>
    <w:rsid w:val="0023045D"/>
    <w:rsid w:val="0023147D"/>
    <w:rsid w:val="00233456"/>
    <w:rsid w:val="002339A5"/>
    <w:rsid w:val="00257848"/>
    <w:rsid w:val="002666AC"/>
    <w:rsid w:val="0027084A"/>
    <w:rsid w:val="00274A82"/>
    <w:rsid w:val="00286434"/>
    <w:rsid w:val="00286C59"/>
    <w:rsid w:val="00292113"/>
    <w:rsid w:val="002942D1"/>
    <w:rsid w:val="0029501A"/>
    <w:rsid w:val="002B1638"/>
    <w:rsid w:val="002C63ED"/>
    <w:rsid w:val="002D545C"/>
    <w:rsid w:val="002D6161"/>
    <w:rsid w:val="002E4C9A"/>
    <w:rsid w:val="002F11F8"/>
    <w:rsid w:val="002F3F56"/>
    <w:rsid w:val="002F44B5"/>
    <w:rsid w:val="002F638E"/>
    <w:rsid w:val="00311AC0"/>
    <w:rsid w:val="003124BF"/>
    <w:rsid w:val="0032583B"/>
    <w:rsid w:val="00325D2F"/>
    <w:rsid w:val="00327883"/>
    <w:rsid w:val="00335504"/>
    <w:rsid w:val="00347200"/>
    <w:rsid w:val="003521E8"/>
    <w:rsid w:val="00352A81"/>
    <w:rsid w:val="00353B6A"/>
    <w:rsid w:val="003728F3"/>
    <w:rsid w:val="0037496E"/>
    <w:rsid w:val="0037623D"/>
    <w:rsid w:val="0038314A"/>
    <w:rsid w:val="0038505A"/>
    <w:rsid w:val="00386150"/>
    <w:rsid w:val="003874CE"/>
    <w:rsid w:val="00390900"/>
    <w:rsid w:val="00396819"/>
    <w:rsid w:val="00396C92"/>
    <w:rsid w:val="00396F90"/>
    <w:rsid w:val="003A7F6C"/>
    <w:rsid w:val="003B1113"/>
    <w:rsid w:val="003B49D2"/>
    <w:rsid w:val="003B4D60"/>
    <w:rsid w:val="003B634F"/>
    <w:rsid w:val="003B7E39"/>
    <w:rsid w:val="003C58DC"/>
    <w:rsid w:val="003D0A3B"/>
    <w:rsid w:val="003D1E62"/>
    <w:rsid w:val="003E2486"/>
    <w:rsid w:val="003E3208"/>
    <w:rsid w:val="003E45AD"/>
    <w:rsid w:val="003E799E"/>
    <w:rsid w:val="003F0B04"/>
    <w:rsid w:val="00400286"/>
    <w:rsid w:val="0040134E"/>
    <w:rsid w:val="00404D33"/>
    <w:rsid w:val="00415D59"/>
    <w:rsid w:val="00430D48"/>
    <w:rsid w:val="0043797D"/>
    <w:rsid w:val="00440A2D"/>
    <w:rsid w:val="004564A7"/>
    <w:rsid w:val="004617BF"/>
    <w:rsid w:val="00463658"/>
    <w:rsid w:val="0047012E"/>
    <w:rsid w:val="004722CC"/>
    <w:rsid w:val="004936E4"/>
    <w:rsid w:val="00494E60"/>
    <w:rsid w:val="00497487"/>
    <w:rsid w:val="004A7E13"/>
    <w:rsid w:val="004B7B76"/>
    <w:rsid w:val="004C2DCA"/>
    <w:rsid w:val="004C69F4"/>
    <w:rsid w:val="004F0F38"/>
    <w:rsid w:val="004F4AF5"/>
    <w:rsid w:val="00501921"/>
    <w:rsid w:val="00507E26"/>
    <w:rsid w:val="00530354"/>
    <w:rsid w:val="0053625B"/>
    <w:rsid w:val="005434C6"/>
    <w:rsid w:val="00543B39"/>
    <w:rsid w:val="00550096"/>
    <w:rsid w:val="00557FF9"/>
    <w:rsid w:val="00576378"/>
    <w:rsid w:val="00577945"/>
    <w:rsid w:val="00577C84"/>
    <w:rsid w:val="00577E38"/>
    <w:rsid w:val="00585322"/>
    <w:rsid w:val="005857C6"/>
    <w:rsid w:val="00586F98"/>
    <w:rsid w:val="00592F6E"/>
    <w:rsid w:val="00593896"/>
    <w:rsid w:val="00593AD1"/>
    <w:rsid w:val="005A68B6"/>
    <w:rsid w:val="005A71AE"/>
    <w:rsid w:val="005C4530"/>
    <w:rsid w:val="005C5570"/>
    <w:rsid w:val="005C79A4"/>
    <w:rsid w:val="005D5442"/>
    <w:rsid w:val="00603F32"/>
    <w:rsid w:val="006134D7"/>
    <w:rsid w:val="00620406"/>
    <w:rsid w:val="006239E0"/>
    <w:rsid w:val="0062775D"/>
    <w:rsid w:val="00627E40"/>
    <w:rsid w:val="00632398"/>
    <w:rsid w:val="00640FC3"/>
    <w:rsid w:val="00642020"/>
    <w:rsid w:val="00646206"/>
    <w:rsid w:val="0065337B"/>
    <w:rsid w:val="0065419D"/>
    <w:rsid w:val="006604D8"/>
    <w:rsid w:val="00664A5B"/>
    <w:rsid w:val="0067239A"/>
    <w:rsid w:val="00672423"/>
    <w:rsid w:val="0067605D"/>
    <w:rsid w:val="006763D2"/>
    <w:rsid w:val="00680C08"/>
    <w:rsid w:val="006931B1"/>
    <w:rsid w:val="00694AB7"/>
    <w:rsid w:val="006A15C0"/>
    <w:rsid w:val="006C130C"/>
    <w:rsid w:val="006C3E2A"/>
    <w:rsid w:val="006C642F"/>
    <w:rsid w:val="006D03E5"/>
    <w:rsid w:val="006D2705"/>
    <w:rsid w:val="006D5D3E"/>
    <w:rsid w:val="006E08B3"/>
    <w:rsid w:val="006F17AC"/>
    <w:rsid w:val="006F1D37"/>
    <w:rsid w:val="006F2796"/>
    <w:rsid w:val="006F572E"/>
    <w:rsid w:val="006F6E2C"/>
    <w:rsid w:val="007046D6"/>
    <w:rsid w:val="00705DB0"/>
    <w:rsid w:val="00722B57"/>
    <w:rsid w:val="0074253D"/>
    <w:rsid w:val="0074429B"/>
    <w:rsid w:val="007513B4"/>
    <w:rsid w:val="007615BC"/>
    <w:rsid w:val="00762F05"/>
    <w:rsid w:val="007652FF"/>
    <w:rsid w:val="00770EF1"/>
    <w:rsid w:val="00772315"/>
    <w:rsid w:val="00773EF7"/>
    <w:rsid w:val="00774800"/>
    <w:rsid w:val="00774E1D"/>
    <w:rsid w:val="0077675A"/>
    <w:rsid w:val="00780355"/>
    <w:rsid w:val="00785721"/>
    <w:rsid w:val="00790815"/>
    <w:rsid w:val="00793A59"/>
    <w:rsid w:val="007B6E9F"/>
    <w:rsid w:val="007C1216"/>
    <w:rsid w:val="007C1AF7"/>
    <w:rsid w:val="007E0421"/>
    <w:rsid w:val="007E6E27"/>
    <w:rsid w:val="00805D27"/>
    <w:rsid w:val="008064B0"/>
    <w:rsid w:val="0081401B"/>
    <w:rsid w:val="00821776"/>
    <w:rsid w:val="008321F5"/>
    <w:rsid w:val="00832369"/>
    <w:rsid w:val="00834660"/>
    <w:rsid w:val="00836BC2"/>
    <w:rsid w:val="008414A0"/>
    <w:rsid w:val="00842698"/>
    <w:rsid w:val="00842AC6"/>
    <w:rsid w:val="008513C5"/>
    <w:rsid w:val="0085641B"/>
    <w:rsid w:val="00857136"/>
    <w:rsid w:val="008756EA"/>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0E3B"/>
    <w:rsid w:val="008D770F"/>
    <w:rsid w:val="008E7096"/>
    <w:rsid w:val="008E7846"/>
    <w:rsid w:val="008F1CCC"/>
    <w:rsid w:val="008F2967"/>
    <w:rsid w:val="008F6943"/>
    <w:rsid w:val="00902A21"/>
    <w:rsid w:val="009054BA"/>
    <w:rsid w:val="00912C89"/>
    <w:rsid w:val="00920330"/>
    <w:rsid w:val="009219D7"/>
    <w:rsid w:val="00922D53"/>
    <w:rsid w:val="00923B70"/>
    <w:rsid w:val="00924482"/>
    <w:rsid w:val="00930237"/>
    <w:rsid w:val="00933659"/>
    <w:rsid w:val="00946EA5"/>
    <w:rsid w:val="0095160F"/>
    <w:rsid w:val="00963C08"/>
    <w:rsid w:val="00972FFE"/>
    <w:rsid w:val="00974C67"/>
    <w:rsid w:val="0098585A"/>
    <w:rsid w:val="0098669D"/>
    <w:rsid w:val="009877B8"/>
    <w:rsid w:val="009879E5"/>
    <w:rsid w:val="009A4CED"/>
    <w:rsid w:val="009A58D7"/>
    <w:rsid w:val="009A690D"/>
    <w:rsid w:val="009B1D12"/>
    <w:rsid w:val="009B416B"/>
    <w:rsid w:val="009C15B2"/>
    <w:rsid w:val="009C293E"/>
    <w:rsid w:val="009C4BD5"/>
    <w:rsid w:val="009D5817"/>
    <w:rsid w:val="009D7B77"/>
    <w:rsid w:val="009E0BB0"/>
    <w:rsid w:val="009E3FBB"/>
    <w:rsid w:val="00A102B4"/>
    <w:rsid w:val="00A102E4"/>
    <w:rsid w:val="00A12C42"/>
    <w:rsid w:val="00A14DF7"/>
    <w:rsid w:val="00A16293"/>
    <w:rsid w:val="00A235D9"/>
    <w:rsid w:val="00A3246D"/>
    <w:rsid w:val="00A32B75"/>
    <w:rsid w:val="00A36FA7"/>
    <w:rsid w:val="00A45F4C"/>
    <w:rsid w:val="00A475B7"/>
    <w:rsid w:val="00A47AF7"/>
    <w:rsid w:val="00A47C3E"/>
    <w:rsid w:val="00A50226"/>
    <w:rsid w:val="00A60BAD"/>
    <w:rsid w:val="00A61226"/>
    <w:rsid w:val="00A746CA"/>
    <w:rsid w:val="00A85CD4"/>
    <w:rsid w:val="00A876F4"/>
    <w:rsid w:val="00A964D1"/>
    <w:rsid w:val="00AA0ED0"/>
    <w:rsid w:val="00AA3499"/>
    <w:rsid w:val="00AA4BDE"/>
    <w:rsid w:val="00AC2B40"/>
    <w:rsid w:val="00AC2BB2"/>
    <w:rsid w:val="00AC2C3C"/>
    <w:rsid w:val="00AC512D"/>
    <w:rsid w:val="00AC5AE1"/>
    <w:rsid w:val="00AD7FC5"/>
    <w:rsid w:val="00AE01C2"/>
    <w:rsid w:val="00AE523A"/>
    <w:rsid w:val="00AE65EB"/>
    <w:rsid w:val="00AE67A7"/>
    <w:rsid w:val="00AF1D94"/>
    <w:rsid w:val="00AF60C5"/>
    <w:rsid w:val="00B009C6"/>
    <w:rsid w:val="00B01548"/>
    <w:rsid w:val="00B01CCF"/>
    <w:rsid w:val="00B02208"/>
    <w:rsid w:val="00B1425E"/>
    <w:rsid w:val="00B21D29"/>
    <w:rsid w:val="00B25034"/>
    <w:rsid w:val="00B33588"/>
    <w:rsid w:val="00B33863"/>
    <w:rsid w:val="00B3469C"/>
    <w:rsid w:val="00B37D17"/>
    <w:rsid w:val="00B4175E"/>
    <w:rsid w:val="00B452CE"/>
    <w:rsid w:val="00B5425A"/>
    <w:rsid w:val="00B54C25"/>
    <w:rsid w:val="00B7059A"/>
    <w:rsid w:val="00B76B91"/>
    <w:rsid w:val="00B77EB1"/>
    <w:rsid w:val="00B811C6"/>
    <w:rsid w:val="00B85A87"/>
    <w:rsid w:val="00B92E08"/>
    <w:rsid w:val="00B95C8C"/>
    <w:rsid w:val="00B96EBE"/>
    <w:rsid w:val="00BC622A"/>
    <w:rsid w:val="00BD45E3"/>
    <w:rsid w:val="00BE0A78"/>
    <w:rsid w:val="00BE26CD"/>
    <w:rsid w:val="00BE6252"/>
    <w:rsid w:val="00BE79F0"/>
    <w:rsid w:val="00BF046D"/>
    <w:rsid w:val="00BF1190"/>
    <w:rsid w:val="00BF5D04"/>
    <w:rsid w:val="00C03B31"/>
    <w:rsid w:val="00C1164D"/>
    <w:rsid w:val="00C131DD"/>
    <w:rsid w:val="00C16861"/>
    <w:rsid w:val="00C22678"/>
    <w:rsid w:val="00C404A6"/>
    <w:rsid w:val="00C40A36"/>
    <w:rsid w:val="00C44419"/>
    <w:rsid w:val="00C45E7B"/>
    <w:rsid w:val="00C471B1"/>
    <w:rsid w:val="00C618F7"/>
    <w:rsid w:val="00C6316B"/>
    <w:rsid w:val="00C634A9"/>
    <w:rsid w:val="00C64586"/>
    <w:rsid w:val="00C707A9"/>
    <w:rsid w:val="00C70D53"/>
    <w:rsid w:val="00C73D0B"/>
    <w:rsid w:val="00C772FF"/>
    <w:rsid w:val="00C801AF"/>
    <w:rsid w:val="00C80256"/>
    <w:rsid w:val="00C811C0"/>
    <w:rsid w:val="00C93552"/>
    <w:rsid w:val="00C9758D"/>
    <w:rsid w:val="00CA23DE"/>
    <w:rsid w:val="00CB01DB"/>
    <w:rsid w:val="00CB6BC0"/>
    <w:rsid w:val="00CC1B7C"/>
    <w:rsid w:val="00CC727F"/>
    <w:rsid w:val="00CD176C"/>
    <w:rsid w:val="00CE2212"/>
    <w:rsid w:val="00CF15C3"/>
    <w:rsid w:val="00CF2B6F"/>
    <w:rsid w:val="00CF4EF5"/>
    <w:rsid w:val="00CF58B6"/>
    <w:rsid w:val="00D017ED"/>
    <w:rsid w:val="00D0272A"/>
    <w:rsid w:val="00D040D3"/>
    <w:rsid w:val="00D04C65"/>
    <w:rsid w:val="00D15BAE"/>
    <w:rsid w:val="00D224FE"/>
    <w:rsid w:val="00D41C86"/>
    <w:rsid w:val="00D53A31"/>
    <w:rsid w:val="00D60535"/>
    <w:rsid w:val="00D6493E"/>
    <w:rsid w:val="00D7301E"/>
    <w:rsid w:val="00D833F4"/>
    <w:rsid w:val="00D83AE1"/>
    <w:rsid w:val="00D855D4"/>
    <w:rsid w:val="00D93466"/>
    <w:rsid w:val="00D978E1"/>
    <w:rsid w:val="00DA1124"/>
    <w:rsid w:val="00DA2938"/>
    <w:rsid w:val="00DB75B7"/>
    <w:rsid w:val="00DC6E02"/>
    <w:rsid w:val="00DE02AE"/>
    <w:rsid w:val="00DE500D"/>
    <w:rsid w:val="00DF1D7F"/>
    <w:rsid w:val="00DF4BE4"/>
    <w:rsid w:val="00DF70A1"/>
    <w:rsid w:val="00E02FB4"/>
    <w:rsid w:val="00E07F15"/>
    <w:rsid w:val="00E20571"/>
    <w:rsid w:val="00E235F7"/>
    <w:rsid w:val="00E23659"/>
    <w:rsid w:val="00E239D4"/>
    <w:rsid w:val="00E26130"/>
    <w:rsid w:val="00E2741C"/>
    <w:rsid w:val="00E40B22"/>
    <w:rsid w:val="00E45619"/>
    <w:rsid w:val="00E4588F"/>
    <w:rsid w:val="00E46DA3"/>
    <w:rsid w:val="00E51BB1"/>
    <w:rsid w:val="00E572D4"/>
    <w:rsid w:val="00E624A5"/>
    <w:rsid w:val="00E67AAA"/>
    <w:rsid w:val="00E707B4"/>
    <w:rsid w:val="00E7159B"/>
    <w:rsid w:val="00E7344E"/>
    <w:rsid w:val="00E936E3"/>
    <w:rsid w:val="00EB0798"/>
    <w:rsid w:val="00EB40AD"/>
    <w:rsid w:val="00EB586E"/>
    <w:rsid w:val="00EB5FC8"/>
    <w:rsid w:val="00ED3CAD"/>
    <w:rsid w:val="00ED5A41"/>
    <w:rsid w:val="00EE1DE8"/>
    <w:rsid w:val="00EE275D"/>
    <w:rsid w:val="00F02803"/>
    <w:rsid w:val="00F033EC"/>
    <w:rsid w:val="00F04F68"/>
    <w:rsid w:val="00F12670"/>
    <w:rsid w:val="00F14B27"/>
    <w:rsid w:val="00F16395"/>
    <w:rsid w:val="00F3148D"/>
    <w:rsid w:val="00F325C5"/>
    <w:rsid w:val="00F32FE0"/>
    <w:rsid w:val="00F35298"/>
    <w:rsid w:val="00F441F2"/>
    <w:rsid w:val="00F47333"/>
    <w:rsid w:val="00F47E37"/>
    <w:rsid w:val="00F53C07"/>
    <w:rsid w:val="00F54B65"/>
    <w:rsid w:val="00F640B6"/>
    <w:rsid w:val="00F80E40"/>
    <w:rsid w:val="00F848D9"/>
    <w:rsid w:val="00FA0669"/>
    <w:rsid w:val="00FA5B82"/>
    <w:rsid w:val="00FA639E"/>
    <w:rsid w:val="00FB743C"/>
    <w:rsid w:val="00FC25E4"/>
    <w:rsid w:val="00FC4EF7"/>
    <w:rsid w:val="00FE1DEE"/>
    <w:rsid w:val="00FE6D3A"/>
    <w:rsid w:val="00FE6DA7"/>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6963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FA0669"/>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FA0669"/>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rsid w:val="00FA0669"/>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FA0669"/>
    <w:rPr>
      <w:rFonts w:ascii="Arial" w:eastAsia="Times New Roman" w:hAnsi="Arial" w:cs="Arial"/>
      <w:kern w:val="16"/>
      <w:u w:val="single"/>
      <w:lang w:eastAsia="en-AU"/>
    </w:rPr>
  </w:style>
  <w:style w:type="paragraph" w:customStyle="1" w:styleId="Bullet1">
    <w:name w:val="Bullet 1"/>
    <w:basedOn w:val="Normal"/>
    <w:rsid w:val="00FA0669"/>
    <w:pPr>
      <w:numPr>
        <w:numId w:val="17"/>
      </w:numPr>
      <w:spacing w:after="0" w:line="240" w:lineRule="auto"/>
    </w:pPr>
    <w:rPr>
      <w:rFonts w:eastAsia="Times New Roman"/>
      <w:kern w:val="24"/>
      <w:szCs w:val="24"/>
      <w:lang w:eastAsia="en-AU"/>
    </w:rPr>
  </w:style>
  <w:style w:type="paragraph" w:customStyle="1" w:styleId="Bullet2">
    <w:name w:val="Bullet 2"/>
    <w:basedOn w:val="Bullet1"/>
    <w:rsid w:val="00FA0669"/>
    <w:pPr>
      <w:numPr>
        <w:numId w:val="18"/>
      </w:numPr>
      <w:tabs>
        <w:tab w:val="clear" w:pos="567"/>
        <w:tab w:val="num" w:pos="284"/>
      </w:tabs>
      <w:ind w:left="284" w:hanging="284"/>
    </w:pPr>
  </w:style>
  <w:style w:type="paragraph" w:customStyle="1" w:styleId="Heading0inTOC">
    <w:name w:val="Heading 0 (in TOC)"/>
    <w:basedOn w:val="Heading1"/>
    <w:next w:val="Normal"/>
    <w:rsid w:val="00FA0669"/>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FA0669"/>
    <w:rPr>
      <w:sz w:val="20"/>
    </w:rPr>
  </w:style>
  <w:style w:type="paragraph" w:customStyle="1" w:styleId="TableBullet">
    <w:name w:val="Table Bullet"/>
    <w:basedOn w:val="Normal"/>
    <w:rsid w:val="00FA0669"/>
    <w:pPr>
      <w:numPr>
        <w:numId w:val="1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FA0669"/>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A0669"/>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A0669"/>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A0669"/>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A0669"/>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A0669"/>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FA06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FA0669"/>
    <w:rPr>
      <w:rFonts w:ascii="Cambria" w:eastAsia="Times New Roman" w:hAnsi="Cambria" w:cs="Times New Roman"/>
      <w:kern w:val="16"/>
      <w:sz w:val="20"/>
      <w:szCs w:val="20"/>
      <w:lang w:eastAsia="en-AU"/>
    </w:rPr>
  </w:style>
  <w:style w:type="character" w:styleId="EndnoteReference">
    <w:name w:val="endnote reference"/>
    <w:semiHidden/>
    <w:rsid w:val="00FA0669"/>
    <w:rPr>
      <w:dstrike w:val="0"/>
      <w:vertAlign w:val="baseline"/>
    </w:rPr>
  </w:style>
  <w:style w:type="paragraph" w:styleId="FootnoteText">
    <w:name w:val="footnote text"/>
    <w:basedOn w:val="Normal"/>
    <w:link w:val="FootnoteTextChar"/>
    <w:semiHidden/>
    <w:rsid w:val="00FA06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FA0669"/>
    <w:rPr>
      <w:rFonts w:ascii="Cambria" w:eastAsia="Times New Roman" w:hAnsi="Cambria" w:cs="Times New Roman"/>
      <w:kern w:val="16"/>
      <w:sz w:val="20"/>
      <w:szCs w:val="20"/>
      <w:lang w:eastAsia="en-AU"/>
    </w:rPr>
  </w:style>
  <w:style w:type="character" w:styleId="FootnoteReference">
    <w:name w:val="footnote reference"/>
    <w:semiHidden/>
    <w:rsid w:val="00FA0669"/>
    <w:rPr>
      <w:vertAlign w:val="superscript"/>
    </w:rPr>
  </w:style>
  <w:style w:type="paragraph" w:customStyle="1" w:styleId="Abbreviations">
    <w:name w:val="Abbreviations"/>
    <w:basedOn w:val="Normal"/>
    <w:rsid w:val="00FA066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A0669"/>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FA066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A066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FA0669"/>
    <w:pPr>
      <w:numPr>
        <w:numId w:val="19"/>
      </w:numPr>
      <w:tabs>
        <w:tab w:val="clear" w:pos="1134"/>
      </w:tabs>
      <w:spacing w:before="120"/>
      <w:ind w:left="1418" w:hanging="284"/>
    </w:pPr>
  </w:style>
  <w:style w:type="paragraph" w:customStyle="1" w:styleId="Instructions1">
    <w:name w:val="Instructions 1"/>
    <w:basedOn w:val="Normal"/>
    <w:qFormat/>
    <w:rsid w:val="00FA066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A0669"/>
    <w:pPr>
      <w:numPr>
        <w:numId w:val="2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FA0669"/>
    <w:rPr>
      <w:sz w:val="16"/>
      <w:szCs w:val="16"/>
    </w:rPr>
  </w:style>
  <w:style w:type="paragraph" w:styleId="CommentText">
    <w:name w:val="annotation text"/>
    <w:basedOn w:val="Normal"/>
    <w:link w:val="CommentTextChar"/>
    <w:uiPriority w:val="99"/>
    <w:rsid w:val="00FA066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uiPriority w:val="99"/>
    <w:rsid w:val="00FA0669"/>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FA0669"/>
    <w:rPr>
      <w:b/>
      <w:bCs/>
    </w:rPr>
  </w:style>
  <w:style w:type="character" w:customStyle="1" w:styleId="CommentSubjectChar">
    <w:name w:val="Comment Subject Char"/>
    <w:basedOn w:val="CommentTextChar"/>
    <w:link w:val="CommentSubject"/>
    <w:rsid w:val="00FA0669"/>
    <w:rPr>
      <w:b/>
      <w:bCs/>
    </w:rPr>
  </w:style>
  <w:style w:type="paragraph" w:customStyle="1" w:styleId="Contentslist1">
    <w:name w:val="Contents list 1"/>
    <w:basedOn w:val="Normal"/>
    <w:qFormat/>
    <w:rsid w:val="00FA0669"/>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A0669"/>
    <w:pPr>
      <w:spacing w:before="0" w:after="0"/>
    </w:pPr>
    <w:rPr>
      <w:b w:val="0"/>
    </w:rPr>
  </w:style>
  <w:style w:type="paragraph" w:customStyle="1" w:styleId="Style58">
    <w:name w:val="Style58"/>
    <w:rsid w:val="00FA0669"/>
    <w:pPr>
      <w:spacing w:after="0" w:line="240" w:lineRule="auto"/>
    </w:pPr>
    <w:rPr>
      <w:rFonts w:ascii="Arial" w:eastAsia="Times New Roman" w:hAnsi="Arial" w:cs="Times New Roman"/>
      <w:snapToGrid w:val="0"/>
      <w:sz w:val="24"/>
      <w:szCs w:val="20"/>
    </w:rPr>
  </w:style>
  <w:style w:type="paragraph" w:customStyle="1" w:styleId="DepartmentalNormal">
    <w:name w:val="Departmental Normal"/>
    <w:basedOn w:val="Normal"/>
    <w:next w:val="Normal"/>
    <w:rsid w:val="00FA0669"/>
    <w:pPr>
      <w:spacing w:before="0" w:after="0" w:line="240" w:lineRule="auto"/>
    </w:pPr>
    <w:rPr>
      <w:rFonts w:ascii="Arial" w:eastAsia="Times New Roman" w:hAnsi="Arial"/>
      <w:snapToGrid w:val="0"/>
      <w:sz w:val="24"/>
      <w:szCs w:val="20"/>
    </w:rPr>
  </w:style>
  <w:style w:type="character" w:customStyle="1" w:styleId="eutitle">
    <w:name w:val="eutitle"/>
    <w:basedOn w:val="DefaultParagraphFont"/>
    <w:rsid w:val="00FA0669"/>
  </w:style>
  <w:style w:type="paragraph" w:customStyle="1" w:styleId="Default">
    <w:name w:val="Default"/>
    <w:rsid w:val="00FA0669"/>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ListParagraph">
    <w:name w:val="List Paragraph"/>
    <w:basedOn w:val="Normal"/>
    <w:qFormat/>
    <w:rsid w:val="00FA0669"/>
    <w:pPr>
      <w:spacing w:before="0" w:after="200" w:line="276" w:lineRule="auto"/>
      <w:ind w:left="720"/>
      <w:contextualSpacing/>
    </w:pPr>
    <w:rPr>
      <w:rFonts w:ascii="Calibri" w:eastAsia="Calibri" w:hAnsi="Calibri"/>
    </w:rPr>
  </w:style>
  <w:style w:type="paragraph" w:customStyle="1" w:styleId="Coverpagetitle1stline22ptBoldCentered">
    <w:name w:val="Cover page title 1st line 22 pt Bold Centered"/>
    <w:basedOn w:val="Normal"/>
    <w:semiHidden/>
    <w:locked/>
    <w:rsid w:val="00FA0669"/>
    <w:pPr>
      <w:spacing w:before="0" w:after="0" w:line="240" w:lineRule="auto"/>
      <w:jc w:val="center"/>
    </w:pPr>
    <w:rPr>
      <w:rFonts w:ascii="Arial" w:eastAsia="Times New Roman" w:hAnsi="Arial"/>
      <w:b/>
      <w:bCs/>
      <w:sz w:val="44"/>
      <w:szCs w:val="44"/>
      <w:lang w:eastAsia="en-AU"/>
    </w:rPr>
  </w:style>
  <w:style w:type="paragraph" w:customStyle="1" w:styleId="Coverpagetitle2ndline18ptBoldCentered">
    <w:name w:val="Cover page title 2nd line 18 pt Bold Centered"/>
    <w:basedOn w:val="Normal"/>
    <w:semiHidden/>
    <w:locked/>
    <w:rsid w:val="00FA0669"/>
    <w:pPr>
      <w:spacing w:before="0" w:after="0" w:line="240" w:lineRule="auto"/>
      <w:jc w:val="center"/>
    </w:pPr>
    <w:rPr>
      <w:rFonts w:ascii="Arial" w:eastAsia="Times New Roman" w:hAnsi="Arial"/>
      <w:b/>
      <w:bCs/>
      <w:sz w:val="36"/>
      <w:szCs w:val="36"/>
      <w:lang w:eastAsia="en-AU"/>
    </w:rPr>
  </w:style>
  <w:style w:type="paragraph" w:customStyle="1" w:styleId="Title1">
    <w:name w:val="Title 1"/>
    <w:rsid w:val="00FA0669"/>
    <w:pPr>
      <w:keepNext/>
      <w:spacing w:after="0" w:line="240" w:lineRule="auto"/>
      <w:ind w:left="851" w:hanging="851"/>
    </w:pPr>
    <w:rPr>
      <w:rFonts w:ascii="Times New Roman Bold" w:eastAsia="Times New Roman" w:hAnsi="Times New Roman Bold" w:cs="Times New Roman"/>
      <w:b/>
      <w:caps/>
      <w:sz w:val="32"/>
      <w:szCs w:val="20"/>
      <w:lang w:val="en-GB"/>
    </w:rPr>
  </w:style>
  <w:style w:type="table" w:styleId="TableGrid1">
    <w:name w:val="Table Grid 1"/>
    <w:basedOn w:val="TableNormal"/>
    <w:rsid w:val="00FA0669"/>
    <w:pPr>
      <w:spacing w:after="0" w:line="240" w:lineRule="auto"/>
    </w:pPr>
    <w:rPr>
      <w:rFonts w:ascii="Times New Roman" w:eastAsia="Times New Roman" w:hAnsi="Times New Roman"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earchurl">
    <w:name w:val="searchurl"/>
    <w:basedOn w:val="DefaultParagraphFont"/>
    <w:rsid w:val="00FA0669"/>
  </w:style>
  <w:style w:type="paragraph" w:customStyle="1" w:styleId="title10">
    <w:name w:val="title1"/>
    <w:basedOn w:val="Normal"/>
    <w:rsid w:val="00FA0669"/>
    <w:pPr>
      <w:spacing w:before="0" w:after="0" w:line="240" w:lineRule="auto"/>
    </w:pPr>
    <w:rPr>
      <w:rFonts w:ascii="Times New Roman" w:eastAsia="Times New Roman" w:hAnsi="Times New Roman"/>
      <w:sz w:val="29"/>
      <w:szCs w:val="29"/>
      <w:lang w:eastAsia="en-AU"/>
    </w:rPr>
  </w:style>
  <w:style w:type="paragraph" w:customStyle="1" w:styleId="desc2">
    <w:name w:val="desc2"/>
    <w:basedOn w:val="Normal"/>
    <w:rsid w:val="00FA0669"/>
    <w:pPr>
      <w:spacing w:before="100" w:beforeAutospacing="1" w:after="100" w:afterAutospacing="1" w:line="240" w:lineRule="auto"/>
    </w:pPr>
    <w:rPr>
      <w:rFonts w:ascii="Times New Roman" w:eastAsia="Times New Roman" w:hAnsi="Times New Roman"/>
      <w:sz w:val="28"/>
      <w:szCs w:val="28"/>
      <w:lang w:eastAsia="en-AU"/>
    </w:rPr>
  </w:style>
  <w:style w:type="paragraph" w:customStyle="1" w:styleId="details1">
    <w:name w:val="details1"/>
    <w:basedOn w:val="Normal"/>
    <w:rsid w:val="00FA066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jrnl">
    <w:name w:val="jrnl"/>
    <w:basedOn w:val="DefaultParagraphFont"/>
    <w:rsid w:val="00FA0669"/>
  </w:style>
  <w:style w:type="paragraph" w:styleId="NormalWeb">
    <w:name w:val="Normal (Web)"/>
    <w:basedOn w:val="Normal"/>
    <w:uiPriority w:val="99"/>
    <w:unhideWhenUsed/>
    <w:rsid w:val="00FA0669"/>
    <w:pPr>
      <w:spacing w:before="100" w:beforeAutospacing="1" w:after="100" w:afterAutospacing="1" w:line="240" w:lineRule="auto"/>
    </w:pPr>
    <w:rPr>
      <w:rFonts w:ascii="Times New Roman" w:eastAsia="Times New Roman" w:hAnsi="Times New Roman"/>
      <w:sz w:val="24"/>
      <w:szCs w:val="24"/>
      <w:lang w:eastAsia="en-AU"/>
    </w:rPr>
  </w:style>
  <w:style w:type="paragraph" w:styleId="DocumentMap">
    <w:name w:val="Document Map"/>
    <w:basedOn w:val="Normal"/>
    <w:link w:val="DocumentMapChar"/>
    <w:uiPriority w:val="99"/>
    <w:semiHidden/>
    <w:unhideWhenUsed/>
    <w:rsid w:val="00FB743C"/>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743C"/>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687858">
      <w:bodyDiv w:val="1"/>
      <w:marLeft w:val="0"/>
      <w:marRight w:val="0"/>
      <w:marTop w:val="0"/>
      <w:marBottom w:val="0"/>
      <w:divBdr>
        <w:top w:val="none" w:sz="0" w:space="0" w:color="auto"/>
        <w:left w:val="none" w:sz="0" w:space="0" w:color="auto"/>
        <w:bottom w:val="none" w:sz="0" w:space="0" w:color="auto"/>
        <w:right w:val="none" w:sz="0" w:space="0" w:color="auto"/>
      </w:divBdr>
    </w:div>
    <w:div w:id="862016135">
      <w:bodyDiv w:val="1"/>
      <w:marLeft w:val="0"/>
      <w:marRight w:val="0"/>
      <w:marTop w:val="0"/>
      <w:marBottom w:val="0"/>
      <w:divBdr>
        <w:top w:val="none" w:sz="0" w:space="0" w:color="auto"/>
        <w:left w:val="none" w:sz="0" w:space="0" w:color="auto"/>
        <w:bottom w:val="none" w:sz="0" w:space="0" w:color="auto"/>
        <w:right w:val="none" w:sz="0" w:space="0" w:color="auto"/>
      </w:divBdr>
    </w:div>
    <w:div w:id="865599913">
      <w:bodyDiv w:val="1"/>
      <w:marLeft w:val="0"/>
      <w:marRight w:val="0"/>
      <w:marTop w:val="0"/>
      <w:marBottom w:val="0"/>
      <w:divBdr>
        <w:top w:val="none" w:sz="0" w:space="0" w:color="auto"/>
        <w:left w:val="none" w:sz="0" w:space="0" w:color="auto"/>
        <w:bottom w:val="none" w:sz="0" w:space="0" w:color="auto"/>
        <w:right w:val="none" w:sz="0" w:space="0" w:color="auto"/>
      </w:divBdr>
    </w:div>
    <w:div w:id="1012024177">
      <w:bodyDiv w:val="1"/>
      <w:marLeft w:val="0"/>
      <w:marRight w:val="0"/>
      <w:marTop w:val="0"/>
      <w:marBottom w:val="0"/>
      <w:divBdr>
        <w:top w:val="none" w:sz="0" w:space="0" w:color="auto"/>
        <w:left w:val="none" w:sz="0" w:space="0" w:color="auto"/>
        <w:bottom w:val="none" w:sz="0" w:space="0" w:color="auto"/>
        <w:right w:val="none" w:sz="0" w:space="0" w:color="auto"/>
      </w:divBdr>
    </w:div>
    <w:div w:id="1463116270">
      <w:bodyDiv w:val="1"/>
      <w:marLeft w:val="0"/>
      <w:marRight w:val="0"/>
      <w:marTop w:val="0"/>
      <w:marBottom w:val="0"/>
      <w:divBdr>
        <w:top w:val="none" w:sz="0" w:space="0" w:color="auto"/>
        <w:left w:val="none" w:sz="0" w:space="0" w:color="auto"/>
        <w:bottom w:val="none" w:sz="0" w:space="0" w:color="auto"/>
        <w:right w:val="none" w:sz="0" w:space="0" w:color="auto"/>
      </w:divBdr>
    </w:div>
    <w:div w:id="1931742008">
      <w:bodyDiv w:val="1"/>
      <w:marLeft w:val="0"/>
      <w:marRight w:val="0"/>
      <w:marTop w:val="0"/>
      <w:marBottom w:val="0"/>
      <w:divBdr>
        <w:top w:val="none" w:sz="0" w:space="0" w:color="auto"/>
        <w:left w:val="none" w:sz="0" w:space="0" w:color="auto"/>
        <w:bottom w:val="none" w:sz="0" w:space="0" w:color="auto"/>
        <w:right w:val="none" w:sz="0" w:space="0" w:color="auto"/>
      </w:divBdr>
    </w:div>
    <w:div w:id="213983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8.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4372A-C113-452D-8F25-F55A20135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53</Pages>
  <Words>14485</Words>
  <Characters>82566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96858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Meningococcal (groups A, C, W-135, Y) polysaccharide tetanus toxoid conjugate vaccine</dc:title>
  <dc:subject>prescription medicine regulation</dc:subject>
  <dc:creator>Therapeutic Goods Administration</dc:creator>
  <cp:keywords>clinical, evaluation, report, medicine, assessment, regulation, australia, meningococcal, group a, group c, group w-135, group y, polysaccharide, tetanus, toxoid, conjugate, vaccine, nimenrix, glaxosmithkline</cp:keywords>
  <cp:lastModifiedBy>dixonj</cp:lastModifiedBy>
  <cp:revision>80</cp:revision>
  <cp:lastPrinted>2010-12-20T22:59:00Z</cp:lastPrinted>
  <dcterms:created xsi:type="dcterms:W3CDTF">2013-11-13T22:18:00Z</dcterms:created>
  <dcterms:modified xsi:type="dcterms:W3CDTF">2013-12-17T22:58:00Z</dcterms:modified>
</cp:coreProperties>
</file>