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082FBF" w14:paraId="5E1D0BD6" w14:textId="77777777" w:rsidTr="00BF1190">
        <w:trPr>
          <w:trHeight w:val="1863"/>
        </w:trPr>
        <w:tc>
          <w:tcPr>
            <w:tcW w:w="3652" w:type="dxa"/>
            <w:tcBorders>
              <w:top w:val="nil"/>
              <w:left w:val="nil"/>
              <w:bottom w:val="nil"/>
              <w:right w:val="nil"/>
            </w:tcBorders>
          </w:tcPr>
          <w:p w14:paraId="570E63F1" w14:textId="348DC0E1" w:rsidR="008E7846" w:rsidRPr="00082FBF" w:rsidRDefault="009639AA" w:rsidP="00776587">
            <w:pPr>
              <w:rPr>
                <w:rFonts w:ascii="Arial" w:hAnsi="Arial" w:cs="Arial"/>
                <w:b/>
                <w:color w:val="002C47"/>
                <w:sz w:val="36"/>
                <w:szCs w:val="36"/>
              </w:rPr>
            </w:pPr>
            <w:bookmarkStart w:id="0" w:name="_GoBack"/>
            <w:bookmarkEnd w:id="0"/>
            <w:r>
              <w:rPr>
                <w:rFonts w:ascii="Arial" w:hAnsi="Arial" w:cs="Arial"/>
                <w:b/>
                <w:color w:val="002C47"/>
                <w:sz w:val="36"/>
                <w:szCs w:val="36"/>
              </w:rPr>
              <w:t>March</w:t>
            </w:r>
            <w:r w:rsidRPr="00082FBF">
              <w:rPr>
                <w:rFonts w:ascii="Arial" w:hAnsi="Arial" w:cs="Arial"/>
                <w:b/>
                <w:color w:val="002C47"/>
                <w:sz w:val="36"/>
                <w:szCs w:val="36"/>
              </w:rPr>
              <w:t xml:space="preserve"> </w:t>
            </w:r>
            <w:r w:rsidR="00776587" w:rsidRPr="00082FBF">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082FBF" w14:paraId="31401C6C" w14:textId="77777777" w:rsidTr="0032583B">
        <w:trPr>
          <w:trHeight w:val="868"/>
        </w:trPr>
        <w:tc>
          <w:tcPr>
            <w:tcW w:w="9079" w:type="dxa"/>
          </w:tcPr>
          <w:p w14:paraId="1B5BF12D" w14:textId="564EA662" w:rsidR="005F4D35" w:rsidRPr="005F4D35" w:rsidRDefault="0032583B" w:rsidP="005F4D35">
            <w:pPr>
              <w:pStyle w:val="Title"/>
              <w:rPr>
                <w:color w:val="FFFFFF" w:themeColor="background1"/>
              </w:rPr>
            </w:pPr>
            <w:r w:rsidRPr="00082FBF">
              <w:rPr>
                <w:color w:val="FFFFFF" w:themeColor="background1"/>
              </w:rPr>
              <w:t xml:space="preserve">Australian Public Assessment Report for </w:t>
            </w:r>
            <w:r w:rsidR="00223B4D" w:rsidRPr="00223B4D">
              <w:rPr>
                <w:color w:val="FFFFFF" w:themeColor="background1"/>
              </w:rPr>
              <w:t xml:space="preserve">Meningococcal (Groups A, C, Y, W) </w:t>
            </w:r>
            <w:r w:rsidR="005F4D35" w:rsidRPr="00223B4D">
              <w:rPr>
                <w:color w:val="FFFFFF" w:themeColor="background1"/>
              </w:rPr>
              <w:t>Polysaccharide Tetanus Toxoid Conjugate Vaccine</w:t>
            </w:r>
          </w:p>
        </w:tc>
      </w:tr>
      <w:tr w:rsidR="0032583B" w:rsidRPr="00082FBF" w14:paraId="2547CA5B" w14:textId="77777777" w:rsidTr="0032583B">
        <w:tc>
          <w:tcPr>
            <w:tcW w:w="9079" w:type="dxa"/>
          </w:tcPr>
          <w:p w14:paraId="038F233F" w14:textId="5E44CF3B" w:rsidR="0032583B" w:rsidRPr="00082FBF" w:rsidRDefault="0032583B" w:rsidP="00460036">
            <w:pPr>
              <w:pStyle w:val="Subtitle"/>
              <w:rPr>
                <w:color w:val="FFFFFF" w:themeColor="background1"/>
              </w:rPr>
            </w:pPr>
            <w:r w:rsidRPr="00082FBF">
              <w:rPr>
                <w:color w:val="FFFFFF" w:themeColor="background1"/>
              </w:rPr>
              <w:t xml:space="preserve">Proprietary Product Name: </w:t>
            </w:r>
            <w:r w:rsidR="00776587" w:rsidRPr="00082FBF">
              <w:rPr>
                <w:color w:val="FFFFFF" w:themeColor="background1"/>
              </w:rPr>
              <w:t>MenQuadfi</w:t>
            </w:r>
          </w:p>
        </w:tc>
      </w:tr>
      <w:tr w:rsidR="0032583B" w:rsidRPr="00082FBF" w14:paraId="5B268CB6" w14:textId="77777777" w:rsidTr="0032583B">
        <w:trPr>
          <w:trHeight w:val="486"/>
        </w:trPr>
        <w:tc>
          <w:tcPr>
            <w:tcW w:w="9079" w:type="dxa"/>
          </w:tcPr>
          <w:p w14:paraId="4E2ACDD0" w14:textId="77777777" w:rsidR="0032583B" w:rsidRPr="00082FBF" w:rsidRDefault="00460036" w:rsidP="0032583B">
            <w:pPr>
              <w:pStyle w:val="Subtitle"/>
              <w:rPr>
                <w:color w:val="FFFFFF" w:themeColor="background1"/>
              </w:rPr>
            </w:pPr>
            <w:r w:rsidRPr="00082FBF">
              <w:rPr>
                <w:color w:val="FFFFFF" w:themeColor="background1"/>
              </w:rPr>
              <w:t xml:space="preserve">Sponsor: </w:t>
            </w:r>
            <w:r w:rsidR="00776587" w:rsidRPr="00082FBF">
              <w:rPr>
                <w:color w:val="FFFFFF" w:themeColor="background1"/>
              </w:rPr>
              <w:t>Sanofi-Aventis Australia Pty Ltd</w:t>
            </w:r>
          </w:p>
        </w:tc>
      </w:tr>
    </w:tbl>
    <w:p w14:paraId="70F10E63" w14:textId="77777777" w:rsidR="008E7846" w:rsidRPr="00082FBF" w:rsidRDefault="008E7846" w:rsidP="0085156D">
      <w:r w:rsidRPr="00082FBF">
        <w:br w:type="page"/>
      </w:r>
    </w:p>
    <w:p w14:paraId="6AC1D7DC" w14:textId="77777777" w:rsidR="008E7846" w:rsidRPr="00082FBF" w:rsidRDefault="008E7846" w:rsidP="008E7846">
      <w:pPr>
        <w:pStyle w:val="NonTOCHeading2"/>
      </w:pPr>
      <w:r w:rsidRPr="00082FBF">
        <w:lastRenderedPageBreak/>
        <w:t>About the Therapeutic Goods Administration (TGA)</w:t>
      </w:r>
    </w:p>
    <w:p w14:paraId="29830258" w14:textId="77777777" w:rsidR="008E7846" w:rsidRPr="00082FBF" w:rsidRDefault="008E7846" w:rsidP="008E7846">
      <w:pPr>
        <w:pStyle w:val="ListBullet"/>
        <w:numPr>
          <w:ilvl w:val="0"/>
          <w:numId w:val="3"/>
        </w:numPr>
        <w:ind w:left="357" w:hanging="357"/>
      </w:pPr>
      <w:r w:rsidRPr="00082FBF">
        <w:t xml:space="preserve">The Therapeutic Goods Administration (TGA) is </w:t>
      </w:r>
      <w:r w:rsidR="00E624A5" w:rsidRPr="00082FBF">
        <w:t xml:space="preserve">part </w:t>
      </w:r>
      <w:r w:rsidRPr="00082FBF">
        <w:t>of the Australian Government Department of Health and is responsible for regulating medicines and medical devices.</w:t>
      </w:r>
    </w:p>
    <w:p w14:paraId="21FDA145" w14:textId="77777777" w:rsidR="008E7846" w:rsidRPr="00082FBF" w:rsidRDefault="00C80137" w:rsidP="008E7846">
      <w:pPr>
        <w:pStyle w:val="ListBullet"/>
        <w:numPr>
          <w:ilvl w:val="0"/>
          <w:numId w:val="3"/>
        </w:numPr>
        <w:ind w:left="357" w:hanging="357"/>
      </w:pPr>
      <w:r w:rsidRPr="00082FBF">
        <w:t xml:space="preserve">The </w:t>
      </w:r>
      <w:r w:rsidR="008E7846" w:rsidRPr="00082FBF">
        <w:t xml:space="preserve">TGA administers the </w:t>
      </w:r>
      <w:r w:rsidR="008E7846" w:rsidRPr="00082FBF">
        <w:rPr>
          <w:i/>
        </w:rPr>
        <w:t>Therapeutic Goods Act 1989</w:t>
      </w:r>
      <w:r w:rsidR="00785717" w:rsidRPr="00082FBF">
        <w:rPr>
          <w:i/>
        </w:rPr>
        <w:t xml:space="preserve"> </w:t>
      </w:r>
      <w:r w:rsidR="00785717" w:rsidRPr="00082FBF">
        <w:t>(the Act)</w:t>
      </w:r>
      <w:r w:rsidR="008E7846" w:rsidRPr="00082FBF">
        <w:t>, applying a risk management approach designed to ensure therapeutic goods supplied in Australia meet acceptable standards of quality, safety and efficacy (performance) when necessary.</w:t>
      </w:r>
    </w:p>
    <w:p w14:paraId="1A20897E" w14:textId="77777777" w:rsidR="008E7846" w:rsidRPr="00082FBF" w:rsidRDefault="008E7846" w:rsidP="008E7846">
      <w:pPr>
        <w:pStyle w:val="ListBullet"/>
        <w:numPr>
          <w:ilvl w:val="0"/>
          <w:numId w:val="3"/>
        </w:numPr>
        <w:ind w:left="357" w:hanging="357"/>
      </w:pPr>
      <w:r w:rsidRPr="00082FBF">
        <w:t>The work of the TGA is based on applying scientific and clinical expertise to decision-making, to ensure that the benefits to consumers outweigh any risks associated with the use of medicines and medical devices.</w:t>
      </w:r>
    </w:p>
    <w:p w14:paraId="6D476DCE" w14:textId="77777777" w:rsidR="008E7846" w:rsidRPr="00082FBF" w:rsidRDefault="008E7846" w:rsidP="008E7846">
      <w:pPr>
        <w:pStyle w:val="ListBullet"/>
        <w:numPr>
          <w:ilvl w:val="0"/>
          <w:numId w:val="3"/>
        </w:numPr>
        <w:ind w:left="357" w:hanging="357"/>
      </w:pPr>
      <w:r w:rsidRPr="00082FBF">
        <w:t>The TGA relies on the public, healthcare professionals and industry to report problems with medicines or medical devices. TGA investigates reports received by it to determine any necessary regulatory action.</w:t>
      </w:r>
    </w:p>
    <w:p w14:paraId="684C592A" w14:textId="716B6516" w:rsidR="00441C3F" w:rsidRPr="00082FBF" w:rsidRDefault="008E7846" w:rsidP="00441C3F">
      <w:pPr>
        <w:pStyle w:val="ListBullet"/>
        <w:numPr>
          <w:ilvl w:val="0"/>
          <w:numId w:val="3"/>
        </w:numPr>
        <w:ind w:left="357" w:hanging="357"/>
      </w:pPr>
      <w:r w:rsidRPr="00082FBF">
        <w:t xml:space="preserve">To report a problem with a medicine or medical device, please see the information on </w:t>
      </w:r>
      <w:r w:rsidR="00441C3F" w:rsidRPr="00082FBF">
        <w:t>the TGA website &lt;</w:t>
      </w:r>
      <w:hyperlink r:id="rId8" w:history="1">
        <w:r w:rsidR="00441C3F" w:rsidRPr="00082FBF">
          <w:rPr>
            <w:rStyle w:val="Hyperlink"/>
          </w:rPr>
          <w:t>https://www.tga.gov.au</w:t>
        </w:r>
      </w:hyperlink>
      <w:r w:rsidR="00441C3F" w:rsidRPr="00082FBF">
        <w:t>&gt;.</w:t>
      </w:r>
    </w:p>
    <w:p w14:paraId="54059EA9" w14:textId="77777777" w:rsidR="008E7846" w:rsidRPr="00082FBF" w:rsidRDefault="008E7846" w:rsidP="00875A6B">
      <w:pPr>
        <w:pStyle w:val="NonTOCHeading2"/>
      </w:pPr>
      <w:r w:rsidRPr="00082FBF">
        <w:t>About AusPARs</w:t>
      </w:r>
    </w:p>
    <w:p w14:paraId="76A4A3A4" w14:textId="77777777" w:rsidR="008E7846" w:rsidRPr="00082FBF" w:rsidRDefault="008E7846" w:rsidP="008E7846">
      <w:pPr>
        <w:pStyle w:val="ListBullet"/>
        <w:numPr>
          <w:ilvl w:val="0"/>
          <w:numId w:val="3"/>
        </w:numPr>
        <w:ind w:left="357" w:hanging="357"/>
      </w:pPr>
      <w:r w:rsidRPr="00082FBF">
        <w:t>An Australian Public Assessment Re</w:t>
      </w:r>
      <w:r w:rsidR="00133A1B" w:rsidRPr="00082FBF">
        <w:t>port</w:t>
      </w:r>
      <w:r w:rsidRPr="00082FBF">
        <w:t xml:space="preserve"> (AusPAR) provides information about the evaluation of a prescription medicine and the considerations that led the TGA to approve or not approve a pr</w:t>
      </w:r>
      <w:r w:rsidR="00441C3F" w:rsidRPr="00082FBF">
        <w:t>escription medicine submission.</w:t>
      </w:r>
    </w:p>
    <w:p w14:paraId="2526BA26" w14:textId="77777777" w:rsidR="008E7846" w:rsidRPr="00082FBF" w:rsidRDefault="008E7846" w:rsidP="008E7846">
      <w:pPr>
        <w:pStyle w:val="ListBullet"/>
        <w:numPr>
          <w:ilvl w:val="0"/>
          <w:numId w:val="3"/>
        </w:numPr>
        <w:ind w:left="357" w:hanging="357"/>
      </w:pPr>
      <w:r w:rsidRPr="00082FBF">
        <w:t>AusPARs are prepared and published by the TGA.</w:t>
      </w:r>
    </w:p>
    <w:p w14:paraId="59C0091D" w14:textId="77777777" w:rsidR="008E7846" w:rsidRPr="00082FBF" w:rsidRDefault="008E7846" w:rsidP="008E7846">
      <w:pPr>
        <w:pStyle w:val="ListBullet"/>
        <w:numPr>
          <w:ilvl w:val="0"/>
          <w:numId w:val="3"/>
        </w:numPr>
        <w:ind w:left="357" w:hanging="357"/>
      </w:pPr>
      <w:r w:rsidRPr="00082FBF">
        <w:t>An AusPAR is prepared for submissions that relate to new chemical entities, generic medicines, major variations and extensions of indications.</w:t>
      </w:r>
    </w:p>
    <w:p w14:paraId="372A780D" w14:textId="77777777" w:rsidR="008E7846" w:rsidRPr="00082FBF" w:rsidRDefault="008E7846" w:rsidP="008E7846">
      <w:pPr>
        <w:pStyle w:val="ListBullet"/>
        <w:numPr>
          <w:ilvl w:val="0"/>
          <w:numId w:val="3"/>
        </w:numPr>
        <w:ind w:left="357" w:hanging="357"/>
      </w:pPr>
      <w:r w:rsidRPr="00082FBF">
        <w:t>An AusPAR is a static document</w:t>
      </w:r>
      <w:r w:rsidR="00133A1B" w:rsidRPr="00082FBF">
        <w:t>;</w:t>
      </w:r>
      <w:r w:rsidRPr="00082FBF">
        <w:t xml:space="preserve"> it provide</w:t>
      </w:r>
      <w:r w:rsidR="00133A1B" w:rsidRPr="00082FBF">
        <w:t>s</w:t>
      </w:r>
      <w:r w:rsidRPr="00082FBF">
        <w:t xml:space="preserve"> information that relates to a submission at a particular point in time.</w:t>
      </w:r>
    </w:p>
    <w:p w14:paraId="734C4E61" w14:textId="77777777" w:rsidR="00B452CE" w:rsidRPr="00082FBF" w:rsidRDefault="008E7846" w:rsidP="00FF5755">
      <w:pPr>
        <w:pStyle w:val="ListBullet"/>
        <w:numPr>
          <w:ilvl w:val="0"/>
          <w:numId w:val="3"/>
        </w:numPr>
        <w:ind w:left="357" w:hanging="357"/>
      </w:pPr>
      <w:r w:rsidRPr="00082FBF">
        <w:t>A new AusPAR will be developed to reflect changes to indications and/or major variations to a prescription medicine subject to evaluation by the TGA.</w:t>
      </w:r>
    </w:p>
    <w:p w14:paraId="5167E044" w14:textId="77777777" w:rsidR="00924482" w:rsidRPr="00082FBF" w:rsidRDefault="00924482" w:rsidP="00F54B65">
      <w:pPr>
        <w:pStyle w:val="LegalSubheading"/>
        <w:spacing w:before="3120"/>
      </w:pPr>
      <w:r w:rsidRPr="00082FBF">
        <w:t>Copyright</w:t>
      </w:r>
    </w:p>
    <w:p w14:paraId="19136274" w14:textId="4011FDF2" w:rsidR="00924482" w:rsidRPr="00082FBF" w:rsidRDefault="00924482" w:rsidP="00924482">
      <w:pPr>
        <w:pStyle w:val="LegalCopy"/>
      </w:pPr>
      <w:r w:rsidRPr="00082FBF">
        <w:rPr>
          <w:rFonts w:cs="Arial"/>
          <w:lang w:val="en-GB"/>
        </w:rPr>
        <w:t>© Commonwealth of Australia 20</w:t>
      </w:r>
      <w:r w:rsidR="00460036" w:rsidRPr="00082FBF">
        <w:rPr>
          <w:rFonts w:cs="Arial"/>
          <w:lang w:val="en-GB"/>
        </w:rPr>
        <w:t>2</w:t>
      </w:r>
      <w:r w:rsidR="00324E45" w:rsidRPr="00082FBF">
        <w:rPr>
          <w:rFonts w:cs="Arial"/>
          <w:lang w:val="en-GB"/>
        </w:rPr>
        <w:t>1</w:t>
      </w:r>
      <w:r w:rsidRPr="00082FBF">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082FBF">
        <w:rPr>
          <w:rFonts w:cs="Arial"/>
          <w:i/>
          <w:lang w:val="en-GB"/>
        </w:rPr>
        <w:t>Copyright Act 1968</w:t>
      </w:r>
      <w:r w:rsidRPr="00082FBF">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082FBF">
          <w:rPr>
            <w:rStyle w:val="Hyperlink"/>
            <w:rFonts w:cs="Arial"/>
            <w:lang w:val="en-GB"/>
          </w:rPr>
          <w:t>tga.copyright@tga.gov.au</w:t>
        </w:r>
      </w:hyperlink>
      <w:r w:rsidRPr="00082FBF">
        <w:rPr>
          <w:rFonts w:cs="Arial"/>
        </w:rPr>
        <w:t>&gt;.</w:t>
      </w:r>
    </w:p>
    <w:p w14:paraId="17B4B623" w14:textId="77777777" w:rsidR="00924482" w:rsidRPr="00082FBF" w:rsidRDefault="00924482" w:rsidP="00924482">
      <w:pPr>
        <w:pStyle w:val="LegalCopy"/>
        <w:sectPr w:rsidR="00924482" w:rsidRPr="00082FBF"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ABC26D3" w14:textId="77777777" w:rsidR="0089635C" w:rsidRPr="00082FBF" w:rsidRDefault="0089635C" w:rsidP="0010788A">
          <w:pPr>
            <w:pStyle w:val="Contents"/>
          </w:pPr>
          <w:r w:rsidRPr="00082FBF">
            <w:t>Contents</w:t>
          </w:r>
        </w:p>
        <w:p w14:paraId="6980E4B8" w14:textId="7FE0FEF7" w:rsidR="008D3CC5" w:rsidRDefault="00C525A2">
          <w:pPr>
            <w:pStyle w:val="TOC1"/>
            <w:rPr>
              <w:rFonts w:asciiTheme="minorHAnsi" w:eastAsiaTheme="minorEastAsia" w:hAnsiTheme="minorHAnsi" w:cstheme="minorBidi"/>
              <w:b w:val="0"/>
              <w:noProof/>
              <w:sz w:val="22"/>
              <w:lang w:eastAsia="en-AU"/>
            </w:rPr>
          </w:pPr>
          <w:r w:rsidRPr="00082FBF">
            <w:fldChar w:fldCharType="begin"/>
          </w:r>
          <w:r w:rsidRPr="00082FBF">
            <w:instrText xml:space="preserve"> TOC \h \z \t "Heading 2,1,Heading 3,2" </w:instrText>
          </w:r>
          <w:r w:rsidRPr="00082FBF">
            <w:fldChar w:fldCharType="separate"/>
          </w:r>
          <w:hyperlink w:anchor="_Toc67390273" w:history="1">
            <w:r w:rsidR="008D3CC5" w:rsidRPr="005719FE">
              <w:rPr>
                <w:rStyle w:val="Hyperlink"/>
                <w:noProof/>
              </w:rPr>
              <w:t>List of abbreviations</w:t>
            </w:r>
            <w:r w:rsidR="008D3CC5">
              <w:rPr>
                <w:noProof/>
                <w:webHidden/>
              </w:rPr>
              <w:tab/>
            </w:r>
            <w:r w:rsidR="008D3CC5">
              <w:rPr>
                <w:noProof/>
                <w:webHidden/>
              </w:rPr>
              <w:fldChar w:fldCharType="begin"/>
            </w:r>
            <w:r w:rsidR="008D3CC5">
              <w:rPr>
                <w:noProof/>
                <w:webHidden/>
              </w:rPr>
              <w:instrText xml:space="preserve"> PAGEREF _Toc67390273 \h </w:instrText>
            </w:r>
            <w:r w:rsidR="008D3CC5">
              <w:rPr>
                <w:noProof/>
                <w:webHidden/>
              </w:rPr>
            </w:r>
            <w:r w:rsidR="008D3CC5">
              <w:rPr>
                <w:noProof/>
                <w:webHidden/>
              </w:rPr>
              <w:fldChar w:fldCharType="separate"/>
            </w:r>
            <w:r w:rsidR="008D3CC5">
              <w:rPr>
                <w:noProof/>
                <w:webHidden/>
              </w:rPr>
              <w:t>4</w:t>
            </w:r>
            <w:r w:rsidR="008D3CC5">
              <w:rPr>
                <w:noProof/>
                <w:webHidden/>
              </w:rPr>
              <w:fldChar w:fldCharType="end"/>
            </w:r>
          </w:hyperlink>
        </w:p>
        <w:p w14:paraId="10D3531E" w14:textId="2FFBB693" w:rsidR="008D3CC5" w:rsidRDefault="005778CE">
          <w:pPr>
            <w:pStyle w:val="TOC1"/>
            <w:rPr>
              <w:rFonts w:asciiTheme="minorHAnsi" w:eastAsiaTheme="minorEastAsia" w:hAnsiTheme="minorHAnsi" w:cstheme="minorBidi"/>
              <w:b w:val="0"/>
              <w:noProof/>
              <w:sz w:val="22"/>
              <w:lang w:eastAsia="en-AU"/>
            </w:rPr>
          </w:pPr>
          <w:hyperlink w:anchor="_Toc67390274" w:history="1">
            <w:r w:rsidR="008D3CC5" w:rsidRPr="005719FE">
              <w:rPr>
                <w:rStyle w:val="Hyperlink"/>
                <w:noProof/>
              </w:rPr>
              <w:t>I. Introduction to product submission</w:t>
            </w:r>
            <w:r w:rsidR="008D3CC5">
              <w:rPr>
                <w:noProof/>
                <w:webHidden/>
              </w:rPr>
              <w:tab/>
            </w:r>
            <w:r w:rsidR="008D3CC5">
              <w:rPr>
                <w:noProof/>
                <w:webHidden/>
              </w:rPr>
              <w:fldChar w:fldCharType="begin"/>
            </w:r>
            <w:r w:rsidR="008D3CC5">
              <w:rPr>
                <w:noProof/>
                <w:webHidden/>
              </w:rPr>
              <w:instrText xml:space="preserve"> PAGEREF _Toc67390274 \h </w:instrText>
            </w:r>
            <w:r w:rsidR="008D3CC5">
              <w:rPr>
                <w:noProof/>
                <w:webHidden/>
              </w:rPr>
            </w:r>
            <w:r w:rsidR="008D3CC5">
              <w:rPr>
                <w:noProof/>
                <w:webHidden/>
              </w:rPr>
              <w:fldChar w:fldCharType="separate"/>
            </w:r>
            <w:r w:rsidR="008D3CC5">
              <w:rPr>
                <w:noProof/>
                <w:webHidden/>
              </w:rPr>
              <w:t>6</w:t>
            </w:r>
            <w:r w:rsidR="008D3CC5">
              <w:rPr>
                <w:noProof/>
                <w:webHidden/>
              </w:rPr>
              <w:fldChar w:fldCharType="end"/>
            </w:r>
          </w:hyperlink>
        </w:p>
        <w:p w14:paraId="16286B6F" w14:textId="1505A656" w:rsidR="008D3CC5" w:rsidRDefault="005778CE">
          <w:pPr>
            <w:pStyle w:val="TOC2"/>
            <w:rPr>
              <w:rFonts w:asciiTheme="minorHAnsi" w:eastAsiaTheme="minorEastAsia" w:hAnsiTheme="minorHAnsi" w:cstheme="minorBidi"/>
              <w:b w:val="0"/>
              <w:noProof/>
              <w:sz w:val="22"/>
              <w:lang w:eastAsia="en-AU"/>
            </w:rPr>
          </w:pPr>
          <w:hyperlink w:anchor="_Toc67390275" w:history="1">
            <w:r w:rsidR="008D3CC5" w:rsidRPr="005719FE">
              <w:rPr>
                <w:rStyle w:val="Hyperlink"/>
                <w:noProof/>
                <w:lang w:eastAsia="en-AU"/>
              </w:rPr>
              <w:t>Submission details</w:t>
            </w:r>
            <w:r w:rsidR="008D3CC5">
              <w:rPr>
                <w:noProof/>
                <w:webHidden/>
              </w:rPr>
              <w:tab/>
            </w:r>
            <w:r w:rsidR="008D3CC5">
              <w:rPr>
                <w:noProof/>
                <w:webHidden/>
              </w:rPr>
              <w:fldChar w:fldCharType="begin"/>
            </w:r>
            <w:r w:rsidR="008D3CC5">
              <w:rPr>
                <w:noProof/>
                <w:webHidden/>
              </w:rPr>
              <w:instrText xml:space="preserve"> PAGEREF _Toc67390275 \h </w:instrText>
            </w:r>
            <w:r w:rsidR="008D3CC5">
              <w:rPr>
                <w:noProof/>
                <w:webHidden/>
              </w:rPr>
            </w:r>
            <w:r w:rsidR="008D3CC5">
              <w:rPr>
                <w:noProof/>
                <w:webHidden/>
              </w:rPr>
              <w:fldChar w:fldCharType="separate"/>
            </w:r>
            <w:r w:rsidR="008D3CC5">
              <w:rPr>
                <w:noProof/>
                <w:webHidden/>
              </w:rPr>
              <w:t>6</w:t>
            </w:r>
            <w:r w:rsidR="008D3CC5">
              <w:rPr>
                <w:noProof/>
                <w:webHidden/>
              </w:rPr>
              <w:fldChar w:fldCharType="end"/>
            </w:r>
          </w:hyperlink>
        </w:p>
        <w:p w14:paraId="27AE4A62" w14:textId="146742C3" w:rsidR="008D3CC5" w:rsidRDefault="005778CE">
          <w:pPr>
            <w:pStyle w:val="TOC2"/>
            <w:rPr>
              <w:rFonts w:asciiTheme="minorHAnsi" w:eastAsiaTheme="minorEastAsia" w:hAnsiTheme="minorHAnsi" w:cstheme="minorBidi"/>
              <w:b w:val="0"/>
              <w:noProof/>
              <w:sz w:val="22"/>
              <w:lang w:eastAsia="en-AU"/>
            </w:rPr>
          </w:pPr>
          <w:hyperlink w:anchor="_Toc67390276" w:history="1">
            <w:r w:rsidR="008D3CC5" w:rsidRPr="005719FE">
              <w:rPr>
                <w:rStyle w:val="Hyperlink"/>
                <w:noProof/>
              </w:rPr>
              <w:t>Product background</w:t>
            </w:r>
            <w:r w:rsidR="008D3CC5">
              <w:rPr>
                <w:noProof/>
                <w:webHidden/>
              </w:rPr>
              <w:tab/>
            </w:r>
            <w:r w:rsidR="008D3CC5">
              <w:rPr>
                <w:noProof/>
                <w:webHidden/>
              </w:rPr>
              <w:fldChar w:fldCharType="begin"/>
            </w:r>
            <w:r w:rsidR="008D3CC5">
              <w:rPr>
                <w:noProof/>
                <w:webHidden/>
              </w:rPr>
              <w:instrText xml:space="preserve"> PAGEREF _Toc67390276 \h </w:instrText>
            </w:r>
            <w:r w:rsidR="008D3CC5">
              <w:rPr>
                <w:noProof/>
                <w:webHidden/>
              </w:rPr>
            </w:r>
            <w:r w:rsidR="008D3CC5">
              <w:rPr>
                <w:noProof/>
                <w:webHidden/>
              </w:rPr>
              <w:fldChar w:fldCharType="separate"/>
            </w:r>
            <w:r w:rsidR="008D3CC5">
              <w:rPr>
                <w:noProof/>
                <w:webHidden/>
              </w:rPr>
              <w:t>7</w:t>
            </w:r>
            <w:r w:rsidR="008D3CC5">
              <w:rPr>
                <w:noProof/>
                <w:webHidden/>
              </w:rPr>
              <w:fldChar w:fldCharType="end"/>
            </w:r>
          </w:hyperlink>
        </w:p>
        <w:p w14:paraId="646848E6" w14:textId="527E8D1A" w:rsidR="008D3CC5" w:rsidRDefault="005778CE">
          <w:pPr>
            <w:pStyle w:val="TOC2"/>
            <w:rPr>
              <w:rFonts w:asciiTheme="minorHAnsi" w:eastAsiaTheme="minorEastAsia" w:hAnsiTheme="minorHAnsi" w:cstheme="minorBidi"/>
              <w:b w:val="0"/>
              <w:noProof/>
              <w:sz w:val="22"/>
              <w:lang w:eastAsia="en-AU"/>
            </w:rPr>
          </w:pPr>
          <w:hyperlink w:anchor="_Toc67390277" w:history="1">
            <w:r w:rsidR="008D3CC5" w:rsidRPr="005719FE">
              <w:rPr>
                <w:rStyle w:val="Hyperlink"/>
                <w:noProof/>
              </w:rPr>
              <w:t>Regulatory status</w:t>
            </w:r>
            <w:r w:rsidR="008D3CC5">
              <w:rPr>
                <w:noProof/>
                <w:webHidden/>
              </w:rPr>
              <w:tab/>
            </w:r>
            <w:r w:rsidR="008D3CC5">
              <w:rPr>
                <w:noProof/>
                <w:webHidden/>
              </w:rPr>
              <w:fldChar w:fldCharType="begin"/>
            </w:r>
            <w:r w:rsidR="008D3CC5">
              <w:rPr>
                <w:noProof/>
                <w:webHidden/>
              </w:rPr>
              <w:instrText xml:space="preserve"> PAGEREF _Toc67390277 \h </w:instrText>
            </w:r>
            <w:r w:rsidR="008D3CC5">
              <w:rPr>
                <w:noProof/>
                <w:webHidden/>
              </w:rPr>
            </w:r>
            <w:r w:rsidR="008D3CC5">
              <w:rPr>
                <w:noProof/>
                <w:webHidden/>
              </w:rPr>
              <w:fldChar w:fldCharType="separate"/>
            </w:r>
            <w:r w:rsidR="008D3CC5">
              <w:rPr>
                <w:noProof/>
                <w:webHidden/>
              </w:rPr>
              <w:t>9</w:t>
            </w:r>
            <w:r w:rsidR="008D3CC5">
              <w:rPr>
                <w:noProof/>
                <w:webHidden/>
              </w:rPr>
              <w:fldChar w:fldCharType="end"/>
            </w:r>
          </w:hyperlink>
        </w:p>
        <w:p w14:paraId="0FC17B58" w14:textId="6848D335" w:rsidR="008D3CC5" w:rsidRDefault="005778CE">
          <w:pPr>
            <w:pStyle w:val="TOC2"/>
            <w:rPr>
              <w:rFonts w:asciiTheme="minorHAnsi" w:eastAsiaTheme="minorEastAsia" w:hAnsiTheme="minorHAnsi" w:cstheme="minorBidi"/>
              <w:b w:val="0"/>
              <w:noProof/>
              <w:sz w:val="22"/>
              <w:lang w:eastAsia="en-AU"/>
            </w:rPr>
          </w:pPr>
          <w:hyperlink w:anchor="_Toc67390278" w:history="1">
            <w:r w:rsidR="008D3CC5" w:rsidRPr="005719FE">
              <w:rPr>
                <w:rStyle w:val="Hyperlink"/>
                <w:noProof/>
              </w:rPr>
              <w:t>Product Information</w:t>
            </w:r>
            <w:r w:rsidR="008D3CC5">
              <w:rPr>
                <w:noProof/>
                <w:webHidden/>
              </w:rPr>
              <w:tab/>
            </w:r>
            <w:r w:rsidR="008D3CC5">
              <w:rPr>
                <w:noProof/>
                <w:webHidden/>
              </w:rPr>
              <w:fldChar w:fldCharType="begin"/>
            </w:r>
            <w:r w:rsidR="008D3CC5">
              <w:rPr>
                <w:noProof/>
                <w:webHidden/>
              </w:rPr>
              <w:instrText xml:space="preserve"> PAGEREF _Toc67390278 \h </w:instrText>
            </w:r>
            <w:r w:rsidR="008D3CC5">
              <w:rPr>
                <w:noProof/>
                <w:webHidden/>
              </w:rPr>
            </w:r>
            <w:r w:rsidR="008D3CC5">
              <w:rPr>
                <w:noProof/>
                <w:webHidden/>
              </w:rPr>
              <w:fldChar w:fldCharType="separate"/>
            </w:r>
            <w:r w:rsidR="008D3CC5">
              <w:rPr>
                <w:noProof/>
                <w:webHidden/>
              </w:rPr>
              <w:t>10</w:t>
            </w:r>
            <w:r w:rsidR="008D3CC5">
              <w:rPr>
                <w:noProof/>
                <w:webHidden/>
              </w:rPr>
              <w:fldChar w:fldCharType="end"/>
            </w:r>
          </w:hyperlink>
        </w:p>
        <w:p w14:paraId="0CA5A601" w14:textId="5B8DDCF5" w:rsidR="008D3CC5" w:rsidRDefault="005778CE">
          <w:pPr>
            <w:pStyle w:val="TOC1"/>
            <w:rPr>
              <w:rFonts w:asciiTheme="minorHAnsi" w:eastAsiaTheme="minorEastAsia" w:hAnsiTheme="minorHAnsi" w:cstheme="minorBidi"/>
              <w:b w:val="0"/>
              <w:noProof/>
              <w:sz w:val="22"/>
              <w:lang w:eastAsia="en-AU"/>
            </w:rPr>
          </w:pPr>
          <w:hyperlink w:anchor="_Toc67390279" w:history="1">
            <w:r w:rsidR="008D3CC5" w:rsidRPr="005719FE">
              <w:rPr>
                <w:rStyle w:val="Hyperlink"/>
                <w:noProof/>
              </w:rPr>
              <w:t>II. Registration timeline</w:t>
            </w:r>
            <w:r w:rsidR="008D3CC5">
              <w:rPr>
                <w:noProof/>
                <w:webHidden/>
              </w:rPr>
              <w:tab/>
            </w:r>
            <w:r w:rsidR="008D3CC5">
              <w:rPr>
                <w:noProof/>
                <w:webHidden/>
              </w:rPr>
              <w:fldChar w:fldCharType="begin"/>
            </w:r>
            <w:r w:rsidR="008D3CC5">
              <w:rPr>
                <w:noProof/>
                <w:webHidden/>
              </w:rPr>
              <w:instrText xml:space="preserve"> PAGEREF _Toc67390279 \h </w:instrText>
            </w:r>
            <w:r w:rsidR="008D3CC5">
              <w:rPr>
                <w:noProof/>
                <w:webHidden/>
              </w:rPr>
            </w:r>
            <w:r w:rsidR="008D3CC5">
              <w:rPr>
                <w:noProof/>
                <w:webHidden/>
              </w:rPr>
              <w:fldChar w:fldCharType="separate"/>
            </w:r>
            <w:r w:rsidR="008D3CC5">
              <w:rPr>
                <w:noProof/>
                <w:webHidden/>
              </w:rPr>
              <w:t>10</w:t>
            </w:r>
            <w:r w:rsidR="008D3CC5">
              <w:rPr>
                <w:noProof/>
                <w:webHidden/>
              </w:rPr>
              <w:fldChar w:fldCharType="end"/>
            </w:r>
          </w:hyperlink>
        </w:p>
        <w:p w14:paraId="49DE2F55" w14:textId="13DD9631" w:rsidR="008D3CC5" w:rsidRDefault="005778CE">
          <w:pPr>
            <w:pStyle w:val="TOC1"/>
            <w:rPr>
              <w:rFonts w:asciiTheme="minorHAnsi" w:eastAsiaTheme="minorEastAsia" w:hAnsiTheme="minorHAnsi" w:cstheme="minorBidi"/>
              <w:b w:val="0"/>
              <w:noProof/>
              <w:sz w:val="22"/>
              <w:lang w:eastAsia="en-AU"/>
            </w:rPr>
          </w:pPr>
          <w:hyperlink w:anchor="_Toc67390280" w:history="1">
            <w:r w:rsidR="008D3CC5" w:rsidRPr="005719FE">
              <w:rPr>
                <w:rStyle w:val="Hyperlink"/>
                <w:noProof/>
              </w:rPr>
              <w:t>III. Submission overview and risk/benefit assessment</w:t>
            </w:r>
            <w:r w:rsidR="008D3CC5">
              <w:rPr>
                <w:noProof/>
                <w:webHidden/>
              </w:rPr>
              <w:tab/>
            </w:r>
            <w:r w:rsidR="008D3CC5">
              <w:rPr>
                <w:noProof/>
                <w:webHidden/>
              </w:rPr>
              <w:fldChar w:fldCharType="begin"/>
            </w:r>
            <w:r w:rsidR="008D3CC5">
              <w:rPr>
                <w:noProof/>
                <w:webHidden/>
              </w:rPr>
              <w:instrText xml:space="preserve"> PAGEREF _Toc67390280 \h </w:instrText>
            </w:r>
            <w:r w:rsidR="008D3CC5">
              <w:rPr>
                <w:noProof/>
                <w:webHidden/>
              </w:rPr>
            </w:r>
            <w:r w:rsidR="008D3CC5">
              <w:rPr>
                <w:noProof/>
                <w:webHidden/>
              </w:rPr>
              <w:fldChar w:fldCharType="separate"/>
            </w:r>
            <w:r w:rsidR="008D3CC5">
              <w:rPr>
                <w:noProof/>
                <w:webHidden/>
              </w:rPr>
              <w:t>11</w:t>
            </w:r>
            <w:r w:rsidR="008D3CC5">
              <w:rPr>
                <w:noProof/>
                <w:webHidden/>
              </w:rPr>
              <w:fldChar w:fldCharType="end"/>
            </w:r>
          </w:hyperlink>
        </w:p>
        <w:p w14:paraId="6BCAA7D8" w14:textId="38BFEFE8" w:rsidR="008D3CC5" w:rsidRDefault="005778CE">
          <w:pPr>
            <w:pStyle w:val="TOC2"/>
            <w:rPr>
              <w:rFonts w:asciiTheme="minorHAnsi" w:eastAsiaTheme="minorEastAsia" w:hAnsiTheme="minorHAnsi" w:cstheme="minorBidi"/>
              <w:b w:val="0"/>
              <w:noProof/>
              <w:sz w:val="22"/>
              <w:lang w:eastAsia="en-AU"/>
            </w:rPr>
          </w:pPr>
          <w:hyperlink w:anchor="_Toc67390281" w:history="1">
            <w:r w:rsidR="008D3CC5" w:rsidRPr="005719FE">
              <w:rPr>
                <w:rStyle w:val="Hyperlink"/>
                <w:noProof/>
              </w:rPr>
              <w:t>Quality</w:t>
            </w:r>
            <w:r w:rsidR="008D3CC5">
              <w:rPr>
                <w:noProof/>
                <w:webHidden/>
              </w:rPr>
              <w:tab/>
            </w:r>
            <w:r w:rsidR="008D3CC5">
              <w:rPr>
                <w:noProof/>
                <w:webHidden/>
              </w:rPr>
              <w:fldChar w:fldCharType="begin"/>
            </w:r>
            <w:r w:rsidR="008D3CC5">
              <w:rPr>
                <w:noProof/>
                <w:webHidden/>
              </w:rPr>
              <w:instrText xml:space="preserve"> PAGEREF _Toc67390281 \h </w:instrText>
            </w:r>
            <w:r w:rsidR="008D3CC5">
              <w:rPr>
                <w:noProof/>
                <w:webHidden/>
              </w:rPr>
            </w:r>
            <w:r w:rsidR="008D3CC5">
              <w:rPr>
                <w:noProof/>
                <w:webHidden/>
              </w:rPr>
              <w:fldChar w:fldCharType="separate"/>
            </w:r>
            <w:r w:rsidR="008D3CC5">
              <w:rPr>
                <w:noProof/>
                <w:webHidden/>
              </w:rPr>
              <w:t>11</w:t>
            </w:r>
            <w:r w:rsidR="008D3CC5">
              <w:rPr>
                <w:noProof/>
                <w:webHidden/>
              </w:rPr>
              <w:fldChar w:fldCharType="end"/>
            </w:r>
          </w:hyperlink>
        </w:p>
        <w:p w14:paraId="5895ECBF" w14:textId="61F04B21" w:rsidR="008D3CC5" w:rsidRDefault="005778CE">
          <w:pPr>
            <w:pStyle w:val="TOC2"/>
            <w:rPr>
              <w:rFonts w:asciiTheme="minorHAnsi" w:eastAsiaTheme="minorEastAsia" w:hAnsiTheme="minorHAnsi" w:cstheme="minorBidi"/>
              <w:b w:val="0"/>
              <w:noProof/>
              <w:sz w:val="22"/>
              <w:lang w:eastAsia="en-AU"/>
            </w:rPr>
          </w:pPr>
          <w:hyperlink w:anchor="_Toc67390282" w:history="1">
            <w:r w:rsidR="008D3CC5" w:rsidRPr="005719FE">
              <w:rPr>
                <w:rStyle w:val="Hyperlink"/>
                <w:noProof/>
              </w:rPr>
              <w:t>Nonclinical</w:t>
            </w:r>
            <w:r w:rsidR="008D3CC5">
              <w:rPr>
                <w:noProof/>
                <w:webHidden/>
              </w:rPr>
              <w:tab/>
            </w:r>
            <w:r w:rsidR="008D3CC5">
              <w:rPr>
                <w:noProof/>
                <w:webHidden/>
              </w:rPr>
              <w:fldChar w:fldCharType="begin"/>
            </w:r>
            <w:r w:rsidR="008D3CC5">
              <w:rPr>
                <w:noProof/>
                <w:webHidden/>
              </w:rPr>
              <w:instrText xml:space="preserve"> PAGEREF _Toc67390282 \h </w:instrText>
            </w:r>
            <w:r w:rsidR="008D3CC5">
              <w:rPr>
                <w:noProof/>
                <w:webHidden/>
              </w:rPr>
            </w:r>
            <w:r w:rsidR="008D3CC5">
              <w:rPr>
                <w:noProof/>
                <w:webHidden/>
              </w:rPr>
              <w:fldChar w:fldCharType="separate"/>
            </w:r>
            <w:r w:rsidR="008D3CC5">
              <w:rPr>
                <w:noProof/>
                <w:webHidden/>
              </w:rPr>
              <w:t>12</w:t>
            </w:r>
            <w:r w:rsidR="008D3CC5">
              <w:rPr>
                <w:noProof/>
                <w:webHidden/>
              </w:rPr>
              <w:fldChar w:fldCharType="end"/>
            </w:r>
          </w:hyperlink>
        </w:p>
        <w:p w14:paraId="0AA84F28" w14:textId="64BED03D" w:rsidR="008D3CC5" w:rsidRDefault="005778CE">
          <w:pPr>
            <w:pStyle w:val="TOC2"/>
            <w:rPr>
              <w:rFonts w:asciiTheme="minorHAnsi" w:eastAsiaTheme="minorEastAsia" w:hAnsiTheme="minorHAnsi" w:cstheme="minorBidi"/>
              <w:b w:val="0"/>
              <w:noProof/>
              <w:sz w:val="22"/>
              <w:lang w:eastAsia="en-AU"/>
            </w:rPr>
          </w:pPr>
          <w:hyperlink w:anchor="_Toc67390283" w:history="1">
            <w:r w:rsidR="008D3CC5" w:rsidRPr="005719FE">
              <w:rPr>
                <w:rStyle w:val="Hyperlink"/>
                <w:noProof/>
              </w:rPr>
              <w:t>Clinical</w:t>
            </w:r>
            <w:r w:rsidR="008D3CC5">
              <w:rPr>
                <w:noProof/>
                <w:webHidden/>
              </w:rPr>
              <w:tab/>
            </w:r>
            <w:r w:rsidR="008D3CC5">
              <w:rPr>
                <w:noProof/>
                <w:webHidden/>
              </w:rPr>
              <w:fldChar w:fldCharType="begin"/>
            </w:r>
            <w:r w:rsidR="008D3CC5">
              <w:rPr>
                <w:noProof/>
                <w:webHidden/>
              </w:rPr>
              <w:instrText xml:space="preserve"> PAGEREF _Toc67390283 \h </w:instrText>
            </w:r>
            <w:r w:rsidR="008D3CC5">
              <w:rPr>
                <w:noProof/>
                <w:webHidden/>
              </w:rPr>
            </w:r>
            <w:r w:rsidR="008D3CC5">
              <w:rPr>
                <w:noProof/>
                <w:webHidden/>
              </w:rPr>
              <w:fldChar w:fldCharType="separate"/>
            </w:r>
            <w:r w:rsidR="008D3CC5">
              <w:rPr>
                <w:noProof/>
                <w:webHidden/>
              </w:rPr>
              <w:t>13</w:t>
            </w:r>
            <w:r w:rsidR="008D3CC5">
              <w:rPr>
                <w:noProof/>
                <w:webHidden/>
              </w:rPr>
              <w:fldChar w:fldCharType="end"/>
            </w:r>
          </w:hyperlink>
        </w:p>
        <w:p w14:paraId="75F156FE" w14:textId="727CF7E5" w:rsidR="008D3CC5" w:rsidRDefault="005778CE">
          <w:pPr>
            <w:pStyle w:val="TOC2"/>
            <w:rPr>
              <w:rFonts w:asciiTheme="minorHAnsi" w:eastAsiaTheme="minorEastAsia" w:hAnsiTheme="minorHAnsi" w:cstheme="minorBidi"/>
              <w:b w:val="0"/>
              <w:noProof/>
              <w:sz w:val="22"/>
              <w:lang w:eastAsia="en-AU"/>
            </w:rPr>
          </w:pPr>
          <w:hyperlink w:anchor="_Toc67390284" w:history="1">
            <w:r w:rsidR="008D3CC5" w:rsidRPr="005719FE">
              <w:rPr>
                <w:rStyle w:val="Hyperlink"/>
                <w:noProof/>
                <w:lang w:eastAsia="en-AU"/>
              </w:rPr>
              <w:t>Risk management plan</w:t>
            </w:r>
            <w:r w:rsidR="008D3CC5">
              <w:rPr>
                <w:noProof/>
                <w:webHidden/>
              </w:rPr>
              <w:tab/>
            </w:r>
            <w:r w:rsidR="008D3CC5">
              <w:rPr>
                <w:noProof/>
                <w:webHidden/>
              </w:rPr>
              <w:fldChar w:fldCharType="begin"/>
            </w:r>
            <w:r w:rsidR="008D3CC5">
              <w:rPr>
                <w:noProof/>
                <w:webHidden/>
              </w:rPr>
              <w:instrText xml:space="preserve"> PAGEREF _Toc67390284 \h </w:instrText>
            </w:r>
            <w:r w:rsidR="008D3CC5">
              <w:rPr>
                <w:noProof/>
                <w:webHidden/>
              </w:rPr>
            </w:r>
            <w:r w:rsidR="008D3CC5">
              <w:rPr>
                <w:noProof/>
                <w:webHidden/>
              </w:rPr>
              <w:fldChar w:fldCharType="separate"/>
            </w:r>
            <w:r w:rsidR="008D3CC5">
              <w:rPr>
                <w:noProof/>
                <w:webHidden/>
              </w:rPr>
              <w:t>27</w:t>
            </w:r>
            <w:r w:rsidR="008D3CC5">
              <w:rPr>
                <w:noProof/>
                <w:webHidden/>
              </w:rPr>
              <w:fldChar w:fldCharType="end"/>
            </w:r>
          </w:hyperlink>
        </w:p>
        <w:p w14:paraId="46A34795" w14:textId="47A0B0A2" w:rsidR="008D3CC5" w:rsidRDefault="005778CE">
          <w:pPr>
            <w:pStyle w:val="TOC2"/>
            <w:rPr>
              <w:rFonts w:asciiTheme="minorHAnsi" w:eastAsiaTheme="minorEastAsia" w:hAnsiTheme="minorHAnsi" w:cstheme="minorBidi"/>
              <w:b w:val="0"/>
              <w:noProof/>
              <w:sz w:val="22"/>
              <w:lang w:eastAsia="en-AU"/>
            </w:rPr>
          </w:pPr>
          <w:hyperlink w:anchor="_Toc67390285" w:history="1">
            <w:r w:rsidR="008D3CC5" w:rsidRPr="005719FE">
              <w:rPr>
                <w:rStyle w:val="Hyperlink"/>
                <w:noProof/>
              </w:rPr>
              <w:t>Risk-benefit analysis</w:t>
            </w:r>
            <w:r w:rsidR="008D3CC5">
              <w:rPr>
                <w:noProof/>
                <w:webHidden/>
              </w:rPr>
              <w:tab/>
            </w:r>
            <w:r w:rsidR="008D3CC5">
              <w:rPr>
                <w:noProof/>
                <w:webHidden/>
              </w:rPr>
              <w:fldChar w:fldCharType="begin"/>
            </w:r>
            <w:r w:rsidR="008D3CC5">
              <w:rPr>
                <w:noProof/>
                <w:webHidden/>
              </w:rPr>
              <w:instrText xml:space="preserve"> PAGEREF _Toc67390285 \h </w:instrText>
            </w:r>
            <w:r w:rsidR="008D3CC5">
              <w:rPr>
                <w:noProof/>
                <w:webHidden/>
              </w:rPr>
            </w:r>
            <w:r w:rsidR="008D3CC5">
              <w:rPr>
                <w:noProof/>
                <w:webHidden/>
              </w:rPr>
              <w:fldChar w:fldCharType="separate"/>
            </w:r>
            <w:r w:rsidR="008D3CC5">
              <w:rPr>
                <w:noProof/>
                <w:webHidden/>
              </w:rPr>
              <w:t>28</w:t>
            </w:r>
            <w:r w:rsidR="008D3CC5">
              <w:rPr>
                <w:noProof/>
                <w:webHidden/>
              </w:rPr>
              <w:fldChar w:fldCharType="end"/>
            </w:r>
          </w:hyperlink>
        </w:p>
        <w:p w14:paraId="00FDFBF8" w14:textId="3E70E18E" w:rsidR="008D3CC5" w:rsidRDefault="005778CE">
          <w:pPr>
            <w:pStyle w:val="TOC2"/>
            <w:rPr>
              <w:rFonts w:asciiTheme="minorHAnsi" w:eastAsiaTheme="minorEastAsia" w:hAnsiTheme="minorHAnsi" w:cstheme="minorBidi"/>
              <w:b w:val="0"/>
              <w:noProof/>
              <w:sz w:val="22"/>
              <w:lang w:eastAsia="en-AU"/>
            </w:rPr>
          </w:pPr>
          <w:hyperlink w:anchor="_Toc67390286" w:history="1">
            <w:r w:rsidR="008D3CC5" w:rsidRPr="005719FE">
              <w:rPr>
                <w:rStyle w:val="Hyperlink"/>
                <w:noProof/>
              </w:rPr>
              <w:t>Outcome</w:t>
            </w:r>
            <w:r w:rsidR="008D3CC5">
              <w:rPr>
                <w:noProof/>
                <w:webHidden/>
              </w:rPr>
              <w:tab/>
            </w:r>
            <w:r w:rsidR="008D3CC5">
              <w:rPr>
                <w:noProof/>
                <w:webHidden/>
              </w:rPr>
              <w:fldChar w:fldCharType="begin"/>
            </w:r>
            <w:r w:rsidR="008D3CC5">
              <w:rPr>
                <w:noProof/>
                <w:webHidden/>
              </w:rPr>
              <w:instrText xml:space="preserve"> PAGEREF _Toc67390286 \h </w:instrText>
            </w:r>
            <w:r w:rsidR="008D3CC5">
              <w:rPr>
                <w:noProof/>
                <w:webHidden/>
              </w:rPr>
            </w:r>
            <w:r w:rsidR="008D3CC5">
              <w:rPr>
                <w:noProof/>
                <w:webHidden/>
              </w:rPr>
              <w:fldChar w:fldCharType="separate"/>
            </w:r>
            <w:r w:rsidR="008D3CC5">
              <w:rPr>
                <w:noProof/>
                <w:webHidden/>
              </w:rPr>
              <w:t>31</w:t>
            </w:r>
            <w:r w:rsidR="008D3CC5">
              <w:rPr>
                <w:noProof/>
                <w:webHidden/>
              </w:rPr>
              <w:fldChar w:fldCharType="end"/>
            </w:r>
          </w:hyperlink>
        </w:p>
        <w:p w14:paraId="2AB80E98" w14:textId="1FCD573F" w:rsidR="008D3CC5" w:rsidRDefault="005778CE">
          <w:pPr>
            <w:pStyle w:val="TOC1"/>
            <w:rPr>
              <w:rFonts w:asciiTheme="minorHAnsi" w:eastAsiaTheme="minorEastAsia" w:hAnsiTheme="minorHAnsi" w:cstheme="minorBidi"/>
              <w:b w:val="0"/>
              <w:noProof/>
              <w:sz w:val="22"/>
              <w:lang w:eastAsia="en-AU"/>
            </w:rPr>
          </w:pPr>
          <w:hyperlink w:anchor="_Toc67390287" w:history="1">
            <w:r w:rsidR="008D3CC5" w:rsidRPr="005719FE">
              <w:rPr>
                <w:rStyle w:val="Hyperlink"/>
                <w:noProof/>
              </w:rPr>
              <w:t>Attachment 1. Product Information</w:t>
            </w:r>
            <w:r w:rsidR="008D3CC5">
              <w:rPr>
                <w:noProof/>
                <w:webHidden/>
              </w:rPr>
              <w:tab/>
            </w:r>
            <w:r w:rsidR="008D3CC5">
              <w:rPr>
                <w:noProof/>
                <w:webHidden/>
              </w:rPr>
              <w:fldChar w:fldCharType="begin"/>
            </w:r>
            <w:r w:rsidR="008D3CC5">
              <w:rPr>
                <w:noProof/>
                <w:webHidden/>
              </w:rPr>
              <w:instrText xml:space="preserve"> PAGEREF _Toc67390287 \h </w:instrText>
            </w:r>
            <w:r w:rsidR="008D3CC5">
              <w:rPr>
                <w:noProof/>
                <w:webHidden/>
              </w:rPr>
            </w:r>
            <w:r w:rsidR="008D3CC5">
              <w:rPr>
                <w:noProof/>
                <w:webHidden/>
              </w:rPr>
              <w:fldChar w:fldCharType="separate"/>
            </w:r>
            <w:r w:rsidR="008D3CC5">
              <w:rPr>
                <w:noProof/>
                <w:webHidden/>
              </w:rPr>
              <w:t>33</w:t>
            </w:r>
            <w:r w:rsidR="008D3CC5">
              <w:rPr>
                <w:noProof/>
                <w:webHidden/>
              </w:rPr>
              <w:fldChar w:fldCharType="end"/>
            </w:r>
          </w:hyperlink>
        </w:p>
        <w:p w14:paraId="4FADFC9C" w14:textId="085CC1BB" w:rsidR="003A7F6C" w:rsidRPr="00082FBF" w:rsidRDefault="00C525A2" w:rsidP="00B811C6">
          <w:pPr>
            <w:pStyle w:val="TOC2"/>
          </w:pPr>
          <w:r w:rsidRPr="00082FBF">
            <w:fldChar w:fldCharType="end"/>
          </w:r>
        </w:p>
      </w:sdtContent>
    </w:sdt>
    <w:bookmarkStart w:id="3" w:name="_Toc314842482" w:displacedByCustomXml="prev"/>
    <w:p w14:paraId="60C0CF5A" w14:textId="77777777" w:rsidR="00FD119B" w:rsidRPr="00082FBF" w:rsidRDefault="00FD119B">
      <w:pPr>
        <w:spacing w:before="0" w:after="200" w:line="0" w:lineRule="auto"/>
      </w:pPr>
      <w:r w:rsidRPr="00082FBF">
        <w:br w:type="page"/>
      </w:r>
    </w:p>
    <w:p w14:paraId="5FDF9200" w14:textId="77777777" w:rsidR="00FD119B" w:rsidRPr="00082FBF" w:rsidRDefault="00324E45" w:rsidP="004F0C4A">
      <w:pPr>
        <w:pStyle w:val="Heading2"/>
      </w:pPr>
      <w:bookmarkStart w:id="4" w:name="_Toc351716269"/>
      <w:bookmarkStart w:id="5" w:name="_Toc351718881"/>
      <w:bookmarkStart w:id="6" w:name="_Toc355338616"/>
      <w:bookmarkStart w:id="7" w:name="_Toc356306144"/>
      <w:bookmarkStart w:id="8" w:name="_Toc67390273"/>
      <w:r w:rsidRPr="00082FBF">
        <w:t>List of</w:t>
      </w:r>
      <w:r w:rsidR="00FD119B" w:rsidRPr="00082FBF">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980"/>
        <w:gridCol w:w="6514"/>
      </w:tblGrid>
      <w:tr w:rsidR="00FD119B" w:rsidRPr="00082FBF" w14:paraId="15985A31" w14:textId="77777777" w:rsidTr="00B03299">
        <w:trPr>
          <w:cnfStyle w:val="100000000000" w:firstRow="1" w:lastRow="0" w:firstColumn="0" w:lastColumn="0" w:oddVBand="0" w:evenVBand="0" w:oddHBand="0" w:evenHBand="0" w:firstRowFirstColumn="0" w:firstRowLastColumn="0" w:lastRowFirstColumn="0" w:lastRowLastColumn="0"/>
        </w:trPr>
        <w:tc>
          <w:tcPr>
            <w:tcW w:w="1980" w:type="dxa"/>
            <w:tcBorders>
              <w:top w:val="single" w:sz="4" w:space="0" w:color="auto"/>
              <w:left w:val="single" w:sz="4" w:space="0" w:color="auto"/>
              <w:bottom w:val="single" w:sz="4" w:space="0" w:color="auto"/>
              <w:right w:val="single" w:sz="4" w:space="0" w:color="auto"/>
            </w:tcBorders>
          </w:tcPr>
          <w:p w14:paraId="1EF0EFD4" w14:textId="77777777" w:rsidR="00FD119B" w:rsidRPr="00082FBF" w:rsidRDefault="00FD119B" w:rsidP="00CF5DAD">
            <w:pPr>
              <w:keepNext w:val="0"/>
              <w:ind w:left="0" w:right="0"/>
              <w:rPr>
                <w:szCs w:val="22"/>
                <w:lang w:eastAsia="en-US"/>
              </w:rPr>
            </w:pPr>
            <w:r w:rsidRPr="00082FBF">
              <w:rPr>
                <w:szCs w:val="22"/>
                <w:lang w:eastAsia="en-US"/>
              </w:rPr>
              <w:t>Abbreviation</w:t>
            </w:r>
          </w:p>
        </w:tc>
        <w:tc>
          <w:tcPr>
            <w:tcW w:w="6514" w:type="dxa"/>
            <w:tcBorders>
              <w:top w:val="single" w:sz="4" w:space="0" w:color="auto"/>
              <w:left w:val="single" w:sz="4" w:space="0" w:color="auto"/>
              <w:bottom w:val="single" w:sz="4" w:space="0" w:color="auto"/>
              <w:right w:val="single" w:sz="4" w:space="0" w:color="auto"/>
            </w:tcBorders>
          </w:tcPr>
          <w:p w14:paraId="1C2D6C16" w14:textId="77777777" w:rsidR="00FD119B" w:rsidRPr="00082FBF" w:rsidRDefault="00FD119B" w:rsidP="00CF5DAD">
            <w:pPr>
              <w:keepNext w:val="0"/>
              <w:ind w:left="0" w:right="0"/>
              <w:rPr>
                <w:szCs w:val="22"/>
                <w:lang w:eastAsia="en-US"/>
              </w:rPr>
            </w:pPr>
            <w:r w:rsidRPr="00082FBF">
              <w:rPr>
                <w:szCs w:val="22"/>
                <w:lang w:eastAsia="en-US"/>
              </w:rPr>
              <w:t>Meaning</w:t>
            </w:r>
          </w:p>
        </w:tc>
      </w:tr>
      <w:tr w:rsidR="007F52A9" w:rsidRPr="00082FBF" w14:paraId="1E4F5271" w14:textId="77777777" w:rsidTr="00B03299">
        <w:tc>
          <w:tcPr>
            <w:tcW w:w="1980" w:type="dxa"/>
          </w:tcPr>
          <w:p w14:paraId="0A2310F6" w14:textId="4EC575F2" w:rsidR="007F52A9" w:rsidRPr="00082FBF" w:rsidRDefault="003D55C3" w:rsidP="00302400">
            <w:pPr>
              <w:ind w:left="0"/>
            </w:pPr>
            <w:r w:rsidRPr="00082FBF">
              <w:t>ACV</w:t>
            </w:r>
          </w:p>
        </w:tc>
        <w:tc>
          <w:tcPr>
            <w:tcW w:w="6514" w:type="dxa"/>
          </w:tcPr>
          <w:p w14:paraId="7E4E563D" w14:textId="28AA3D55" w:rsidR="007F52A9" w:rsidRPr="00082FBF" w:rsidRDefault="007F52A9" w:rsidP="00302400">
            <w:pPr>
              <w:ind w:left="0"/>
            </w:pPr>
            <w:r w:rsidRPr="00082FBF">
              <w:t xml:space="preserve">Advisory Committee on </w:t>
            </w:r>
            <w:r w:rsidR="003D55C3" w:rsidRPr="00082FBF">
              <w:t>Vaccine</w:t>
            </w:r>
          </w:p>
        </w:tc>
      </w:tr>
      <w:tr w:rsidR="007F52A9" w:rsidRPr="00082FBF" w14:paraId="19B016DE" w14:textId="77777777" w:rsidTr="00B03299">
        <w:tc>
          <w:tcPr>
            <w:tcW w:w="1980" w:type="dxa"/>
          </w:tcPr>
          <w:p w14:paraId="4646BA04" w14:textId="77777777" w:rsidR="007F52A9" w:rsidRPr="00082FBF" w:rsidRDefault="007F52A9" w:rsidP="00302400">
            <w:pPr>
              <w:ind w:left="0"/>
            </w:pPr>
            <w:r w:rsidRPr="00082FBF">
              <w:t>AE</w:t>
            </w:r>
          </w:p>
        </w:tc>
        <w:tc>
          <w:tcPr>
            <w:tcW w:w="6514" w:type="dxa"/>
          </w:tcPr>
          <w:p w14:paraId="225B0A8A" w14:textId="77777777" w:rsidR="007F52A9" w:rsidRPr="00082FBF" w:rsidRDefault="007F52A9" w:rsidP="00302400">
            <w:pPr>
              <w:ind w:left="0"/>
            </w:pPr>
            <w:r w:rsidRPr="00082FBF">
              <w:t>Adverse event</w:t>
            </w:r>
          </w:p>
        </w:tc>
      </w:tr>
      <w:tr w:rsidR="007F52A9" w:rsidRPr="00082FBF" w14:paraId="729FB1C1" w14:textId="77777777" w:rsidTr="00B03299">
        <w:tc>
          <w:tcPr>
            <w:tcW w:w="1980" w:type="dxa"/>
          </w:tcPr>
          <w:p w14:paraId="136A081C" w14:textId="77777777" w:rsidR="007F52A9" w:rsidRPr="00082FBF" w:rsidRDefault="007F52A9" w:rsidP="00302400">
            <w:pPr>
              <w:ind w:left="0"/>
            </w:pPr>
            <w:r w:rsidRPr="00082FBF">
              <w:t>AESI</w:t>
            </w:r>
          </w:p>
        </w:tc>
        <w:tc>
          <w:tcPr>
            <w:tcW w:w="6514" w:type="dxa"/>
          </w:tcPr>
          <w:p w14:paraId="65C5DC42" w14:textId="77777777" w:rsidR="007F52A9" w:rsidRPr="00082FBF" w:rsidRDefault="007F52A9" w:rsidP="00302400">
            <w:pPr>
              <w:ind w:left="0"/>
            </w:pPr>
            <w:r w:rsidRPr="00082FBF">
              <w:t>Adverse event of special interest</w:t>
            </w:r>
          </w:p>
        </w:tc>
      </w:tr>
      <w:tr w:rsidR="00025F60" w:rsidRPr="00082FBF" w14:paraId="59BFE1C8" w14:textId="77777777" w:rsidTr="00B03299">
        <w:tc>
          <w:tcPr>
            <w:tcW w:w="1980" w:type="dxa"/>
          </w:tcPr>
          <w:p w14:paraId="333B212D" w14:textId="1301FDF9" w:rsidR="00025F60" w:rsidRPr="00082FBF" w:rsidRDefault="00025F60" w:rsidP="00302400">
            <w:pPr>
              <w:ind w:left="0"/>
            </w:pPr>
            <w:r w:rsidRPr="00082FBF">
              <w:t>ARGPM</w:t>
            </w:r>
          </w:p>
        </w:tc>
        <w:tc>
          <w:tcPr>
            <w:tcW w:w="6514" w:type="dxa"/>
          </w:tcPr>
          <w:p w14:paraId="7E749688" w14:textId="4A7A8C4A" w:rsidR="00025F60" w:rsidRPr="00082FBF" w:rsidRDefault="00025F60" w:rsidP="00302400">
            <w:pPr>
              <w:ind w:left="0"/>
            </w:pPr>
            <w:r w:rsidRPr="00082FBF">
              <w:t xml:space="preserve">Australian </w:t>
            </w:r>
            <w:r w:rsidR="00545F40">
              <w:t>R</w:t>
            </w:r>
            <w:r w:rsidRPr="00082FBF">
              <w:t xml:space="preserve">egulatory </w:t>
            </w:r>
            <w:r w:rsidR="00545F40">
              <w:t>G</w:t>
            </w:r>
            <w:r w:rsidRPr="00082FBF">
              <w:t xml:space="preserve">uidelines for </w:t>
            </w:r>
            <w:r w:rsidR="00545F40">
              <w:t>P</w:t>
            </w:r>
            <w:r w:rsidRPr="00082FBF">
              <w:t xml:space="preserve">rescription </w:t>
            </w:r>
            <w:r w:rsidR="00545F40">
              <w:t>M</w:t>
            </w:r>
            <w:r w:rsidRPr="00082FBF">
              <w:t>edicines</w:t>
            </w:r>
          </w:p>
        </w:tc>
      </w:tr>
      <w:tr w:rsidR="007F52A9" w:rsidRPr="00082FBF" w14:paraId="0948C138" w14:textId="77777777" w:rsidTr="00B03299">
        <w:tc>
          <w:tcPr>
            <w:tcW w:w="1980" w:type="dxa"/>
          </w:tcPr>
          <w:p w14:paraId="5F9EBF6B" w14:textId="77777777" w:rsidR="007F52A9" w:rsidRPr="00082FBF" w:rsidRDefault="007F52A9" w:rsidP="00302400">
            <w:pPr>
              <w:ind w:left="0"/>
            </w:pPr>
            <w:r w:rsidRPr="00082FBF">
              <w:t>ARTG</w:t>
            </w:r>
          </w:p>
        </w:tc>
        <w:tc>
          <w:tcPr>
            <w:tcW w:w="6514" w:type="dxa"/>
          </w:tcPr>
          <w:p w14:paraId="68225CA3" w14:textId="77777777" w:rsidR="007F52A9" w:rsidRPr="00082FBF" w:rsidRDefault="007F52A9" w:rsidP="00302400">
            <w:pPr>
              <w:ind w:left="0"/>
            </w:pPr>
            <w:r w:rsidRPr="00082FBF">
              <w:t>Australian Register of Therapeutic Goods</w:t>
            </w:r>
          </w:p>
        </w:tc>
      </w:tr>
      <w:tr w:rsidR="00574D01" w:rsidRPr="00082FBF" w14:paraId="29F99EB1" w14:textId="77777777" w:rsidTr="00B03299">
        <w:tc>
          <w:tcPr>
            <w:tcW w:w="1980" w:type="dxa"/>
          </w:tcPr>
          <w:p w14:paraId="429E862D" w14:textId="5CFB2792" w:rsidR="00574D01" w:rsidRPr="00082FBF" w:rsidRDefault="00574D01" w:rsidP="00302400">
            <w:pPr>
              <w:ind w:left="0"/>
            </w:pPr>
            <w:r w:rsidRPr="00082FBF">
              <w:t>ASA</w:t>
            </w:r>
          </w:p>
        </w:tc>
        <w:tc>
          <w:tcPr>
            <w:tcW w:w="6514" w:type="dxa"/>
          </w:tcPr>
          <w:p w14:paraId="568E3E51" w14:textId="180508B7" w:rsidR="00574D01" w:rsidRPr="00082FBF" w:rsidRDefault="00574D01" w:rsidP="00302400">
            <w:pPr>
              <w:ind w:left="0"/>
            </w:pPr>
            <w:r w:rsidRPr="00082FBF">
              <w:t>Australia</w:t>
            </w:r>
            <w:r w:rsidR="00545F40">
              <w:t>n</w:t>
            </w:r>
            <w:r w:rsidRPr="00082FBF">
              <w:t xml:space="preserve"> specific </w:t>
            </w:r>
            <w:r w:rsidR="00545F40">
              <w:t>A</w:t>
            </w:r>
            <w:r w:rsidRPr="00082FBF">
              <w:t>nnex</w:t>
            </w:r>
          </w:p>
        </w:tc>
      </w:tr>
      <w:tr w:rsidR="00393AE7" w:rsidRPr="00082FBF" w14:paraId="15D4BB8D" w14:textId="77777777" w:rsidTr="00B03299">
        <w:tc>
          <w:tcPr>
            <w:tcW w:w="1980" w:type="dxa"/>
          </w:tcPr>
          <w:p w14:paraId="03691BEE" w14:textId="61C66E96" w:rsidR="00393AE7" w:rsidRPr="00082FBF" w:rsidRDefault="00393AE7" w:rsidP="00302400">
            <w:pPr>
              <w:ind w:left="0"/>
            </w:pPr>
            <w:r w:rsidRPr="00082FBF">
              <w:t>CDC</w:t>
            </w:r>
          </w:p>
        </w:tc>
        <w:tc>
          <w:tcPr>
            <w:tcW w:w="6514" w:type="dxa"/>
          </w:tcPr>
          <w:p w14:paraId="72613254" w14:textId="12A5FE76" w:rsidR="00393AE7" w:rsidRPr="00082FBF" w:rsidRDefault="00393AE7" w:rsidP="00302400">
            <w:pPr>
              <w:ind w:left="0"/>
            </w:pPr>
            <w:r w:rsidRPr="00082FBF">
              <w:t>Centres for Disease Control and Prevention</w:t>
            </w:r>
          </w:p>
        </w:tc>
      </w:tr>
      <w:tr w:rsidR="007F52A9" w:rsidRPr="00082FBF" w14:paraId="744E085D" w14:textId="77777777" w:rsidTr="00B03299">
        <w:tc>
          <w:tcPr>
            <w:tcW w:w="1980" w:type="dxa"/>
          </w:tcPr>
          <w:p w14:paraId="3BBADA05" w14:textId="77777777" w:rsidR="007F52A9" w:rsidRPr="00082FBF" w:rsidRDefault="007F52A9" w:rsidP="00302400">
            <w:pPr>
              <w:ind w:left="0"/>
            </w:pPr>
            <w:r w:rsidRPr="00082FBF">
              <w:t>CI</w:t>
            </w:r>
          </w:p>
        </w:tc>
        <w:tc>
          <w:tcPr>
            <w:tcW w:w="6514" w:type="dxa"/>
          </w:tcPr>
          <w:p w14:paraId="0A4AD806" w14:textId="77777777" w:rsidR="007F52A9" w:rsidRPr="00082FBF" w:rsidRDefault="007F52A9" w:rsidP="00302400">
            <w:pPr>
              <w:ind w:left="0"/>
            </w:pPr>
            <w:r w:rsidRPr="00082FBF">
              <w:t>Confidence interval</w:t>
            </w:r>
          </w:p>
        </w:tc>
      </w:tr>
      <w:tr w:rsidR="007F52A9" w:rsidRPr="00082FBF" w14:paraId="7499ED41" w14:textId="77777777" w:rsidTr="00B03299">
        <w:tc>
          <w:tcPr>
            <w:tcW w:w="1980" w:type="dxa"/>
          </w:tcPr>
          <w:p w14:paraId="6CD2B2C0" w14:textId="77777777" w:rsidR="007F52A9" w:rsidRPr="00082FBF" w:rsidRDefault="007F52A9" w:rsidP="00302400">
            <w:pPr>
              <w:ind w:left="0"/>
            </w:pPr>
            <w:r w:rsidRPr="00082FBF">
              <w:t>CMI</w:t>
            </w:r>
          </w:p>
        </w:tc>
        <w:tc>
          <w:tcPr>
            <w:tcW w:w="6514" w:type="dxa"/>
          </w:tcPr>
          <w:p w14:paraId="6A204F95" w14:textId="77777777" w:rsidR="007F52A9" w:rsidRPr="00082FBF" w:rsidRDefault="007F52A9" w:rsidP="00302400">
            <w:pPr>
              <w:ind w:left="0"/>
            </w:pPr>
            <w:r w:rsidRPr="00082FBF">
              <w:t>Consumer Medicines Information</w:t>
            </w:r>
          </w:p>
        </w:tc>
      </w:tr>
      <w:tr w:rsidR="00025F60" w:rsidRPr="00082FBF" w14:paraId="4AA58022" w14:textId="77777777" w:rsidTr="00B03299">
        <w:tc>
          <w:tcPr>
            <w:tcW w:w="1980" w:type="dxa"/>
          </w:tcPr>
          <w:p w14:paraId="3BF072D7" w14:textId="1467F246" w:rsidR="00025F60" w:rsidRPr="00082FBF" w:rsidRDefault="00025F60" w:rsidP="00302400">
            <w:pPr>
              <w:ind w:left="0"/>
            </w:pPr>
            <w:r w:rsidRPr="00082FBF">
              <w:t>CPD</w:t>
            </w:r>
          </w:p>
        </w:tc>
        <w:tc>
          <w:tcPr>
            <w:tcW w:w="6514" w:type="dxa"/>
          </w:tcPr>
          <w:p w14:paraId="12726BFD" w14:textId="59B16BE1" w:rsidR="00025F60" w:rsidRPr="00082FBF" w:rsidRDefault="00025F60" w:rsidP="00302400">
            <w:pPr>
              <w:ind w:left="0"/>
            </w:pPr>
            <w:r w:rsidRPr="00082FBF">
              <w:t>Certified product details</w:t>
            </w:r>
          </w:p>
        </w:tc>
      </w:tr>
      <w:tr w:rsidR="00A55F17" w:rsidRPr="00082FBF" w14:paraId="58F75527" w14:textId="77777777" w:rsidTr="00B03299">
        <w:tc>
          <w:tcPr>
            <w:tcW w:w="1980" w:type="dxa"/>
          </w:tcPr>
          <w:p w14:paraId="74F35304" w14:textId="61ACE9BD" w:rsidR="00A55F17" w:rsidRPr="00082FBF" w:rsidRDefault="00A55F17" w:rsidP="00302400">
            <w:pPr>
              <w:ind w:left="0"/>
            </w:pPr>
            <w:r>
              <w:t>D0</w:t>
            </w:r>
          </w:p>
        </w:tc>
        <w:tc>
          <w:tcPr>
            <w:tcW w:w="6514" w:type="dxa"/>
          </w:tcPr>
          <w:p w14:paraId="35C4C647" w14:textId="3FBA0E99" w:rsidR="00A55F17" w:rsidRPr="00082FBF" w:rsidRDefault="00A55F17" w:rsidP="00302400">
            <w:pPr>
              <w:ind w:left="0"/>
            </w:pPr>
            <w:r>
              <w:t>Day 0 time point</w:t>
            </w:r>
          </w:p>
        </w:tc>
      </w:tr>
      <w:tr w:rsidR="00A55F17" w:rsidRPr="00082FBF" w14:paraId="3348DF52" w14:textId="77777777" w:rsidTr="00B03299">
        <w:tc>
          <w:tcPr>
            <w:tcW w:w="1980" w:type="dxa"/>
          </w:tcPr>
          <w:p w14:paraId="4B57DCBB" w14:textId="25B89127" w:rsidR="00A55F17" w:rsidRDefault="00A55F17" w:rsidP="00302400">
            <w:pPr>
              <w:ind w:left="0"/>
            </w:pPr>
            <w:r>
              <w:t>D30</w:t>
            </w:r>
          </w:p>
        </w:tc>
        <w:tc>
          <w:tcPr>
            <w:tcW w:w="6514" w:type="dxa"/>
          </w:tcPr>
          <w:p w14:paraId="04BBCA34" w14:textId="281EEFAC" w:rsidR="00A55F17" w:rsidRDefault="00A55F17" w:rsidP="00302400">
            <w:pPr>
              <w:ind w:left="0"/>
            </w:pPr>
            <w:r w:rsidRPr="00A55F17">
              <w:t>Day 30 time point</w:t>
            </w:r>
          </w:p>
        </w:tc>
      </w:tr>
      <w:tr w:rsidR="006F7900" w:rsidRPr="00082FBF" w14:paraId="2A78690B" w14:textId="77777777" w:rsidTr="00B03299">
        <w:tc>
          <w:tcPr>
            <w:tcW w:w="1980" w:type="dxa"/>
          </w:tcPr>
          <w:p w14:paraId="4BD79540" w14:textId="030B87B7" w:rsidR="006F7900" w:rsidRPr="00082FBF" w:rsidRDefault="00574D01" w:rsidP="00302400">
            <w:pPr>
              <w:ind w:left="0"/>
            </w:pPr>
            <w:r w:rsidRPr="00082FBF">
              <w:t>DLP</w:t>
            </w:r>
          </w:p>
        </w:tc>
        <w:tc>
          <w:tcPr>
            <w:tcW w:w="6514" w:type="dxa"/>
          </w:tcPr>
          <w:p w14:paraId="2885A785" w14:textId="6F42326F" w:rsidR="006F7900" w:rsidRPr="00082FBF" w:rsidRDefault="00574D01" w:rsidP="00302400">
            <w:pPr>
              <w:ind w:left="0"/>
            </w:pPr>
            <w:r w:rsidRPr="00082FBF">
              <w:t>Data lock point</w:t>
            </w:r>
          </w:p>
        </w:tc>
      </w:tr>
      <w:tr w:rsidR="00732037" w:rsidRPr="00082FBF" w14:paraId="5E8E3EF7" w14:textId="77777777" w:rsidTr="00B03299">
        <w:tc>
          <w:tcPr>
            <w:tcW w:w="1980" w:type="dxa"/>
          </w:tcPr>
          <w:p w14:paraId="3EAA982B" w14:textId="555F4530" w:rsidR="00732037" w:rsidRPr="00082FBF" w:rsidRDefault="00732037" w:rsidP="00302400">
            <w:pPr>
              <w:ind w:left="0"/>
            </w:pPr>
            <w:r>
              <w:t>DTP</w:t>
            </w:r>
          </w:p>
        </w:tc>
        <w:tc>
          <w:tcPr>
            <w:tcW w:w="6514" w:type="dxa"/>
          </w:tcPr>
          <w:p w14:paraId="319C91B3" w14:textId="4635E200" w:rsidR="00732037" w:rsidRPr="00082FBF" w:rsidRDefault="00175478" w:rsidP="00302400">
            <w:pPr>
              <w:ind w:left="0"/>
            </w:pPr>
            <w:r>
              <w:t>D</w:t>
            </w:r>
            <w:r w:rsidR="00732037" w:rsidRPr="00732037">
              <w:t>iph</w:t>
            </w:r>
            <w:r w:rsidR="00732037">
              <w:t>theria, tetanus, pertussis</w:t>
            </w:r>
          </w:p>
        </w:tc>
      </w:tr>
      <w:tr w:rsidR="007F52A9" w:rsidRPr="00082FBF" w14:paraId="788CEF26" w14:textId="77777777" w:rsidTr="00B03299">
        <w:tc>
          <w:tcPr>
            <w:tcW w:w="1980" w:type="dxa"/>
          </w:tcPr>
          <w:p w14:paraId="7304CE03" w14:textId="77777777" w:rsidR="007F52A9" w:rsidRPr="00082FBF" w:rsidRDefault="007F52A9" w:rsidP="00302400">
            <w:pPr>
              <w:ind w:left="0"/>
            </w:pPr>
            <w:r w:rsidRPr="00082FBF">
              <w:t>EU</w:t>
            </w:r>
          </w:p>
        </w:tc>
        <w:tc>
          <w:tcPr>
            <w:tcW w:w="6514" w:type="dxa"/>
          </w:tcPr>
          <w:p w14:paraId="1A60398F" w14:textId="77777777" w:rsidR="007F52A9" w:rsidRPr="00082FBF" w:rsidRDefault="007F52A9" w:rsidP="00302400">
            <w:pPr>
              <w:ind w:left="0"/>
            </w:pPr>
            <w:r w:rsidRPr="00082FBF">
              <w:t>European Union</w:t>
            </w:r>
          </w:p>
        </w:tc>
      </w:tr>
      <w:tr w:rsidR="00B02D95" w:rsidRPr="00082FBF" w14:paraId="561578F1" w14:textId="77777777" w:rsidTr="00B03299">
        <w:tc>
          <w:tcPr>
            <w:tcW w:w="1980" w:type="dxa"/>
          </w:tcPr>
          <w:p w14:paraId="2BB2EB39" w14:textId="106C4E74" w:rsidR="00B02D95" w:rsidRPr="00082FBF" w:rsidRDefault="00B02D95" w:rsidP="00302400">
            <w:pPr>
              <w:ind w:left="0"/>
            </w:pPr>
            <w:r w:rsidRPr="00082FBF">
              <w:t>FDA</w:t>
            </w:r>
          </w:p>
        </w:tc>
        <w:tc>
          <w:tcPr>
            <w:tcW w:w="6514" w:type="dxa"/>
          </w:tcPr>
          <w:p w14:paraId="09F6A49B" w14:textId="533EDD4D" w:rsidR="00B02D95" w:rsidRPr="00082FBF" w:rsidRDefault="00B02D95" w:rsidP="00302400">
            <w:pPr>
              <w:ind w:left="0"/>
            </w:pPr>
            <w:r w:rsidRPr="00082FBF">
              <w:t>Food and Drug Administration</w:t>
            </w:r>
            <w:r w:rsidR="00175478">
              <w:t xml:space="preserve"> (United States)</w:t>
            </w:r>
          </w:p>
        </w:tc>
      </w:tr>
      <w:tr w:rsidR="007F52A9" w:rsidRPr="00082FBF" w14:paraId="4A24B3F1" w14:textId="77777777" w:rsidTr="00B03299">
        <w:tc>
          <w:tcPr>
            <w:tcW w:w="1980" w:type="dxa"/>
          </w:tcPr>
          <w:p w14:paraId="2483E067" w14:textId="77777777" w:rsidR="007F52A9" w:rsidRPr="00082FBF" w:rsidRDefault="007F52A9" w:rsidP="00302400">
            <w:pPr>
              <w:ind w:left="0"/>
            </w:pPr>
            <w:r w:rsidRPr="00082FBF">
              <w:t>GBS</w:t>
            </w:r>
          </w:p>
        </w:tc>
        <w:tc>
          <w:tcPr>
            <w:tcW w:w="6514" w:type="dxa"/>
          </w:tcPr>
          <w:p w14:paraId="72448810" w14:textId="17039559" w:rsidR="007F52A9" w:rsidRPr="00082FBF" w:rsidRDefault="00795C9E" w:rsidP="00302400">
            <w:pPr>
              <w:ind w:left="0"/>
            </w:pPr>
            <w:r w:rsidRPr="00082FBF">
              <w:t>Guillain-Barre</w:t>
            </w:r>
            <w:r w:rsidR="007F52A9" w:rsidRPr="00082FBF">
              <w:t xml:space="preserve"> syndrome</w:t>
            </w:r>
          </w:p>
        </w:tc>
      </w:tr>
      <w:tr w:rsidR="007F52A9" w:rsidRPr="00082FBF" w14:paraId="07B1D3F1" w14:textId="77777777" w:rsidTr="00B03299">
        <w:tc>
          <w:tcPr>
            <w:tcW w:w="1980" w:type="dxa"/>
          </w:tcPr>
          <w:p w14:paraId="1A716780" w14:textId="77777777" w:rsidR="007F52A9" w:rsidRPr="00082FBF" w:rsidRDefault="007F52A9" w:rsidP="00302400">
            <w:pPr>
              <w:ind w:left="0"/>
            </w:pPr>
            <w:r w:rsidRPr="00082FBF">
              <w:t>GMT</w:t>
            </w:r>
          </w:p>
        </w:tc>
        <w:tc>
          <w:tcPr>
            <w:tcW w:w="6514" w:type="dxa"/>
          </w:tcPr>
          <w:p w14:paraId="0B9C5692" w14:textId="77777777" w:rsidR="007F52A9" w:rsidRPr="00082FBF" w:rsidRDefault="007F52A9" w:rsidP="00302400">
            <w:pPr>
              <w:ind w:left="0"/>
            </w:pPr>
            <w:r w:rsidRPr="00082FBF">
              <w:t>Geometric mean titre</w:t>
            </w:r>
          </w:p>
        </w:tc>
      </w:tr>
      <w:tr w:rsidR="008F58BE" w:rsidRPr="00082FBF" w14:paraId="7ED5FEAE" w14:textId="77777777" w:rsidTr="00B03299">
        <w:tc>
          <w:tcPr>
            <w:tcW w:w="1980" w:type="dxa"/>
          </w:tcPr>
          <w:p w14:paraId="4F90797A" w14:textId="6FDD7F77" w:rsidR="008F58BE" w:rsidRPr="00082FBF" w:rsidRDefault="00BA6992" w:rsidP="00302400">
            <w:pPr>
              <w:ind w:left="0"/>
            </w:pPr>
            <w:r w:rsidRPr="00082FBF">
              <w:t>GVP</w:t>
            </w:r>
          </w:p>
        </w:tc>
        <w:tc>
          <w:tcPr>
            <w:tcW w:w="6514" w:type="dxa"/>
          </w:tcPr>
          <w:p w14:paraId="74912219" w14:textId="5CF14879" w:rsidR="008F58BE" w:rsidRPr="00082FBF" w:rsidRDefault="00BA6992" w:rsidP="00302400">
            <w:pPr>
              <w:ind w:left="0"/>
            </w:pPr>
            <w:r w:rsidRPr="00082FBF">
              <w:t>Good Pharmacovigilance Practices</w:t>
            </w:r>
          </w:p>
        </w:tc>
      </w:tr>
      <w:tr w:rsidR="007F52A9" w:rsidRPr="00082FBF" w14:paraId="4952EF11" w14:textId="77777777" w:rsidTr="00B03299">
        <w:tc>
          <w:tcPr>
            <w:tcW w:w="1980" w:type="dxa"/>
          </w:tcPr>
          <w:p w14:paraId="56F353FA" w14:textId="77777777" w:rsidR="007F52A9" w:rsidRPr="00082FBF" w:rsidRDefault="007F52A9" w:rsidP="00302400">
            <w:pPr>
              <w:ind w:left="0"/>
            </w:pPr>
            <w:r w:rsidRPr="00082FBF">
              <w:t>HPV</w:t>
            </w:r>
          </w:p>
        </w:tc>
        <w:tc>
          <w:tcPr>
            <w:tcW w:w="6514" w:type="dxa"/>
          </w:tcPr>
          <w:p w14:paraId="4FE96EF8" w14:textId="77777777" w:rsidR="007F52A9" w:rsidRPr="00082FBF" w:rsidRDefault="007F52A9" w:rsidP="00302400">
            <w:pPr>
              <w:ind w:left="0"/>
            </w:pPr>
            <w:r w:rsidRPr="00082FBF">
              <w:t>Human papilloma virus</w:t>
            </w:r>
          </w:p>
        </w:tc>
      </w:tr>
      <w:tr w:rsidR="007F52A9" w:rsidRPr="00082FBF" w14:paraId="6DD267DD" w14:textId="77777777" w:rsidTr="00B03299">
        <w:tc>
          <w:tcPr>
            <w:tcW w:w="1980" w:type="dxa"/>
          </w:tcPr>
          <w:p w14:paraId="0DAA4A40" w14:textId="77777777" w:rsidR="007F52A9" w:rsidRPr="00082FBF" w:rsidRDefault="007F52A9" w:rsidP="00302400">
            <w:pPr>
              <w:ind w:left="0"/>
            </w:pPr>
            <w:r w:rsidRPr="00082FBF">
              <w:t>hSBA</w:t>
            </w:r>
          </w:p>
        </w:tc>
        <w:tc>
          <w:tcPr>
            <w:tcW w:w="6514" w:type="dxa"/>
          </w:tcPr>
          <w:p w14:paraId="58EF4261" w14:textId="67670554" w:rsidR="007F52A9" w:rsidRPr="00082FBF" w:rsidRDefault="00716F3F" w:rsidP="00302400">
            <w:pPr>
              <w:ind w:left="0"/>
            </w:pPr>
            <w:r w:rsidRPr="00082FBF">
              <w:t>Human serum bactericidal assay</w:t>
            </w:r>
          </w:p>
        </w:tc>
      </w:tr>
      <w:tr w:rsidR="007F52A9" w:rsidRPr="00082FBF" w14:paraId="0EC5653B" w14:textId="77777777" w:rsidTr="00B03299">
        <w:tc>
          <w:tcPr>
            <w:tcW w:w="1980" w:type="dxa"/>
          </w:tcPr>
          <w:p w14:paraId="63C15085" w14:textId="77777777" w:rsidR="007F52A9" w:rsidRPr="00082FBF" w:rsidRDefault="007F52A9" w:rsidP="00302400">
            <w:pPr>
              <w:ind w:left="0"/>
            </w:pPr>
            <w:r w:rsidRPr="00082FBF">
              <w:t>IMD</w:t>
            </w:r>
          </w:p>
        </w:tc>
        <w:tc>
          <w:tcPr>
            <w:tcW w:w="6514" w:type="dxa"/>
          </w:tcPr>
          <w:p w14:paraId="0A3AD9E2" w14:textId="77777777" w:rsidR="007F52A9" w:rsidRPr="00082FBF" w:rsidRDefault="007F52A9" w:rsidP="00302400">
            <w:pPr>
              <w:ind w:left="0"/>
            </w:pPr>
            <w:r w:rsidRPr="00082FBF">
              <w:t>Invasive meningococcal disease</w:t>
            </w:r>
          </w:p>
        </w:tc>
      </w:tr>
      <w:tr w:rsidR="00795C9E" w:rsidRPr="00082FBF" w14:paraId="4E500FE7" w14:textId="77777777" w:rsidTr="00B03299">
        <w:tc>
          <w:tcPr>
            <w:tcW w:w="1980" w:type="dxa"/>
          </w:tcPr>
          <w:p w14:paraId="70C4CD8D" w14:textId="07FEDF68" w:rsidR="00795C9E" w:rsidRPr="00082FBF" w:rsidRDefault="00795C9E" w:rsidP="00302400">
            <w:pPr>
              <w:ind w:left="0"/>
            </w:pPr>
            <w:r w:rsidRPr="00082FBF">
              <w:t>ITP</w:t>
            </w:r>
          </w:p>
        </w:tc>
        <w:tc>
          <w:tcPr>
            <w:tcW w:w="6514" w:type="dxa"/>
          </w:tcPr>
          <w:p w14:paraId="490E8D50" w14:textId="71807F83" w:rsidR="00795C9E" w:rsidRPr="00082FBF" w:rsidRDefault="00795C9E" w:rsidP="00302400">
            <w:pPr>
              <w:ind w:left="0"/>
            </w:pPr>
            <w:r w:rsidRPr="00082FBF">
              <w:t>Idiopathic thrombocytopenic purpura</w:t>
            </w:r>
          </w:p>
        </w:tc>
      </w:tr>
      <w:tr w:rsidR="007F52A9" w:rsidRPr="00082FBF" w14:paraId="10A1A41B" w14:textId="77777777" w:rsidTr="00B03299">
        <w:tc>
          <w:tcPr>
            <w:tcW w:w="1980" w:type="dxa"/>
          </w:tcPr>
          <w:p w14:paraId="3E3C976E" w14:textId="77777777" w:rsidR="007F52A9" w:rsidRPr="00082FBF" w:rsidRDefault="007F52A9" w:rsidP="00302400">
            <w:pPr>
              <w:ind w:left="0"/>
            </w:pPr>
            <w:r w:rsidRPr="00082FBF">
              <w:t>MenACYW</w:t>
            </w:r>
          </w:p>
        </w:tc>
        <w:tc>
          <w:tcPr>
            <w:tcW w:w="6514" w:type="dxa"/>
          </w:tcPr>
          <w:p w14:paraId="358A2B08" w14:textId="61986B8B" w:rsidR="007F52A9" w:rsidRPr="00082FBF" w:rsidRDefault="000A11AB" w:rsidP="00302400">
            <w:pPr>
              <w:ind w:left="0"/>
            </w:pPr>
            <w:r w:rsidRPr="00082FBF">
              <w:t>Meningococcal polysaccharide ser</w:t>
            </w:r>
            <w:r w:rsidR="00502715">
              <w:t>ogroups A, C, Y</w:t>
            </w:r>
            <w:r w:rsidRPr="00082FBF">
              <w:t xml:space="preserve"> and W</w:t>
            </w:r>
          </w:p>
        </w:tc>
      </w:tr>
      <w:tr w:rsidR="007F52A9" w:rsidRPr="00082FBF" w14:paraId="0B1E6E26" w14:textId="77777777" w:rsidTr="00B03299">
        <w:tc>
          <w:tcPr>
            <w:tcW w:w="1980" w:type="dxa"/>
          </w:tcPr>
          <w:p w14:paraId="5BB58EFE" w14:textId="572D2B3A" w:rsidR="007F52A9" w:rsidRPr="00082FBF" w:rsidRDefault="00795C9E" w:rsidP="00302400">
            <w:pPr>
              <w:ind w:left="0"/>
            </w:pPr>
            <w:r w:rsidRPr="00082FBF">
              <w:t>MCV</w:t>
            </w:r>
          </w:p>
        </w:tc>
        <w:tc>
          <w:tcPr>
            <w:tcW w:w="6514" w:type="dxa"/>
          </w:tcPr>
          <w:p w14:paraId="5F3B905F" w14:textId="56B33BEF" w:rsidR="007F52A9" w:rsidRPr="00082FBF" w:rsidRDefault="00795C9E" w:rsidP="00302400">
            <w:pPr>
              <w:ind w:left="0"/>
            </w:pPr>
            <w:r w:rsidRPr="00082FBF">
              <w:t>Meningococcal conjugate vaccines</w:t>
            </w:r>
          </w:p>
        </w:tc>
      </w:tr>
      <w:tr w:rsidR="007F52A9" w:rsidRPr="00082FBF" w14:paraId="265321AF" w14:textId="77777777" w:rsidTr="00B03299">
        <w:tc>
          <w:tcPr>
            <w:tcW w:w="1980" w:type="dxa"/>
          </w:tcPr>
          <w:p w14:paraId="60D08932" w14:textId="2817021A" w:rsidR="007F52A9" w:rsidRPr="00082FBF" w:rsidRDefault="00B03299" w:rsidP="00302400">
            <w:pPr>
              <w:ind w:left="0"/>
              <w:rPr>
                <w:i/>
              </w:rPr>
            </w:pPr>
            <w:r w:rsidRPr="00082FBF">
              <w:rPr>
                <w:i/>
              </w:rPr>
              <w:t>N</w:t>
            </w:r>
            <w:r w:rsidR="00343B02" w:rsidRPr="00082FBF">
              <w:rPr>
                <w:i/>
              </w:rPr>
              <w:t xml:space="preserve">. </w:t>
            </w:r>
            <w:r w:rsidR="007F52A9" w:rsidRPr="00082FBF">
              <w:rPr>
                <w:i/>
              </w:rPr>
              <w:t>meningitidis</w:t>
            </w:r>
          </w:p>
        </w:tc>
        <w:tc>
          <w:tcPr>
            <w:tcW w:w="6514" w:type="dxa"/>
          </w:tcPr>
          <w:p w14:paraId="3B2C1CA1" w14:textId="2B4F0B0A" w:rsidR="007F52A9" w:rsidRPr="00082FBF" w:rsidRDefault="007F52A9" w:rsidP="00302400">
            <w:pPr>
              <w:ind w:left="0"/>
              <w:rPr>
                <w:i/>
              </w:rPr>
            </w:pPr>
            <w:r w:rsidRPr="00082FBF">
              <w:rPr>
                <w:i/>
              </w:rPr>
              <w:t>Neisseria meningitidis</w:t>
            </w:r>
          </w:p>
        </w:tc>
      </w:tr>
      <w:tr w:rsidR="00801657" w:rsidRPr="00082FBF" w14:paraId="1FE0F0B1" w14:textId="77777777" w:rsidTr="00B03299">
        <w:tc>
          <w:tcPr>
            <w:tcW w:w="1980" w:type="dxa"/>
          </w:tcPr>
          <w:p w14:paraId="48E11015" w14:textId="14935559" w:rsidR="00801657" w:rsidRPr="00082FBF" w:rsidRDefault="00801657" w:rsidP="00302400">
            <w:pPr>
              <w:ind w:left="0"/>
            </w:pPr>
            <w:r w:rsidRPr="00082FBF">
              <w:t>NIP</w:t>
            </w:r>
          </w:p>
        </w:tc>
        <w:tc>
          <w:tcPr>
            <w:tcW w:w="6514" w:type="dxa"/>
          </w:tcPr>
          <w:p w14:paraId="7D32C5F3" w14:textId="5D58390A" w:rsidR="00801657" w:rsidRPr="00082FBF" w:rsidRDefault="00801657" w:rsidP="00302400">
            <w:pPr>
              <w:ind w:left="0"/>
            </w:pPr>
            <w:r w:rsidRPr="00082FBF">
              <w:t>National immunisation program</w:t>
            </w:r>
          </w:p>
        </w:tc>
      </w:tr>
      <w:tr w:rsidR="00940E82" w:rsidRPr="00082FBF" w14:paraId="3AC4AA6B" w14:textId="77777777" w:rsidTr="00B03299">
        <w:tc>
          <w:tcPr>
            <w:tcW w:w="1980" w:type="dxa"/>
          </w:tcPr>
          <w:p w14:paraId="2001F5CA" w14:textId="094BB9CD" w:rsidR="00940E82" w:rsidRPr="00082FBF" w:rsidRDefault="00940E82" w:rsidP="00302400">
            <w:pPr>
              <w:ind w:left="0"/>
            </w:pPr>
            <w:r w:rsidRPr="00082FBF">
              <w:t>PBRER</w:t>
            </w:r>
          </w:p>
        </w:tc>
        <w:tc>
          <w:tcPr>
            <w:tcW w:w="6514" w:type="dxa"/>
          </w:tcPr>
          <w:p w14:paraId="063F058D" w14:textId="430C498C" w:rsidR="00940E82" w:rsidRPr="00082FBF" w:rsidRDefault="00940E82" w:rsidP="00302400">
            <w:pPr>
              <w:ind w:left="0"/>
            </w:pPr>
            <w:r w:rsidRPr="00082FBF">
              <w:t>Periodic benefit risk evaluation report</w:t>
            </w:r>
          </w:p>
        </w:tc>
      </w:tr>
      <w:tr w:rsidR="007F52A9" w:rsidRPr="00082FBF" w14:paraId="5E518093" w14:textId="77777777" w:rsidTr="00B03299">
        <w:tc>
          <w:tcPr>
            <w:tcW w:w="1980" w:type="dxa"/>
          </w:tcPr>
          <w:p w14:paraId="519030E8" w14:textId="77777777" w:rsidR="007F52A9" w:rsidRPr="00082FBF" w:rsidRDefault="007F52A9" w:rsidP="00302400">
            <w:pPr>
              <w:ind w:left="0"/>
            </w:pPr>
            <w:r w:rsidRPr="00082FBF">
              <w:t>PI</w:t>
            </w:r>
          </w:p>
        </w:tc>
        <w:tc>
          <w:tcPr>
            <w:tcW w:w="6514" w:type="dxa"/>
          </w:tcPr>
          <w:p w14:paraId="23B127D3" w14:textId="77777777" w:rsidR="007F52A9" w:rsidRPr="00082FBF" w:rsidRDefault="007F52A9" w:rsidP="00302400">
            <w:pPr>
              <w:ind w:left="0"/>
            </w:pPr>
            <w:r w:rsidRPr="00082FBF">
              <w:t>Product Information</w:t>
            </w:r>
          </w:p>
        </w:tc>
      </w:tr>
      <w:tr w:rsidR="007F52A9" w:rsidRPr="00082FBF" w14:paraId="1CF283D1" w14:textId="77777777" w:rsidTr="00B03299">
        <w:tc>
          <w:tcPr>
            <w:tcW w:w="1980" w:type="dxa"/>
          </w:tcPr>
          <w:p w14:paraId="192E89F3" w14:textId="77777777" w:rsidR="007F52A9" w:rsidRPr="00082FBF" w:rsidRDefault="007F52A9" w:rsidP="00302400">
            <w:pPr>
              <w:ind w:left="0"/>
            </w:pPr>
            <w:r w:rsidRPr="00082FBF">
              <w:t>PPAS</w:t>
            </w:r>
          </w:p>
        </w:tc>
        <w:tc>
          <w:tcPr>
            <w:tcW w:w="6514" w:type="dxa"/>
          </w:tcPr>
          <w:p w14:paraId="296EDBC9" w14:textId="77777777" w:rsidR="007F52A9" w:rsidRPr="00082FBF" w:rsidRDefault="007F52A9" w:rsidP="00302400">
            <w:pPr>
              <w:ind w:left="0"/>
            </w:pPr>
            <w:r w:rsidRPr="00082FBF">
              <w:t>Per-protocol analysis set</w:t>
            </w:r>
          </w:p>
        </w:tc>
      </w:tr>
      <w:tr w:rsidR="007F52A9" w:rsidRPr="00082FBF" w14:paraId="02395100" w14:textId="77777777" w:rsidTr="00B03299">
        <w:tc>
          <w:tcPr>
            <w:tcW w:w="1980" w:type="dxa"/>
          </w:tcPr>
          <w:p w14:paraId="54BD065E" w14:textId="697FFBDD" w:rsidR="007F52A9" w:rsidRPr="00082FBF" w:rsidRDefault="00BA6992" w:rsidP="00302400">
            <w:pPr>
              <w:ind w:left="0"/>
            </w:pPr>
            <w:r w:rsidRPr="00082FBF">
              <w:t>PSUR</w:t>
            </w:r>
          </w:p>
        </w:tc>
        <w:tc>
          <w:tcPr>
            <w:tcW w:w="6514" w:type="dxa"/>
          </w:tcPr>
          <w:p w14:paraId="72AA16CB" w14:textId="0F8DCBD0" w:rsidR="007F52A9" w:rsidRPr="00082FBF" w:rsidRDefault="00BA6992" w:rsidP="00302400">
            <w:pPr>
              <w:ind w:left="0"/>
            </w:pPr>
            <w:r w:rsidRPr="00082FBF">
              <w:t>Periodic safety update report</w:t>
            </w:r>
          </w:p>
        </w:tc>
      </w:tr>
      <w:tr w:rsidR="007F52A9" w:rsidRPr="00082FBF" w14:paraId="1CDD7665" w14:textId="77777777" w:rsidTr="00B03299">
        <w:tc>
          <w:tcPr>
            <w:tcW w:w="1980" w:type="dxa"/>
          </w:tcPr>
          <w:p w14:paraId="3B5BAB55" w14:textId="77777777" w:rsidR="007F52A9" w:rsidRPr="00082FBF" w:rsidRDefault="007F52A9" w:rsidP="00302400">
            <w:pPr>
              <w:ind w:left="0"/>
            </w:pPr>
            <w:r w:rsidRPr="00082FBF">
              <w:t>RMP</w:t>
            </w:r>
          </w:p>
        </w:tc>
        <w:tc>
          <w:tcPr>
            <w:tcW w:w="6514" w:type="dxa"/>
          </w:tcPr>
          <w:p w14:paraId="46C8B53B" w14:textId="31048949" w:rsidR="007F52A9" w:rsidRPr="00082FBF" w:rsidRDefault="007F52A9" w:rsidP="00302400">
            <w:pPr>
              <w:ind w:left="0"/>
            </w:pPr>
            <w:r w:rsidRPr="00082FBF">
              <w:t xml:space="preserve">Risk </w:t>
            </w:r>
            <w:r w:rsidR="00B03299" w:rsidRPr="00082FBF">
              <w:t>management plan</w:t>
            </w:r>
          </w:p>
        </w:tc>
      </w:tr>
      <w:tr w:rsidR="007F52A9" w:rsidRPr="00082FBF" w14:paraId="021F5995" w14:textId="77777777" w:rsidTr="00B03299">
        <w:tc>
          <w:tcPr>
            <w:tcW w:w="1980" w:type="dxa"/>
          </w:tcPr>
          <w:p w14:paraId="32670924" w14:textId="77777777" w:rsidR="007F52A9" w:rsidRPr="00082FBF" w:rsidRDefault="007F52A9" w:rsidP="00302400">
            <w:pPr>
              <w:ind w:left="0"/>
            </w:pPr>
            <w:r w:rsidRPr="00082FBF">
              <w:t>SAE</w:t>
            </w:r>
          </w:p>
        </w:tc>
        <w:tc>
          <w:tcPr>
            <w:tcW w:w="6514" w:type="dxa"/>
          </w:tcPr>
          <w:p w14:paraId="35D687AA" w14:textId="77777777" w:rsidR="007F52A9" w:rsidRPr="00082FBF" w:rsidRDefault="007F52A9" w:rsidP="00302400">
            <w:pPr>
              <w:ind w:left="0"/>
            </w:pPr>
            <w:r w:rsidRPr="00082FBF">
              <w:t>Serious adverse event</w:t>
            </w:r>
          </w:p>
        </w:tc>
      </w:tr>
      <w:tr w:rsidR="007F52A9" w:rsidRPr="00082FBF" w14:paraId="210D6CCB" w14:textId="77777777" w:rsidTr="00B03299">
        <w:tc>
          <w:tcPr>
            <w:tcW w:w="1980" w:type="dxa"/>
          </w:tcPr>
          <w:p w14:paraId="3C1E6671" w14:textId="77777777" w:rsidR="007F52A9" w:rsidRPr="00082FBF" w:rsidRDefault="007F52A9" w:rsidP="00302400">
            <w:pPr>
              <w:ind w:left="0"/>
            </w:pPr>
            <w:r w:rsidRPr="00082FBF">
              <w:t>Tdap</w:t>
            </w:r>
          </w:p>
        </w:tc>
        <w:tc>
          <w:tcPr>
            <w:tcW w:w="6514" w:type="dxa"/>
          </w:tcPr>
          <w:p w14:paraId="754CDED4" w14:textId="4B7CC6CB" w:rsidR="007F52A9" w:rsidRPr="00082FBF" w:rsidRDefault="007F52A9" w:rsidP="00302400">
            <w:pPr>
              <w:ind w:left="0"/>
            </w:pPr>
            <w:r w:rsidRPr="00082FBF">
              <w:t>Tetanus</w:t>
            </w:r>
            <w:r w:rsidR="008B1985" w:rsidRPr="00082FBF">
              <w:t xml:space="preserve"> diphtheria acellular pertussis</w:t>
            </w:r>
          </w:p>
        </w:tc>
      </w:tr>
      <w:tr w:rsidR="00597BDC" w:rsidRPr="00082FBF" w14:paraId="667EDCD0" w14:textId="77777777" w:rsidTr="00B03299">
        <w:tc>
          <w:tcPr>
            <w:tcW w:w="1980" w:type="dxa"/>
          </w:tcPr>
          <w:p w14:paraId="4A100B3C" w14:textId="3FD41F15" w:rsidR="00597BDC" w:rsidRPr="00082FBF" w:rsidRDefault="00597BDC" w:rsidP="00302400">
            <w:pPr>
              <w:ind w:left="0"/>
            </w:pPr>
            <w:r w:rsidRPr="00082FBF">
              <w:t>TGA</w:t>
            </w:r>
          </w:p>
        </w:tc>
        <w:tc>
          <w:tcPr>
            <w:tcW w:w="6514" w:type="dxa"/>
          </w:tcPr>
          <w:p w14:paraId="648BE937" w14:textId="5E38DD81" w:rsidR="00597BDC" w:rsidRPr="00082FBF" w:rsidRDefault="00597BDC" w:rsidP="00302400">
            <w:pPr>
              <w:ind w:left="0"/>
            </w:pPr>
            <w:r w:rsidRPr="00082FBF">
              <w:t>Therapeutic Goods Administration</w:t>
            </w:r>
          </w:p>
        </w:tc>
      </w:tr>
      <w:tr w:rsidR="00234A6E" w:rsidRPr="00082FBF" w14:paraId="01ABA289" w14:textId="77777777" w:rsidTr="00B03299">
        <w:tc>
          <w:tcPr>
            <w:tcW w:w="1980" w:type="dxa"/>
          </w:tcPr>
          <w:p w14:paraId="66523225" w14:textId="30D3E0A0" w:rsidR="00234A6E" w:rsidRPr="00082FBF" w:rsidRDefault="00234A6E" w:rsidP="00302400">
            <w:pPr>
              <w:ind w:left="0"/>
            </w:pPr>
            <w:r w:rsidRPr="00082FBF">
              <w:t>US</w:t>
            </w:r>
            <w:r w:rsidR="00175478">
              <w:t>(</w:t>
            </w:r>
            <w:r w:rsidRPr="00082FBF">
              <w:t>A</w:t>
            </w:r>
            <w:r w:rsidR="00175478">
              <w:t>)</w:t>
            </w:r>
          </w:p>
        </w:tc>
        <w:tc>
          <w:tcPr>
            <w:tcW w:w="6514" w:type="dxa"/>
          </w:tcPr>
          <w:p w14:paraId="7A5A9FA6" w14:textId="66DDC1DF" w:rsidR="00234A6E" w:rsidRPr="00082FBF" w:rsidRDefault="00234A6E" w:rsidP="00302400">
            <w:pPr>
              <w:ind w:left="0"/>
            </w:pPr>
            <w:r w:rsidRPr="00082FBF">
              <w:t xml:space="preserve">United States </w:t>
            </w:r>
            <w:r w:rsidR="00175478">
              <w:t>(</w:t>
            </w:r>
            <w:r w:rsidRPr="00082FBF">
              <w:t>of America</w:t>
            </w:r>
            <w:r w:rsidR="00175478">
              <w:t>)</w:t>
            </w:r>
          </w:p>
        </w:tc>
      </w:tr>
      <w:tr w:rsidR="00597BDC" w:rsidRPr="00082FBF" w14:paraId="16380C23" w14:textId="77777777" w:rsidTr="00B03299">
        <w:tc>
          <w:tcPr>
            <w:tcW w:w="1980" w:type="dxa"/>
          </w:tcPr>
          <w:p w14:paraId="03FCD8D6" w14:textId="004D116B" w:rsidR="00597BDC" w:rsidRPr="00082FBF" w:rsidRDefault="00597BDC" w:rsidP="00302400">
            <w:pPr>
              <w:ind w:left="0"/>
            </w:pPr>
            <w:r w:rsidRPr="00082FBF">
              <w:t>PRISM</w:t>
            </w:r>
          </w:p>
        </w:tc>
        <w:tc>
          <w:tcPr>
            <w:tcW w:w="6514" w:type="dxa"/>
          </w:tcPr>
          <w:p w14:paraId="16174829" w14:textId="77A41FD5" w:rsidR="00597BDC" w:rsidRPr="00082FBF" w:rsidRDefault="00175478" w:rsidP="00302400">
            <w:pPr>
              <w:ind w:left="0"/>
            </w:pPr>
            <w:r>
              <w:t>P</w:t>
            </w:r>
            <w:r w:rsidR="00597BDC" w:rsidRPr="00082FBF">
              <w:t xml:space="preserve">ost-licensure </w:t>
            </w:r>
            <w:r>
              <w:t>R</w:t>
            </w:r>
            <w:r w:rsidR="00597BDC" w:rsidRPr="00082FBF">
              <w:t xml:space="preserve">apid </w:t>
            </w:r>
            <w:r>
              <w:t>I</w:t>
            </w:r>
            <w:r w:rsidR="00597BDC" w:rsidRPr="00082FBF">
              <w:t xml:space="preserve">mmunization </w:t>
            </w:r>
            <w:r>
              <w:t>S</w:t>
            </w:r>
            <w:r w:rsidR="00597BDC" w:rsidRPr="00082FBF">
              <w:t xml:space="preserve">afety </w:t>
            </w:r>
            <w:r>
              <w:t>M</w:t>
            </w:r>
            <w:r w:rsidR="00597BDC" w:rsidRPr="00082FBF">
              <w:t xml:space="preserve">onitoring </w:t>
            </w:r>
            <w:r>
              <w:t>program (Food and Drug Administration; United States)</w:t>
            </w:r>
          </w:p>
        </w:tc>
      </w:tr>
      <w:tr w:rsidR="007F52A9" w:rsidRPr="00082FBF" w14:paraId="2B69B3B9" w14:textId="77777777" w:rsidTr="00B03299">
        <w:tc>
          <w:tcPr>
            <w:tcW w:w="1980" w:type="dxa"/>
          </w:tcPr>
          <w:p w14:paraId="2CF33DF3" w14:textId="77777777" w:rsidR="007F52A9" w:rsidRPr="00082FBF" w:rsidRDefault="007F52A9" w:rsidP="00302400">
            <w:pPr>
              <w:ind w:left="0"/>
            </w:pPr>
            <w:r w:rsidRPr="00082FBF">
              <w:t>WHO</w:t>
            </w:r>
          </w:p>
        </w:tc>
        <w:tc>
          <w:tcPr>
            <w:tcW w:w="6514" w:type="dxa"/>
          </w:tcPr>
          <w:p w14:paraId="0A9C5B5D" w14:textId="673AF8B9" w:rsidR="007F52A9" w:rsidRPr="00082FBF" w:rsidRDefault="007F52A9" w:rsidP="00302400">
            <w:pPr>
              <w:ind w:left="0"/>
            </w:pPr>
            <w:r w:rsidRPr="00082FBF">
              <w:t>World Health Organi</w:t>
            </w:r>
            <w:r w:rsidR="00175478">
              <w:t>z</w:t>
            </w:r>
            <w:r w:rsidRPr="00082FBF">
              <w:t>ation</w:t>
            </w:r>
          </w:p>
        </w:tc>
      </w:tr>
    </w:tbl>
    <w:p w14:paraId="1120937E" w14:textId="77777777" w:rsidR="00FD119B" w:rsidRPr="00082FBF" w:rsidRDefault="00FD119B" w:rsidP="00FD119B"/>
    <w:p w14:paraId="29C70B59" w14:textId="77777777" w:rsidR="00FD119B" w:rsidRPr="00082FBF" w:rsidRDefault="00FD119B" w:rsidP="00FD119B">
      <w:pPr>
        <w:spacing w:before="0" w:after="200" w:line="0" w:lineRule="auto"/>
        <w:rPr>
          <w:b/>
          <w:i/>
          <w:sz w:val="24"/>
          <w:szCs w:val="24"/>
        </w:rPr>
      </w:pPr>
      <w:r w:rsidRPr="00082FBF">
        <w:rPr>
          <w:b/>
          <w:i/>
          <w:sz w:val="24"/>
          <w:szCs w:val="24"/>
        </w:rPr>
        <w:br w:type="page"/>
      </w:r>
    </w:p>
    <w:p w14:paraId="540B2ADD" w14:textId="77777777" w:rsidR="008E7846" w:rsidRPr="00082FBF" w:rsidRDefault="00F53C07" w:rsidP="008E7846">
      <w:pPr>
        <w:pStyle w:val="Heading2"/>
      </w:pPr>
      <w:bookmarkStart w:id="9" w:name="_Toc67390274"/>
      <w:r w:rsidRPr="00082FBF">
        <w:t>I.</w:t>
      </w:r>
      <w:r w:rsidR="008E7846" w:rsidRPr="00082FBF">
        <w:t xml:space="preserve"> Introduction to product submission</w:t>
      </w:r>
      <w:bookmarkEnd w:id="9"/>
      <w:bookmarkEnd w:id="3"/>
      <w:bookmarkEnd w:id="1"/>
    </w:p>
    <w:p w14:paraId="4B783418" w14:textId="77777777" w:rsidR="008E7846" w:rsidRPr="00082FBF" w:rsidRDefault="008E7846" w:rsidP="008E7846">
      <w:pPr>
        <w:pStyle w:val="Heading3"/>
        <w:rPr>
          <w:lang w:eastAsia="en-AU"/>
        </w:rPr>
      </w:pPr>
      <w:bookmarkStart w:id="10" w:name="_Toc247691502"/>
      <w:bookmarkStart w:id="11" w:name="_Toc314842483"/>
      <w:bookmarkStart w:id="12" w:name="_Toc67390275"/>
      <w:r w:rsidRPr="00082FBF">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082FBF" w14:paraId="12F35ADA" w14:textId="77777777" w:rsidTr="003735BC">
        <w:tc>
          <w:tcPr>
            <w:tcW w:w="2907" w:type="dxa"/>
          </w:tcPr>
          <w:p w14:paraId="5D7349BE" w14:textId="77777777" w:rsidR="008E7846" w:rsidRPr="00082FBF" w:rsidRDefault="001B5C90" w:rsidP="001B5C90">
            <w:pPr>
              <w:rPr>
                <w:i/>
              </w:rPr>
            </w:pPr>
            <w:r w:rsidRPr="00082FBF">
              <w:rPr>
                <w:i/>
              </w:rPr>
              <w:t>Type of s</w:t>
            </w:r>
            <w:r w:rsidR="008E7846" w:rsidRPr="00082FBF">
              <w:rPr>
                <w:i/>
              </w:rPr>
              <w:t>ubmission</w:t>
            </w:r>
            <w:r w:rsidRPr="00082FBF">
              <w:rPr>
                <w:i/>
              </w:rPr>
              <w:t>:</w:t>
            </w:r>
          </w:p>
        </w:tc>
        <w:tc>
          <w:tcPr>
            <w:tcW w:w="6307" w:type="dxa"/>
          </w:tcPr>
          <w:p w14:paraId="2AE0F3BD" w14:textId="77777777" w:rsidR="008E7846" w:rsidRPr="00082FBF" w:rsidRDefault="005D0109" w:rsidP="001B5C90">
            <w:r w:rsidRPr="00082FBF">
              <w:t>New biological entity</w:t>
            </w:r>
          </w:p>
        </w:tc>
      </w:tr>
      <w:tr w:rsidR="00460036" w:rsidRPr="00082FBF" w14:paraId="5C976A63" w14:textId="77777777" w:rsidTr="003735BC">
        <w:tc>
          <w:tcPr>
            <w:tcW w:w="2907" w:type="dxa"/>
          </w:tcPr>
          <w:p w14:paraId="1CF111B9" w14:textId="4FA6EABE" w:rsidR="00460036" w:rsidRPr="00082FBF" w:rsidRDefault="00466C3D" w:rsidP="00466C3D">
            <w:pPr>
              <w:rPr>
                <w:i/>
              </w:rPr>
            </w:pPr>
            <w:r w:rsidRPr="00082FBF">
              <w:rPr>
                <w:i/>
              </w:rPr>
              <w:t>Product name</w:t>
            </w:r>
            <w:r w:rsidR="00460036" w:rsidRPr="00082FBF">
              <w:rPr>
                <w:i/>
              </w:rPr>
              <w:t>:</w:t>
            </w:r>
          </w:p>
        </w:tc>
        <w:tc>
          <w:tcPr>
            <w:tcW w:w="6307" w:type="dxa"/>
          </w:tcPr>
          <w:p w14:paraId="6741A658" w14:textId="77777777" w:rsidR="00460036" w:rsidRPr="00082FBF" w:rsidRDefault="00364F82" w:rsidP="001B5C90">
            <w:r w:rsidRPr="00082FBF">
              <w:t>MenQuadfi</w:t>
            </w:r>
          </w:p>
        </w:tc>
      </w:tr>
      <w:tr w:rsidR="00460036" w:rsidRPr="00082FBF" w14:paraId="27465CEE" w14:textId="77777777" w:rsidTr="003735BC">
        <w:tc>
          <w:tcPr>
            <w:tcW w:w="2907" w:type="dxa"/>
          </w:tcPr>
          <w:p w14:paraId="37D951CD" w14:textId="28A73B51" w:rsidR="00460036" w:rsidRPr="00082FBF" w:rsidRDefault="00460036" w:rsidP="00466C3D">
            <w:pPr>
              <w:rPr>
                <w:i/>
              </w:rPr>
            </w:pPr>
            <w:r w:rsidRPr="00082FBF">
              <w:rPr>
                <w:i/>
              </w:rPr>
              <w:t>Active ingredients:</w:t>
            </w:r>
          </w:p>
        </w:tc>
        <w:tc>
          <w:tcPr>
            <w:tcW w:w="6307" w:type="dxa"/>
          </w:tcPr>
          <w:p w14:paraId="2723E64A" w14:textId="76862680" w:rsidR="003674DC" w:rsidRPr="00082FBF" w:rsidRDefault="00E13D1D" w:rsidP="001B5C90">
            <w:r>
              <w:t>Meningococcal (g</w:t>
            </w:r>
            <w:r w:rsidRPr="00E13D1D">
              <w:t>roups A, C, Y, W) polysaccharide tetanus toxoid conjugate vaccine</w:t>
            </w:r>
          </w:p>
        </w:tc>
      </w:tr>
      <w:tr w:rsidR="008E7846" w:rsidRPr="00082FBF" w14:paraId="7C97F1C3" w14:textId="77777777" w:rsidTr="003735BC">
        <w:tc>
          <w:tcPr>
            <w:tcW w:w="2907" w:type="dxa"/>
          </w:tcPr>
          <w:p w14:paraId="5167EB34" w14:textId="77777777" w:rsidR="008E7846" w:rsidRPr="00082FBF" w:rsidRDefault="008E7846" w:rsidP="003D1E62">
            <w:r w:rsidRPr="00082FBF">
              <w:rPr>
                <w:i/>
              </w:rPr>
              <w:t>Decision</w:t>
            </w:r>
            <w:r w:rsidRPr="00082FBF">
              <w:t>:</w:t>
            </w:r>
          </w:p>
        </w:tc>
        <w:tc>
          <w:tcPr>
            <w:tcW w:w="6307" w:type="dxa"/>
          </w:tcPr>
          <w:p w14:paraId="1AB71471" w14:textId="77777777" w:rsidR="008E7846" w:rsidRPr="00082FBF" w:rsidRDefault="0019608B" w:rsidP="0019608B">
            <w:r w:rsidRPr="00082FBF">
              <w:t>Approved</w:t>
            </w:r>
          </w:p>
        </w:tc>
      </w:tr>
      <w:tr w:rsidR="008E7846" w:rsidRPr="00082FBF" w14:paraId="353A32BA" w14:textId="77777777" w:rsidTr="003735BC">
        <w:tc>
          <w:tcPr>
            <w:tcW w:w="2907" w:type="dxa"/>
          </w:tcPr>
          <w:p w14:paraId="6C22C750" w14:textId="77777777" w:rsidR="008E7846" w:rsidRPr="00082FBF" w:rsidRDefault="008E7846" w:rsidP="001B5C90">
            <w:pPr>
              <w:rPr>
                <w:i/>
              </w:rPr>
            </w:pPr>
            <w:r w:rsidRPr="00082FBF">
              <w:rPr>
                <w:i/>
              </w:rPr>
              <w:t xml:space="preserve">Date of </w:t>
            </w:r>
            <w:r w:rsidR="001B5C90" w:rsidRPr="00082FBF">
              <w:rPr>
                <w:i/>
              </w:rPr>
              <w:t>d</w:t>
            </w:r>
            <w:r w:rsidRPr="00082FBF">
              <w:rPr>
                <w:i/>
              </w:rPr>
              <w:t>ecision:</w:t>
            </w:r>
          </w:p>
        </w:tc>
        <w:tc>
          <w:tcPr>
            <w:tcW w:w="6307" w:type="dxa"/>
          </w:tcPr>
          <w:p w14:paraId="0D454379" w14:textId="77777777" w:rsidR="008E7846" w:rsidRPr="00082FBF" w:rsidRDefault="0019608B" w:rsidP="001B5C90">
            <w:r w:rsidRPr="00082FBF">
              <w:t>27 October 2020</w:t>
            </w:r>
          </w:p>
        </w:tc>
      </w:tr>
      <w:tr w:rsidR="00ED2922" w:rsidRPr="00082FBF" w14:paraId="3B8E22CD" w14:textId="77777777" w:rsidTr="003735BC">
        <w:tc>
          <w:tcPr>
            <w:tcW w:w="2907" w:type="dxa"/>
          </w:tcPr>
          <w:p w14:paraId="14B8E523" w14:textId="77777777" w:rsidR="00ED2922" w:rsidRPr="00082FBF" w:rsidRDefault="00ED2922" w:rsidP="001B5C90">
            <w:pPr>
              <w:rPr>
                <w:i/>
              </w:rPr>
            </w:pPr>
            <w:r w:rsidRPr="00082FBF">
              <w:rPr>
                <w:i/>
              </w:rPr>
              <w:t>Date of entry onto ARTG</w:t>
            </w:r>
            <w:r w:rsidR="00500337" w:rsidRPr="00082FBF">
              <w:rPr>
                <w:i/>
              </w:rPr>
              <w:t>:</w:t>
            </w:r>
          </w:p>
        </w:tc>
        <w:tc>
          <w:tcPr>
            <w:tcW w:w="6307" w:type="dxa"/>
          </w:tcPr>
          <w:p w14:paraId="143B21D8" w14:textId="77777777" w:rsidR="00ED2922" w:rsidRPr="00082FBF" w:rsidRDefault="0019608B" w:rsidP="00D153D8">
            <w:pPr>
              <w:rPr>
                <w:i/>
              </w:rPr>
            </w:pPr>
            <w:r w:rsidRPr="00082FBF">
              <w:t>29 October 2020</w:t>
            </w:r>
          </w:p>
        </w:tc>
      </w:tr>
      <w:tr w:rsidR="00500337" w:rsidRPr="00082FBF" w14:paraId="0F159C10" w14:textId="77777777" w:rsidTr="003735BC">
        <w:tc>
          <w:tcPr>
            <w:tcW w:w="2907" w:type="dxa"/>
          </w:tcPr>
          <w:p w14:paraId="56D9E950" w14:textId="4D6521F1" w:rsidR="00500337" w:rsidRPr="00082FBF" w:rsidRDefault="00500337" w:rsidP="00466C3D">
            <w:pPr>
              <w:rPr>
                <w:i/>
              </w:rPr>
            </w:pPr>
            <w:r w:rsidRPr="00082FBF">
              <w:rPr>
                <w:i/>
              </w:rPr>
              <w:t>ARTG number:</w:t>
            </w:r>
          </w:p>
        </w:tc>
        <w:tc>
          <w:tcPr>
            <w:tcW w:w="6307" w:type="dxa"/>
          </w:tcPr>
          <w:p w14:paraId="00D88FE9" w14:textId="77777777" w:rsidR="00500337" w:rsidRPr="00082FBF" w:rsidRDefault="0019608B" w:rsidP="00EC463D">
            <w:r w:rsidRPr="00082FBF">
              <w:t>325682</w:t>
            </w:r>
          </w:p>
        </w:tc>
      </w:tr>
      <w:tr w:rsidR="003735BC" w:rsidRPr="00082FBF" w14:paraId="20A80409" w14:textId="77777777" w:rsidTr="003735BC">
        <w:tc>
          <w:tcPr>
            <w:tcW w:w="2907" w:type="dxa"/>
          </w:tcPr>
          <w:p w14:paraId="4B10D10E" w14:textId="77777777" w:rsidR="003735BC" w:rsidRPr="00082FBF" w:rsidRDefault="00FA5069" w:rsidP="001B5C90">
            <w:pPr>
              <w:rPr>
                <w:i/>
              </w:rPr>
            </w:pPr>
            <w:r w:rsidRPr="00082FBF">
              <w:rPr>
                <w:rFonts w:ascii="Wingdings 3" w:hAnsi="Wingdings 3"/>
                <w:sz w:val="34"/>
                <w:szCs w:val="34"/>
                <w:lang w:eastAsia="en-AU"/>
              </w:rPr>
              <w:t></w:t>
            </w:r>
            <w:r w:rsidR="003735BC" w:rsidRPr="00082FBF">
              <w:rPr>
                <w:i/>
              </w:rPr>
              <w:t>Black Triangle Scheme</w:t>
            </w:r>
            <w:r w:rsidR="004C4FBE" w:rsidRPr="00082FBF">
              <w:rPr>
                <w:i/>
              </w:rPr>
              <w:t>:</w:t>
            </w:r>
            <w:r w:rsidR="00460036" w:rsidRPr="00082FBF">
              <w:rPr>
                <w:rStyle w:val="FootnoteReference"/>
                <w:i/>
              </w:rPr>
              <w:footnoteReference w:id="1"/>
            </w:r>
          </w:p>
        </w:tc>
        <w:tc>
          <w:tcPr>
            <w:tcW w:w="6307" w:type="dxa"/>
          </w:tcPr>
          <w:p w14:paraId="5F30D0C0" w14:textId="77777777" w:rsidR="003735BC" w:rsidRPr="00082FBF" w:rsidRDefault="0019608B" w:rsidP="003735BC">
            <w:r w:rsidRPr="00082FBF">
              <w:t>Yes</w:t>
            </w:r>
          </w:p>
          <w:p w14:paraId="6EC542FE" w14:textId="2B52AAB0" w:rsidR="003735BC" w:rsidRPr="00082FBF" w:rsidRDefault="003735BC" w:rsidP="003735BC">
            <w:r w:rsidRPr="00082FBF">
              <w:t>This product</w:t>
            </w:r>
            <w:r w:rsidR="00146B11" w:rsidRPr="00082FBF">
              <w:t xml:space="preserve"> will remain in the scheme for five</w:t>
            </w:r>
            <w:r w:rsidRPr="00082FBF">
              <w:t xml:space="preserve"> years, starting on the date the product is first supplied in </w:t>
            </w:r>
            <w:r w:rsidR="0019608B" w:rsidRPr="00082FBF">
              <w:t>Australia.</w:t>
            </w:r>
          </w:p>
        </w:tc>
      </w:tr>
      <w:tr w:rsidR="008E7846" w:rsidRPr="00082FBF" w14:paraId="2B3FE8C5" w14:textId="77777777" w:rsidTr="00BF1190">
        <w:tc>
          <w:tcPr>
            <w:tcW w:w="2907" w:type="dxa"/>
          </w:tcPr>
          <w:p w14:paraId="68AF8730" w14:textId="77777777" w:rsidR="008E7846" w:rsidRPr="00082FBF" w:rsidRDefault="008E7846" w:rsidP="001B5C90">
            <w:pPr>
              <w:rPr>
                <w:i/>
              </w:rPr>
            </w:pPr>
            <w:r w:rsidRPr="00082FBF">
              <w:rPr>
                <w:i/>
              </w:rPr>
              <w:t xml:space="preserve">Sponsor’s </w:t>
            </w:r>
            <w:r w:rsidR="001B5C90" w:rsidRPr="00082FBF">
              <w:rPr>
                <w:i/>
              </w:rPr>
              <w:t>n</w:t>
            </w:r>
            <w:r w:rsidRPr="00082FBF">
              <w:rPr>
                <w:i/>
              </w:rPr>
              <w:t xml:space="preserve">ame and </w:t>
            </w:r>
            <w:r w:rsidR="001B5C90" w:rsidRPr="00082FBF">
              <w:rPr>
                <w:i/>
              </w:rPr>
              <w:t>a</w:t>
            </w:r>
            <w:r w:rsidRPr="00082FBF">
              <w:rPr>
                <w:i/>
              </w:rPr>
              <w:t>ddress:</w:t>
            </w:r>
          </w:p>
        </w:tc>
        <w:tc>
          <w:tcPr>
            <w:tcW w:w="6307" w:type="dxa"/>
          </w:tcPr>
          <w:p w14:paraId="30E225F0" w14:textId="77777777" w:rsidR="0019608B" w:rsidRPr="00082FBF" w:rsidRDefault="0019608B" w:rsidP="0019608B">
            <w:r w:rsidRPr="00082FBF">
              <w:t>Sanofi-Aventis Australia Pty Ltd</w:t>
            </w:r>
          </w:p>
          <w:p w14:paraId="6ED6386F" w14:textId="77777777" w:rsidR="008E7846" w:rsidRPr="00082FBF" w:rsidRDefault="0019608B" w:rsidP="0019608B">
            <w:r w:rsidRPr="00082FBF">
              <w:t>Talavera Corporate Centre, Building D, 12-24 Talavera Road, Macquarie Park NSW 2113</w:t>
            </w:r>
          </w:p>
        </w:tc>
      </w:tr>
      <w:tr w:rsidR="008E7846" w:rsidRPr="00082FBF" w14:paraId="4A522BF6" w14:textId="77777777" w:rsidTr="00BF1190">
        <w:tc>
          <w:tcPr>
            <w:tcW w:w="2907" w:type="dxa"/>
          </w:tcPr>
          <w:p w14:paraId="4DD19D84" w14:textId="50606B22" w:rsidR="008E7846" w:rsidRPr="00082FBF" w:rsidRDefault="001B5C90" w:rsidP="00466C3D">
            <w:pPr>
              <w:rPr>
                <w:i/>
              </w:rPr>
            </w:pPr>
            <w:r w:rsidRPr="00082FBF">
              <w:rPr>
                <w:i/>
              </w:rPr>
              <w:t>Dose form:</w:t>
            </w:r>
          </w:p>
        </w:tc>
        <w:tc>
          <w:tcPr>
            <w:tcW w:w="6307" w:type="dxa"/>
          </w:tcPr>
          <w:p w14:paraId="7D94A385" w14:textId="77777777" w:rsidR="008E7846" w:rsidRPr="00082FBF" w:rsidRDefault="0019608B" w:rsidP="00E45619">
            <w:r w:rsidRPr="00082FBF">
              <w:t>Solution for injection</w:t>
            </w:r>
          </w:p>
        </w:tc>
      </w:tr>
      <w:tr w:rsidR="008E7846" w:rsidRPr="00082FBF" w14:paraId="25F1C446" w14:textId="77777777" w:rsidTr="00BF1190">
        <w:tc>
          <w:tcPr>
            <w:tcW w:w="2907" w:type="dxa"/>
          </w:tcPr>
          <w:p w14:paraId="4D6D65F1" w14:textId="0CC83265" w:rsidR="008E7846" w:rsidRPr="00082FBF" w:rsidRDefault="00324E45" w:rsidP="00466C3D">
            <w:pPr>
              <w:rPr>
                <w:i/>
              </w:rPr>
            </w:pPr>
            <w:r w:rsidRPr="00082FBF">
              <w:rPr>
                <w:i/>
              </w:rPr>
              <w:t>Strengths:</w:t>
            </w:r>
          </w:p>
        </w:tc>
        <w:tc>
          <w:tcPr>
            <w:tcW w:w="6307" w:type="dxa"/>
          </w:tcPr>
          <w:p w14:paraId="3612FC51" w14:textId="7A300891" w:rsidR="0019608B" w:rsidRPr="00082FBF" w:rsidRDefault="0019608B" w:rsidP="0019608B">
            <w:r w:rsidRPr="00082FBF">
              <w:t>Each 0.5 mL dose of vaccine contains:</w:t>
            </w:r>
            <w:r w:rsidR="00B04038" w:rsidRPr="00082FBF">
              <w:t xml:space="preserve"> m</w:t>
            </w:r>
            <w:r w:rsidRPr="00082FBF">
              <w:t>eningococcal pol</w:t>
            </w:r>
            <w:r w:rsidR="00B04038" w:rsidRPr="00082FBF">
              <w:t>ysaccharide* group A 10</w:t>
            </w:r>
            <w:r w:rsidRPr="00082FBF">
              <w:t xml:space="preserve"> µg</w:t>
            </w:r>
            <w:r w:rsidR="00B04038" w:rsidRPr="00082FBF">
              <w:t>, m</w:t>
            </w:r>
            <w:r w:rsidRPr="00082FBF">
              <w:t>eningococc</w:t>
            </w:r>
            <w:r w:rsidR="008E5223" w:rsidRPr="00082FBF">
              <w:t xml:space="preserve">al </w:t>
            </w:r>
            <w:r w:rsidR="00B04038" w:rsidRPr="00082FBF">
              <w:t xml:space="preserve">polysaccharide* group C 10 </w:t>
            </w:r>
            <w:r w:rsidRPr="00082FBF">
              <w:t>µg</w:t>
            </w:r>
            <w:r w:rsidR="00B04038" w:rsidRPr="00082FBF">
              <w:t>, m</w:t>
            </w:r>
            <w:r w:rsidRPr="00082FBF">
              <w:t>eningococ</w:t>
            </w:r>
            <w:r w:rsidR="00B04038" w:rsidRPr="00082FBF">
              <w:t xml:space="preserve">cal polysaccharide* group Y 10 </w:t>
            </w:r>
            <w:r w:rsidRPr="00082FBF">
              <w:t>µg</w:t>
            </w:r>
            <w:r w:rsidR="00B04038" w:rsidRPr="00082FBF">
              <w:t>, m</w:t>
            </w:r>
            <w:r w:rsidRPr="00082FBF">
              <w:t xml:space="preserve">eningococcal </w:t>
            </w:r>
            <w:r w:rsidR="005D3B4B" w:rsidRPr="00082FBF">
              <w:t>polysaccharide* group W</w:t>
            </w:r>
            <w:r w:rsidR="00B04038" w:rsidRPr="00082FBF">
              <w:t>135 10</w:t>
            </w:r>
            <w:r w:rsidRPr="00082FBF">
              <w:t xml:space="preserve"> µg</w:t>
            </w:r>
            <w:r w:rsidR="00372819" w:rsidRPr="00082FBF">
              <w:t>.</w:t>
            </w:r>
          </w:p>
          <w:p w14:paraId="11668B11" w14:textId="2DA55CB0" w:rsidR="008E7846" w:rsidRPr="00082FBF" w:rsidRDefault="0019608B" w:rsidP="0019608B">
            <w:r w:rsidRPr="00082FBF">
              <w:t>* Each of the four polysaccharides is conjugated to teta</w:t>
            </w:r>
            <w:r w:rsidR="00372819" w:rsidRPr="00082FBF">
              <w:t>nus toxoid (approximately 55 µg</w:t>
            </w:r>
            <w:r w:rsidRPr="00082FBF">
              <w:t>/dose)</w:t>
            </w:r>
          </w:p>
        </w:tc>
      </w:tr>
      <w:tr w:rsidR="008E7846" w:rsidRPr="00082FBF" w14:paraId="5FD8EC11" w14:textId="77777777" w:rsidTr="00BF1190">
        <w:tc>
          <w:tcPr>
            <w:tcW w:w="2907" w:type="dxa"/>
          </w:tcPr>
          <w:p w14:paraId="470374A4" w14:textId="521746C8" w:rsidR="008E7846" w:rsidRPr="00082FBF" w:rsidRDefault="008E7846" w:rsidP="00466C3D">
            <w:pPr>
              <w:rPr>
                <w:i/>
              </w:rPr>
            </w:pPr>
            <w:r w:rsidRPr="00082FBF">
              <w:rPr>
                <w:i/>
              </w:rPr>
              <w:t>Container:</w:t>
            </w:r>
          </w:p>
        </w:tc>
        <w:tc>
          <w:tcPr>
            <w:tcW w:w="6307" w:type="dxa"/>
          </w:tcPr>
          <w:p w14:paraId="6A9E8ECB" w14:textId="77777777" w:rsidR="008E7846" w:rsidRPr="00082FBF" w:rsidRDefault="0019608B" w:rsidP="00E45619">
            <w:r w:rsidRPr="00082FBF">
              <w:t>Vial</w:t>
            </w:r>
          </w:p>
        </w:tc>
      </w:tr>
      <w:tr w:rsidR="008E7846" w:rsidRPr="00082FBF" w14:paraId="7B2DA223" w14:textId="77777777" w:rsidTr="00BF1190">
        <w:tc>
          <w:tcPr>
            <w:tcW w:w="2907" w:type="dxa"/>
          </w:tcPr>
          <w:p w14:paraId="1FE53EB7" w14:textId="315F4374" w:rsidR="008E7846" w:rsidRPr="00082FBF" w:rsidRDefault="008E7846" w:rsidP="00466C3D">
            <w:pPr>
              <w:rPr>
                <w:i/>
              </w:rPr>
            </w:pPr>
            <w:r w:rsidRPr="00082FBF">
              <w:rPr>
                <w:i/>
              </w:rPr>
              <w:t>Pack sizes:</w:t>
            </w:r>
          </w:p>
        </w:tc>
        <w:tc>
          <w:tcPr>
            <w:tcW w:w="6307" w:type="dxa"/>
          </w:tcPr>
          <w:p w14:paraId="38A3B398" w14:textId="1D9D5DB3" w:rsidR="008E7846" w:rsidRPr="00082FBF" w:rsidRDefault="0019608B" w:rsidP="002F0D65">
            <w:r w:rsidRPr="00082FBF">
              <w:t xml:space="preserve">One </w:t>
            </w:r>
            <w:r w:rsidR="002F0D65" w:rsidRPr="00082FBF">
              <w:t>and</w:t>
            </w:r>
            <w:r w:rsidRPr="00082FBF">
              <w:t xml:space="preserve"> five</w:t>
            </w:r>
          </w:p>
        </w:tc>
      </w:tr>
      <w:tr w:rsidR="008E7846" w:rsidRPr="00082FBF" w14:paraId="1D305BBF" w14:textId="77777777" w:rsidTr="00BF1190">
        <w:tc>
          <w:tcPr>
            <w:tcW w:w="2907" w:type="dxa"/>
          </w:tcPr>
          <w:p w14:paraId="20B20357" w14:textId="77777777" w:rsidR="008E7846" w:rsidRPr="00082FBF" w:rsidRDefault="008E7846" w:rsidP="001B5C90">
            <w:pPr>
              <w:rPr>
                <w:i/>
              </w:rPr>
            </w:pPr>
            <w:r w:rsidRPr="00082FBF">
              <w:rPr>
                <w:i/>
              </w:rPr>
              <w:t xml:space="preserve">Approved </w:t>
            </w:r>
            <w:r w:rsidR="001B5C90" w:rsidRPr="00082FBF">
              <w:rPr>
                <w:i/>
              </w:rPr>
              <w:t>t</w:t>
            </w:r>
            <w:r w:rsidRPr="00082FBF">
              <w:rPr>
                <w:i/>
              </w:rPr>
              <w:t>herapeutic use:</w:t>
            </w:r>
          </w:p>
        </w:tc>
        <w:tc>
          <w:tcPr>
            <w:tcW w:w="6307" w:type="dxa"/>
          </w:tcPr>
          <w:p w14:paraId="6836E65D" w14:textId="76CFF87F" w:rsidR="008E7846" w:rsidRPr="00082FBF" w:rsidRDefault="002F0D65" w:rsidP="002F0D65">
            <w:pPr>
              <w:rPr>
                <w:i/>
              </w:rPr>
            </w:pPr>
            <w:r w:rsidRPr="00082FBF">
              <w:rPr>
                <w:i/>
              </w:rPr>
              <w:t>MenQuadfi is indicated for active immunisation for the prevention of invasive meningococcal disease caused by Neisseria meningitidis serogroups A, C, W and Y. The use of MenQuadfi should be in accordance with official recommendations.</w:t>
            </w:r>
          </w:p>
        </w:tc>
      </w:tr>
      <w:tr w:rsidR="008E7846" w:rsidRPr="00082FBF" w14:paraId="1AD92CE1" w14:textId="77777777" w:rsidTr="00BF1190">
        <w:tc>
          <w:tcPr>
            <w:tcW w:w="2907" w:type="dxa"/>
          </w:tcPr>
          <w:p w14:paraId="633C7FAF" w14:textId="2C38A6F7" w:rsidR="008E7846" w:rsidRPr="00082FBF" w:rsidRDefault="008E7846" w:rsidP="00466C3D">
            <w:pPr>
              <w:rPr>
                <w:i/>
              </w:rPr>
            </w:pPr>
            <w:r w:rsidRPr="00082FBF">
              <w:rPr>
                <w:i/>
              </w:rPr>
              <w:t>Route of administration:</w:t>
            </w:r>
          </w:p>
        </w:tc>
        <w:tc>
          <w:tcPr>
            <w:tcW w:w="6307" w:type="dxa"/>
          </w:tcPr>
          <w:p w14:paraId="22FB397D" w14:textId="77777777" w:rsidR="008E7846" w:rsidRPr="00082FBF" w:rsidRDefault="0019608B" w:rsidP="00E45619">
            <w:r w:rsidRPr="00082FBF">
              <w:t>Intramuscular</w:t>
            </w:r>
          </w:p>
        </w:tc>
      </w:tr>
      <w:tr w:rsidR="008E7846" w:rsidRPr="00082FBF" w14:paraId="067C7B92" w14:textId="77777777" w:rsidTr="00BF1190">
        <w:tc>
          <w:tcPr>
            <w:tcW w:w="2907" w:type="dxa"/>
          </w:tcPr>
          <w:p w14:paraId="189B7D9F" w14:textId="77777777" w:rsidR="008E7846" w:rsidRPr="00082FBF" w:rsidRDefault="008E7846" w:rsidP="00E45619">
            <w:pPr>
              <w:rPr>
                <w:i/>
              </w:rPr>
            </w:pPr>
            <w:r w:rsidRPr="00082FBF">
              <w:rPr>
                <w:i/>
              </w:rPr>
              <w:t>Dosage:</w:t>
            </w:r>
          </w:p>
        </w:tc>
        <w:tc>
          <w:tcPr>
            <w:tcW w:w="6307" w:type="dxa"/>
          </w:tcPr>
          <w:p w14:paraId="202EF3FC" w14:textId="77777777" w:rsidR="0019608B" w:rsidRPr="00082FBF" w:rsidRDefault="0019608B" w:rsidP="00466C3D">
            <w:r w:rsidRPr="00082FBF">
              <w:t>MenQuadfi should be administered as a 0.5 mL single dose injection by the intramuscular route only.</w:t>
            </w:r>
          </w:p>
          <w:p w14:paraId="4452DF5E" w14:textId="4FA37277" w:rsidR="0019608B" w:rsidRPr="00082FBF" w:rsidRDefault="00CC0BCB" w:rsidP="00466C3D">
            <w:pPr>
              <w:rPr>
                <w:b/>
              </w:rPr>
            </w:pPr>
            <w:r>
              <w:rPr>
                <w:b/>
              </w:rPr>
              <w:t>Primary v</w:t>
            </w:r>
            <w:r w:rsidR="0019608B" w:rsidRPr="00082FBF">
              <w:rPr>
                <w:b/>
              </w:rPr>
              <w:t>accination</w:t>
            </w:r>
          </w:p>
          <w:p w14:paraId="3A4FE44D" w14:textId="498D3D88" w:rsidR="0019608B" w:rsidRPr="00082FBF" w:rsidRDefault="0019608B" w:rsidP="003D4FB6">
            <w:r w:rsidRPr="00082FBF">
              <w:t>Individuals 12 months of age and older receive a single dose.</w:t>
            </w:r>
          </w:p>
          <w:p w14:paraId="25F63EEF" w14:textId="2A1B6788" w:rsidR="0019608B" w:rsidRPr="00082FBF" w:rsidRDefault="00CC0BCB" w:rsidP="00466C3D">
            <w:pPr>
              <w:rPr>
                <w:b/>
              </w:rPr>
            </w:pPr>
            <w:r>
              <w:rPr>
                <w:b/>
              </w:rPr>
              <w:t>Booster v</w:t>
            </w:r>
            <w:r w:rsidR="0019608B" w:rsidRPr="00082FBF">
              <w:rPr>
                <w:b/>
              </w:rPr>
              <w:t>accination</w:t>
            </w:r>
          </w:p>
          <w:p w14:paraId="72D90BF2" w14:textId="77D21FE0" w:rsidR="0019608B" w:rsidRPr="00082FBF" w:rsidRDefault="0019608B" w:rsidP="003D4FB6">
            <w:r w:rsidRPr="00082FBF">
              <w:t xml:space="preserve">MenQuadfi may be given as a single booster dose to adolescents and adults who have previously been primed with meningococcal vaccine at least </w:t>
            </w:r>
            <w:r w:rsidR="007714C3" w:rsidRPr="00082FBF">
              <w:t>four</w:t>
            </w:r>
            <w:r w:rsidRPr="00082FBF">
              <w:t xml:space="preserve"> years prior.</w:t>
            </w:r>
          </w:p>
          <w:p w14:paraId="0BAC3ACE" w14:textId="77777777" w:rsidR="0019608B" w:rsidRPr="00082FBF" w:rsidRDefault="0019608B" w:rsidP="00466C3D">
            <w:r w:rsidRPr="00082FBF">
              <w:t>Refer to official recommendations for further information regarding booster dosing.</w:t>
            </w:r>
          </w:p>
          <w:p w14:paraId="695895EC" w14:textId="76446506" w:rsidR="00460036" w:rsidRPr="00082FBF" w:rsidRDefault="00460036" w:rsidP="0019608B">
            <w:r w:rsidRPr="00082FBF">
              <w:t>For further information regarding dosage, refer to the Product Information</w:t>
            </w:r>
            <w:r w:rsidR="00457018" w:rsidRPr="00082FBF">
              <w:t xml:space="preserve"> (PI)</w:t>
            </w:r>
            <w:r w:rsidRPr="00082FBF">
              <w:t>.</w:t>
            </w:r>
          </w:p>
        </w:tc>
      </w:tr>
      <w:tr w:rsidR="00460036" w:rsidRPr="00082FBF" w14:paraId="0528A6BD" w14:textId="77777777" w:rsidTr="00BF1190">
        <w:tc>
          <w:tcPr>
            <w:tcW w:w="2907" w:type="dxa"/>
          </w:tcPr>
          <w:p w14:paraId="709D34AD" w14:textId="77777777" w:rsidR="00460036" w:rsidRPr="00082FBF" w:rsidRDefault="00460036" w:rsidP="00E45619">
            <w:pPr>
              <w:rPr>
                <w:i/>
              </w:rPr>
            </w:pPr>
            <w:r w:rsidRPr="00082FBF">
              <w:rPr>
                <w:i/>
              </w:rPr>
              <w:t>Pregnancy category:</w:t>
            </w:r>
          </w:p>
        </w:tc>
        <w:tc>
          <w:tcPr>
            <w:tcW w:w="6307" w:type="dxa"/>
          </w:tcPr>
          <w:p w14:paraId="59FACA3B" w14:textId="77777777" w:rsidR="00460036" w:rsidRPr="00082FBF" w:rsidRDefault="0019608B" w:rsidP="0019608B">
            <w:r w:rsidRPr="00082FBF">
              <w:t>B1</w:t>
            </w:r>
          </w:p>
          <w:p w14:paraId="052D1D2B" w14:textId="77777777" w:rsidR="0019608B" w:rsidRPr="00082FBF" w:rsidRDefault="0019608B" w:rsidP="0019608B">
            <w:r w:rsidRPr="00082FBF">
              <w:t>Drugs which have been taken by only a limited number of pregnant women and women of childbearing age, without an increase in the frequency of malformation or other direct or indirect harmful effects on the human fetus having been observed.</w:t>
            </w:r>
          </w:p>
          <w:p w14:paraId="2EC4A508" w14:textId="77777777" w:rsidR="0019608B" w:rsidRPr="00082FBF" w:rsidRDefault="0019608B" w:rsidP="0019608B">
            <w:r w:rsidRPr="00082FBF">
              <w:t>Studies in animals have not shown evidence of an increased occurrence of fetal damage.</w:t>
            </w:r>
          </w:p>
          <w:p w14:paraId="48FBF667" w14:textId="09FC6EE2" w:rsidR="00460036" w:rsidRPr="00082FBF" w:rsidRDefault="00460036" w:rsidP="00460036">
            <w:r w:rsidRPr="00082FBF">
              <w:t xml:space="preserve">The use of any medicine during pregnancy requires careful consideration of both risks and benefits by the treating health professional. This must not be used as the sole basis of decision making in the use of medicines during pregnancy. The </w:t>
            </w:r>
            <w:r w:rsidR="00597BDC" w:rsidRPr="00082FBF">
              <w:t>Therapeutic Goods Administration (</w:t>
            </w:r>
            <w:r w:rsidRPr="00082FBF">
              <w:t>TGA</w:t>
            </w:r>
            <w:r w:rsidR="00597BDC" w:rsidRPr="00082FBF">
              <w:t>)</w:t>
            </w:r>
            <w:r w:rsidRPr="00082FBF">
              <w:t xml:space="preserve"> does not provide advice on the use of medicines in pregnancy for specific cases. More information is available from obstetric drug information services in yo</w:t>
            </w:r>
            <w:r w:rsidR="0019608B" w:rsidRPr="00082FBF">
              <w:t>ur State or Territory.</w:t>
            </w:r>
          </w:p>
        </w:tc>
      </w:tr>
    </w:tbl>
    <w:p w14:paraId="0391418F" w14:textId="77777777" w:rsidR="008E7846" w:rsidRPr="00082FBF" w:rsidRDefault="008E7846" w:rsidP="008E7846">
      <w:pPr>
        <w:pStyle w:val="Heading3"/>
      </w:pPr>
      <w:bookmarkStart w:id="13" w:name="_Toc247691503"/>
      <w:bookmarkStart w:id="14" w:name="_Toc314842484"/>
      <w:bookmarkStart w:id="15" w:name="_Toc67390276"/>
      <w:r w:rsidRPr="00082FBF">
        <w:t>Product background</w:t>
      </w:r>
      <w:bookmarkEnd w:id="13"/>
      <w:bookmarkEnd w:id="14"/>
      <w:bookmarkEnd w:id="15"/>
    </w:p>
    <w:p w14:paraId="768CB475" w14:textId="78EF9B96" w:rsidR="008E7846" w:rsidRPr="00082FBF" w:rsidRDefault="00250271" w:rsidP="00940A89">
      <w:r w:rsidRPr="00082FBF">
        <w:t>This AusPA</w:t>
      </w:r>
      <w:r w:rsidR="007B7524" w:rsidRPr="00082FBF">
        <w:t>R describes the application by Sanofi-Aventis Australia Pty Ltd (the sponsor) to register MenQuadfi</w:t>
      </w:r>
      <w:r w:rsidRPr="00082FBF">
        <w:t xml:space="preserve"> </w:t>
      </w:r>
      <w:r w:rsidR="00AF6036">
        <w:t>(</w:t>
      </w:r>
      <w:r w:rsidR="007B7524" w:rsidRPr="00082FBF">
        <w:t>(meningococcal polysaccharide group A) 10 µg/dose, (meningococcal polysaccharide group C) 10 µg/dose, (meningococcal polysaccharide group Y) 10 µg/dose and (meningococcal polysaccharide group W135) 10 µg/dose</w:t>
      </w:r>
      <w:r w:rsidR="00AF6036">
        <w:t>)</w:t>
      </w:r>
      <w:r w:rsidRPr="00082FBF">
        <w:t xml:space="preserve">, </w:t>
      </w:r>
      <w:r w:rsidR="007B7524" w:rsidRPr="00082FBF">
        <w:t>solution for injection</w:t>
      </w:r>
      <w:r w:rsidRPr="00082FBF">
        <w:t xml:space="preserve"> for th</w:t>
      </w:r>
      <w:r w:rsidR="007B7524" w:rsidRPr="00082FBF">
        <w:t>e following proposed indication</w:t>
      </w:r>
      <w:r w:rsidR="00CF5DAD" w:rsidRPr="00082FBF">
        <w:t>:</w:t>
      </w:r>
    </w:p>
    <w:p w14:paraId="26AFB1E2" w14:textId="77777777" w:rsidR="00245104" w:rsidRPr="00082FBF" w:rsidRDefault="00245104" w:rsidP="00245104">
      <w:pPr>
        <w:ind w:left="720"/>
        <w:rPr>
          <w:i/>
        </w:rPr>
      </w:pPr>
      <w:r w:rsidRPr="00082FBF">
        <w:rPr>
          <w:i/>
        </w:rPr>
        <w:t>MenQuadfi is indicated for active primary and booster immunisation for the prevention of invasive meningococcal disease caused by Neisseria meningitidis serogroups A, C, W and Y. MenQuadfi is indicated for use in individuals 12 months of age and older.</w:t>
      </w:r>
    </w:p>
    <w:p w14:paraId="4274E936" w14:textId="3D47E360" w:rsidR="00245104" w:rsidRPr="00082FBF" w:rsidRDefault="00245104" w:rsidP="00245104">
      <w:pPr>
        <w:ind w:left="720"/>
        <w:rPr>
          <w:i/>
        </w:rPr>
      </w:pPr>
      <w:r w:rsidRPr="00082FBF">
        <w:rPr>
          <w:i/>
        </w:rPr>
        <w:t>The use of MenQuadfi should be in accordance with official recommendations.</w:t>
      </w:r>
    </w:p>
    <w:p w14:paraId="0DACCA02" w14:textId="1B170E98" w:rsidR="00FD241F" w:rsidRPr="00082FBF" w:rsidRDefault="00FD241F" w:rsidP="002A25C8">
      <w:r w:rsidRPr="00082FBF">
        <w:t xml:space="preserve">Invasive meningococcal disease (IMD) is a serious illness caused by the bacterium </w:t>
      </w:r>
      <w:r w:rsidRPr="00082FBF">
        <w:rPr>
          <w:i/>
        </w:rPr>
        <w:t>Neisseria meningitidis</w:t>
      </w:r>
      <w:r w:rsidRPr="00082FBF">
        <w:t xml:space="preserve"> (</w:t>
      </w:r>
      <w:r w:rsidRPr="00082FBF">
        <w:rPr>
          <w:i/>
        </w:rPr>
        <w:t>N</w:t>
      </w:r>
      <w:r w:rsidR="00343B02" w:rsidRPr="00082FBF">
        <w:rPr>
          <w:i/>
        </w:rPr>
        <w:t>.</w:t>
      </w:r>
      <w:r w:rsidRPr="00082FBF">
        <w:rPr>
          <w:i/>
        </w:rPr>
        <w:t xml:space="preserve"> meningitidis</w:t>
      </w:r>
      <w:r w:rsidRPr="00082FBF">
        <w:t>)</w:t>
      </w:r>
      <w:r w:rsidR="00343B02" w:rsidRPr="00082FBF">
        <w:t xml:space="preserve">, a Gram </w:t>
      </w:r>
      <w:r w:rsidRPr="00082FBF">
        <w:t>negative diplococcus found exclusively in humans. IMD occurs in several clinical forms: meningitis (50.2% of cases), bacteraemia (37.5% of cases), pneumonia (9.2% of cases), and septic arthritis (2.0% of cases).</w:t>
      </w:r>
      <w:r w:rsidRPr="00082FBF">
        <w:rPr>
          <w:rStyle w:val="FootnoteReference"/>
        </w:rPr>
        <w:footnoteReference w:id="2"/>
      </w:r>
      <w:r w:rsidRPr="00082FBF">
        <w:t xml:space="preserve"> Symptoms may include intense headache, fever, nausea, vomiting, photophobia, stiff neck, lethargy, myalgia, and a characteristic petechial or purpuric rash. Seizures occur i</w:t>
      </w:r>
      <w:r w:rsidR="00834FC8" w:rsidRPr="00082FBF">
        <w:t>n approximately 20% of patients</w:t>
      </w:r>
      <w:r w:rsidRPr="00082FBF">
        <w:t>.</w:t>
      </w:r>
      <w:r w:rsidR="00BB0944" w:rsidRPr="00082FBF">
        <w:rPr>
          <w:rStyle w:val="FootnoteReference"/>
        </w:rPr>
        <w:footnoteReference w:id="3"/>
      </w:r>
    </w:p>
    <w:p w14:paraId="38CE6593" w14:textId="176B6F61" w:rsidR="00FD241F" w:rsidRPr="00082FBF" w:rsidRDefault="00FD241F" w:rsidP="002A25C8">
      <w:r w:rsidRPr="00082FBF">
        <w:t xml:space="preserve">The epidemiology of </w:t>
      </w:r>
      <w:r w:rsidRPr="00082FBF">
        <w:rPr>
          <w:i/>
        </w:rPr>
        <w:t>N</w:t>
      </w:r>
      <w:r w:rsidR="00222CE5" w:rsidRPr="00082FBF">
        <w:rPr>
          <w:i/>
        </w:rPr>
        <w:t>.</w:t>
      </w:r>
      <w:r w:rsidRPr="00082FBF">
        <w:rPr>
          <w:i/>
        </w:rPr>
        <w:t xml:space="preserve"> meningitidis</w:t>
      </w:r>
      <w:r w:rsidRPr="00082FBF">
        <w:t xml:space="preserve"> can be described as complex, unpredictable, geographically variable, and changing over time. Meningococcal disease occurs worldwide in both endemic and epidemic forms with seasonal variation. At least 12 distinct meningococcal groups have been classified based on the immunochemistry of the capsular </w:t>
      </w:r>
      <w:r w:rsidR="001F6FC8" w:rsidRPr="00082FBF">
        <w:t>polysaccharide</w:t>
      </w:r>
      <w:r w:rsidRPr="00082FBF">
        <w:t xml:space="preserve">. Some strains are more likely than others to cause infection. Worldwide, most cases of IMD are caused by </w:t>
      </w:r>
      <w:r w:rsidR="00776E33">
        <w:t>serogroups A, B, C, W, X</w:t>
      </w:r>
      <w:r w:rsidR="00AD12BD" w:rsidRPr="00082FBF">
        <w:t xml:space="preserve"> and Y</w:t>
      </w:r>
      <w:r w:rsidRPr="00082FBF">
        <w:t>.</w:t>
      </w:r>
      <w:r w:rsidR="00BB0944" w:rsidRPr="00082FBF">
        <w:rPr>
          <w:rStyle w:val="FootnoteReference"/>
        </w:rPr>
        <w:footnoteReference w:id="4"/>
      </w:r>
      <w:r w:rsidRPr="00082FBF">
        <w:t xml:space="preserve"> The natural habitat and reservoir of the meningococcus are the nasopharyngeal mucosal membranes. </w:t>
      </w:r>
      <w:r w:rsidRPr="00082FBF">
        <w:rPr>
          <w:i/>
        </w:rPr>
        <w:t>N</w:t>
      </w:r>
      <w:r w:rsidR="00222CE5" w:rsidRPr="00082FBF">
        <w:rPr>
          <w:i/>
        </w:rPr>
        <w:t>.</w:t>
      </w:r>
      <w:r w:rsidR="00004979">
        <w:rPr>
          <w:i/>
        </w:rPr>
        <w:t> </w:t>
      </w:r>
      <w:r w:rsidRPr="00082FBF">
        <w:rPr>
          <w:i/>
        </w:rPr>
        <w:t>meningitidis</w:t>
      </w:r>
      <w:r w:rsidRPr="00082FBF">
        <w:t xml:space="preserve"> is a widespread commensal organism, carried by </w:t>
      </w:r>
      <w:r w:rsidR="00AD12BD" w:rsidRPr="00082FBF">
        <w:t xml:space="preserve">approximately </w:t>
      </w:r>
      <w:r w:rsidRPr="00082FBF">
        <w:t>4.5% to 25% of the normal population; the prevalence of the carriage state varies widely and does not directly predict disease.</w:t>
      </w:r>
      <w:r w:rsidR="00BB0944" w:rsidRPr="00082FBF">
        <w:rPr>
          <w:rStyle w:val="FootnoteReference"/>
        </w:rPr>
        <w:footnoteReference w:id="5"/>
      </w:r>
      <w:r w:rsidRPr="00082FBF">
        <w:t xml:space="preserve"> The meningococcal carriage rate varies by age and is highest in adolescents (apparently related to social behaviours </w:t>
      </w:r>
      <w:r w:rsidR="00AD12BD" w:rsidRPr="00082FBF">
        <w:t xml:space="preserve">such as frequent visits to bars or </w:t>
      </w:r>
      <w:r w:rsidRPr="00082FBF">
        <w:t xml:space="preserve">clubs, kissing, and cigarette or passive smoking), and </w:t>
      </w:r>
      <w:r w:rsidR="00004979">
        <w:t xml:space="preserve">is </w:t>
      </w:r>
      <w:r w:rsidRPr="00082FBF">
        <w:t>increase</w:t>
      </w:r>
      <w:r w:rsidR="00004979">
        <w:t>d</w:t>
      </w:r>
      <w:r w:rsidRPr="00082FBF">
        <w:t xml:space="preserve"> in populations living in close quarters, for example, students living in dormitories, military recruits, and Hajj pilgrims.</w:t>
      </w:r>
    </w:p>
    <w:p w14:paraId="53FAD7D2" w14:textId="5D51908C" w:rsidR="00FD241F" w:rsidRPr="00082FBF" w:rsidRDefault="00FD241F" w:rsidP="002A25C8">
      <w:r w:rsidRPr="00082FBF">
        <w:t>In Europe, the Americas,</w:t>
      </w:r>
      <w:r w:rsidR="00502715">
        <w:t xml:space="preserve"> and Australia, serogroups B, C</w:t>
      </w:r>
      <w:r w:rsidRPr="00082FBF">
        <w:t xml:space="preserve"> and Y are responsible for the majority of meningococcal disease cases, though increasing numbers of serogroup W cases have been observed in some areas</w:t>
      </w:r>
      <w:r w:rsidR="00BB0944" w:rsidRPr="00082FBF">
        <w:t>.</w:t>
      </w:r>
      <w:r w:rsidR="00BB0944" w:rsidRPr="00082FBF">
        <w:rPr>
          <w:rStyle w:val="FootnoteReference"/>
        </w:rPr>
        <w:footnoteReference w:id="6"/>
      </w:r>
    </w:p>
    <w:p w14:paraId="2F2F79AE" w14:textId="5228F7B4" w:rsidR="00FD241F" w:rsidRPr="00082FBF" w:rsidRDefault="00FD241F" w:rsidP="002A25C8">
      <w:r w:rsidRPr="00082FBF">
        <w:t>There are currently three multivalent meningococcal conjugate vaccines available, Menactra,</w:t>
      </w:r>
      <w:r w:rsidR="00095F9D">
        <w:rPr>
          <w:rStyle w:val="FootnoteReference"/>
        </w:rPr>
        <w:footnoteReference w:id="7"/>
      </w:r>
      <w:r w:rsidRPr="00082FBF">
        <w:t xml:space="preserve"> Menveo,</w:t>
      </w:r>
      <w:r w:rsidR="0024682E">
        <w:rPr>
          <w:rStyle w:val="FootnoteReference"/>
        </w:rPr>
        <w:footnoteReference w:id="8"/>
      </w:r>
      <w:r w:rsidRPr="00082FBF">
        <w:t xml:space="preserve"> and Nimenrix,</w:t>
      </w:r>
      <w:r w:rsidR="00095F9D">
        <w:rPr>
          <w:rStyle w:val="FootnoteReference"/>
        </w:rPr>
        <w:footnoteReference w:id="9"/>
      </w:r>
      <w:r w:rsidRPr="00082FBF">
        <w:t xml:space="preserve"> which protect against 4 serogroups:</w:t>
      </w:r>
      <w:r w:rsidR="00502715">
        <w:t xml:space="preserve"> A, C, Y</w:t>
      </w:r>
      <w:r w:rsidRPr="00082FBF">
        <w:t xml:space="preserve"> and W.</w:t>
      </w:r>
      <w:r w:rsidR="002A25C8" w:rsidRPr="00082FBF">
        <w:t xml:space="preserve"> </w:t>
      </w:r>
      <w:r w:rsidRPr="00082FBF">
        <w:t>Menactra is conjugated with Diphtheria toxoid and is</w:t>
      </w:r>
      <w:r w:rsidR="008F58BE" w:rsidRPr="00082FBF">
        <w:t xml:space="preserve"> approved for individuals from nine</w:t>
      </w:r>
      <w:r w:rsidRPr="00082FBF">
        <w:t xml:space="preserve"> months to 55 years of age.</w:t>
      </w:r>
      <w:r w:rsidR="002A25C8" w:rsidRPr="00082FBF">
        <w:t xml:space="preserve"> </w:t>
      </w:r>
      <w:r w:rsidRPr="00082FBF">
        <w:t>Menveo is</w:t>
      </w:r>
      <w:r w:rsidR="008F58BE" w:rsidRPr="00082FBF">
        <w:t xml:space="preserve"> approved for individuals from two</w:t>
      </w:r>
      <w:r w:rsidRPr="00082FBF">
        <w:t xml:space="preserve"> months of age.</w:t>
      </w:r>
      <w:r w:rsidR="002A25C8" w:rsidRPr="00082FBF">
        <w:t xml:space="preserve"> </w:t>
      </w:r>
      <w:r w:rsidRPr="00082FBF">
        <w:t>Nimenrix is</w:t>
      </w:r>
      <w:r w:rsidR="008F58BE" w:rsidRPr="00082FBF">
        <w:t xml:space="preserve"> approved for individuals from six</w:t>
      </w:r>
      <w:r w:rsidRPr="00082FBF">
        <w:t xml:space="preserve"> weeks of age.</w:t>
      </w:r>
      <w:r w:rsidR="002A25C8" w:rsidRPr="00082FBF">
        <w:t xml:space="preserve"> </w:t>
      </w:r>
      <w:r w:rsidRPr="00082FBF">
        <w:t>Menitorix is a combination vaccine which contains</w:t>
      </w:r>
      <w:r w:rsidR="008F58BE" w:rsidRPr="00082FBF">
        <w:t xml:space="preserve"> Haemophilus influenza type b p</w:t>
      </w:r>
      <w:r w:rsidRPr="00082FBF">
        <w:t>olyribose rib</w:t>
      </w:r>
      <w:r w:rsidR="008F58BE" w:rsidRPr="00082FBF">
        <w:t>itol phosphate and serogroup C m</w:t>
      </w:r>
      <w:r w:rsidRPr="00082FBF">
        <w:t>eningococcal polysacchar</w:t>
      </w:r>
      <w:r w:rsidR="00BA3126" w:rsidRPr="00082FBF">
        <w:t>ide conjugate vaccine</w:t>
      </w:r>
      <w:r w:rsidRPr="00082FBF">
        <w:t xml:space="preserve"> conjugated to tetanus toxoid.</w:t>
      </w:r>
    </w:p>
    <w:p w14:paraId="5DA558ED" w14:textId="58929AA3" w:rsidR="002A25C8" w:rsidRPr="00082FBF" w:rsidRDefault="00FD241F" w:rsidP="002A25C8">
      <w:r w:rsidRPr="00082FBF">
        <w:t xml:space="preserve">The sponsor started the development of </w:t>
      </w:r>
      <w:r w:rsidR="000A11AB" w:rsidRPr="00082FBF">
        <w:t>meningococcal polysaccharide s</w:t>
      </w:r>
      <w:r w:rsidR="00502715">
        <w:t>erogroups A, C, Y</w:t>
      </w:r>
      <w:r w:rsidR="007C73A5" w:rsidRPr="00082FBF">
        <w:t xml:space="preserve"> and W</w:t>
      </w:r>
      <w:r w:rsidRPr="00082FBF">
        <w:t xml:space="preserve"> </w:t>
      </w:r>
      <w:r w:rsidR="000A11AB" w:rsidRPr="00082FBF">
        <w:t xml:space="preserve">(MenACYW) tetanus toxoid conjugate vaccine </w:t>
      </w:r>
      <w:r w:rsidRPr="00082FBF">
        <w:t>in 2006</w:t>
      </w:r>
      <w:r w:rsidR="000A11AB" w:rsidRPr="00082FBF">
        <w:t xml:space="preserve"> to provide protection against four</w:t>
      </w:r>
      <w:r w:rsidRPr="00082FBF">
        <w:t xml:space="preserve"> of the serogroups (A, C, Y and W) that cause IMD, in all population age groups,</w:t>
      </w:r>
      <w:r w:rsidR="000A11AB" w:rsidRPr="00082FBF">
        <w:t xml:space="preserve"> including infants as young as six</w:t>
      </w:r>
      <w:r w:rsidRPr="00082FBF">
        <w:t xml:space="preserve"> weeks of age and including adults 56 years of age and older. The need to cover all age groups is due to the following:</w:t>
      </w:r>
    </w:p>
    <w:p w14:paraId="7A684512" w14:textId="54CF58B3" w:rsidR="00FD241F" w:rsidRPr="00082FBF" w:rsidRDefault="000A11AB" w:rsidP="002A25C8">
      <w:pPr>
        <w:pStyle w:val="ListBullet"/>
      </w:pPr>
      <w:r w:rsidRPr="00082FBF">
        <w:t>Young children from birth to four</w:t>
      </w:r>
      <w:r w:rsidR="00FD241F" w:rsidRPr="00082FBF">
        <w:t xml:space="preserve"> years of age have the highest incidence of disease, followed by adolescents and young adults 15 to 24 years of age, </w:t>
      </w:r>
      <w:r w:rsidR="00C52318">
        <w:t xml:space="preserve">then followed by </w:t>
      </w:r>
      <w:r w:rsidR="00FD241F" w:rsidRPr="00082FBF">
        <w:t xml:space="preserve"> ad</w:t>
      </w:r>
      <w:r w:rsidR="00095F9D">
        <w:t>ults older than 65 years of age</w:t>
      </w:r>
      <w:r w:rsidR="002A25C8" w:rsidRPr="00082FBF">
        <w:t>.</w:t>
      </w:r>
      <w:r w:rsidR="00BB0944" w:rsidRPr="00082FBF">
        <w:rPr>
          <w:rStyle w:val="FootnoteReference"/>
        </w:rPr>
        <w:footnoteReference w:id="10"/>
      </w:r>
    </w:p>
    <w:p w14:paraId="0D2EACBE" w14:textId="0EC00897" w:rsidR="00FD241F" w:rsidRPr="00082FBF" w:rsidRDefault="00FD241F" w:rsidP="002A25C8">
      <w:pPr>
        <w:pStyle w:val="ListBullet"/>
      </w:pPr>
      <w:r w:rsidRPr="00082FBF">
        <w:t>Epidemiologic analysis in adolescents and young adults has shown a rapid increase in meningococcal carriage in the first month of the academic year, when college students are engaged in social behaviours that aid in pathogen spread. Frequent travel in this age group increases exposure to meningococcal strains prevalent in other countries. High carriage rates among adolescents and young adults increase the risk of transmission and ultimately disease in this population as well as other age groups</w:t>
      </w:r>
      <w:r w:rsidR="002A25C8" w:rsidRPr="00082FBF">
        <w:t>.</w:t>
      </w:r>
    </w:p>
    <w:p w14:paraId="52A5A966" w14:textId="6A593B48" w:rsidR="00FD241F" w:rsidRPr="00082FBF" w:rsidRDefault="00FD241F" w:rsidP="002A25C8">
      <w:pPr>
        <w:pStyle w:val="ListBullet"/>
      </w:pPr>
      <w:r w:rsidRPr="00082FBF">
        <w:t>The initial symptoms of meningococcal disease mimic many other illnesses, and thus the illness is difficult to diagnose outside of epidemics. Pathognomonic symptoms manifest approximately 12 hours after initial presentation. This often leaves insufficient time for proper treatment, as death can occur rapidly. The overall case</w:t>
      </w:r>
      <w:r w:rsidR="00BB7D23" w:rsidRPr="00082FBF">
        <w:t xml:space="preserve"> </w:t>
      </w:r>
      <w:r w:rsidRPr="00082FBF">
        <w:t xml:space="preserve">fatality ratio </w:t>
      </w:r>
      <w:r w:rsidR="00BB7D23" w:rsidRPr="00082FBF">
        <w:t>for meningococcal disease is 10</w:t>
      </w:r>
      <w:r w:rsidR="00C52318">
        <w:t>%</w:t>
      </w:r>
      <w:r w:rsidR="00BB7D23" w:rsidRPr="00082FBF">
        <w:t xml:space="preserve"> to</w:t>
      </w:r>
      <w:r w:rsidR="00C52318">
        <w:t xml:space="preserve"> </w:t>
      </w:r>
      <w:r w:rsidRPr="00082FBF">
        <w:t>15%, while meningococcal sepsis is fatal in up to 40% of cases. 10% to 20% of IMD survivors experience permanent sequelae, including limb amputation, deafness, skin necrosis requiring skin grafting, cognitive deficits, and seizure disorders</w:t>
      </w:r>
      <w:r w:rsidR="002A25C8" w:rsidRPr="00082FBF">
        <w:t>.</w:t>
      </w:r>
    </w:p>
    <w:p w14:paraId="3860869F" w14:textId="563C54A0" w:rsidR="00FD241F" w:rsidRPr="00082FBF" w:rsidRDefault="00FD241F" w:rsidP="002A25C8">
      <w:pPr>
        <w:pStyle w:val="ListBullet"/>
      </w:pPr>
      <w:r w:rsidRPr="00082FBF">
        <w:t>Serogroup distribution can vary within specific regions as well as globally</w:t>
      </w:r>
      <w:r w:rsidR="002A25C8" w:rsidRPr="00082FBF">
        <w:t>.</w:t>
      </w:r>
    </w:p>
    <w:p w14:paraId="6A19500F" w14:textId="1CB0A991" w:rsidR="00FD241F" w:rsidRPr="00082FBF" w:rsidRDefault="00FD241F" w:rsidP="002A25C8">
      <w:pPr>
        <w:pStyle w:val="ListBullet"/>
      </w:pPr>
      <w:r w:rsidRPr="00082FBF">
        <w:t xml:space="preserve">Epidemiology is not only diverse but evolving globally. The emergence and global importance of serogroup W have only been recognised in recent years. Since 2003, serogroup W has replaced serogroup A in South </w:t>
      </w:r>
      <w:r w:rsidR="00BB7D23" w:rsidRPr="00082FBF">
        <w:t>Africa, causing sustained hyper</w:t>
      </w:r>
      <w:r w:rsidRPr="00082FBF">
        <w:t>sporadic incidence rate of disease, and has recent emerge</w:t>
      </w:r>
      <w:r w:rsidR="00C52318">
        <w:t>nce</w:t>
      </w:r>
      <w:r w:rsidRPr="00082FBF">
        <w:t xml:space="preserve"> in Turkey, China, Argentina and Brazil</w:t>
      </w:r>
      <w:r w:rsidR="002A25C8" w:rsidRPr="00082FBF">
        <w:t>.</w:t>
      </w:r>
    </w:p>
    <w:p w14:paraId="689B92BA" w14:textId="0AF09E8C" w:rsidR="00FD241F" w:rsidRPr="00082FBF" w:rsidRDefault="00FD241F" w:rsidP="002A25C8">
      <w:r w:rsidRPr="00082FBF">
        <w:t>Therefore, a vaccine with the broadest coverage that protects</w:t>
      </w:r>
      <w:r w:rsidR="00BB7D23" w:rsidRPr="00082FBF">
        <w:t xml:space="preserve"> the entire population against four</w:t>
      </w:r>
      <w:r w:rsidRPr="00082FBF">
        <w:t xml:space="preserve"> serogroups that cause IMD would satisfy an unmet medical need. This initial application covers ages 12 months and above with a single injecti</w:t>
      </w:r>
      <w:r w:rsidR="00411288" w:rsidRPr="00082FBF">
        <w:t>on. The s</w:t>
      </w:r>
      <w:r w:rsidRPr="00082FBF">
        <w:t>ponsor states that a future application will seek approval for an extension of the indi</w:t>
      </w:r>
      <w:r w:rsidR="00A73410" w:rsidRPr="00082FBF">
        <w:t>cation to include infants from six</w:t>
      </w:r>
      <w:r w:rsidRPr="00082FBF">
        <w:t xml:space="preserve"> weeks of age.</w:t>
      </w:r>
    </w:p>
    <w:p w14:paraId="4A390ED9" w14:textId="77777777" w:rsidR="008E7846" w:rsidRPr="00082FBF" w:rsidRDefault="00386150" w:rsidP="008E7846">
      <w:pPr>
        <w:pStyle w:val="Heading3"/>
      </w:pPr>
      <w:bookmarkStart w:id="16" w:name="_Toc314842485"/>
      <w:bookmarkStart w:id="17" w:name="_Toc247691504"/>
      <w:bookmarkStart w:id="18" w:name="_Toc67390277"/>
      <w:r w:rsidRPr="00082FBF">
        <w:t>Regulatory s</w:t>
      </w:r>
      <w:r w:rsidR="008E7846" w:rsidRPr="00082FBF">
        <w:t>tatus</w:t>
      </w:r>
      <w:bookmarkEnd w:id="16"/>
      <w:bookmarkEnd w:id="17"/>
      <w:bookmarkEnd w:id="18"/>
    </w:p>
    <w:p w14:paraId="09FB7F2A" w14:textId="3A9D4A8B" w:rsidR="00940A89" w:rsidRPr="00082FBF" w:rsidRDefault="00006FAB" w:rsidP="00940A89">
      <w:bookmarkStart w:id="19" w:name="_Toc247691505"/>
      <w:bookmarkStart w:id="20" w:name="_Toc314842486"/>
      <w:r w:rsidRPr="00082FBF">
        <w:t>This product is considered a new biological entity for Australian regulatory purposes.</w:t>
      </w:r>
    </w:p>
    <w:p w14:paraId="1E058AC8" w14:textId="52A5DE3D" w:rsidR="00006FAB" w:rsidRPr="00082FBF" w:rsidRDefault="00006FAB" w:rsidP="004618CD">
      <w:r w:rsidRPr="00082FBF">
        <w:t xml:space="preserve">At the time the </w:t>
      </w:r>
      <w:r w:rsidR="00597BDC" w:rsidRPr="00082FBF">
        <w:t>Therapeutic Goods Administration (</w:t>
      </w:r>
      <w:r w:rsidRPr="00082FBF">
        <w:t>TGA</w:t>
      </w:r>
      <w:r w:rsidR="00597BDC" w:rsidRPr="00082FBF">
        <w:t>)</w:t>
      </w:r>
      <w:r w:rsidRPr="00082FBF">
        <w:t xml:space="preserve"> considered this application, a similar application had been approved </w:t>
      </w:r>
      <w:r w:rsidR="00403A91" w:rsidRPr="00082FBF">
        <w:t xml:space="preserve">in </w:t>
      </w:r>
      <w:r w:rsidR="00D25FDC" w:rsidRPr="00082FBF">
        <w:t>the United States of America (</w:t>
      </w:r>
      <w:r w:rsidR="00403A91" w:rsidRPr="00082FBF">
        <w:t>USA</w:t>
      </w:r>
      <w:r w:rsidR="00D25FDC" w:rsidRPr="00082FBF">
        <w:t>)</w:t>
      </w:r>
      <w:r w:rsidR="00403A91" w:rsidRPr="00082FBF">
        <w:t xml:space="preserve"> (submitted on 26 April 2019) and</w:t>
      </w:r>
      <w:r w:rsidRPr="00082FBF">
        <w:t xml:space="preserve"> was under consideration in </w:t>
      </w:r>
      <w:r w:rsidR="00D25FDC" w:rsidRPr="00082FBF">
        <w:t>the European Union (</w:t>
      </w:r>
      <w:r w:rsidR="00403A91" w:rsidRPr="00082FBF">
        <w:t>EU</w:t>
      </w:r>
      <w:r w:rsidR="00D25FDC" w:rsidRPr="00082FBF">
        <w:t>)</w:t>
      </w:r>
      <w:r w:rsidR="00403A91" w:rsidRPr="00082FBF">
        <w:t xml:space="preserve"> (submitted on 4 October 2019</w:t>
      </w:r>
      <w:r w:rsidRPr="00082FBF">
        <w:t>)</w:t>
      </w:r>
      <w:r w:rsidR="00403A91" w:rsidRPr="00082FBF">
        <w:t>, Canada (submitted on 19 November 2019), Chile (submitted on 29</w:t>
      </w:r>
      <w:r w:rsidR="00367798">
        <w:t> </w:t>
      </w:r>
      <w:r w:rsidR="00403A91" w:rsidRPr="00082FBF">
        <w:t>January 2020), Argentina (submitted on 29 January 2020) and Brazil (submitted on 31</w:t>
      </w:r>
      <w:r w:rsidR="00367798">
        <w:t> </w:t>
      </w:r>
      <w:r w:rsidR="00403A91" w:rsidRPr="00082FBF">
        <w:t>January 2020).</w:t>
      </w:r>
    </w:p>
    <w:p w14:paraId="70E259AB" w14:textId="7EB3DF15" w:rsidR="00324E45" w:rsidRPr="00082FBF" w:rsidRDefault="000F1B1A" w:rsidP="000F1B1A">
      <w:pPr>
        <w:pStyle w:val="TableTitle"/>
      </w:pPr>
      <w:r w:rsidRPr="00082FBF">
        <w:t xml:space="preserve">Table </w:t>
      </w:r>
      <w:fldSimple w:instr=" SEQ Table \* ARABIC ">
        <w:r w:rsidR="005F4D35">
          <w:rPr>
            <w:noProof/>
          </w:rPr>
          <w:t>1</w:t>
        </w:r>
      </w:fldSimple>
      <w:r w:rsidR="00324E45" w:rsidRPr="00082FBF">
        <w:t>: International regulatory status</w:t>
      </w:r>
    </w:p>
    <w:tbl>
      <w:tblPr>
        <w:tblStyle w:val="TableTGAblue"/>
        <w:tblW w:w="0" w:type="auto"/>
        <w:tblLook w:val="04A0" w:firstRow="1" w:lastRow="0" w:firstColumn="1" w:lastColumn="0" w:noHBand="0" w:noVBand="1"/>
      </w:tblPr>
      <w:tblGrid>
        <w:gridCol w:w="1411"/>
        <w:gridCol w:w="1982"/>
        <w:gridCol w:w="2266"/>
        <w:gridCol w:w="2825"/>
      </w:tblGrid>
      <w:tr w:rsidR="00006FAB" w:rsidRPr="00082FBF" w14:paraId="29E2B91C" w14:textId="77777777" w:rsidTr="00945563">
        <w:trPr>
          <w:cnfStyle w:val="100000000000" w:firstRow="1" w:lastRow="0" w:firstColumn="0" w:lastColumn="0" w:oddVBand="0" w:evenVBand="0" w:oddHBand="0" w:evenHBand="0" w:firstRowFirstColumn="0" w:firstRowLastColumn="0" w:lastRowFirstColumn="0" w:lastRowLastColumn="0"/>
        </w:trPr>
        <w:tc>
          <w:tcPr>
            <w:tcW w:w="1413" w:type="dxa"/>
          </w:tcPr>
          <w:p w14:paraId="3696DD0C" w14:textId="77777777" w:rsidR="00006FAB" w:rsidRPr="00082FBF" w:rsidRDefault="00006FAB" w:rsidP="00006FAB">
            <w:pPr>
              <w:ind w:left="0" w:right="0"/>
              <w:rPr>
                <w:sz w:val="19"/>
                <w:szCs w:val="19"/>
              </w:rPr>
            </w:pPr>
            <w:r w:rsidRPr="00082FBF">
              <w:rPr>
                <w:sz w:val="19"/>
                <w:szCs w:val="19"/>
              </w:rPr>
              <w:t>Region</w:t>
            </w:r>
          </w:p>
        </w:tc>
        <w:tc>
          <w:tcPr>
            <w:tcW w:w="1984" w:type="dxa"/>
          </w:tcPr>
          <w:p w14:paraId="54AAECCD" w14:textId="77777777" w:rsidR="00006FAB" w:rsidRPr="00082FBF" w:rsidRDefault="00006FAB" w:rsidP="00006FAB">
            <w:pPr>
              <w:ind w:left="0" w:right="0"/>
              <w:rPr>
                <w:sz w:val="19"/>
                <w:szCs w:val="19"/>
              </w:rPr>
            </w:pPr>
            <w:r w:rsidRPr="00082FBF">
              <w:rPr>
                <w:sz w:val="19"/>
                <w:szCs w:val="19"/>
              </w:rPr>
              <w:t>Submission date</w:t>
            </w:r>
          </w:p>
        </w:tc>
        <w:tc>
          <w:tcPr>
            <w:tcW w:w="2268" w:type="dxa"/>
          </w:tcPr>
          <w:p w14:paraId="3C4B4D57" w14:textId="77777777" w:rsidR="00006FAB" w:rsidRPr="00082FBF" w:rsidRDefault="00006FAB" w:rsidP="00006FAB">
            <w:pPr>
              <w:ind w:left="0" w:right="0"/>
              <w:rPr>
                <w:sz w:val="19"/>
                <w:szCs w:val="19"/>
              </w:rPr>
            </w:pPr>
            <w:r w:rsidRPr="00082FBF">
              <w:rPr>
                <w:sz w:val="19"/>
                <w:szCs w:val="19"/>
              </w:rPr>
              <w:t>Status</w:t>
            </w:r>
          </w:p>
        </w:tc>
        <w:tc>
          <w:tcPr>
            <w:tcW w:w="2829" w:type="dxa"/>
          </w:tcPr>
          <w:p w14:paraId="2FE2C66B" w14:textId="77777777" w:rsidR="00006FAB" w:rsidRPr="00082FBF" w:rsidRDefault="00006FAB" w:rsidP="00006FAB">
            <w:pPr>
              <w:ind w:left="0" w:right="0"/>
              <w:rPr>
                <w:sz w:val="19"/>
                <w:szCs w:val="19"/>
              </w:rPr>
            </w:pPr>
            <w:r w:rsidRPr="00082FBF">
              <w:rPr>
                <w:sz w:val="19"/>
                <w:szCs w:val="19"/>
              </w:rPr>
              <w:t>Approved indications</w:t>
            </w:r>
          </w:p>
        </w:tc>
      </w:tr>
      <w:tr w:rsidR="00006FAB" w:rsidRPr="00082FBF" w14:paraId="0E0955C1" w14:textId="77777777" w:rsidTr="00945563">
        <w:tc>
          <w:tcPr>
            <w:tcW w:w="1413" w:type="dxa"/>
          </w:tcPr>
          <w:p w14:paraId="79E43086" w14:textId="1E2FD89E" w:rsidR="00006FAB" w:rsidRPr="00082FBF" w:rsidRDefault="004511E9" w:rsidP="00006FAB">
            <w:pPr>
              <w:ind w:left="0" w:right="0"/>
              <w:rPr>
                <w:sz w:val="19"/>
                <w:szCs w:val="19"/>
              </w:rPr>
            </w:pPr>
            <w:r w:rsidRPr="00082FBF">
              <w:rPr>
                <w:sz w:val="19"/>
                <w:szCs w:val="19"/>
              </w:rPr>
              <w:t>EU</w:t>
            </w:r>
          </w:p>
        </w:tc>
        <w:tc>
          <w:tcPr>
            <w:tcW w:w="1984" w:type="dxa"/>
          </w:tcPr>
          <w:p w14:paraId="42267E37" w14:textId="417CB875" w:rsidR="00006FAB" w:rsidRPr="00082FBF" w:rsidRDefault="004511E9" w:rsidP="00006FAB">
            <w:pPr>
              <w:ind w:left="0" w:right="0"/>
              <w:rPr>
                <w:sz w:val="19"/>
                <w:szCs w:val="19"/>
              </w:rPr>
            </w:pPr>
            <w:r w:rsidRPr="00082FBF">
              <w:rPr>
                <w:sz w:val="19"/>
                <w:szCs w:val="19"/>
              </w:rPr>
              <w:t>04 October 2019</w:t>
            </w:r>
          </w:p>
        </w:tc>
        <w:tc>
          <w:tcPr>
            <w:tcW w:w="2268" w:type="dxa"/>
          </w:tcPr>
          <w:p w14:paraId="59C4CF6F" w14:textId="3C7A09B9" w:rsidR="00006FAB" w:rsidRPr="00082FBF" w:rsidRDefault="004511E9" w:rsidP="00006FAB">
            <w:pPr>
              <w:ind w:left="0" w:right="0"/>
              <w:rPr>
                <w:sz w:val="19"/>
                <w:szCs w:val="19"/>
              </w:rPr>
            </w:pPr>
            <w:r w:rsidRPr="00082FBF">
              <w:rPr>
                <w:sz w:val="19"/>
                <w:szCs w:val="19"/>
              </w:rPr>
              <w:t>Under consideration</w:t>
            </w:r>
          </w:p>
        </w:tc>
        <w:tc>
          <w:tcPr>
            <w:tcW w:w="2829" w:type="dxa"/>
          </w:tcPr>
          <w:p w14:paraId="6E56ABCA" w14:textId="74C2CC76" w:rsidR="00006FAB" w:rsidRPr="00082FBF" w:rsidRDefault="004511E9" w:rsidP="00006FAB">
            <w:pPr>
              <w:ind w:left="0" w:right="0"/>
              <w:rPr>
                <w:sz w:val="19"/>
                <w:szCs w:val="19"/>
              </w:rPr>
            </w:pPr>
            <w:r w:rsidRPr="00082FBF">
              <w:rPr>
                <w:sz w:val="19"/>
                <w:szCs w:val="19"/>
              </w:rPr>
              <w:t>Under consideration</w:t>
            </w:r>
          </w:p>
        </w:tc>
      </w:tr>
      <w:tr w:rsidR="00006FAB" w:rsidRPr="00082FBF" w14:paraId="3D6C33A3" w14:textId="77777777" w:rsidTr="00945563">
        <w:tc>
          <w:tcPr>
            <w:tcW w:w="1413" w:type="dxa"/>
          </w:tcPr>
          <w:p w14:paraId="172B79D9" w14:textId="5196582F" w:rsidR="00006FAB" w:rsidRPr="00082FBF" w:rsidRDefault="004511E9" w:rsidP="00006FAB">
            <w:pPr>
              <w:ind w:left="0" w:right="0"/>
              <w:rPr>
                <w:sz w:val="19"/>
                <w:szCs w:val="19"/>
              </w:rPr>
            </w:pPr>
            <w:r w:rsidRPr="00082FBF">
              <w:rPr>
                <w:sz w:val="19"/>
                <w:szCs w:val="19"/>
              </w:rPr>
              <w:t>USA</w:t>
            </w:r>
          </w:p>
        </w:tc>
        <w:tc>
          <w:tcPr>
            <w:tcW w:w="1984" w:type="dxa"/>
          </w:tcPr>
          <w:p w14:paraId="79EE3E2A" w14:textId="2C9B75CA" w:rsidR="00006FAB" w:rsidRPr="00082FBF" w:rsidRDefault="004511E9" w:rsidP="00006FAB">
            <w:pPr>
              <w:ind w:left="0" w:right="0"/>
              <w:rPr>
                <w:sz w:val="19"/>
                <w:szCs w:val="19"/>
              </w:rPr>
            </w:pPr>
            <w:r w:rsidRPr="00082FBF">
              <w:rPr>
                <w:sz w:val="19"/>
                <w:szCs w:val="19"/>
              </w:rPr>
              <w:t>26 April 2019</w:t>
            </w:r>
          </w:p>
        </w:tc>
        <w:tc>
          <w:tcPr>
            <w:tcW w:w="2268" w:type="dxa"/>
          </w:tcPr>
          <w:p w14:paraId="43D3C446" w14:textId="5BB38ED3" w:rsidR="00006FAB" w:rsidRPr="00082FBF" w:rsidRDefault="004511E9" w:rsidP="00006FAB">
            <w:pPr>
              <w:ind w:left="0" w:right="0"/>
              <w:rPr>
                <w:sz w:val="19"/>
                <w:szCs w:val="19"/>
              </w:rPr>
            </w:pPr>
            <w:r w:rsidRPr="00082FBF">
              <w:rPr>
                <w:sz w:val="19"/>
                <w:szCs w:val="19"/>
              </w:rPr>
              <w:t>Approved 24 April 2020</w:t>
            </w:r>
          </w:p>
        </w:tc>
        <w:tc>
          <w:tcPr>
            <w:tcW w:w="2829" w:type="dxa"/>
          </w:tcPr>
          <w:p w14:paraId="2E1D8460" w14:textId="43DA3935" w:rsidR="00006FAB" w:rsidRPr="00082FBF" w:rsidRDefault="00C8723A" w:rsidP="00343B02">
            <w:pPr>
              <w:ind w:left="0" w:right="0"/>
              <w:rPr>
                <w:i/>
                <w:sz w:val="19"/>
                <w:szCs w:val="19"/>
              </w:rPr>
            </w:pPr>
            <w:r w:rsidRPr="00082FBF">
              <w:rPr>
                <w:i/>
                <w:sz w:val="19"/>
                <w:szCs w:val="19"/>
              </w:rPr>
              <w:t xml:space="preserve">Meningococcal (Groups A, C, Y, W) </w:t>
            </w:r>
            <w:r w:rsidR="00397FC1" w:rsidRPr="00082FBF">
              <w:rPr>
                <w:i/>
                <w:sz w:val="19"/>
                <w:szCs w:val="19"/>
              </w:rPr>
              <w:t xml:space="preserve">conjugate vaccine </w:t>
            </w:r>
            <w:r w:rsidRPr="00082FBF">
              <w:rPr>
                <w:i/>
                <w:sz w:val="19"/>
                <w:szCs w:val="19"/>
              </w:rPr>
              <w:t>is indicated for active immunization for the prevention of invasive meningococcal disease caused by N</w:t>
            </w:r>
            <w:r w:rsidR="00343B02" w:rsidRPr="00082FBF">
              <w:rPr>
                <w:i/>
                <w:sz w:val="19"/>
                <w:szCs w:val="19"/>
              </w:rPr>
              <w:t>.</w:t>
            </w:r>
            <w:r w:rsidRPr="00082FBF">
              <w:rPr>
                <w:i/>
                <w:sz w:val="19"/>
                <w:szCs w:val="19"/>
              </w:rPr>
              <w:t xml:space="preserve"> meningitidis serogroups A, C, W, and Y. Meningococcal (Groups A, C, Y, W</w:t>
            </w:r>
            <w:r w:rsidR="00397FC1" w:rsidRPr="00082FBF">
              <w:rPr>
                <w:i/>
                <w:sz w:val="19"/>
                <w:szCs w:val="19"/>
              </w:rPr>
              <w:t xml:space="preserve">) conjugate vaccine </w:t>
            </w:r>
            <w:r w:rsidRPr="00082FBF">
              <w:rPr>
                <w:i/>
                <w:sz w:val="19"/>
                <w:szCs w:val="19"/>
              </w:rPr>
              <w:t>is approved for use in</w:t>
            </w:r>
            <w:r w:rsidR="0026034F" w:rsidRPr="00082FBF">
              <w:rPr>
                <w:i/>
                <w:sz w:val="19"/>
                <w:szCs w:val="19"/>
              </w:rPr>
              <w:t xml:space="preserve"> </w:t>
            </w:r>
            <w:r w:rsidRPr="00082FBF">
              <w:rPr>
                <w:i/>
                <w:sz w:val="19"/>
                <w:szCs w:val="19"/>
              </w:rPr>
              <w:t>individuals 2 years of age and older.</w:t>
            </w:r>
          </w:p>
        </w:tc>
      </w:tr>
      <w:tr w:rsidR="004511E9" w:rsidRPr="00082FBF" w14:paraId="0B09B1EB" w14:textId="77777777" w:rsidTr="00945563">
        <w:tc>
          <w:tcPr>
            <w:tcW w:w="1413" w:type="dxa"/>
          </w:tcPr>
          <w:p w14:paraId="5AB7712C" w14:textId="6C3919D0" w:rsidR="004511E9" w:rsidRPr="00082FBF" w:rsidRDefault="004511E9" w:rsidP="004511E9">
            <w:pPr>
              <w:ind w:left="0"/>
              <w:rPr>
                <w:sz w:val="19"/>
                <w:szCs w:val="19"/>
              </w:rPr>
            </w:pPr>
            <w:r w:rsidRPr="00082FBF">
              <w:rPr>
                <w:sz w:val="19"/>
                <w:szCs w:val="19"/>
              </w:rPr>
              <w:t>Canada</w:t>
            </w:r>
          </w:p>
        </w:tc>
        <w:tc>
          <w:tcPr>
            <w:tcW w:w="1984" w:type="dxa"/>
          </w:tcPr>
          <w:p w14:paraId="4A7D936E" w14:textId="636D9327" w:rsidR="004511E9" w:rsidRPr="00082FBF" w:rsidRDefault="004511E9" w:rsidP="004511E9">
            <w:pPr>
              <w:ind w:left="0"/>
              <w:rPr>
                <w:sz w:val="19"/>
                <w:szCs w:val="19"/>
              </w:rPr>
            </w:pPr>
            <w:r w:rsidRPr="00082FBF">
              <w:rPr>
                <w:sz w:val="19"/>
                <w:szCs w:val="19"/>
              </w:rPr>
              <w:t>19 November 2019</w:t>
            </w:r>
          </w:p>
        </w:tc>
        <w:tc>
          <w:tcPr>
            <w:tcW w:w="2268" w:type="dxa"/>
          </w:tcPr>
          <w:p w14:paraId="4E8DC9C3" w14:textId="628B2DB3" w:rsidR="004511E9" w:rsidRPr="00082FBF" w:rsidRDefault="004511E9" w:rsidP="004511E9">
            <w:pPr>
              <w:ind w:left="0"/>
              <w:rPr>
                <w:sz w:val="19"/>
                <w:szCs w:val="19"/>
              </w:rPr>
            </w:pPr>
            <w:r w:rsidRPr="00082FBF">
              <w:rPr>
                <w:sz w:val="19"/>
                <w:szCs w:val="19"/>
              </w:rPr>
              <w:t>Under consideration</w:t>
            </w:r>
          </w:p>
        </w:tc>
        <w:tc>
          <w:tcPr>
            <w:tcW w:w="2829" w:type="dxa"/>
          </w:tcPr>
          <w:p w14:paraId="30821FC6" w14:textId="61505D0D" w:rsidR="004511E9" w:rsidRPr="00082FBF" w:rsidRDefault="004511E9" w:rsidP="004511E9">
            <w:pPr>
              <w:ind w:left="0"/>
              <w:rPr>
                <w:sz w:val="19"/>
                <w:szCs w:val="19"/>
              </w:rPr>
            </w:pPr>
            <w:r w:rsidRPr="00082FBF">
              <w:rPr>
                <w:sz w:val="19"/>
                <w:szCs w:val="19"/>
              </w:rPr>
              <w:t>Under consideration</w:t>
            </w:r>
          </w:p>
        </w:tc>
      </w:tr>
      <w:tr w:rsidR="004511E9" w:rsidRPr="00082FBF" w14:paraId="2CC687F8" w14:textId="77777777" w:rsidTr="00945563">
        <w:tc>
          <w:tcPr>
            <w:tcW w:w="1413" w:type="dxa"/>
          </w:tcPr>
          <w:p w14:paraId="24DBDFFB" w14:textId="7EA9C398" w:rsidR="004511E9" w:rsidRPr="00082FBF" w:rsidRDefault="004511E9" w:rsidP="004511E9">
            <w:pPr>
              <w:ind w:left="0"/>
              <w:rPr>
                <w:sz w:val="19"/>
                <w:szCs w:val="19"/>
              </w:rPr>
            </w:pPr>
            <w:r w:rsidRPr="00082FBF">
              <w:rPr>
                <w:sz w:val="19"/>
                <w:szCs w:val="19"/>
              </w:rPr>
              <w:t>Chile</w:t>
            </w:r>
          </w:p>
        </w:tc>
        <w:tc>
          <w:tcPr>
            <w:tcW w:w="1984" w:type="dxa"/>
          </w:tcPr>
          <w:p w14:paraId="222C6040" w14:textId="48D39231" w:rsidR="004511E9" w:rsidRPr="00082FBF" w:rsidRDefault="004511E9" w:rsidP="004511E9">
            <w:pPr>
              <w:ind w:left="0"/>
              <w:rPr>
                <w:sz w:val="19"/>
                <w:szCs w:val="19"/>
              </w:rPr>
            </w:pPr>
            <w:r w:rsidRPr="00082FBF">
              <w:rPr>
                <w:sz w:val="19"/>
                <w:szCs w:val="19"/>
              </w:rPr>
              <w:t>29 January 2020</w:t>
            </w:r>
          </w:p>
        </w:tc>
        <w:tc>
          <w:tcPr>
            <w:tcW w:w="2268" w:type="dxa"/>
          </w:tcPr>
          <w:p w14:paraId="1B753658" w14:textId="219D90E6" w:rsidR="004511E9" w:rsidRPr="00082FBF" w:rsidRDefault="004511E9" w:rsidP="004511E9">
            <w:pPr>
              <w:ind w:left="0"/>
              <w:rPr>
                <w:sz w:val="19"/>
                <w:szCs w:val="19"/>
              </w:rPr>
            </w:pPr>
            <w:r w:rsidRPr="00082FBF">
              <w:rPr>
                <w:sz w:val="19"/>
                <w:szCs w:val="19"/>
              </w:rPr>
              <w:t>Under consideration</w:t>
            </w:r>
          </w:p>
        </w:tc>
        <w:tc>
          <w:tcPr>
            <w:tcW w:w="2829" w:type="dxa"/>
          </w:tcPr>
          <w:p w14:paraId="7AB27F32" w14:textId="65BF58FE" w:rsidR="004511E9" w:rsidRPr="00082FBF" w:rsidRDefault="004511E9" w:rsidP="004511E9">
            <w:pPr>
              <w:ind w:left="0"/>
              <w:rPr>
                <w:sz w:val="19"/>
                <w:szCs w:val="19"/>
              </w:rPr>
            </w:pPr>
            <w:r w:rsidRPr="00082FBF">
              <w:rPr>
                <w:sz w:val="19"/>
                <w:szCs w:val="19"/>
              </w:rPr>
              <w:t>Under consideration</w:t>
            </w:r>
          </w:p>
        </w:tc>
      </w:tr>
      <w:tr w:rsidR="004511E9" w:rsidRPr="00082FBF" w14:paraId="5873D9B2" w14:textId="77777777" w:rsidTr="00945563">
        <w:tc>
          <w:tcPr>
            <w:tcW w:w="1413" w:type="dxa"/>
          </w:tcPr>
          <w:p w14:paraId="0897585F" w14:textId="5A5EBC67" w:rsidR="004511E9" w:rsidRPr="00082FBF" w:rsidRDefault="004511E9" w:rsidP="004511E9">
            <w:pPr>
              <w:ind w:left="0"/>
              <w:rPr>
                <w:sz w:val="19"/>
                <w:szCs w:val="19"/>
              </w:rPr>
            </w:pPr>
            <w:r w:rsidRPr="00082FBF">
              <w:rPr>
                <w:sz w:val="19"/>
                <w:szCs w:val="19"/>
              </w:rPr>
              <w:t>Argentina</w:t>
            </w:r>
          </w:p>
        </w:tc>
        <w:tc>
          <w:tcPr>
            <w:tcW w:w="1984" w:type="dxa"/>
          </w:tcPr>
          <w:p w14:paraId="3125E165" w14:textId="2C2D02A7" w:rsidR="004511E9" w:rsidRPr="00082FBF" w:rsidRDefault="004511E9" w:rsidP="004511E9">
            <w:pPr>
              <w:ind w:left="0"/>
              <w:rPr>
                <w:sz w:val="19"/>
                <w:szCs w:val="19"/>
              </w:rPr>
            </w:pPr>
            <w:r w:rsidRPr="00082FBF">
              <w:rPr>
                <w:sz w:val="19"/>
                <w:szCs w:val="19"/>
              </w:rPr>
              <w:t>29 January 2020</w:t>
            </w:r>
          </w:p>
        </w:tc>
        <w:tc>
          <w:tcPr>
            <w:tcW w:w="2268" w:type="dxa"/>
          </w:tcPr>
          <w:p w14:paraId="1544B1F7" w14:textId="16E7C8A7" w:rsidR="004511E9" w:rsidRPr="00082FBF" w:rsidRDefault="004511E9" w:rsidP="004511E9">
            <w:pPr>
              <w:ind w:left="0"/>
              <w:rPr>
                <w:sz w:val="19"/>
                <w:szCs w:val="19"/>
              </w:rPr>
            </w:pPr>
            <w:r w:rsidRPr="00082FBF">
              <w:rPr>
                <w:sz w:val="19"/>
                <w:szCs w:val="19"/>
              </w:rPr>
              <w:t>Under consideration</w:t>
            </w:r>
          </w:p>
        </w:tc>
        <w:tc>
          <w:tcPr>
            <w:tcW w:w="2829" w:type="dxa"/>
          </w:tcPr>
          <w:p w14:paraId="076C1525" w14:textId="106FB89D" w:rsidR="004511E9" w:rsidRPr="00082FBF" w:rsidRDefault="004511E9" w:rsidP="004511E9">
            <w:pPr>
              <w:ind w:left="0"/>
              <w:rPr>
                <w:sz w:val="19"/>
                <w:szCs w:val="19"/>
              </w:rPr>
            </w:pPr>
            <w:r w:rsidRPr="00082FBF">
              <w:rPr>
                <w:sz w:val="19"/>
                <w:szCs w:val="19"/>
              </w:rPr>
              <w:t>Under consideration</w:t>
            </w:r>
          </w:p>
        </w:tc>
      </w:tr>
      <w:tr w:rsidR="004511E9" w:rsidRPr="00082FBF" w14:paraId="6C7AFC91" w14:textId="77777777" w:rsidTr="00945563">
        <w:tc>
          <w:tcPr>
            <w:tcW w:w="1413" w:type="dxa"/>
          </w:tcPr>
          <w:p w14:paraId="1EA9C5CF" w14:textId="193595EF" w:rsidR="004511E9" w:rsidRPr="00082FBF" w:rsidRDefault="004511E9" w:rsidP="004511E9">
            <w:pPr>
              <w:ind w:left="0"/>
              <w:rPr>
                <w:sz w:val="19"/>
                <w:szCs w:val="19"/>
              </w:rPr>
            </w:pPr>
            <w:r w:rsidRPr="00082FBF">
              <w:rPr>
                <w:sz w:val="19"/>
                <w:szCs w:val="19"/>
              </w:rPr>
              <w:t>Brazil</w:t>
            </w:r>
          </w:p>
        </w:tc>
        <w:tc>
          <w:tcPr>
            <w:tcW w:w="1984" w:type="dxa"/>
          </w:tcPr>
          <w:p w14:paraId="7216647F" w14:textId="2E99E4CC" w:rsidR="004511E9" w:rsidRPr="00082FBF" w:rsidRDefault="004511E9" w:rsidP="004511E9">
            <w:pPr>
              <w:ind w:left="0"/>
              <w:rPr>
                <w:sz w:val="19"/>
                <w:szCs w:val="19"/>
              </w:rPr>
            </w:pPr>
            <w:r w:rsidRPr="00082FBF">
              <w:rPr>
                <w:sz w:val="19"/>
                <w:szCs w:val="19"/>
              </w:rPr>
              <w:t>31 January 2020</w:t>
            </w:r>
          </w:p>
        </w:tc>
        <w:tc>
          <w:tcPr>
            <w:tcW w:w="2268" w:type="dxa"/>
          </w:tcPr>
          <w:p w14:paraId="601A5538" w14:textId="7BF8888B" w:rsidR="004511E9" w:rsidRPr="00082FBF" w:rsidRDefault="004511E9" w:rsidP="004511E9">
            <w:pPr>
              <w:ind w:left="0"/>
              <w:rPr>
                <w:sz w:val="19"/>
                <w:szCs w:val="19"/>
              </w:rPr>
            </w:pPr>
            <w:r w:rsidRPr="00082FBF">
              <w:rPr>
                <w:sz w:val="19"/>
                <w:szCs w:val="19"/>
              </w:rPr>
              <w:t>Under consideration</w:t>
            </w:r>
          </w:p>
        </w:tc>
        <w:tc>
          <w:tcPr>
            <w:tcW w:w="2829" w:type="dxa"/>
          </w:tcPr>
          <w:p w14:paraId="6D443390" w14:textId="1D72188D" w:rsidR="004511E9" w:rsidRPr="00082FBF" w:rsidRDefault="004511E9" w:rsidP="004511E9">
            <w:pPr>
              <w:ind w:left="0"/>
              <w:rPr>
                <w:sz w:val="19"/>
                <w:szCs w:val="19"/>
              </w:rPr>
            </w:pPr>
            <w:r w:rsidRPr="00082FBF">
              <w:rPr>
                <w:sz w:val="19"/>
                <w:szCs w:val="19"/>
              </w:rPr>
              <w:t>Under consideration</w:t>
            </w:r>
          </w:p>
        </w:tc>
      </w:tr>
    </w:tbl>
    <w:p w14:paraId="7B05C91B" w14:textId="77777777" w:rsidR="008E7846" w:rsidRPr="00082FBF" w:rsidRDefault="008E7846" w:rsidP="00940A89">
      <w:pPr>
        <w:pStyle w:val="Heading3"/>
      </w:pPr>
      <w:bookmarkStart w:id="21" w:name="_Toc67390278"/>
      <w:r w:rsidRPr="00082FBF">
        <w:t>Product Information</w:t>
      </w:r>
      <w:bookmarkEnd w:id="19"/>
      <w:bookmarkEnd w:id="20"/>
      <w:bookmarkEnd w:id="21"/>
    </w:p>
    <w:p w14:paraId="2801094C" w14:textId="55822E00" w:rsidR="00940A89" w:rsidRPr="00082FBF" w:rsidRDefault="006136D7" w:rsidP="00940A89">
      <w:bookmarkStart w:id="22" w:name="_Toc247691506"/>
      <w:bookmarkStart w:id="23" w:name="_Toc314842487"/>
      <w:r w:rsidRPr="00082FBF">
        <w:t xml:space="preserve">The Product Information (PI) approved with the submission which is described in this AusPAR can be found as Attachment 1. For the most recent PI, please refer to the TGA website at </w:t>
      </w:r>
      <w:r w:rsidR="00441C3F" w:rsidRPr="00082FBF">
        <w:t>&lt;</w:t>
      </w:r>
      <w:hyperlink r:id="rId16" w:history="1">
        <w:r w:rsidR="00441C3F" w:rsidRPr="00082FBF">
          <w:rPr>
            <w:rStyle w:val="Hyperlink"/>
          </w:rPr>
          <w:t>https://www.tga.gov.au/product-information-pi</w:t>
        </w:r>
      </w:hyperlink>
      <w:r w:rsidR="00441C3F" w:rsidRPr="00082FBF">
        <w:t>&gt;</w:t>
      </w:r>
      <w:r w:rsidR="00940A89" w:rsidRPr="00082FBF">
        <w:t>.</w:t>
      </w:r>
    </w:p>
    <w:p w14:paraId="6A22847D" w14:textId="77777777" w:rsidR="00500337" w:rsidRPr="00082FBF" w:rsidRDefault="00500337" w:rsidP="00500337">
      <w:pPr>
        <w:pStyle w:val="Heading2"/>
      </w:pPr>
      <w:bookmarkStart w:id="24" w:name="_Toc504480011"/>
      <w:bookmarkStart w:id="25" w:name="_Toc67390279"/>
      <w:r w:rsidRPr="00082FBF">
        <w:t>II. Registration timeline</w:t>
      </w:r>
      <w:bookmarkEnd w:id="24"/>
      <w:bookmarkEnd w:id="25"/>
    </w:p>
    <w:p w14:paraId="4941A3C6" w14:textId="77777777" w:rsidR="00500337" w:rsidRPr="00082FBF" w:rsidRDefault="00500337" w:rsidP="00500337">
      <w:r w:rsidRPr="00082FBF">
        <w:t>The following table captures the key steps and dates for this application and which are detailed and discussed in this AusPAR.</w:t>
      </w:r>
    </w:p>
    <w:p w14:paraId="7634C023" w14:textId="148523CC" w:rsidR="006A58A8" w:rsidRPr="00082FBF" w:rsidRDefault="003B601A" w:rsidP="003B601A">
      <w:pPr>
        <w:pStyle w:val="TableTitle"/>
      </w:pPr>
      <w:r>
        <w:t xml:space="preserve">Table </w:t>
      </w:r>
      <w:fldSimple w:instr=" SEQ Table \* ARABIC ">
        <w:r w:rsidR="005F4D35">
          <w:rPr>
            <w:noProof/>
          </w:rPr>
          <w:t>2</w:t>
        </w:r>
      </w:fldSimple>
      <w:r w:rsidR="00006FAB" w:rsidRPr="00082FBF">
        <w:t>:</w:t>
      </w:r>
      <w:r w:rsidR="006A58A8" w:rsidRPr="00082FBF">
        <w:t xml:space="preserve"> Timeline for Submission PM-</w:t>
      </w:r>
      <w:r w:rsidR="00524408" w:rsidRPr="00082FBF">
        <w:t>2019-04826-1-2</w:t>
      </w:r>
    </w:p>
    <w:tbl>
      <w:tblPr>
        <w:tblStyle w:val="TableTGAblue"/>
        <w:tblW w:w="0" w:type="auto"/>
        <w:tblLook w:val="04A0" w:firstRow="1" w:lastRow="0" w:firstColumn="1" w:lastColumn="0" w:noHBand="0" w:noVBand="1"/>
      </w:tblPr>
      <w:tblGrid>
        <w:gridCol w:w="5660"/>
        <w:gridCol w:w="2824"/>
      </w:tblGrid>
      <w:tr w:rsidR="00500337" w:rsidRPr="00082FBF" w14:paraId="3F7ACC71" w14:textId="77777777" w:rsidTr="00CD4C75">
        <w:trPr>
          <w:cnfStyle w:val="100000000000" w:firstRow="1" w:lastRow="0" w:firstColumn="0" w:lastColumn="0" w:oddVBand="0" w:evenVBand="0" w:oddHBand="0" w:evenHBand="0" w:firstRowFirstColumn="0" w:firstRowLastColumn="0" w:lastRowFirstColumn="0" w:lastRowLastColumn="0"/>
        </w:trPr>
        <w:tc>
          <w:tcPr>
            <w:tcW w:w="5660" w:type="dxa"/>
          </w:tcPr>
          <w:p w14:paraId="60BBFD6B" w14:textId="77777777" w:rsidR="00500337" w:rsidRPr="00082FBF" w:rsidRDefault="00500337" w:rsidP="00500337">
            <w:pPr>
              <w:ind w:left="0" w:right="0"/>
            </w:pPr>
            <w:r w:rsidRPr="00082FBF">
              <w:t>Description</w:t>
            </w:r>
          </w:p>
        </w:tc>
        <w:tc>
          <w:tcPr>
            <w:tcW w:w="2824" w:type="dxa"/>
          </w:tcPr>
          <w:p w14:paraId="26F5D1B5" w14:textId="77777777" w:rsidR="00500337" w:rsidRPr="00082FBF" w:rsidRDefault="00500337" w:rsidP="00500337">
            <w:pPr>
              <w:ind w:left="0" w:right="0"/>
            </w:pPr>
            <w:r w:rsidRPr="00082FBF">
              <w:t>Date</w:t>
            </w:r>
          </w:p>
        </w:tc>
      </w:tr>
      <w:tr w:rsidR="00500337" w:rsidRPr="00082FBF" w14:paraId="47F925CE" w14:textId="77777777" w:rsidTr="00CD4C75">
        <w:tc>
          <w:tcPr>
            <w:tcW w:w="5660" w:type="dxa"/>
          </w:tcPr>
          <w:p w14:paraId="6501F406" w14:textId="77777777" w:rsidR="00500337" w:rsidRPr="00082FBF" w:rsidRDefault="00500337" w:rsidP="00500337">
            <w:pPr>
              <w:ind w:left="0" w:right="0"/>
            </w:pPr>
            <w:r w:rsidRPr="00082FBF">
              <w:t>Submission dossier accepted and first round evaluation commenced</w:t>
            </w:r>
          </w:p>
        </w:tc>
        <w:tc>
          <w:tcPr>
            <w:tcW w:w="2824" w:type="dxa"/>
          </w:tcPr>
          <w:p w14:paraId="16FB7661" w14:textId="77777777" w:rsidR="00500337" w:rsidRPr="00082FBF" w:rsidRDefault="00FC76EA" w:rsidP="00500337">
            <w:pPr>
              <w:ind w:left="0" w:right="0"/>
            </w:pPr>
            <w:r w:rsidRPr="00082FBF">
              <w:t>2 December 2019</w:t>
            </w:r>
          </w:p>
        </w:tc>
      </w:tr>
      <w:tr w:rsidR="00500337" w:rsidRPr="00082FBF" w14:paraId="5BDD172F" w14:textId="77777777" w:rsidTr="00CD4C75">
        <w:tc>
          <w:tcPr>
            <w:tcW w:w="5660" w:type="dxa"/>
          </w:tcPr>
          <w:p w14:paraId="3C2C1D03" w14:textId="77777777" w:rsidR="00500337" w:rsidRPr="00082FBF" w:rsidRDefault="00500337" w:rsidP="00500337">
            <w:pPr>
              <w:ind w:left="0" w:right="0"/>
            </w:pPr>
            <w:r w:rsidRPr="00082FBF">
              <w:t>First round evaluation completed</w:t>
            </w:r>
          </w:p>
        </w:tc>
        <w:tc>
          <w:tcPr>
            <w:tcW w:w="2824" w:type="dxa"/>
          </w:tcPr>
          <w:p w14:paraId="0361D961" w14:textId="77777777" w:rsidR="00500337" w:rsidRPr="00082FBF" w:rsidRDefault="00FC76EA" w:rsidP="00500337">
            <w:pPr>
              <w:ind w:left="0" w:right="0"/>
            </w:pPr>
            <w:r w:rsidRPr="00082FBF">
              <w:t>30 April 2020</w:t>
            </w:r>
          </w:p>
        </w:tc>
      </w:tr>
      <w:tr w:rsidR="00500337" w:rsidRPr="00082FBF" w14:paraId="75ED6AF9" w14:textId="77777777" w:rsidTr="00CD4C75">
        <w:tc>
          <w:tcPr>
            <w:tcW w:w="5660" w:type="dxa"/>
          </w:tcPr>
          <w:p w14:paraId="4BCF41B6" w14:textId="77777777" w:rsidR="00500337" w:rsidRPr="00082FBF" w:rsidRDefault="00500337" w:rsidP="00500337">
            <w:pPr>
              <w:ind w:left="0" w:right="0"/>
            </w:pPr>
            <w:r w:rsidRPr="00082FBF">
              <w:t>Sponsor provides responses on questions raised in first round evaluation</w:t>
            </w:r>
          </w:p>
        </w:tc>
        <w:tc>
          <w:tcPr>
            <w:tcW w:w="2824" w:type="dxa"/>
          </w:tcPr>
          <w:p w14:paraId="6918C293" w14:textId="77777777" w:rsidR="00500337" w:rsidRPr="00082FBF" w:rsidRDefault="00FC76EA" w:rsidP="00500337">
            <w:pPr>
              <w:ind w:left="0" w:right="0"/>
            </w:pPr>
            <w:r w:rsidRPr="00082FBF">
              <w:t>29 June 2020</w:t>
            </w:r>
          </w:p>
        </w:tc>
      </w:tr>
      <w:tr w:rsidR="00500337" w:rsidRPr="00082FBF" w14:paraId="63CC3E64" w14:textId="77777777" w:rsidTr="00CD4C75">
        <w:tc>
          <w:tcPr>
            <w:tcW w:w="5660" w:type="dxa"/>
          </w:tcPr>
          <w:p w14:paraId="302DD00A" w14:textId="77777777" w:rsidR="00500337" w:rsidRPr="00082FBF" w:rsidRDefault="00500337" w:rsidP="00500337">
            <w:pPr>
              <w:ind w:left="0" w:right="0"/>
            </w:pPr>
            <w:r w:rsidRPr="00082FBF">
              <w:t>Second round evaluation completed</w:t>
            </w:r>
          </w:p>
        </w:tc>
        <w:tc>
          <w:tcPr>
            <w:tcW w:w="2824" w:type="dxa"/>
          </w:tcPr>
          <w:p w14:paraId="6892D397" w14:textId="77777777" w:rsidR="00500337" w:rsidRPr="00082FBF" w:rsidRDefault="00FC76EA" w:rsidP="00500337">
            <w:pPr>
              <w:ind w:left="0" w:right="0"/>
            </w:pPr>
            <w:r w:rsidRPr="00082FBF">
              <w:t>14 August 2020</w:t>
            </w:r>
          </w:p>
        </w:tc>
      </w:tr>
      <w:tr w:rsidR="00500337" w:rsidRPr="00082FBF" w14:paraId="505EF1BC" w14:textId="77777777" w:rsidTr="00CD4C75">
        <w:tc>
          <w:tcPr>
            <w:tcW w:w="5660" w:type="dxa"/>
          </w:tcPr>
          <w:p w14:paraId="2D8269CE" w14:textId="77777777" w:rsidR="00500337" w:rsidRPr="00082FBF" w:rsidRDefault="00324E45" w:rsidP="008145DB">
            <w:pPr>
              <w:ind w:left="0" w:right="0"/>
            </w:pPr>
            <w:r w:rsidRPr="00082FBF">
              <w:t>Delegate’s Overall benefit-risk assessment and request for Advisory Com</w:t>
            </w:r>
            <w:r w:rsidR="008145DB" w:rsidRPr="00082FBF">
              <w:t>mittee advice</w:t>
            </w:r>
          </w:p>
        </w:tc>
        <w:tc>
          <w:tcPr>
            <w:tcW w:w="2824" w:type="dxa"/>
          </w:tcPr>
          <w:p w14:paraId="7F21D7C1" w14:textId="77777777" w:rsidR="00500337" w:rsidRPr="00082FBF" w:rsidRDefault="00FC76EA" w:rsidP="00500337">
            <w:pPr>
              <w:ind w:left="0" w:right="0"/>
            </w:pPr>
            <w:r w:rsidRPr="00082FBF">
              <w:t>31 August 2020</w:t>
            </w:r>
          </w:p>
        </w:tc>
      </w:tr>
      <w:tr w:rsidR="00500337" w:rsidRPr="00082FBF" w14:paraId="31EED7AD" w14:textId="77777777" w:rsidTr="00CD4C75">
        <w:tc>
          <w:tcPr>
            <w:tcW w:w="5660" w:type="dxa"/>
          </w:tcPr>
          <w:p w14:paraId="656CA56B" w14:textId="77777777" w:rsidR="00500337" w:rsidRPr="00082FBF" w:rsidRDefault="00500337" w:rsidP="00500337">
            <w:pPr>
              <w:ind w:left="0" w:right="0"/>
            </w:pPr>
            <w:r w:rsidRPr="00082FBF">
              <w:t>Sponsor’s pre-Advisory Committee response</w:t>
            </w:r>
          </w:p>
        </w:tc>
        <w:tc>
          <w:tcPr>
            <w:tcW w:w="2824" w:type="dxa"/>
          </w:tcPr>
          <w:p w14:paraId="1412D7D6" w14:textId="77777777" w:rsidR="00500337" w:rsidRPr="00082FBF" w:rsidRDefault="00FC76EA" w:rsidP="00500337">
            <w:pPr>
              <w:ind w:left="0" w:right="0"/>
            </w:pPr>
            <w:r w:rsidRPr="00082FBF">
              <w:t>15 September 2020</w:t>
            </w:r>
          </w:p>
        </w:tc>
      </w:tr>
      <w:tr w:rsidR="00500337" w:rsidRPr="00082FBF" w14:paraId="652FA594" w14:textId="77777777" w:rsidTr="00CD4C75">
        <w:tc>
          <w:tcPr>
            <w:tcW w:w="5660" w:type="dxa"/>
          </w:tcPr>
          <w:p w14:paraId="32D4E4C3" w14:textId="77777777" w:rsidR="00500337" w:rsidRPr="00082FBF" w:rsidRDefault="00500337" w:rsidP="00500337">
            <w:pPr>
              <w:ind w:left="0" w:right="0"/>
            </w:pPr>
            <w:r w:rsidRPr="00082FBF">
              <w:t>Advisory Committee meeting</w:t>
            </w:r>
          </w:p>
        </w:tc>
        <w:tc>
          <w:tcPr>
            <w:tcW w:w="2824" w:type="dxa"/>
          </w:tcPr>
          <w:p w14:paraId="2C58C94F" w14:textId="77777777" w:rsidR="00500337" w:rsidRPr="00082FBF" w:rsidRDefault="00FC76EA" w:rsidP="00500337">
            <w:pPr>
              <w:ind w:left="0" w:right="0"/>
            </w:pPr>
            <w:r w:rsidRPr="00082FBF">
              <w:t>30 September 2020</w:t>
            </w:r>
          </w:p>
        </w:tc>
      </w:tr>
      <w:tr w:rsidR="00500337" w:rsidRPr="00082FBF" w14:paraId="702EDC1B" w14:textId="77777777" w:rsidTr="00CD4C75">
        <w:tc>
          <w:tcPr>
            <w:tcW w:w="5660" w:type="dxa"/>
          </w:tcPr>
          <w:p w14:paraId="6FEFFC59" w14:textId="77777777" w:rsidR="00500337" w:rsidRPr="00082FBF" w:rsidRDefault="00500337" w:rsidP="00500337">
            <w:pPr>
              <w:ind w:left="0" w:right="0"/>
            </w:pPr>
            <w:r w:rsidRPr="00082FBF">
              <w:t>Registration decision (Outcome)</w:t>
            </w:r>
          </w:p>
        </w:tc>
        <w:tc>
          <w:tcPr>
            <w:tcW w:w="2824" w:type="dxa"/>
          </w:tcPr>
          <w:p w14:paraId="64B0DD83" w14:textId="77777777" w:rsidR="00500337" w:rsidRPr="00082FBF" w:rsidRDefault="00FC76EA" w:rsidP="00500337">
            <w:pPr>
              <w:ind w:left="0" w:right="0"/>
            </w:pPr>
            <w:r w:rsidRPr="00082FBF">
              <w:t>27 October 2020</w:t>
            </w:r>
          </w:p>
        </w:tc>
      </w:tr>
      <w:tr w:rsidR="00500337" w:rsidRPr="00082FBF" w14:paraId="316FC191" w14:textId="77777777" w:rsidTr="00CD4C75">
        <w:tc>
          <w:tcPr>
            <w:tcW w:w="5660" w:type="dxa"/>
          </w:tcPr>
          <w:p w14:paraId="50BED8C4" w14:textId="25D89D0A" w:rsidR="00500337" w:rsidRPr="00082FBF" w:rsidRDefault="00500337" w:rsidP="00500337">
            <w:pPr>
              <w:ind w:left="0" w:right="0"/>
            </w:pPr>
            <w:r w:rsidRPr="00082FBF">
              <w:t xml:space="preserve">Completion of administrative activities and registration on </w:t>
            </w:r>
            <w:r w:rsidR="00006FAB" w:rsidRPr="00082FBF">
              <w:t xml:space="preserve">the </w:t>
            </w:r>
            <w:r w:rsidR="000E5AC7" w:rsidRPr="00082FBF">
              <w:t>Australian Register of Therapeutic Goods (</w:t>
            </w:r>
            <w:r w:rsidRPr="00082FBF">
              <w:t>ARTG</w:t>
            </w:r>
            <w:r w:rsidR="000E5AC7" w:rsidRPr="00082FBF">
              <w:t>)</w:t>
            </w:r>
          </w:p>
        </w:tc>
        <w:tc>
          <w:tcPr>
            <w:tcW w:w="2824" w:type="dxa"/>
          </w:tcPr>
          <w:p w14:paraId="448EB2D7" w14:textId="77777777" w:rsidR="00500337" w:rsidRPr="00082FBF" w:rsidRDefault="00FC76EA" w:rsidP="00500337">
            <w:pPr>
              <w:ind w:left="0" w:right="0"/>
            </w:pPr>
            <w:r w:rsidRPr="00082FBF">
              <w:t>29 October 2020</w:t>
            </w:r>
          </w:p>
        </w:tc>
      </w:tr>
      <w:tr w:rsidR="00500337" w:rsidRPr="00082FBF" w14:paraId="50027689" w14:textId="77777777" w:rsidTr="00CD4C75">
        <w:tc>
          <w:tcPr>
            <w:tcW w:w="5660" w:type="dxa"/>
          </w:tcPr>
          <w:p w14:paraId="27619AE3" w14:textId="77777777" w:rsidR="00500337" w:rsidRPr="00082FBF" w:rsidRDefault="00500337" w:rsidP="00500337">
            <w:pPr>
              <w:ind w:left="0" w:right="0"/>
            </w:pPr>
            <w:r w:rsidRPr="00082FBF">
              <w:t>Number of working days from submission dossier acceptance to registration decision*</w:t>
            </w:r>
          </w:p>
        </w:tc>
        <w:tc>
          <w:tcPr>
            <w:tcW w:w="2824" w:type="dxa"/>
          </w:tcPr>
          <w:p w14:paraId="667FCDAE" w14:textId="77777777" w:rsidR="00500337" w:rsidRPr="00082FBF" w:rsidRDefault="00FC76EA" w:rsidP="00500337">
            <w:pPr>
              <w:ind w:left="0" w:right="0"/>
            </w:pPr>
            <w:r w:rsidRPr="00082FBF">
              <w:t>183</w:t>
            </w:r>
          </w:p>
        </w:tc>
      </w:tr>
    </w:tbl>
    <w:p w14:paraId="098A35F2" w14:textId="77777777" w:rsidR="00500337" w:rsidRPr="00082FBF" w:rsidRDefault="00500337" w:rsidP="00500337">
      <w:pPr>
        <w:pStyle w:val="TableDescription"/>
      </w:pPr>
      <w:r w:rsidRPr="00082FBF">
        <w:t>*</w:t>
      </w:r>
      <w:r w:rsidR="00BF3774" w:rsidRPr="00082FBF">
        <w:t xml:space="preserve">Statutory </w:t>
      </w:r>
      <w:r w:rsidRPr="00082FBF">
        <w:t>timeframe for standard applications is 2</w:t>
      </w:r>
      <w:r w:rsidR="00BF3774" w:rsidRPr="00082FBF">
        <w:t>55</w:t>
      </w:r>
      <w:r w:rsidRPr="00082FBF">
        <w:t xml:space="preserve"> working days</w:t>
      </w:r>
    </w:p>
    <w:p w14:paraId="16444608" w14:textId="77777777" w:rsidR="008E7846" w:rsidRPr="00082FBF" w:rsidRDefault="00456765" w:rsidP="008E7846">
      <w:pPr>
        <w:pStyle w:val="Heading2"/>
      </w:pPr>
      <w:bookmarkStart w:id="26" w:name="_Toc196046504"/>
      <w:bookmarkStart w:id="27" w:name="_Toc247691527"/>
      <w:bookmarkStart w:id="28" w:name="_Toc314842510"/>
      <w:bookmarkStart w:id="29" w:name="_Toc67390280"/>
      <w:bookmarkStart w:id="30" w:name="_Toc163441390"/>
      <w:bookmarkEnd w:id="22"/>
      <w:bookmarkEnd w:id="23"/>
      <w:bookmarkEnd w:id="2"/>
      <w:r w:rsidRPr="00082FBF">
        <w:t>I</w:t>
      </w:r>
      <w:r w:rsidR="00DA64CB" w:rsidRPr="00082FBF">
        <w:t>I</w:t>
      </w:r>
      <w:r w:rsidR="008E7846" w:rsidRPr="00082FBF">
        <w:t xml:space="preserve">I. </w:t>
      </w:r>
      <w:r w:rsidR="00006FAB" w:rsidRPr="00082FBF">
        <w:t xml:space="preserve">Submission overview </w:t>
      </w:r>
      <w:r w:rsidR="008E7846" w:rsidRPr="00082FBF">
        <w:t>and risk/benefit assessment</w:t>
      </w:r>
      <w:bookmarkEnd w:id="26"/>
      <w:bookmarkEnd w:id="27"/>
      <w:bookmarkEnd w:id="28"/>
      <w:bookmarkEnd w:id="29"/>
    </w:p>
    <w:p w14:paraId="543F4E76" w14:textId="77777777" w:rsidR="00006FAB" w:rsidRPr="00082FBF" w:rsidRDefault="00006FAB" w:rsidP="00006FAB">
      <w:bookmarkStart w:id="31" w:name="_Toc247691528"/>
      <w:r w:rsidRPr="00082FBF">
        <w:t>The submission was summarised in the following Delegate’s overview and recommendations.</w:t>
      </w:r>
    </w:p>
    <w:p w14:paraId="4E14999D" w14:textId="4FBFB527" w:rsidR="008E7846" w:rsidRPr="00082FBF" w:rsidRDefault="00006FAB" w:rsidP="008E32C5">
      <w:r w:rsidRPr="00082FBF">
        <w:t xml:space="preserve">Relevant guidelines or guidance documents referred to by the Delegate </w:t>
      </w:r>
      <w:r w:rsidR="008E32C5" w:rsidRPr="00082FBF">
        <w:t>are</w:t>
      </w:r>
      <w:r w:rsidRPr="00082FBF">
        <w:t xml:space="preserve"> listed </w:t>
      </w:r>
      <w:r w:rsidR="008E32C5" w:rsidRPr="00082FBF">
        <w:t>below:</w:t>
      </w:r>
    </w:p>
    <w:p w14:paraId="78047278" w14:textId="57DF04EE" w:rsidR="00A866EF" w:rsidRPr="00082FBF" w:rsidRDefault="00A866EF" w:rsidP="003B601A">
      <w:pPr>
        <w:pStyle w:val="ListBullet"/>
      </w:pPr>
      <w:r w:rsidRPr="00082FBF">
        <w:t>National Centre for Immunisation Research and Surveillance (NCIRS), 2021, NCIRS immunisation schedules</w:t>
      </w:r>
      <w:r w:rsidR="00367798">
        <w:t>, Australia.</w:t>
      </w:r>
    </w:p>
    <w:p w14:paraId="5C57BB1F" w14:textId="5E31A350" w:rsidR="00A866EF" w:rsidRPr="00082FBF" w:rsidRDefault="00A866EF" w:rsidP="003B601A">
      <w:pPr>
        <w:pStyle w:val="ListBullet"/>
      </w:pPr>
      <w:r w:rsidRPr="00082FBF">
        <w:t>World Health Organi</w:t>
      </w:r>
      <w:r w:rsidR="00367798">
        <w:t>z</w:t>
      </w:r>
      <w:r w:rsidRPr="00082FBF">
        <w:t>ation (WHO)</w:t>
      </w:r>
      <w:r w:rsidR="00FE0705" w:rsidRPr="00082FBF">
        <w:t>, 2005.</w:t>
      </w:r>
      <w:r w:rsidRPr="00082FBF">
        <w:t xml:space="preserve"> </w:t>
      </w:r>
      <w:r w:rsidR="00FE0705" w:rsidRPr="00082FBF">
        <w:t xml:space="preserve">WHO </w:t>
      </w:r>
      <w:r w:rsidRPr="00082FBF">
        <w:t>guidelines on non</w:t>
      </w:r>
      <w:r w:rsidR="000E719C" w:rsidRPr="00082FBF">
        <w:t>clinical evaluation of vaccines,</w:t>
      </w:r>
      <w:r w:rsidRPr="00082FBF">
        <w:t xml:space="preserve"> Annex I</w:t>
      </w:r>
      <w:r w:rsidR="00FE0705" w:rsidRPr="00082FBF">
        <w:t xml:space="preserve"> </w:t>
      </w:r>
      <w:r w:rsidR="007B5123" w:rsidRPr="00082FBF">
        <w:t xml:space="preserve">of WHO </w:t>
      </w:r>
      <w:r w:rsidR="000E719C" w:rsidRPr="00082FBF">
        <w:t>technical report series</w:t>
      </w:r>
      <w:r w:rsidR="007B5123" w:rsidRPr="00082FBF">
        <w:t xml:space="preserve">, </w:t>
      </w:r>
      <w:r w:rsidRPr="00082FBF">
        <w:t>No. 927</w:t>
      </w:r>
      <w:r w:rsidR="00FE0705" w:rsidRPr="00082FBF">
        <w:t>.</w:t>
      </w:r>
    </w:p>
    <w:p w14:paraId="0755FA86" w14:textId="3D867844" w:rsidR="008E7846" w:rsidRPr="00082FBF" w:rsidRDefault="008E7846" w:rsidP="008E7846">
      <w:pPr>
        <w:pStyle w:val="Heading3"/>
      </w:pPr>
      <w:bookmarkStart w:id="32" w:name="_Toc314842511"/>
      <w:bookmarkStart w:id="33" w:name="_Toc67390281"/>
      <w:r w:rsidRPr="00082FBF">
        <w:t>Quality</w:t>
      </w:r>
      <w:bookmarkEnd w:id="31"/>
      <w:bookmarkEnd w:id="32"/>
      <w:bookmarkEnd w:id="33"/>
    </w:p>
    <w:p w14:paraId="3097D2C2" w14:textId="07220020" w:rsidR="002752B1" w:rsidRPr="00082FBF" w:rsidRDefault="00B151B4" w:rsidP="002752B1">
      <w:r w:rsidRPr="00082FBF">
        <w:t xml:space="preserve">Each of the four </w:t>
      </w:r>
      <w:r w:rsidR="000E719C" w:rsidRPr="00082FBF">
        <w:t xml:space="preserve">drug substances </w:t>
      </w:r>
      <w:r w:rsidRPr="00082FBF">
        <w:t xml:space="preserve">consists of a purified </w:t>
      </w:r>
      <w:r w:rsidRPr="00082FBF">
        <w:rPr>
          <w:i/>
        </w:rPr>
        <w:t>N. meningitid</w:t>
      </w:r>
      <w:r w:rsidR="00D26456">
        <w:rPr>
          <w:i/>
        </w:rPr>
        <w:t>i</w:t>
      </w:r>
      <w:r w:rsidRPr="00082FBF">
        <w:rPr>
          <w:i/>
        </w:rPr>
        <w:t>s</w:t>
      </w:r>
      <w:r w:rsidRPr="00082FBF">
        <w:t xml:space="preserve"> </w:t>
      </w:r>
      <w:r w:rsidR="000E719C" w:rsidRPr="00082FBF">
        <w:t xml:space="preserve">MenACYW </w:t>
      </w:r>
      <w:r w:rsidRPr="00082FBF">
        <w:t xml:space="preserve">covalently linked to chemically detoxified </w:t>
      </w:r>
      <w:r w:rsidR="007A01E0">
        <w:t>t</w:t>
      </w:r>
      <w:r w:rsidRPr="00082FBF">
        <w:t xml:space="preserve">etanus </w:t>
      </w:r>
      <w:r w:rsidR="007A01E0">
        <w:t>t</w:t>
      </w:r>
      <w:r w:rsidRPr="00082FBF">
        <w:t xml:space="preserve">oxin protein to form a polysaccharide-protein conjugate. </w:t>
      </w:r>
      <w:r w:rsidR="008F340A" w:rsidRPr="00082FBF">
        <w:t>T</w:t>
      </w:r>
      <w:r w:rsidR="000E719C" w:rsidRPr="00082FBF">
        <w:t>he structure of the s</w:t>
      </w:r>
      <w:r w:rsidRPr="00082FBF">
        <w:t xml:space="preserve">erogroup A </w:t>
      </w:r>
      <w:r w:rsidR="00234A6E" w:rsidRPr="00082FBF">
        <w:t>(s</w:t>
      </w:r>
      <w:r w:rsidR="002752B1" w:rsidRPr="00082FBF">
        <w:t xml:space="preserve">ee </w:t>
      </w:r>
      <w:r w:rsidR="002752B1" w:rsidRPr="00082FBF">
        <w:fldChar w:fldCharType="begin"/>
      </w:r>
      <w:r w:rsidR="002752B1" w:rsidRPr="00082FBF">
        <w:instrText xml:space="preserve"> REF _Ref62822262 \h </w:instrText>
      </w:r>
      <w:r w:rsidR="00082FBF">
        <w:instrText xml:space="preserve"> \* MERGEFORMAT </w:instrText>
      </w:r>
      <w:r w:rsidR="002752B1" w:rsidRPr="00082FBF">
        <w:fldChar w:fldCharType="separate"/>
      </w:r>
      <w:r w:rsidR="005F4D35" w:rsidRPr="00082FBF">
        <w:t xml:space="preserve">Figure </w:t>
      </w:r>
      <w:r w:rsidR="005F4D35">
        <w:rPr>
          <w:noProof/>
        </w:rPr>
        <w:t>1</w:t>
      </w:r>
      <w:r w:rsidR="002752B1" w:rsidRPr="00082FBF">
        <w:fldChar w:fldCharType="end"/>
      </w:r>
      <w:r w:rsidR="002752B1" w:rsidRPr="00082FBF">
        <w:t xml:space="preserve">), C (see </w:t>
      </w:r>
      <w:r w:rsidR="002752B1" w:rsidRPr="00082FBF">
        <w:fldChar w:fldCharType="begin"/>
      </w:r>
      <w:r w:rsidR="002752B1" w:rsidRPr="00082FBF">
        <w:instrText xml:space="preserve"> REF _Ref62822407 \h </w:instrText>
      </w:r>
      <w:r w:rsidR="00082FBF">
        <w:instrText xml:space="preserve"> \* MERGEFORMAT </w:instrText>
      </w:r>
      <w:r w:rsidR="002752B1" w:rsidRPr="00082FBF">
        <w:fldChar w:fldCharType="separate"/>
      </w:r>
      <w:r w:rsidR="005F4D35" w:rsidRPr="00082FBF">
        <w:t xml:space="preserve">Figure </w:t>
      </w:r>
      <w:r w:rsidR="005F4D35">
        <w:rPr>
          <w:noProof/>
        </w:rPr>
        <w:t>2</w:t>
      </w:r>
      <w:r w:rsidR="002752B1" w:rsidRPr="00082FBF">
        <w:fldChar w:fldCharType="end"/>
      </w:r>
      <w:r w:rsidR="002752B1" w:rsidRPr="00082FBF">
        <w:t>), Y (see</w:t>
      </w:r>
      <w:r w:rsidR="0001559C" w:rsidRPr="00082FBF">
        <w:t xml:space="preserve"> </w:t>
      </w:r>
      <w:r w:rsidR="0001559C" w:rsidRPr="00082FBF">
        <w:fldChar w:fldCharType="begin"/>
      </w:r>
      <w:r w:rsidR="0001559C" w:rsidRPr="00082FBF">
        <w:instrText xml:space="preserve"> REF _Ref62822608 \h </w:instrText>
      </w:r>
      <w:r w:rsidR="00082FBF">
        <w:instrText xml:space="preserve"> \* MERGEFORMAT </w:instrText>
      </w:r>
      <w:r w:rsidR="0001559C" w:rsidRPr="00082FBF">
        <w:fldChar w:fldCharType="separate"/>
      </w:r>
      <w:r w:rsidR="005F4D35" w:rsidRPr="00082FBF">
        <w:t xml:space="preserve">Figure </w:t>
      </w:r>
      <w:r w:rsidR="005F4D35">
        <w:rPr>
          <w:noProof/>
        </w:rPr>
        <w:t>3</w:t>
      </w:r>
      <w:r w:rsidR="0001559C" w:rsidRPr="00082FBF">
        <w:fldChar w:fldCharType="end"/>
      </w:r>
      <w:r w:rsidR="0001559C" w:rsidRPr="00082FBF">
        <w:t xml:space="preserve">) and W135 (see </w:t>
      </w:r>
      <w:r w:rsidR="0001559C" w:rsidRPr="00082FBF">
        <w:fldChar w:fldCharType="begin"/>
      </w:r>
      <w:r w:rsidR="0001559C" w:rsidRPr="00082FBF">
        <w:instrText xml:space="preserve"> REF _Ref62822630 \h </w:instrText>
      </w:r>
      <w:r w:rsidR="00082FBF">
        <w:instrText xml:space="preserve"> \* MERGEFORMAT </w:instrText>
      </w:r>
      <w:r w:rsidR="0001559C" w:rsidRPr="00082FBF">
        <w:fldChar w:fldCharType="separate"/>
      </w:r>
      <w:r w:rsidR="005F4D35" w:rsidRPr="00082FBF">
        <w:t xml:space="preserve">Figure </w:t>
      </w:r>
      <w:r w:rsidR="005F4D35">
        <w:rPr>
          <w:noProof/>
        </w:rPr>
        <w:t>4</w:t>
      </w:r>
      <w:r w:rsidR="0001559C" w:rsidRPr="00082FBF">
        <w:fldChar w:fldCharType="end"/>
      </w:r>
      <w:r w:rsidR="0001559C" w:rsidRPr="00082FBF">
        <w:t>)</w:t>
      </w:r>
      <w:r w:rsidR="002752B1" w:rsidRPr="00082FBF">
        <w:t xml:space="preserve"> </w:t>
      </w:r>
      <w:r w:rsidRPr="00082FBF">
        <w:t xml:space="preserve">conjugate </w:t>
      </w:r>
      <w:r w:rsidR="000E719C" w:rsidRPr="00082FBF">
        <w:t xml:space="preserve">drug substance </w:t>
      </w:r>
      <w:r w:rsidR="002752B1" w:rsidRPr="00082FBF">
        <w:t>is represented below:</w:t>
      </w:r>
    </w:p>
    <w:p w14:paraId="6B38D05D" w14:textId="263DA052" w:rsidR="00B151B4" w:rsidRPr="00082FBF" w:rsidRDefault="002752B1" w:rsidP="002752B1">
      <w:pPr>
        <w:pStyle w:val="FigureTitle"/>
      </w:pPr>
      <w:bookmarkStart w:id="34" w:name="_Ref62822262"/>
      <w:bookmarkStart w:id="35" w:name="_Ref62822235"/>
      <w:r w:rsidRPr="00082FBF">
        <w:t xml:space="preserve">Figure </w:t>
      </w:r>
      <w:fldSimple w:instr=" SEQ Figure \* ARABIC ">
        <w:r w:rsidR="005F4D35">
          <w:rPr>
            <w:noProof/>
          </w:rPr>
          <w:t>1</w:t>
        </w:r>
      </w:fldSimple>
      <w:bookmarkEnd w:id="34"/>
      <w:r w:rsidRPr="00082FBF">
        <w:t>: The structure of the serogroup A drug substance</w:t>
      </w:r>
      <w:bookmarkEnd w:id="35"/>
    </w:p>
    <w:p w14:paraId="7D9E6216" w14:textId="3FF5C5EB" w:rsidR="00B151B4" w:rsidRPr="00082FBF" w:rsidRDefault="00B151B4" w:rsidP="00B151B4">
      <w:pPr>
        <w:rPr>
          <w:color w:val="FF0000"/>
        </w:rPr>
      </w:pPr>
      <w:r w:rsidRPr="00082FBF">
        <w:rPr>
          <w:noProof/>
          <w:lang w:eastAsia="en-AU"/>
        </w:rPr>
        <w:drawing>
          <wp:inline distT="0" distB="0" distL="0" distR="0" wp14:anchorId="53DC4282" wp14:editId="0457E10C">
            <wp:extent cx="5400040" cy="2645946"/>
            <wp:effectExtent l="0" t="0" r="0" b="2540"/>
            <wp:docPr id="2" name="Picture 2" descr="The structure of the serogroup A drug sub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2645946"/>
                    </a:xfrm>
                    <a:prstGeom prst="rect">
                      <a:avLst/>
                    </a:prstGeom>
                  </pic:spPr>
                </pic:pic>
              </a:graphicData>
            </a:graphic>
          </wp:inline>
        </w:drawing>
      </w:r>
    </w:p>
    <w:p w14:paraId="52B6A415" w14:textId="37779D0E" w:rsidR="002752B1" w:rsidRPr="00082FBF" w:rsidRDefault="002752B1" w:rsidP="002752B1">
      <w:pPr>
        <w:pStyle w:val="FigureTitle"/>
      </w:pPr>
      <w:bookmarkStart w:id="36" w:name="_Ref62822407"/>
      <w:r w:rsidRPr="00082FBF">
        <w:t xml:space="preserve">Figure </w:t>
      </w:r>
      <w:fldSimple w:instr=" SEQ Figure \* ARABIC ">
        <w:r w:rsidR="005F4D35">
          <w:rPr>
            <w:noProof/>
          </w:rPr>
          <w:t>2</w:t>
        </w:r>
      </w:fldSimple>
      <w:bookmarkEnd w:id="36"/>
      <w:r w:rsidRPr="00082FBF">
        <w:t>: The structure of the serogroup C drug substance</w:t>
      </w:r>
    </w:p>
    <w:p w14:paraId="2DF88F35" w14:textId="0B9AE8AF" w:rsidR="002752B1" w:rsidRPr="00082FBF" w:rsidRDefault="002752B1" w:rsidP="00B151B4">
      <w:pPr>
        <w:rPr>
          <w:color w:val="FF0000"/>
        </w:rPr>
      </w:pPr>
      <w:r w:rsidRPr="00082FBF">
        <w:rPr>
          <w:noProof/>
          <w:lang w:eastAsia="en-AU"/>
        </w:rPr>
        <w:drawing>
          <wp:inline distT="0" distB="0" distL="0" distR="0" wp14:anchorId="50DD2D68" wp14:editId="5DAAE41B">
            <wp:extent cx="5353050" cy="1338580"/>
            <wp:effectExtent l="0" t="0" r="0" b="0"/>
            <wp:docPr id="4" name="Picture 4" descr="The structure of the serogroup C drug sub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8649" cy="1352483"/>
                    </a:xfrm>
                    <a:prstGeom prst="rect">
                      <a:avLst/>
                    </a:prstGeom>
                  </pic:spPr>
                </pic:pic>
              </a:graphicData>
            </a:graphic>
          </wp:inline>
        </w:drawing>
      </w:r>
    </w:p>
    <w:p w14:paraId="7E82219D" w14:textId="14BB7854" w:rsidR="008F340A" w:rsidRPr="00082FBF" w:rsidRDefault="002752B1" w:rsidP="002752B1">
      <w:pPr>
        <w:pStyle w:val="FigureTitle"/>
      </w:pPr>
      <w:bookmarkStart w:id="37" w:name="_Ref62822608"/>
      <w:r w:rsidRPr="00082FBF">
        <w:t xml:space="preserve">Figure </w:t>
      </w:r>
      <w:fldSimple w:instr=" SEQ Figure \* ARABIC ">
        <w:r w:rsidR="005F4D35">
          <w:rPr>
            <w:noProof/>
          </w:rPr>
          <w:t>3</w:t>
        </w:r>
      </w:fldSimple>
      <w:bookmarkEnd w:id="37"/>
      <w:r w:rsidRPr="00082FBF">
        <w:t>: The structure of the serogroup Y drug substance</w:t>
      </w:r>
    </w:p>
    <w:p w14:paraId="3DECCA03" w14:textId="77777777" w:rsidR="008F340A" w:rsidRPr="00082FBF" w:rsidRDefault="008F340A" w:rsidP="00CD4C75">
      <w:r w:rsidRPr="00082FBF">
        <w:rPr>
          <w:noProof/>
          <w:lang w:eastAsia="en-AU"/>
        </w:rPr>
        <w:drawing>
          <wp:inline distT="0" distB="0" distL="0" distR="0" wp14:anchorId="72EC318C" wp14:editId="4502ABAC">
            <wp:extent cx="4449170" cy="1781094"/>
            <wp:effectExtent l="0" t="0" r="0" b="0"/>
            <wp:docPr id="5" name="Picture 5" descr="The structure of the serogroup Y drug sub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72951" cy="1790614"/>
                    </a:xfrm>
                    <a:prstGeom prst="rect">
                      <a:avLst/>
                    </a:prstGeom>
                  </pic:spPr>
                </pic:pic>
              </a:graphicData>
            </a:graphic>
          </wp:inline>
        </w:drawing>
      </w:r>
    </w:p>
    <w:p w14:paraId="2AB1A979" w14:textId="4C7CB335" w:rsidR="002752B1" w:rsidRPr="00082FBF" w:rsidRDefault="002752B1" w:rsidP="0001559C">
      <w:pPr>
        <w:pStyle w:val="FigureTitle"/>
      </w:pPr>
      <w:bookmarkStart w:id="38" w:name="_Ref62822630"/>
      <w:r w:rsidRPr="00082FBF">
        <w:t xml:space="preserve">Figure </w:t>
      </w:r>
      <w:fldSimple w:instr=" SEQ Figure \* ARABIC ">
        <w:r w:rsidR="005F4D35">
          <w:rPr>
            <w:noProof/>
          </w:rPr>
          <w:t>4</w:t>
        </w:r>
      </w:fldSimple>
      <w:bookmarkEnd w:id="38"/>
      <w:r w:rsidRPr="00082FBF">
        <w:t>: The structure of the serogroup W135 drug substance</w:t>
      </w:r>
    </w:p>
    <w:p w14:paraId="2C0ABABD" w14:textId="77777777" w:rsidR="008F340A" w:rsidRPr="00082FBF" w:rsidRDefault="008F340A" w:rsidP="008F340A">
      <w:pPr>
        <w:autoSpaceDE w:val="0"/>
        <w:autoSpaceDN w:val="0"/>
        <w:adjustRightInd w:val="0"/>
        <w:spacing w:after="0"/>
        <w:rPr>
          <w:rFonts w:asciiTheme="minorHAnsi" w:eastAsia="MS Mincho" w:hAnsiTheme="minorHAnsi"/>
          <w:bCs/>
          <w:szCs w:val="26"/>
          <w:lang w:eastAsia="en-AU"/>
        </w:rPr>
      </w:pPr>
      <w:r w:rsidRPr="00082FBF">
        <w:rPr>
          <w:noProof/>
          <w:lang w:eastAsia="en-AU"/>
        </w:rPr>
        <w:drawing>
          <wp:inline distT="0" distB="0" distL="0" distR="0" wp14:anchorId="292F8341" wp14:editId="35751774">
            <wp:extent cx="4339988" cy="1876433"/>
            <wp:effectExtent l="0" t="0" r="3810" b="0"/>
            <wp:docPr id="9" name="Picture 9" descr="The structure of the serogroup W135 drug sub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89979" cy="1898047"/>
                    </a:xfrm>
                    <a:prstGeom prst="rect">
                      <a:avLst/>
                    </a:prstGeom>
                  </pic:spPr>
                </pic:pic>
              </a:graphicData>
            </a:graphic>
          </wp:inline>
        </w:drawing>
      </w:r>
    </w:p>
    <w:p w14:paraId="0D1C6A5F" w14:textId="555D8625" w:rsidR="0001559C" w:rsidRPr="00082FBF" w:rsidRDefault="0001559C" w:rsidP="0001559C">
      <w:r w:rsidRPr="00082FBF">
        <w:t xml:space="preserve">The four </w:t>
      </w:r>
      <w:r w:rsidR="000E719C" w:rsidRPr="00082FBF">
        <w:t xml:space="preserve">drug substances </w:t>
      </w:r>
      <w:r w:rsidRPr="00082FBF">
        <w:t>differ from each other by virtue of the structure of the capsular polysaccharide moiety and the ch</w:t>
      </w:r>
      <w:r w:rsidR="000E719C" w:rsidRPr="00082FBF">
        <w:t>emical linkage to the protein.</w:t>
      </w:r>
    </w:p>
    <w:p w14:paraId="68817F4E" w14:textId="786A1C23" w:rsidR="00411288" w:rsidRPr="00082FBF" w:rsidRDefault="00B151B4" w:rsidP="00B151B4">
      <w:r w:rsidRPr="00082FBF">
        <w:t>All outstanding quality issues have been resolved. Details of conditions of registration have been provided.</w:t>
      </w:r>
    </w:p>
    <w:p w14:paraId="3B2F3B9D" w14:textId="44FAE720" w:rsidR="00F559DF" w:rsidRPr="00082FBF" w:rsidRDefault="000E719C" w:rsidP="00B151B4">
      <w:r w:rsidRPr="00082FBF">
        <w:t>There are no objections on q</w:t>
      </w:r>
      <w:r w:rsidR="00B151B4" w:rsidRPr="00082FBF">
        <w:t>uality grounds to the approval of MenQuadfi.</w:t>
      </w:r>
    </w:p>
    <w:p w14:paraId="7A635373" w14:textId="77777777" w:rsidR="008E7846" w:rsidRPr="00082FBF" w:rsidRDefault="008E7846" w:rsidP="008E7846">
      <w:pPr>
        <w:pStyle w:val="Heading3"/>
      </w:pPr>
      <w:bookmarkStart w:id="39" w:name="_Toc314842512"/>
      <w:bookmarkStart w:id="40" w:name="_Toc67390282"/>
      <w:r w:rsidRPr="00082FBF">
        <w:t>Nonclinical</w:t>
      </w:r>
      <w:bookmarkEnd w:id="39"/>
      <w:bookmarkEnd w:id="40"/>
    </w:p>
    <w:p w14:paraId="50D00F78" w14:textId="3B1E8FC2" w:rsidR="002E416D" w:rsidRPr="00082FBF" w:rsidRDefault="002E416D" w:rsidP="002E416D">
      <w:r w:rsidRPr="00082FBF">
        <w:t xml:space="preserve">The dossier was in accordance with WHO and EU guidelines on the nonclinical pharmacological and toxicological </w:t>
      </w:r>
      <w:r w:rsidR="00457018" w:rsidRPr="00082FBF">
        <w:t xml:space="preserve">testing of vaccines. No vaccine </w:t>
      </w:r>
      <w:r w:rsidRPr="00082FBF">
        <w:t>related systematic toxicity or local effects were observed in repeat dose toxicity studies in rats. No juvenile animal study was conducted. The vaccine is proposed for use in children from 12 months of age. However, no toxicity studies were conducted in infant animals. In the repeat dose study, in both male and female adult rats, the vaccine was administered intramuscularly with treatment equivalent to the fu</w:t>
      </w:r>
      <w:r w:rsidR="00457018" w:rsidRPr="00082FBF">
        <w:t>ll human dose. This dosage was approximately</w:t>
      </w:r>
      <w:r w:rsidRPr="00082FBF">
        <w:t>13-fold higher for a 12 m</w:t>
      </w:r>
      <w:r w:rsidR="00457018" w:rsidRPr="00082FBF">
        <w:t xml:space="preserve">onth old human infant weighing approximately </w:t>
      </w:r>
      <w:r w:rsidRPr="00082FBF">
        <w:t>10 kg (based on body surface area). The dose multiple in this study was considered sufficient to cover the toxicological effects in a 12 month old human infant.</w:t>
      </w:r>
    </w:p>
    <w:p w14:paraId="58EE4104" w14:textId="47541964" w:rsidR="002E416D" w:rsidRPr="00082FBF" w:rsidRDefault="002E416D" w:rsidP="002E416D">
      <w:r w:rsidRPr="00082FBF">
        <w:t>There w</w:t>
      </w:r>
      <w:r w:rsidR="0049199D">
        <w:t>ere</w:t>
      </w:r>
      <w:r w:rsidRPr="00082FBF">
        <w:t xml:space="preserve"> no efficacy studies as an adequate animal model does not exist. No</w:t>
      </w:r>
      <w:r w:rsidR="0049199D">
        <w:t> </w:t>
      </w:r>
      <w:r w:rsidRPr="00082FBF">
        <w:t>genotoxicity or carcinogenicity studies were submitted</w:t>
      </w:r>
      <w:r w:rsidR="0049199D">
        <w:t xml:space="preserve">; </w:t>
      </w:r>
      <w:r w:rsidRPr="00082FBF">
        <w:t xml:space="preserve"> this was considered acceptable for vaccines.</w:t>
      </w:r>
    </w:p>
    <w:p w14:paraId="474108CD" w14:textId="11B671CC" w:rsidR="002E416D" w:rsidRPr="00082FBF" w:rsidRDefault="002E416D" w:rsidP="002E416D">
      <w:r w:rsidRPr="00082FBF">
        <w:t xml:space="preserve">The sponsor has proposed </w:t>
      </w:r>
      <w:r w:rsidR="00457018" w:rsidRPr="00082FBF">
        <w:t xml:space="preserve">pregnancy category </w:t>
      </w:r>
      <w:r w:rsidRPr="00082FBF">
        <w:t>B1.</w:t>
      </w:r>
      <w:r w:rsidR="00872F55" w:rsidRPr="00082FBF">
        <w:rPr>
          <w:rStyle w:val="FootnoteReference"/>
        </w:rPr>
        <w:footnoteReference w:id="11"/>
      </w:r>
      <w:r w:rsidRPr="00082FBF">
        <w:t xml:space="preserve"> Based on negative results in reproductive and developmental studies in rabbits, this was considered appropriate, noting that vaccines do not require two species for such studies.</w:t>
      </w:r>
    </w:p>
    <w:p w14:paraId="476494B2" w14:textId="7C856141" w:rsidR="00006FAB" w:rsidRPr="00082FBF" w:rsidRDefault="002E416D" w:rsidP="002E416D">
      <w:r w:rsidRPr="00082FBF">
        <w:t xml:space="preserve">There are no objections to the registration of MenQuadfi from the </w:t>
      </w:r>
      <w:r w:rsidR="00457018" w:rsidRPr="00082FBF">
        <w:t xml:space="preserve">toxicology </w:t>
      </w:r>
      <w:r w:rsidRPr="00082FBF">
        <w:t>area, subject to satisfactory clinical data. Recommendations for PI have been provided.</w:t>
      </w:r>
    </w:p>
    <w:p w14:paraId="13EF0DC5" w14:textId="08485715" w:rsidR="008E7846" w:rsidRPr="00082FBF" w:rsidRDefault="008E7846" w:rsidP="008E7846">
      <w:pPr>
        <w:pStyle w:val="Heading3"/>
      </w:pPr>
      <w:bookmarkStart w:id="41" w:name="_Toc247691530"/>
      <w:bookmarkStart w:id="42" w:name="_Toc314842513"/>
      <w:bookmarkStart w:id="43" w:name="_Toc67390283"/>
      <w:r w:rsidRPr="00082FBF">
        <w:t>Clinical</w:t>
      </w:r>
      <w:bookmarkEnd w:id="41"/>
      <w:bookmarkEnd w:id="42"/>
      <w:bookmarkEnd w:id="43"/>
    </w:p>
    <w:p w14:paraId="0B0C3639" w14:textId="31587BC0" w:rsidR="00A225A7" w:rsidRPr="00082FBF" w:rsidRDefault="00227CA3" w:rsidP="00A225A7">
      <w:bookmarkStart w:id="44" w:name="_Toc314842514"/>
      <w:r w:rsidRPr="00082FBF">
        <w:t>The following six</w:t>
      </w:r>
      <w:r w:rsidR="00A225A7" w:rsidRPr="00082FBF">
        <w:t xml:space="preserve"> studies, considered pivotal to the </w:t>
      </w:r>
      <w:r w:rsidR="0049199D">
        <w:t>proposed</w:t>
      </w:r>
      <w:r w:rsidR="0049199D" w:rsidRPr="00082FBF">
        <w:t xml:space="preserve"> </w:t>
      </w:r>
      <w:r w:rsidR="00A225A7" w:rsidRPr="00082FBF">
        <w:t>indication:</w:t>
      </w:r>
    </w:p>
    <w:p w14:paraId="15C9ADD9" w14:textId="63A25525" w:rsidR="00A225A7" w:rsidRPr="00082FBF" w:rsidRDefault="0049199D" w:rsidP="00227CA3">
      <w:pPr>
        <w:pStyle w:val="ListBullet"/>
      </w:pPr>
      <w:r>
        <w:t xml:space="preserve">Study MET51 in </w:t>
      </w:r>
      <w:r w:rsidR="00C51256">
        <w:t>t</w:t>
      </w:r>
      <w:r w:rsidR="00A225A7" w:rsidRPr="00082FBF">
        <w:t>oddlers (12 to 23 months of</w:t>
      </w:r>
      <w:r w:rsidR="00DB1B82" w:rsidRPr="00082FBF">
        <w:t xml:space="preserve"> age; nai</w:t>
      </w:r>
      <w:r w:rsidR="001C0DDF" w:rsidRPr="00082FBF">
        <w:t>ve and</w:t>
      </w:r>
      <w:r w:rsidR="00F52013" w:rsidRPr="00082FBF">
        <w:t xml:space="preserve"> primed subjects</w:t>
      </w:r>
      <w:r>
        <w:t xml:space="preserve">; </w:t>
      </w:r>
      <w:r w:rsidR="00227CA3" w:rsidRPr="00082FBF">
        <w:t>versus</w:t>
      </w:r>
      <w:r w:rsidR="00F52013" w:rsidRPr="00082FBF">
        <w:t xml:space="preserve"> </w:t>
      </w:r>
      <w:r w:rsidR="00227CA3" w:rsidRPr="00082FBF">
        <w:t>Nimenrix</w:t>
      </w:r>
      <w:r w:rsidR="00F52013" w:rsidRPr="00082FBF">
        <w:t xml:space="preserve">) </w:t>
      </w:r>
      <w:r>
        <w:t>and</w:t>
      </w:r>
      <w:r w:rsidR="00A225A7" w:rsidRPr="00082FBF">
        <w:t xml:space="preserve"> conducted in EU countrie</w:t>
      </w:r>
      <w:r w:rsidR="006F7900" w:rsidRPr="00082FBF">
        <w:t>s</w:t>
      </w:r>
      <w:r>
        <w:t>;</w:t>
      </w:r>
    </w:p>
    <w:p w14:paraId="751F2A2E" w14:textId="0EE76AC1" w:rsidR="00A225A7" w:rsidRPr="00082FBF" w:rsidRDefault="0049199D" w:rsidP="00227CA3">
      <w:pPr>
        <w:pStyle w:val="ListBullet"/>
      </w:pPr>
      <w:r>
        <w:t xml:space="preserve">Study MET35 in </w:t>
      </w:r>
      <w:r w:rsidR="00C51256">
        <w:t>c</w:t>
      </w:r>
      <w:r w:rsidR="00227CA3" w:rsidRPr="00082FBF">
        <w:t>hildren (two to nine</w:t>
      </w:r>
      <w:r w:rsidR="00DB1B82" w:rsidRPr="00082FBF">
        <w:t xml:space="preserve"> years of age; nai</w:t>
      </w:r>
      <w:r w:rsidR="00F52013" w:rsidRPr="00082FBF">
        <w:t>ve subjects</w:t>
      </w:r>
      <w:r>
        <w:t xml:space="preserve">; </w:t>
      </w:r>
      <w:r w:rsidR="00227CA3" w:rsidRPr="00082FBF">
        <w:t xml:space="preserve">versus </w:t>
      </w:r>
      <w:r w:rsidR="006F7900" w:rsidRPr="00082FBF">
        <w:t>Menveo</w:t>
      </w:r>
      <w:r w:rsidR="00F52013" w:rsidRPr="00082FBF">
        <w:t xml:space="preserve">) </w:t>
      </w:r>
      <w:r>
        <w:t>and</w:t>
      </w:r>
      <w:r w:rsidR="00A225A7" w:rsidRPr="00082FBF">
        <w:t xml:space="preserve"> conducted in </w:t>
      </w:r>
      <w:r w:rsidR="006F7900" w:rsidRPr="00082FBF">
        <w:t>the USA</w:t>
      </w:r>
      <w:r w:rsidR="00F83081">
        <w:t>;</w:t>
      </w:r>
    </w:p>
    <w:p w14:paraId="47A22A6F" w14:textId="19A97E7B" w:rsidR="00A225A7" w:rsidRPr="00082FBF" w:rsidRDefault="0049199D" w:rsidP="00227CA3">
      <w:pPr>
        <w:pStyle w:val="ListBullet"/>
      </w:pPr>
      <w:r>
        <w:t xml:space="preserve">Study MET50 in </w:t>
      </w:r>
      <w:r w:rsidR="00C51256">
        <w:t>a</w:t>
      </w:r>
      <w:r w:rsidR="006F7900" w:rsidRPr="00082FBF">
        <w:t>dolescents (</w:t>
      </w:r>
      <w:r w:rsidR="00F83081">
        <w:t>10</w:t>
      </w:r>
      <w:r w:rsidR="00A225A7" w:rsidRPr="00082FBF">
        <w:t xml:space="preserve"> to 17 </w:t>
      </w:r>
      <w:r w:rsidR="00DB1B82" w:rsidRPr="00082FBF">
        <w:t>years of age; nai</w:t>
      </w:r>
      <w:r w:rsidR="00A225A7" w:rsidRPr="00082FBF">
        <w:t>ve subject</w:t>
      </w:r>
      <w:r w:rsidR="00F52013" w:rsidRPr="00082FBF">
        <w:t>s</w:t>
      </w:r>
      <w:r>
        <w:t xml:space="preserve">; </w:t>
      </w:r>
      <w:r w:rsidR="00227CA3" w:rsidRPr="00082FBF">
        <w:t xml:space="preserve">versus </w:t>
      </w:r>
      <w:r w:rsidR="006F7900" w:rsidRPr="00082FBF">
        <w:t>Menveo</w:t>
      </w:r>
      <w:r w:rsidR="00F52013" w:rsidRPr="00082FBF">
        <w:t xml:space="preserve">) </w:t>
      </w:r>
      <w:r>
        <w:t>and</w:t>
      </w:r>
      <w:r w:rsidR="00A225A7" w:rsidRPr="00082FBF">
        <w:t xml:space="preserve"> conducted in </w:t>
      </w:r>
      <w:r w:rsidR="006F7900" w:rsidRPr="00082FBF">
        <w:t>the USA</w:t>
      </w:r>
      <w:r w:rsidR="00F83081">
        <w:t>;</w:t>
      </w:r>
    </w:p>
    <w:p w14:paraId="24690D34" w14:textId="3E47BCE1" w:rsidR="00A225A7" w:rsidRPr="00082FBF" w:rsidRDefault="0049199D" w:rsidP="00227CA3">
      <w:pPr>
        <w:pStyle w:val="ListBullet"/>
      </w:pPr>
      <w:r>
        <w:t xml:space="preserve">Study MET43 in </w:t>
      </w:r>
      <w:r w:rsidR="00C51256">
        <w:t>a</w:t>
      </w:r>
      <w:r w:rsidR="001C0DDF" w:rsidRPr="00082FBF">
        <w:t>dolescents and</w:t>
      </w:r>
      <w:r w:rsidR="006F7900" w:rsidRPr="00082FBF">
        <w:t xml:space="preserve"> adults (</w:t>
      </w:r>
      <w:r w:rsidR="00F83081">
        <w:t>10</w:t>
      </w:r>
      <w:r w:rsidR="00A225A7" w:rsidRPr="00082FBF">
        <w:t xml:space="preserve"> to 55</w:t>
      </w:r>
      <w:r w:rsidR="00DB1B82" w:rsidRPr="00082FBF">
        <w:t xml:space="preserve"> years of age; nai</w:t>
      </w:r>
      <w:r w:rsidR="00F52013" w:rsidRPr="00082FBF">
        <w:t>ve subjects</w:t>
      </w:r>
      <w:r>
        <w:t>; versus</w:t>
      </w:r>
      <w:r w:rsidR="00227CA3" w:rsidRPr="00082FBF">
        <w:t xml:space="preserve"> </w:t>
      </w:r>
      <w:r w:rsidR="006F7900" w:rsidRPr="00082FBF">
        <w:t>Menactra</w:t>
      </w:r>
      <w:r w:rsidR="00F52013" w:rsidRPr="00082FBF">
        <w:t xml:space="preserve">) </w:t>
      </w:r>
      <w:r>
        <w:t>and</w:t>
      </w:r>
      <w:r w:rsidR="00A225A7" w:rsidRPr="00082FBF">
        <w:t xml:space="preserve"> conducted in </w:t>
      </w:r>
      <w:r w:rsidR="006F7900" w:rsidRPr="00082FBF">
        <w:t>the USA</w:t>
      </w:r>
      <w:r w:rsidR="00F83081">
        <w:t>;</w:t>
      </w:r>
    </w:p>
    <w:p w14:paraId="59BE647C" w14:textId="6050C77D" w:rsidR="00A225A7" w:rsidRPr="00082FBF" w:rsidRDefault="0049199D" w:rsidP="00227CA3">
      <w:pPr>
        <w:pStyle w:val="ListBullet"/>
      </w:pPr>
      <w:r>
        <w:t xml:space="preserve">Study MET49 in </w:t>
      </w:r>
      <w:r w:rsidR="00C51256">
        <w:t>a</w:t>
      </w:r>
      <w:r w:rsidR="006F7900" w:rsidRPr="00082FBF">
        <w:t>dults and e</w:t>
      </w:r>
      <w:r w:rsidR="00A225A7" w:rsidRPr="00082FBF">
        <w:t>lderly (≥ 56</w:t>
      </w:r>
      <w:r w:rsidR="00DB1B82" w:rsidRPr="00082FBF">
        <w:t xml:space="preserve"> years of age; nai</w:t>
      </w:r>
      <w:r w:rsidR="00F52013" w:rsidRPr="00082FBF">
        <w:t>ve subjects</w:t>
      </w:r>
      <w:r w:rsidR="00A50585">
        <w:t xml:space="preserve">; </w:t>
      </w:r>
      <w:r w:rsidR="00227CA3" w:rsidRPr="00082FBF">
        <w:t xml:space="preserve">versus </w:t>
      </w:r>
      <w:r w:rsidR="006F7900" w:rsidRPr="00082FBF">
        <w:t>Menomune</w:t>
      </w:r>
      <w:r w:rsidR="00F52013" w:rsidRPr="00082FBF">
        <w:t xml:space="preserve">) </w:t>
      </w:r>
      <w:r w:rsidR="00A50585">
        <w:t>and</w:t>
      </w:r>
      <w:r w:rsidR="00A225A7" w:rsidRPr="00082FBF">
        <w:t xml:space="preserve"> conducted in </w:t>
      </w:r>
      <w:r w:rsidR="006F7900" w:rsidRPr="00082FBF">
        <w:t>the USA</w:t>
      </w:r>
      <w:r w:rsidR="00F83081">
        <w:t>;</w:t>
      </w:r>
    </w:p>
    <w:p w14:paraId="4374C22B" w14:textId="7E795A12" w:rsidR="00A225A7" w:rsidRPr="00082FBF" w:rsidRDefault="00A50585" w:rsidP="00227CA3">
      <w:pPr>
        <w:pStyle w:val="ListBullet"/>
      </w:pPr>
      <w:r>
        <w:t xml:space="preserve">Study MET56 in </w:t>
      </w:r>
      <w:r w:rsidR="00C51256">
        <w:t>a</w:t>
      </w:r>
      <w:r w:rsidR="001C0DDF" w:rsidRPr="00082FBF">
        <w:t>dolescents and</w:t>
      </w:r>
      <w:r w:rsidR="006F7900" w:rsidRPr="00082FBF">
        <w:t xml:space="preserve"> adults (</w:t>
      </w:r>
      <w:r w:rsidR="00F83081">
        <w:t>10</w:t>
      </w:r>
      <w:r w:rsidR="00A225A7" w:rsidRPr="00082FBF">
        <w:t xml:space="preserve"> to 55 years of age; primed subjects</w:t>
      </w:r>
      <w:r>
        <w:t xml:space="preserve">; </w:t>
      </w:r>
      <w:r w:rsidR="00227CA3" w:rsidRPr="00082FBF">
        <w:t xml:space="preserve">versus </w:t>
      </w:r>
      <w:r w:rsidR="006F7900" w:rsidRPr="00082FBF">
        <w:t>Menactra</w:t>
      </w:r>
      <w:r w:rsidR="00A225A7" w:rsidRPr="00082FBF">
        <w:t>)</w:t>
      </w:r>
      <w:r w:rsidR="006F7900" w:rsidRPr="00082FBF">
        <w:t xml:space="preserve"> </w:t>
      </w:r>
      <w:r>
        <w:t>and</w:t>
      </w:r>
      <w:r w:rsidR="00A225A7" w:rsidRPr="00082FBF">
        <w:t xml:space="preserve"> conducted in </w:t>
      </w:r>
      <w:r w:rsidR="006F7900" w:rsidRPr="00082FBF">
        <w:t xml:space="preserve">the </w:t>
      </w:r>
      <w:r w:rsidR="00A225A7" w:rsidRPr="00082FBF">
        <w:t>USA.</w:t>
      </w:r>
    </w:p>
    <w:p w14:paraId="081F453D" w14:textId="4D55A729" w:rsidR="00A225A7" w:rsidRPr="00082FBF" w:rsidRDefault="006F7900" w:rsidP="00A225A7">
      <w:r w:rsidRPr="00082FBF">
        <w:t>Results in each of the six</w:t>
      </w:r>
      <w:r w:rsidR="00A225A7" w:rsidRPr="00082FBF">
        <w:t xml:space="preserve"> above nominated studies are noted below. All studies were controlled trials with non-inferiority objective with respect to immune response to single vaccine dose at Day 30 post-vaccination:</w:t>
      </w:r>
    </w:p>
    <w:p w14:paraId="05B8C18B" w14:textId="25FAED33" w:rsidR="00A225A7" w:rsidRPr="00082FBF" w:rsidRDefault="00A225A7" w:rsidP="00A225A7">
      <w:r w:rsidRPr="00082FBF">
        <w:t>As the incidence of meningococcal disease is very low, it is not practical to undertake a sufficiently powered trial for demonstrating vaccine efficacy. Hence, im</w:t>
      </w:r>
      <w:r w:rsidR="003C46CF" w:rsidRPr="00082FBF">
        <w:t>munogenicity endpoint (that is,</w:t>
      </w:r>
      <w:r w:rsidRPr="00082FBF">
        <w:t xml:space="preserve"> subjects achieving seroprotective titres ≥</w:t>
      </w:r>
      <w:r w:rsidR="003C46CF" w:rsidRPr="00082FBF">
        <w:t xml:space="preserve"> </w:t>
      </w:r>
      <w:r w:rsidRPr="00082FBF">
        <w:t xml:space="preserve">1/8 with human </w:t>
      </w:r>
      <w:r w:rsidR="003C46CF" w:rsidRPr="00082FBF">
        <w:t xml:space="preserve">serum bactericidal assay </w:t>
      </w:r>
      <w:r w:rsidRPr="00082FBF">
        <w:t>(hSBA) is an accepted correlate of protection</w:t>
      </w:r>
      <w:r w:rsidR="003C46CF" w:rsidRPr="00082FBF">
        <w:t>)</w:t>
      </w:r>
      <w:r w:rsidRPr="00082FBF">
        <w:t>. Thus the clinical trials program for MenQuadfi was based on various immunogenicity variables and endpoints.</w:t>
      </w:r>
    </w:p>
    <w:p w14:paraId="1BE5A8B9" w14:textId="6D005BC4" w:rsidR="00A225A7" w:rsidRPr="00082FBF" w:rsidRDefault="00716F3F" w:rsidP="00A225A7">
      <w:r w:rsidRPr="00082FBF">
        <w:t>A Phase I</w:t>
      </w:r>
      <w:r w:rsidR="00A225A7" w:rsidRPr="00082FBF">
        <w:t xml:space="preserve"> study </w:t>
      </w:r>
      <w:r w:rsidR="00A50585">
        <w:t xml:space="preserve">(Study </w:t>
      </w:r>
      <w:r w:rsidR="00A225A7" w:rsidRPr="00082FBF">
        <w:t>MET28</w:t>
      </w:r>
      <w:r w:rsidR="00A50585">
        <w:t>; this</w:t>
      </w:r>
      <w:r w:rsidR="00874698">
        <w:t xml:space="preserve"> </w:t>
      </w:r>
      <w:r w:rsidR="00A225A7" w:rsidRPr="00082FBF">
        <w:t>Canadian study found no clear trends in antibody response for the diffe</w:t>
      </w:r>
      <w:r w:rsidRPr="00082FBF">
        <w:t>rent dose groups) and a Phase I to II</w:t>
      </w:r>
      <w:r w:rsidR="00A225A7" w:rsidRPr="00082FBF">
        <w:t xml:space="preserve"> study </w:t>
      </w:r>
      <w:r w:rsidR="00A50585">
        <w:t xml:space="preserve">(Study </w:t>
      </w:r>
      <w:r w:rsidR="00A225A7" w:rsidRPr="00082FBF">
        <w:t>MET32</w:t>
      </w:r>
      <w:r w:rsidR="00A50585">
        <w:t xml:space="preserve">; this </w:t>
      </w:r>
      <w:r w:rsidR="00A225A7" w:rsidRPr="00082FBF">
        <w:t xml:space="preserve">Australian study in toddlers concluded that 10 </w:t>
      </w:r>
      <w:r w:rsidR="00A225A7" w:rsidRPr="00082FBF">
        <w:rPr>
          <w:rFonts w:asciiTheme="minorHAnsi" w:hAnsiTheme="minorHAnsi"/>
        </w:rPr>
        <w:t>μ</w:t>
      </w:r>
      <w:r w:rsidR="00A225A7" w:rsidRPr="00082FBF">
        <w:t>g polysaccharides per serogroup was needed for optimum response in all serogroups particularly serogroup A) resulted in the final formulation tha</w:t>
      </w:r>
      <w:r w:rsidRPr="00082FBF">
        <w:t>t was used in subsequent Phase II and Phase III</w:t>
      </w:r>
      <w:r w:rsidR="00A225A7" w:rsidRPr="00082FBF">
        <w:t xml:space="preserve"> studies conducted between 2012 and 2018:</w:t>
      </w:r>
    </w:p>
    <w:p w14:paraId="20FFD2FA" w14:textId="3D7E0309" w:rsidR="007F18A6" w:rsidRDefault="008B0776" w:rsidP="008B0776">
      <w:pPr>
        <w:pStyle w:val="TableTitle"/>
      </w:pPr>
      <w:r>
        <w:t xml:space="preserve">Table </w:t>
      </w:r>
      <w:fldSimple w:instr=" SEQ Table \* ARABIC ">
        <w:r w:rsidR="005F4D35">
          <w:rPr>
            <w:noProof/>
          </w:rPr>
          <w:t>3</w:t>
        </w:r>
      </w:fldSimple>
      <w:r w:rsidR="00E83CA4" w:rsidRPr="00082FBF">
        <w:t>:</w:t>
      </w:r>
      <w:r w:rsidR="00716F3F" w:rsidRPr="00082FBF">
        <w:t xml:space="preserve"> Summary of population groups and the corresponding Phase II and Phase</w:t>
      </w:r>
      <w:r w:rsidR="00A50585">
        <w:t> </w:t>
      </w:r>
      <w:r w:rsidR="00716F3F" w:rsidRPr="00082FBF">
        <w:t>III studies conducted between 2012 and 2018</w:t>
      </w:r>
    </w:p>
    <w:p w14:paraId="070591A1" w14:textId="1A877861" w:rsidR="00770AF8" w:rsidRPr="00082FBF" w:rsidRDefault="00770AF8" w:rsidP="00CD4C75">
      <w:r>
        <w:rPr>
          <w:noProof/>
          <w:lang w:eastAsia="en-AU"/>
        </w:rPr>
        <w:drawing>
          <wp:inline distT="0" distB="0" distL="0" distR="0" wp14:anchorId="5A21DF94" wp14:editId="790F1C06">
            <wp:extent cx="5400040" cy="1367155"/>
            <wp:effectExtent l="0" t="0" r="0" b="4445"/>
            <wp:docPr id="3" name="Picture 3" descr="Summary of population groups and the corresponding Phase II and Phase III studies conducted between 2012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367155"/>
                    </a:xfrm>
                    <a:prstGeom prst="rect">
                      <a:avLst/>
                    </a:prstGeom>
                  </pic:spPr>
                </pic:pic>
              </a:graphicData>
            </a:graphic>
          </wp:inline>
        </w:drawing>
      </w:r>
    </w:p>
    <w:p w14:paraId="3691B953" w14:textId="0BD36408" w:rsidR="007F18A6" w:rsidRPr="00CD4C75" w:rsidRDefault="007F18A6" w:rsidP="00CD4C75">
      <w:pPr>
        <w:pStyle w:val="TableDescription"/>
      </w:pPr>
      <w:r w:rsidRPr="00CD4C75">
        <w:t>*MET56 included subjects aged 15 years through 55 years. One subject older than 55 years was erroneously included in the study and included in the database.</w:t>
      </w:r>
    </w:p>
    <w:p w14:paraId="6A8F7BE3" w14:textId="4F2CC7DE" w:rsidR="00A225A7" w:rsidRPr="00A6224E" w:rsidRDefault="00C51256" w:rsidP="00A6224E">
      <w:pPr>
        <w:pStyle w:val="Heading4"/>
      </w:pPr>
      <w:r w:rsidRPr="00A6224E">
        <w:t xml:space="preserve">Study MET51 </w:t>
      </w:r>
      <w:r w:rsidR="00A6224E" w:rsidRPr="00A6224E">
        <w:t>t</w:t>
      </w:r>
      <w:r w:rsidR="00A225A7" w:rsidRPr="00A6224E">
        <w:t xml:space="preserve">oddlers </w:t>
      </w:r>
      <w:r w:rsidR="00DB1B82" w:rsidRPr="00A6224E">
        <w:t>(nai</w:t>
      </w:r>
      <w:r w:rsidR="001C0DDF" w:rsidRPr="00A6224E">
        <w:t>ve and</w:t>
      </w:r>
      <w:r w:rsidR="008B0776" w:rsidRPr="00A6224E">
        <w:t xml:space="preserve"> primed)</w:t>
      </w:r>
    </w:p>
    <w:p w14:paraId="1D90A7C2" w14:textId="392ED1D3" w:rsidR="00A225A7" w:rsidRPr="00082FBF" w:rsidRDefault="00716F3F" w:rsidP="00A225A7">
      <w:r w:rsidRPr="00082FBF">
        <w:t>This was a study</w:t>
      </w:r>
      <w:r w:rsidR="00A50585">
        <w:t xml:space="preserve"> in toddlers</w:t>
      </w:r>
      <w:r w:rsidRPr="00082FBF">
        <w:t xml:space="preserve"> (12 to </w:t>
      </w:r>
      <w:r w:rsidR="00A225A7" w:rsidRPr="00082FBF">
        <w:t>23</w:t>
      </w:r>
      <w:r w:rsidR="00227CA3" w:rsidRPr="00082FBF">
        <w:t xml:space="preserve"> months of age) for MenQuadfi versus</w:t>
      </w:r>
      <w:r w:rsidR="00A225A7" w:rsidRPr="00082FBF">
        <w:t xml:space="preserve"> </w:t>
      </w:r>
      <w:r w:rsidRPr="00082FBF">
        <w:t>Nimenrix</w:t>
      </w:r>
      <w:r w:rsidR="00A225A7" w:rsidRPr="00082FBF">
        <w:t>.</w:t>
      </w:r>
    </w:p>
    <w:p w14:paraId="51806D5B" w14:textId="65C4216B" w:rsidR="00A225A7" w:rsidRPr="00082FBF" w:rsidRDefault="00A225A7" w:rsidP="00A225A7">
      <w:r w:rsidRPr="00082FBF">
        <w:t xml:space="preserve">The </w:t>
      </w:r>
      <w:r w:rsidR="00716F3F" w:rsidRPr="00082FBF">
        <w:t>geometric mean titres (GMTs</w:t>
      </w:r>
      <w:r w:rsidRPr="00082FBF">
        <w:t>) by hSBA reported in this study were as follows:</w:t>
      </w:r>
    </w:p>
    <w:p w14:paraId="3CCEE77A" w14:textId="7DD52587" w:rsidR="007F18A6" w:rsidRPr="00082FBF" w:rsidRDefault="00A6224E" w:rsidP="00A6224E">
      <w:pPr>
        <w:pStyle w:val="TableTitle"/>
      </w:pPr>
      <w:r>
        <w:t xml:space="preserve">Table </w:t>
      </w:r>
      <w:fldSimple w:instr=" SEQ Table \* ARABIC ">
        <w:r w:rsidR="005F4D35">
          <w:rPr>
            <w:noProof/>
          </w:rPr>
          <w:t>4</w:t>
        </w:r>
      </w:fldSimple>
      <w:r w:rsidR="00E83CA4" w:rsidRPr="00082FBF">
        <w:t>:</w:t>
      </w:r>
      <w:r w:rsidR="007F18A6" w:rsidRPr="00082FBF">
        <w:t xml:space="preserve"> Study MET51</w:t>
      </w:r>
      <w:r w:rsidR="00EC21FF" w:rsidRPr="00EC21FF">
        <w:t xml:space="preserve"> </w:t>
      </w:r>
      <w:r w:rsidR="00EC21FF">
        <w:t xml:space="preserve">Summary of the </w:t>
      </w:r>
      <w:r w:rsidR="00EC21FF" w:rsidRPr="00EB1267">
        <w:t>human serum bactericidal assay geometric mean titres against meningococcal serogroups A, C, Y and W</w:t>
      </w:r>
      <w:r w:rsidR="00EC21FF">
        <w:t xml:space="preserve"> </w:t>
      </w:r>
      <w:r w:rsidR="00A50585">
        <w:t>(</w:t>
      </w:r>
      <w:r w:rsidR="00EC21FF" w:rsidRPr="00EB1267">
        <w:t>per-protocol analysis set</w:t>
      </w:r>
      <w:r w:rsidR="00A50585">
        <w:t>)</w:t>
      </w:r>
    </w:p>
    <w:p w14:paraId="5A63C2DD" w14:textId="7B838902" w:rsidR="00050DDB" w:rsidRPr="00082FBF" w:rsidRDefault="00050DDB" w:rsidP="00CD4C75">
      <w:r w:rsidRPr="00082FBF">
        <w:rPr>
          <w:noProof/>
          <w:lang w:eastAsia="en-AU"/>
        </w:rPr>
        <w:drawing>
          <wp:inline distT="0" distB="0" distL="0" distR="0" wp14:anchorId="002C03D9" wp14:editId="01AC5327">
            <wp:extent cx="5400040" cy="2279015"/>
            <wp:effectExtent l="0" t="0" r="0" b="6985"/>
            <wp:docPr id="8" name="Picture 8" descr="Study MET51 summary of geometric means of human serum bactericidal assay titres – per-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2279015"/>
                    </a:xfrm>
                    <a:prstGeom prst="rect">
                      <a:avLst/>
                    </a:prstGeom>
                  </pic:spPr>
                </pic:pic>
              </a:graphicData>
            </a:graphic>
          </wp:inline>
        </w:drawing>
      </w:r>
    </w:p>
    <w:p w14:paraId="3AA6112E" w14:textId="27EC5C22" w:rsidR="007F18A6" w:rsidRPr="00082FBF" w:rsidRDefault="007F18A6" w:rsidP="00CD4C75">
      <w:pPr>
        <w:pStyle w:val="TableDescription"/>
      </w:pPr>
      <w:r w:rsidRPr="00082FBF">
        <w:t>M: number of subjects with valid serology results for the particular serogroup and time point</w:t>
      </w:r>
    </w:p>
    <w:p w14:paraId="3D8C1B15" w14:textId="3908E823" w:rsidR="007F18A6" w:rsidRDefault="007F18A6" w:rsidP="00CD4C75">
      <w:pPr>
        <w:pStyle w:val="TableDescription"/>
      </w:pPr>
      <w:r w:rsidRPr="00082FBF">
        <w:t>N: number of subjects in per-protocol</w:t>
      </w:r>
      <w:r w:rsidR="000736B1" w:rsidRPr="00082FBF">
        <w:t xml:space="preserve"> </w:t>
      </w:r>
      <w:r w:rsidRPr="00082FBF">
        <w:t>analysis</w:t>
      </w:r>
      <w:r w:rsidR="000736B1" w:rsidRPr="00082FBF">
        <w:t>;</w:t>
      </w:r>
      <w:r w:rsidR="000736B1" w:rsidRPr="00082FBF">
        <w:rPr>
          <w:rStyle w:val="FootnoteReference"/>
        </w:rPr>
        <w:t xml:space="preserve"> </w:t>
      </w:r>
      <w:r w:rsidR="000736B1" w:rsidRPr="00082FBF">
        <w:rPr>
          <w:rStyle w:val="FootnoteReference"/>
        </w:rPr>
        <w:footnoteReference w:id="12"/>
      </w:r>
      <w:r w:rsidR="000736B1" w:rsidRPr="00082FBF">
        <w:t xml:space="preserve"> </w:t>
      </w:r>
      <w:r w:rsidRPr="00082FBF">
        <w:t>set</w:t>
      </w:r>
      <w:r w:rsidR="007A024A" w:rsidRPr="00082FBF">
        <w:t xml:space="preserve"> (PPAS)</w:t>
      </w:r>
    </w:p>
    <w:p w14:paraId="25BE5B76" w14:textId="5B7D6C8B" w:rsidR="00A50585" w:rsidRPr="00082FBF" w:rsidRDefault="00A50585" w:rsidP="00CD4C75">
      <w:pPr>
        <w:pStyle w:val="TableDescription"/>
      </w:pPr>
      <w:r>
        <w:t>D0: Day 0 time point; D30: Day 30 time point; GMT: geometric mean titre; CI: confidence interval.</w:t>
      </w:r>
    </w:p>
    <w:p w14:paraId="1ADB52E3" w14:textId="69D18F40" w:rsidR="00A50585" w:rsidRPr="00082FBF" w:rsidRDefault="00DB1B82" w:rsidP="00A225A7">
      <w:r w:rsidRPr="00082FBF">
        <w:t>The GMTs in nai</w:t>
      </w:r>
      <w:r w:rsidR="00A225A7" w:rsidRPr="00082FBF">
        <w:t>ve toddle</w:t>
      </w:r>
      <w:r w:rsidR="00227CA3" w:rsidRPr="00082FBF">
        <w:t>rs were similar for MenQuadfi versus</w:t>
      </w:r>
      <w:r w:rsidR="00A225A7" w:rsidRPr="00082FBF">
        <w:t xml:space="preserve"> </w:t>
      </w:r>
      <w:r w:rsidR="007A024A" w:rsidRPr="00082FBF">
        <w:t>Nimenrix</w:t>
      </w:r>
      <w:r w:rsidR="00A225A7" w:rsidRPr="00082FBF">
        <w:t xml:space="preserve">, except for serogroup C in which very high statistically significant response was seen with MenQuadfi compared to </w:t>
      </w:r>
      <w:r w:rsidR="007A024A" w:rsidRPr="00082FBF">
        <w:t>Nimenrix</w:t>
      </w:r>
      <w:r w:rsidR="00A225A7" w:rsidRPr="00082FBF">
        <w:t>:</w:t>
      </w:r>
    </w:p>
    <w:p w14:paraId="4BBA1903" w14:textId="584F382F" w:rsidR="00E83CA4" w:rsidRPr="00A50585" w:rsidRDefault="00CD01EC" w:rsidP="00CD4C75">
      <w:pPr>
        <w:pStyle w:val="TableTitle"/>
        <w:pageBreakBefore/>
      </w:pPr>
      <w:r w:rsidRPr="00A50585">
        <w:t xml:space="preserve">Table </w:t>
      </w:r>
      <w:fldSimple w:instr=" SEQ Table \* ARABIC ">
        <w:r w:rsidR="005F4D35">
          <w:rPr>
            <w:noProof/>
          </w:rPr>
          <w:t>5</w:t>
        </w:r>
      </w:fldSimple>
      <w:r w:rsidR="00D621BD" w:rsidRPr="00A50585">
        <w:t>: Study MET51</w:t>
      </w:r>
      <w:r w:rsidR="009E48EA" w:rsidRPr="00A50585">
        <w:t xml:space="preserve"> </w:t>
      </w:r>
      <w:r w:rsidR="00F83081">
        <w:t>C</w:t>
      </w:r>
      <w:r w:rsidR="00E83CA4" w:rsidRPr="00A50585">
        <w:t xml:space="preserve">omparison of the </w:t>
      </w:r>
      <w:r w:rsidR="00187420" w:rsidRPr="00A50585">
        <w:t>human serum bactericidal assay geometric mean titre</w:t>
      </w:r>
      <w:r w:rsidR="00255921" w:rsidRPr="00A50585">
        <w:t>s</w:t>
      </w:r>
      <w:r w:rsidR="00E83CA4" w:rsidRPr="00A50585">
        <w:t xml:space="preserve"> for </w:t>
      </w:r>
      <w:r w:rsidR="00D621BD" w:rsidRPr="00A50585">
        <w:t>meningococcal ser</w:t>
      </w:r>
      <w:r w:rsidR="00502715" w:rsidRPr="00A50585">
        <w:t>ogroups A, C, Y</w:t>
      </w:r>
      <w:r w:rsidR="00D621BD" w:rsidRPr="00A50585">
        <w:t xml:space="preserve"> and W </w:t>
      </w:r>
      <w:r w:rsidR="00E83CA4" w:rsidRPr="00A50585">
        <w:t>(group 1) versus Nimenrix (group 2) at Da</w:t>
      </w:r>
      <w:r w:rsidR="00492141" w:rsidRPr="00A50585">
        <w:t xml:space="preserve">y 30 </w:t>
      </w:r>
      <w:r w:rsidR="002C1035">
        <w:t>in</w:t>
      </w:r>
      <w:r w:rsidR="00492141" w:rsidRPr="00A50585">
        <w:t xml:space="preserve"> m</w:t>
      </w:r>
      <w:r w:rsidR="00DB1B82" w:rsidRPr="00A50585">
        <w:t>eningococcal vaccine nai</w:t>
      </w:r>
      <w:r w:rsidR="00E83CA4" w:rsidRPr="00A50585">
        <w:t xml:space="preserve">ve toddlers </w:t>
      </w:r>
      <w:r w:rsidR="002C1035">
        <w:t>(</w:t>
      </w:r>
      <w:r w:rsidR="00E83CA4" w:rsidRPr="00A50585">
        <w:t>per-protoc</w:t>
      </w:r>
      <w:r w:rsidR="00D65A89" w:rsidRPr="00A50585">
        <w:t>o</w:t>
      </w:r>
      <w:r w:rsidR="00E83CA4" w:rsidRPr="00A50585">
        <w:t>l analysis set</w:t>
      </w:r>
      <w:r w:rsidR="002C1035">
        <w:t>)</w:t>
      </w:r>
    </w:p>
    <w:p w14:paraId="076B91DA" w14:textId="5F345874" w:rsidR="008C636F" w:rsidRPr="00A50585" w:rsidRDefault="008C636F" w:rsidP="00CD4C75">
      <w:r w:rsidRPr="00A50585">
        <w:rPr>
          <w:noProof/>
          <w:lang w:eastAsia="en-AU"/>
        </w:rPr>
        <w:drawing>
          <wp:inline distT="0" distB="0" distL="0" distR="0" wp14:anchorId="7632547F" wp14:editId="6FADA50B">
            <wp:extent cx="5400040" cy="1445260"/>
            <wp:effectExtent l="0" t="0" r="0" b="2540"/>
            <wp:docPr id="10" name="Picture 10" descr="Study MET51 comparison of the human serum bactericidal assay geometric mean titre for meningococcal serogroups A, C, Y, and W (group 1) versus Nimenrix (group 2) at Day 30 – meningococcal vaccine naive toddlers – per-protoca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1445260"/>
                    </a:xfrm>
                    <a:prstGeom prst="rect">
                      <a:avLst/>
                    </a:prstGeom>
                  </pic:spPr>
                </pic:pic>
              </a:graphicData>
            </a:graphic>
          </wp:inline>
        </w:drawing>
      </w:r>
    </w:p>
    <w:p w14:paraId="1612CDDE" w14:textId="505C5C52" w:rsidR="00E83CA4" w:rsidRPr="00A50585" w:rsidRDefault="00E83CA4" w:rsidP="00A50585">
      <w:pPr>
        <w:pStyle w:val="TableDescription"/>
      </w:pPr>
      <w:r w:rsidRPr="00A50585">
        <w:t xml:space="preserve">M: number of subjects with available </w:t>
      </w:r>
      <w:r w:rsidR="009E48EA" w:rsidRPr="00A50585">
        <w:t xml:space="preserve">data for the </w:t>
      </w:r>
      <w:r w:rsidRPr="00A50585">
        <w:t>endpoint</w:t>
      </w:r>
    </w:p>
    <w:p w14:paraId="6A708D72" w14:textId="6C4DB50A" w:rsidR="00E83CA4" w:rsidRPr="00A50585" w:rsidRDefault="00E83CA4" w:rsidP="00A50585">
      <w:pPr>
        <w:pStyle w:val="TableDescription"/>
      </w:pPr>
      <w:r w:rsidRPr="00A50585">
        <w:t xml:space="preserve">N: number of subjects in </w:t>
      </w:r>
      <w:r w:rsidR="007A024A" w:rsidRPr="00A50585">
        <w:t>PPAS</w:t>
      </w:r>
    </w:p>
    <w:p w14:paraId="11FA5031" w14:textId="7D3BFB88" w:rsidR="00A225A7" w:rsidRPr="00082FBF" w:rsidRDefault="00DB1B82" w:rsidP="00A225A7">
      <w:r w:rsidRPr="00082FBF">
        <w:t>The proportion of nai</w:t>
      </w:r>
      <w:r w:rsidR="00A225A7" w:rsidRPr="00082FBF">
        <w:t>ve toddlers with seroprotective hSBA titres ≥</w:t>
      </w:r>
      <w:r w:rsidR="00492141" w:rsidRPr="00082FBF">
        <w:t xml:space="preserve"> </w:t>
      </w:r>
      <w:r w:rsidR="00A225A7" w:rsidRPr="00082FBF">
        <w:t>1/8 at Day 30 post</w:t>
      </w:r>
      <w:r w:rsidR="002C1035">
        <w:noBreakHyphen/>
      </w:r>
      <w:r w:rsidR="00A225A7" w:rsidRPr="00082FBF">
        <w:t>vaccination was high (&gt;</w:t>
      </w:r>
      <w:r w:rsidR="002C1035">
        <w:t> </w:t>
      </w:r>
      <w:r w:rsidR="00A225A7" w:rsidRPr="00082FBF">
        <w:t xml:space="preserve">90%) in MenQuadfi and non-inferior to </w:t>
      </w:r>
      <w:r w:rsidR="00492141" w:rsidRPr="00082FBF">
        <w:t xml:space="preserve">Nimenrix </w:t>
      </w:r>
      <w:r w:rsidR="00A225A7" w:rsidRPr="00082FBF">
        <w:t>for serogroups</w:t>
      </w:r>
      <w:r w:rsidR="002C1035">
        <w:t> </w:t>
      </w:r>
      <w:r w:rsidR="00A225A7" w:rsidRPr="00082FBF">
        <w:t xml:space="preserve">A, Y </w:t>
      </w:r>
      <w:r w:rsidR="00227CA3" w:rsidRPr="00082FBF">
        <w:t>and W and superior (MenQuadfi versus</w:t>
      </w:r>
      <w:r w:rsidR="00A225A7" w:rsidRPr="00082FBF">
        <w:t xml:space="preserve"> </w:t>
      </w:r>
      <w:r w:rsidR="00492141" w:rsidRPr="00082FBF">
        <w:t>Nimenrix</w:t>
      </w:r>
      <w:r w:rsidR="00A225A7" w:rsidRPr="00082FBF">
        <w:t>) for serogroup C</w:t>
      </w:r>
      <w:r w:rsidR="002C1035">
        <w:t xml:space="preserve">, as shown in </w:t>
      </w:r>
      <w:r w:rsidR="00874698">
        <w:fldChar w:fldCharType="begin"/>
      </w:r>
      <w:r w:rsidR="00874698">
        <w:instrText xml:space="preserve"> REF _Ref66870280 \h </w:instrText>
      </w:r>
      <w:r w:rsidR="00874698">
        <w:fldChar w:fldCharType="separate"/>
      </w:r>
      <w:r w:rsidR="005F4D35">
        <w:t xml:space="preserve">Table </w:t>
      </w:r>
      <w:r w:rsidR="005F4D35">
        <w:rPr>
          <w:noProof/>
        </w:rPr>
        <w:t>6</w:t>
      </w:r>
      <w:r w:rsidR="00874698">
        <w:fldChar w:fldCharType="end"/>
      </w:r>
      <w:r w:rsidR="002C1035">
        <w:t>, below</w:t>
      </w:r>
      <w:r w:rsidR="00874698">
        <w:t>.</w:t>
      </w:r>
    </w:p>
    <w:p w14:paraId="0D00EA98" w14:textId="2D5AB108" w:rsidR="00814655" w:rsidRPr="00082FBF" w:rsidRDefault="00CD01EC" w:rsidP="00CD01EC">
      <w:pPr>
        <w:pStyle w:val="TableTitle"/>
      </w:pPr>
      <w:bookmarkStart w:id="45" w:name="_Ref66870280"/>
      <w:r>
        <w:t xml:space="preserve">Table </w:t>
      </w:r>
      <w:fldSimple w:instr=" SEQ Table \* ARABIC ">
        <w:r w:rsidR="005F4D35">
          <w:rPr>
            <w:noProof/>
          </w:rPr>
          <w:t>6</w:t>
        </w:r>
      </w:fldSimple>
      <w:bookmarkEnd w:id="45"/>
      <w:r w:rsidR="00814655" w:rsidRPr="00082FBF">
        <w:t xml:space="preserve">: </w:t>
      </w:r>
      <w:r w:rsidR="002C1035">
        <w:t xml:space="preserve">Study MET51 </w:t>
      </w:r>
      <w:r w:rsidR="00814655" w:rsidRPr="00082FBF">
        <w:t xml:space="preserve">Comparison of the </w:t>
      </w:r>
      <w:r w:rsidR="00187420" w:rsidRPr="00082FBF">
        <w:t xml:space="preserve">human serum bactericidal assay </w:t>
      </w:r>
      <w:r w:rsidR="00814655" w:rsidRPr="00082FBF">
        <w:t>seroprotection r</w:t>
      </w:r>
      <w:r w:rsidR="00492141" w:rsidRPr="00082FBF">
        <w:t>ate (percentage of subjects ≥ 1/</w:t>
      </w:r>
      <w:r w:rsidR="00814655" w:rsidRPr="00082FBF">
        <w:t>8) at D</w:t>
      </w:r>
      <w:r w:rsidR="006F7900" w:rsidRPr="00082FBF">
        <w:t xml:space="preserve">ay </w:t>
      </w:r>
      <w:r w:rsidR="00814655" w:rsidRPr="00082FBF">
        <w:t xml:space="preserve">30 for </w:t>
      </w:r>
      <w:r w:rsidR="00D621BD" w:rsidRPr="00082FBF">
        <w:t>meningococcal ser</w:t>
      </w:r>
      <w:r w:rsidR="00502715">
        <w:t>ogroups A, C, Y</w:t>
      </w:r>
      <w:r w:rsidR="00D621BD" w:rsidRPr="00082FBF">
        <w:t xml:space="preserve"> and W </w:t>
      </w:r>
      <w:r w:rsidR="00814655" w:rsidRPr="00082FBF">
        <w:t>conjugate vaccine versus meningococcal control vaccine subjects</w:t>
      </w:r>
    </w:p>
    <w:p w14:paraId="0C6D62F3" w14:textId="3CF2FCB8" w:rsidR="006C472E" w:rsidRPr="00082FBF" w:rsidRDefault="006C472E" w:rsidP="00CD4C75">
      <w:r w:rsidRPr="00082FBF">
        <w:rPr>
          <w:noProof/>
          <w:lang w:eastAsia="en-AU"/>
        </w:rPr>
        <w:drawing>
          <wp:inline distT="0" distB="0" distL="0" distR="0" wp14:anchorId="50D6056B" wp14:editId="6BF997AF">
            <wp:extent cx="5400040" cy="1049020"/>
            <wp:effectExtent l="0" t="0" r="0" b="0"/>
            <wp:docPr id="12" name="Picture 12" descr="Comparison of the human serum bactericidal assay seroprotection rate (percentage of subjects ≥ 1/8) at Day 30 for meningococcal serogroups A, C, Y, and W conjugate vaccine versus meningococcal control vaccin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1049020"/>
                    </a:xfrm>
                    <a:prstGeom prst="rect">
                      <a:avLst/>
                    </a:prstGeom>
                  </pic:spPr>
                </pic:pic>
              </a:graphicData>
            </a:graphic>
          </wp:inline>
        </w:drawing>
      </w:r>
    </w:p>
    <w:p w14:paraId="7ACB0852" w14:textId="2D0BD9A5" w:rsidR="00F557F9" w:rsidRPr="00082FBF" w:rsidRDefault="00F557F9" w:rsidP="00CD4C75">
      <w:pPr>
        <w:pStyle w:val="TableDescription"/>
      </w:pPr>
      <w:r w:rsidRPr="00082FBF">
        <w:t xml:space="preserve">N: number of subjects in </w:t>
      </w:r>
      <w:r w:rsidR="007A024A" w:rsidRPr="00082FBF">
        <w:t>PPAS</w:t>
      </w:r>
    </w:p>
    <w:p w14:paraId="72B68E04" w14:textId="22A69F8A" w:rsidR="00814655" w:rsidRPr="00082FBF" w:rsidRDefault="00814655" w:rsidP="00CD4C75">
      <w:pPr>
        <w:pStyle w:val="TableDescription"/>
      </w:pPr>
      <w:r w:rsidRPr="00082FBF">
        <w:t xml:space="preserve">M: number of subjects with available </w:t>
      </w:r>
      <w:r w:rsidR="009E48EA" w:rsidRPr="00082FBF">
        <w:t xml:space="preserve">data for the </w:t>
      </w:r>
      <w:r w:rsidRPr="00082FBF">
        <w:t>endpoint</w:t>
      </w:r>
    </w:p>
    <w:p w14:paraId="66917BEF" w14:textId="49608B39" w:rsidR="009E48EA" w:rsidRPr="00082FBF" w:rsidRDefault="009E48EA" w:rsidP="00CD4C75">
      <w:pPr>
        <w:pStyle w:val="TableDescription"/>
      </w:pPr>
      <w:r w:rsidRPr="00082FBF">
        <w:t>n: number of subjects</w:t>
      </w:r>
      <w:r w:rsidR="00492141" w:rsidRPr="00082FBF">
        <w:t xml:space="preserve"> who achieve an hSBA titres ≥ 1/</w:t>
      </w:r>
      <w:r w:rsidRPr="00082FBF">
        <w:t>8 at D</w:t>
      </w:r>
      <w:r w:rsidR="006F7900" w:rsidRPr="00082FBF">
        <w:t xml:space="preserve">ay </w:t>
      </w:r>
      <w:r w:rsidRPr="00082FBF">
        <w:t>30</w:t>
      </w:r>
    </w:p>
    <w:p w14:paraId="080448AA" w14:textId="301B1F06" w:rsidR="00A225A7" w:rsidRPr="00082FBF" w:rsidRDefault="00A225A7" w:rsidP="0093798E">
      <w:r w:rsidRPr="00082FBF">
        <w:t xml:space="preserve">In </w:t>
      </w:r>
      <w:r w:rsidR="0093798E" w:rsidRPr="00082FBF">
        <w:t xml:space="preserve">meningococcal C </w:t>
      </w:r>
      <w:r w:rsidRPr="00082FBF">
        <w:t xml:space="preserve">primed toddlers in this study, similar levels of GMTs were obtained in MenQuadfi and </w:t>
      </w:r>
      <w:r w:rsidR="00492141" w:rsidRPr="00082FBF">
        <w:t xml:space="preserve">Nimenrix </w:t>
      </w:r>
      <w:r w:rsidRPr="00082FBF">
        <w:t xml:space="preserve">groups, except serogroup A for which concentration obtained with MenQuadfi were about 50% of those obtained with </w:t>
      </w:r>
      <w:r w:rsidR="00492141" w:rsidRPr="00082FBF">
        <w:t>Nimenrix</w:t>
      </w:r>
      <w:r w:rsidR="0093798E" w:rsidRPr="00082FBF">
        <w:t xml:space="preserve">. The GMT ratio (MenQuadfi over </w:t>
      </w:r>
      <w:r w:rsidR="00492141" w:rsidRPr="00082FBF">
        <w:t xml:space="preserve">Nimenrix </w:t>
      </w:r>
      <w:r w:rsidRPr="00082FBF">
        <w:t>for serogroup A) was 0.496 (95%</w:t>
      </w:r>
      <w:r w:rsidR="0093798E" w:rsidRPr="00082FBF">
        <w:t xml:space="preserve"> </w:t>
      </w:r>
      <w:r w:rsidRPr="00082FBF">
        <w:t>CI 0.367, 0.672) indicating a statistically inf</w:t>
      </w:r>
      <w:r w:rsidR="00227CA3" w:rsidRPr="00082FBF">
        <w:t>erior response with MenQuadfi versus</w:t>
      </w:r>
      <w:r w:rsidRPr="00082FBF">
        <w:t xml:space="preserve"> </w:t>
      </w:r>
      <w:r w:rsidR="00492141" w:rsidRPr="00082FBF">
        <w:t>Nimenrix</w:t>
      </w:r>
      <w:r w:rsidRPr="00082FBF">
        <w:t>:</w:t>
      </w:r>
    </w:p>
    <w:p w14:paraId="2C0B3741" w14:textId="0FC08A99" w:rsidR="009E48EA" w:rsidRPr="00082FBF" w:rsidRDefault="00CD01EC" w:rsidP="00CD4C75">
      <w:pPr>
        <w:pStyle w:val="TableTitle"/>
        <w:pageBreakBefore/>
      </w:pPr>
      <w:r>
        <w:t xml:space="preserve">Table </w:t>
      </w:r>
      <w:fldSimple w:instr=" SEQ Table \* ARABIC ">
        <w:r w:rsidR="005F4D35">
          <w:rPr>
            <w:noProof/>
          </w:rPr>
          <w:t>7</w:t>
        </w:r>
      </w:fldSimple>
      <w:r w:rsidR="009E48EA" w:rsidRPr="00082FBF">
        <w:t xml:space="preserve">: Study MET51 </w:t>
      </w:r>
      <w:r w:rsidR="002C1035">
        <w:t>C</w:t>
      </w:r>
      <w:r w:rsidR="009E48EA" w:rsidRPr="00082FBF">
        <w:t xml:space="preserve">omparison of the </w:t>
      </w:r>
      <w:r w:rsidR="00187420" w:rsidRPr="00082FBF">
        <w:t>human serum bactericidal assay geometric mean titre</w:t>
      </w:r>
      <w:r w:rsidR="00EC21FF">
        <w:t>s</w:t>
      </w:r>
      <w:r w:rsidR="00187420" w:rsidRPr="00082FBF">
        <w:t xml:space="preserve"> </w:t>
      </w:r>
      <w:r w:rsidR="009E48EA" w:rsidRPr="00082FBF">
        <w:t xml:space="preserve">for </w:t>
      </w:r>
      <w:r w:rsidR="00D621BD" w:rsidRPr="00082FBF">
        <w:t xml:space="preserve">meningococcal serogroups A, C, Y and W </w:t>
      </w:r>
      <w:r w:rsidR="009E48EA" w:rsidRPr="00082FBF">
        <w:t xml:space="preserve">conjugate vaccine (group 3) versus Nimenrix (group 4) at Day 30 </w:t>
      </w:r>
      <w:r w:rsidR="002C1035">
        <w:t>in</w:t>
      </w:r>
      <w:r w:rsidR="009E48EA" w:rsidRPr="00082FBF">
        <w:t xml:space="preserve"> </w:t>
      </w:r>
      <w:r w:rsidR="0093798E" w:rsidRPr="00082FBF">
        <w:t xml:space="preserve">meningococcal C </w:t>
      </w:r>
      <w:r w:rsidR="009E48EA" w:rsidRPr="00082FBF">
        <w:t xml:space="preserve">primed toddlers </w:t>
      </w:r>
      <w:r w:rsidR="002C1035">
        <w:t>(</w:t>
      </w:r>
      <w:r w:rsidR="009E48EA" w:rsidRPr="00082FBF">
        <w:t>per-protocol analysis set</w:t>
      </w:r>
      <w:r w:rsidR="002C1035">
        <w:t>)</w:t>
      </w:r>
    </w:p>
    <w:p w14:paraId="07969346" w14:textId="132D1597" w:rsidR="009234BB" w:rsidRPr="00082FBF" w:rsidRDefault="009234BB" w:rsidP="00CD4C75">
      <w:r w:rsidRPr="00082FBF">
        <w:rPr>
          <w:noProof/>
          <w:lang w:eastAsia="en-AU"/>
        </w:rPr>
        <w:drawing>
          <wp:inline distT="0" distB="0" distL="0" distR="0" wp14:anchorId="43A1FE06" wp14:editId="4502B554">
            <wp:extent cx="5400040" cy="1379220"/>
            <wp:effectExtent l="0" t="0" r="0" b="0"/>
            <wp:docPr id="13" name="Picture 13" descr="Study MET51 comparison of the human serum bactericidal assay geometric mean titre for meningococcal serogroups A, C, Y, and W conjugate vaccine (group 3) versus Nimenrix (group 4) at Day 30 – meningococcal C primed toddlers – per-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1379220"/>
                    </a:xfrm>
                    <a:prstGeom prst="rect">
                      <a:avLst/>
                    </a:prstGeom>
                  </pic:spPr>
                </pic:pic>
              </a:graphicData>
            </a:graphic>
          </wp:inline>
        </w:drawing>
      </w:r>
    </w:p>
    <w:p w14:paraId="583C94D3" w14:textId="77777777" w:rsidR="009E48EA" w:rsidRPr="00082FBF" w:rsidRDefault="009E48EA" w:rsidP="00CD4C75">
      <w:pPr>
        <w:pStyle w:val="TableDescription"/>
      </w:pPr>
      <w:r w:rsidRPr="00082FBF">
        <w:t>M: number of subjects with available data for the endpoint</w:t>
      </w:r>
    </w:p>
    <w:p w14:paraId="03A08CFD" w14:textId="3EB292EF" w:rsidR="009E48EA" w:rsidRPr="00082FBF" w:rsidRDefault="009E48EA" w:rsidP="00CD4C75">
      <w:pPr>
        <w:pStyle w:val="TableDescription"/>
      </w:pPr>
      <w:r w:rsidRPr="00082FBF">
        <w:t xml:space="preserve">N: number of subjects in </w:t>
      </w:r>
      <w:r w:rsidR="007A024A" w:rsidRPr="00082FBF">
        <w:t>PPAS</w:t>
      </w:r>
    </w:p>
    <w:p w14:paraId="4E889795" w14:textId="7D0AB240" w:rsidR="00A225A7" w:rsidRPr="00082FBF" w:rsidRDefault="00A225A7" w:rsidP="00A225A7">
      <w:r w:rsidRPr="00082FBF">
        <w:t>The seroprotective rates (primed toddler</w:t>
      </w:r>
      <w:r w:rsidR="0093798E" w:rsidRPr="00082FBF">
        <w:t>s) were comparable between the two</w:t>
      </w:r>
      <w:r w:rsidRPr="00082FBF">
        <w:t xml:space="preserve"> groups. However, 89.8% primed toddlers in MenQuadfi Group achieved seroprotective hSBA titres (≥</w:t>
      </w:r>
      <w:r w:rsidR="0093798E" w:rsidRPr="00082FBF">
        <w:t xml:space="preserve"> </w:t>
      </w:r>
      <w:r w:rsidRPr="00082FBF">
        <w:t xml:space="preserve">1/8) </w:t>
      </w:r>
      <w:r w:rsidR="008925E1">
        <w:t xml:space="preserve">for serogroup A </w:t>
      </w:r>
      <w:r w:rsidRPr="00082FBF">
        <w:t xml:space="preserve">compared to 98% primed toddlers in </w:t>
      </w:r>
      <w:r w:rsidR="00492141" w:rsidRPr="00082FBF">
        <w:t xml:space="preserve">Nimenrix </w:t>
      </w:r>
      <w:r w:rsidRPr="00082FBF">
        <w:t>group. Thus non-inferiority was not convincingly demonstrated for this serogroup</w:t>
      </w:r>
      <w:r w:rsidR="002C1035">
        <w:t xml:space="preserve">, as shown in </w:t>
      </w:r>
      <w:r w:rsidR="00234A22">
        <w:fldChar w:fldCharType="begin"/>
      </w:r>
      <w:r w:rsidR="00234A22">
        <w:instrText xml:space="preserve"> REF _Ref66870405 \h </w:instrText>
      </w:r>
      <w:r w:rsidR="00234A22">
        <w:fldChar w:fldCharType="separate"/>
      </w:r>
      <w:r w:rsidR="005F4D35" w:rsidRPr="00082FBF">
        <w:t xml:space="preserve">Figure </w:t>
      </w:r>
      <w:r w:rsidR="005F4D35">
        <w:rPr>
          <w:noProof/>
        </w:rPr>
        <w:t>5</w:t>
      </w:r>
      <w:r w:rsidR="00234A22">
        <w:fldChar w:fldCharType="end"/>
      </w:r>
      <w:r w:rsidR="002C1035">
        <w:t>, below.</w:t>
      </w:r>
    </w:p>
    <w:p w14:paraId="24BB8A8A" w14:textId="0A19806D" w:rsidR="009E48EA" w:rsidRPr="00082FBF" w:rsidRDefault="009E48EA" w:rsidP="006E4D7A">
      <w:pPr>
        <w:pStyle w:val="FigureTitle"/>
      </w:pPr>
      <w:bookmarkStart w:id="46" w:name="_Ref66870405"/>
      <w:r w:rsidRPr="00082FBF">
        <w:t xml:space="preserve">Figure </w:t>
      </w:r>
      <w:fldSimple w:instr=" SEQ Figure \* ARABIC ">
        <w:r w:rsidR="005F4D35">
          <w:rPr>
            <w:noProof/>
          </w:rPr>
          <w:t>5</w:t>
        </w:r>
      </w:fldSimple>
      <w:bookmarkEnd w:id="46"/>
      <w:r w:rsidR="0093798E" w:rsidRPr="00082FBF">
        <w:t>: Study MET51</w:t>
      </w:r>
      <w:r w:rsidRPr="00082FBF">
        <w:t xml:space="preserve"> </w:t>
      </w:r>
      <w:r w:rsidR="002C1035">
        <w:t>F</w:t>
      </w:r>
      <w:r w:rsidRPr="00082FBF">
        <w:t xml:space="preserve">orest plot of </w:t>
      </w:r>
      <w:r w:rsidR="00187420" w:rsidRPr="00082FBF">
        <w:t xml:space="preserve">human serum bactericidal assay </w:t>
      </w:r>
      <w:r w:rsidR="00492141" w:rsidRPr="00082FBF">
        <w:t>titres ≥</w:t>
      </w:r>
      <w:r w:rsidR="002C1035">
        <w:t> </w:t>
      </w:r>
      <w:r w:rsidR="00492141" w:rsidRPr="00082FBF">
        <w:t>1/</w:t>
      </w:r>
      <w:r w:rsidRPr="00082FBF">
        <w:t>8 at Day 30 against meningo</w:t>
      </w:r>
      <w:r w:rsidR="005C34C4" w:rsidRPr="00082FBF">
        <w:t>coccal serogroup A, C, Y and W</w:t>
      </w:r>
      <w:r w:rsidRPr="00082FBF">
        <w:t xml:space="preserve"> </w:t>
      </w:r>
      <w:r w:rsidR="00F557F9" w:rsidRPr="00082FBF">
        <w:t>primed</w:t>
      </w:r>
      <w:r w:rsidRPr="00082FBF">
        <w:t xml:space="preserve"> toddlers </w:t>
      </w:r>
      <w:r w:rsidR="002C1035">
        <w:t>(</w:t>
      </w:r>
      <w:r w:rsidR="005C34C4" w:rsidRPr="00082FBF">
        <w:t>per-protocol analysis set</w:t>
      </w:r>
      <w:r w:rsidR="002C1035">
        <w:t>)</w:t>
      </w:r>
    </w:p>
    <w:p w14:paraId="315F28D7" w14:textId="3BF8F0B3" w:rsidR="006E4D7A" w:rsidRPr="00082FBF" w:rsidRDefault="006E4D7A" w:rsidP="00CD4C75">
      <w:r w:rsidRPr="00082FBF">
        <w:rPr>
          <w:noProof/>
          <w:lang w:eastAsia="en-AU"/>
        </w:rPr>
        <w:drawing>
          <wp:inline distT="0" distB="0" distL="0" distR="0" wp14:anchorId="5836CCFB" wp14:editId="0BCEC9C5">
            <wp:extent cx="5400040" cy="2453640"/>
            <wp:effectExtent l="0" t="0" r="0" b="3810"/>
            <wp:docPr id="15" name="Picture 15" descr="Study MET51 forest plot of human serum bactericidal assay titres ≥ 1/8 at Day 30 against meningococcal serogroup A, C, Y and W primed toddlers – per-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2453640"/>
                    </a:xfrm>
                    <a:prstGeom prst="rect">
                      <a:avLst/>
                    </a:prstGeom>
                  </pic:spPr>
                </pic:pic>
              </a:graphicData>
            </a:graphic>
          </wp:inline>
        </w:drawing>
      </w:r>
    </w:p>
    <w:p w14:paraId="5257CAB6" w14:textId="28B65024" w:rsidR="00F557F9" w:rsidRPr="00082FBF" w:rsidRDefault="00F557F9" w:rsidP="00F557F9">
      <w:pPr>
        <w:pStyle w:val="FigureDescription"/>
      </w:pPr>
      <w:r w:rsidRPr="00082FBF">
        <w:t>n: number of subjects who arch</w:t>
      </w:r>
      <w:r w:rsidR="00492141" w:rsidRPr="00082FBF">
        <w:t>ived an hSBA vaccine titres ≥ 1/</w:t>
      </w:r>
      <w:r w:rsidRPr="00082FBF">
        <w:t>8 at D</w:t>
      </w:r>
      <w:r w:rsidR="006F7900" w:rsidRPr="00082FBF">
        <w:t xml:space="preserve">ay </w:t>
      </w:r>
      <w:r w:rsidRPr="00082FBF">
        <w:t>30</w:t>
      </w:r>
    </w:p>
    <w:p w14:paraId="0C7AA7C6" w14:textId="3F67F256" w:rsidR="00F557F9" w:rsidRPr="00082FBF" w:rsidRDefault="00F557F9" w:rsidP="00F557F9">
      <w:pPr>
        <w:pStyle w:val="FigureDescription"/>
      </w:pPr>
      <w:r w:rsidRPr="00082FBF">
        <w:t>M: number of subjects with valid serology results for the particular serogroup</w:t>
      </w:r>
    </w:p>
    <w:p w14:paraId="11C8ABE1" w14:textId="2363D744" w:rsidR="00F557F9" w:rsidRPr="00082FBF" w:rsidRDefault="00F557F9" w:rsidP="00F557F9">
      <w:pPr>
        <w:pStyle w:val="FigureDescription"/>
      </w:pPr>
      <w:r w:rsidRPr="00082FBF">
        <w:t>95% CI of the single proportion calculated from the exact binominal method</w:t>
      </w:r>
    </w:p>
    <w:p w14:paraId="58C88A9E" w14:textId="585A96FE" w:rsidR="00A225A7" w:rsidRPr="00082FBF" w:rsidRDefault="00A225A7" w:rsidP="00A225A7">
      <w:r w:rsidRPr="00082FBF">
        <w:t>The results</w:t>
      </w:r>
      <w:r w:rsidR="00DB1B82" w:rsidRPr="00082FBF">
        <w:t xml:space="preserve"> support the proposed use in nai</w:t>
      </w:r>
      <w:r w:rsidRPr="00082FBF">
        <w:t>ve toddlers, but not in primed toddlers</w:t>
      </w:r>
      <w:r w:rsidR="002C1035">
        <w:t>, the</w:t>
      </w:r>
      <w:r w:rsidRPr="00082FBF">
        <w:t xml:space="preserve"> </w:t>
      </w:r>
      <w:r w:rsidR="002C1035">
        <w:t>e</w:t>
      </w:r>
      <w:r w:rsidRPr="00082FBF">
        <w:t xml:space="preserve">xcessive immunogenicity for serogroup C, creating an overall ACYW imbalance, is a concern with uncertain significance, in </w:t>
      </w:r>
      <w:r w:rsidR="00DB1B82" w:rsidRPr="00082FBF">
        <w:t>both nai</w:t>
      </w:r>
      <w:r w:rsidR="001C0DDF" w:rsidRPr="00082FBF">
        <w:t>ve and</w:t>
      </w:r>
      <w:r w:rsidRPr="00082FBF">
        <w:t xml:space="preserve"> primed toddlers.</w:t>
      </w:r>
    </w:p>
    <w:p w14:paraId="207AC364" w14:textId="16B28A4F" w:rsidR="00A225A7" w:rsidRPr="00082FBF" w:rsidRDefault="00C51256" w:rsidP="00A05272">
      <w:pPr>
        <w:pStyle w:val="Heading4"/>
      </w:pPr>
      <w:r w:rsidRPr="00082FBF">
        <w:t>Study MET35</w:t>
      </w:r>
      <w:r>
        <w:t xml:space="preserve"> </w:t>
      </w:r>
      <w:r w:rsidR="00CD01EC">
        <w:t>c</w:t>
      </w:r>
      <w:r w:rsidR="00A225A7" w:rsidRPr="00082FBF">
        <w:t xml:space="preserve">hildren </w:t>
      </w:r>
      <w:r w:rsidR="00DB1B82" w:rsidRPr="00082FBF">
        <w:t>(nai</w:t>
      </w:r>
      <w:r w:rsidR="00CD01EC">
        <w:t>ve)</w:t>
      </w:r>
    </w:p>
    <w:p w14:paraId="20A68DB3" w14:textId="1274903F" w:rsidR="00A225A7" w:rsidRPr="00082FBF" w:rsidRDefault="005C34C4" w:rsidP="00A225A7">
      <w:r w:rsidRPr="00082FBF">
        <w:t>This was a study in children two to nine</w:t>
      </w:r>
      <w:r w:rsidR="00227CA3" w:rsidRPr="00082FBF">
        <w:t xml:space="preserve"> years of age for MenQuadfi versus</w:t>
      </w:r>
      <w:r w:rsidR="00A225A7" w:rsidRPr="00082FBF">
        <w:t xml:space="preserve"> </w:t>
      </w:r>
      <w:r w:rsidRPr="00082FBF">
        <w:t>Menveo</w:t>
      </w:r>
      <w:r w:rsidR="00A225A7" w:rsidRPr="00082FBF">
        <w:t>.</w:t>
      </w:r>
    </w:p>
    <w:p w14:paraId="3096D29C" w14:textId="589FC88A" w:rsidR="00A225A7" w:rsidRPr="00082FBF" w:rsidRDefault="00A225A7" w:rsidP="00A225A7">
      <w:r w:rsidRPr="00082FBF">
        <w:t>The reported GMTs, by age strata, were as follows</w:t>
      </w:r>
      <w:r w:rsidR="002C1035">
        <w:t xml:space="preserve"> in </w:t>
      </w:r>
      <w:r w:rsidR="00234A22">
        <w:fldChar w:fldCharType="begin"/>
      </w:r>
      <w:r w:rsidR="00234A22">
        <w:instrText xml:space="preserve"> REF _Ref66870494 \h </w:instrText>
      </w:r>
      <w:r w:rsidR="00234A22">
        <w:fldChar w:fldCharType="separate"/>
      </w:r>
      <w:r w:rsidR="005F4D35">
        <w:t xml:space="preserve">Table </w:t>
      </w:r>
      <w:r w:rsidR="005F4D35">
        <w:rPr>
          <w:noProof/>
        </w:rPr>
        <w:t>8</w:t>
      </w:r>
      <w:r w:rsidR="00234A22">
        <w:fldChar w:fldCharType="end"/>
      </w:r>
      <w:r w:rsidR="002C1035">
        <w:t>, shown below.</w:t>
      </w:r>
    </w:p>
    <w:p w14:paraId="7495C97C" w14:textId="0C15D453" w:rsidR="00F557F9" w:rsidRPr="00082FBF" w:rsidRDefault="00CD01EC" w:rsidP="00CD01EC">
      <w:pPr>
        <w:pStyle w:val="TableTitle"/>
      </w:pPr>
      <w:bookmarkStart w:id="47" w:name="_Ref66870494"/>
      <w:r>
        <w:t xml:space="preserve">Table </w:t>
      </w:r>
      <w:fldSimple w:instr=" SEQ Table \* ARABIC ">
        <w:r w:rsidR="005F4D35">
          <w:rPr>
            <w:noProof/>
          </w:rPr>
          <w:t>8</w:t>
        </w:r>
      </w:fldSimple>
      <w:bookmarkEnd w:id="47"/>
      <w:r w:rsidR="005C34C4" w:rsidRPr="00082FBF">
        <w:t>: Study MET35</w:t>
      </w:r>
      <w:r w:rsidR="00F557F9" w:rsidRPr="00082FBF">
        <w:t xml:space="preserve"> </w:t>
      </w:r>
      <w:bookmarkStart w:id="48" w:name="_Hlk65569494"/>
      <w:r w:rsidR="002C1035">
        <w:t>C</w:t>
      </w:r>
      <w:r w:rsidR="00F557F9" w:rsidRPr="00082FBF">
        <w:t xml:space="preserve">omparison of the </w:t>
      </w:r>
      <w:r w:rsidR="00187420" w:rsidRPr="00082FBF">
        <w:t>human serum bactericidal assay geometric mean titres</w:t>
      </w:r>
      <w:r w:rsidR="00F557F9" w:rsidRPr="00082FBF">
        <w:t xml:space="preserve"> against meningococcal serogroups A, C, Y and W at Day 30 between group </w:t>
      </w:r>
      <w:r w:rsidR="005C34C4" w:rsidRPr="00082FBF">
        <w:t xml:space="preserve">1 and group 2, by age group </w:t>
      </w:r>
      <w:r w:rsidR="002C1035">
        <w:t>(</w:t>
      </w:r>
      <w:r w:rsidR="005C34C4" w:rsidRPr="00082FBF">
        <w:t>p</w:t>
      </w:r>
      <w:r w:rsidR="00F557F9" w:rsidRPr="00082FBF">
        <w:t>e</w:t>
      </w:r>
      <w:r w:rsidR="005C34C4" w:rsidRPr="00082FBF">
        <w:t>r</w:t>
      </w:r>
      <w:r w:rsidR="00F557F9" w:rsidRPr="00082FBF">
        <w:t>-protocol analysis set</w:t>
      </w:r>
      <w:bookmarkEnd w:id="48"/>
      <w:r w:rsidR="002C1035">
        <w:t>)</w:t>
      </w:r>
    </w:p>
    <w:p w14:paraId="560BE9D8" w14:textId="5A11533A" w:rsidR="00C62E9C" w:rsidRPr="00082FBF" w:rsidRDefault="00C62E9C" w:rsidP="00CD4C75">
      <w:r w:rsidRPr="00082FBF">
        <w:rPr>
          <w:noProof/>
          <w:lang w:eastAsia="en-AU"/>
        </w:rPr>
        <w:drawing>
          <wp:inline distT="0" distB="0" distL="0" distR="0" wp14:anchorId="65B2B3A1" wp14:editId="5C5B6F0C">
            <wp:extent cx="5400040" cy="2172335"/>
            <wp:effectExtent l="0" t="0" r="0" b="0"/>
            <wp:docPr id="22" name="Picture 22" descr="Study MET35 comparison of the human serum bactericidal assay geometric mean titres against meningococcal serogroups A, C, Y and W at Day 30 between group 1 and group 2, by age group – per-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172335"/>
                    </a:xfrm>
                    <a:prstGeom prst="rect">
                      <a:avLst/>
                    </a:prstGeom>
                  </pic:spPr>
                </pic:pic>
              </a:graphicData>
            </a:graphic>
          </wp:inline>
        </w:drawing>
      </w:r>
    </w:p>
    <w:p w14:paraId="2F4E2D95" w14:textId="60A7B951" w:rsidR="00F557F9" w:rsidRPr="00082FBF" w:rsidRDefault="00F557F9" w:rsidP="00CD4C75">
      <w:pPr>
        <w:pStyle w:val="TableDescription"/>
      </w:pPr>
      <w:r w:rsidRPr="00082FBF">
        <w:t>M: number of subjects with available data for the endpoint</w:t>
      </w:r>
    </w:p>
    <w:p w14:paraId="1D7D502A" w14:textId="0980EB93" w:rsidR="00F557F9" w:rsidRPr="00082FBF" w:rsidRDefault="00F557F9" w:rsidP="00CD4C75">
      <w:pPr>
        <w:pStyle w:val="TableDescription"/>
      </w:pPr>
      <w:r w:rsidRPr="00082FBF">
        <w:t>N: number of subjects in PPAS</w:t>
      </w:r>
    </w:p>
    <w:p w14:paraId="05F5A048" w14:textId="24416B9A" w:rsidR="00A225A7" w:rsidRPr="00082FBF" w:rsidRDefault="00A225A7" w:rsidP="00A225A7">
      <w:r w:rsidRPr="00082FBF">
        <w:t xml:space="preserve">The GMTs indicated non-inferiority of MenQuadfi with </w:t>
      </w:r>
      <w:r w:rsidR="005C34C4" w:rsidRPr="00082FBF">
        <w:t>Menveo for all four</w:t>
      </w:r>
      <w:r w:rsidRPr="00082FBF">
        <w:t xml:space="preserve"> serotypes. High immunogenicity compared to </w:t>
      </w:r>
      <w:r w:rsidR="005C34C4" w:rsidRPr="00082FBF">
        <w:t xml:space="preserve">Menveo </w:t>
      </w:r>
      <w:r w:rsidRPr="00082FBF">
        <w:t>was demonstrated, particularly with serogroup C, in both age strata.</w:t>
      </w:r>
    </w:p>
    <w:p w14:paraId="3B12A4D3" w14:textId="6BC029AF" w:rsidR="00A225A7" w:rsidRPr="00082FBF" w:rsidRDefault="00A225A7" w:rsidP="00A225A7">
      <w:r w:rsidRPr="00082FBF">
        <w:t>The seroprotective rates, overall and by age strata, were as follows</w:t>
      </w:r>
      <w:r w:rsidR="002C1035">
        <w:t xml:space="preserve"> in </w:t>
      </w:r>
      <w:r w:rsidR="00234A22">
        <w:fldChar w:fldCharType="begin"/>
      </w:r>
      <w:r w:rsidR="00234A22">
        <w:instrText xml:space="preserve"> REF _Ref66870528 \h </w:instrText>
      </w:r>
      <w:r w:rsidR="00234A22">
        <w:fldChar w:fldCharType="separate"/>
      </w:r>
      <w:r w:rsidR="005F4D35">
        <w:t xml:space="preserve">Table </w:t>
      </w:r>
      <w:r w:rsidR="005F4D35">
        <w:rPr>
          <w:noProof/>
        </w:rPr>
        <w:t>9</w:t>
      </w:r>
      <w:r w:rsidR="00234A22">
        <w:fldChar w:fldCharType="end"/>
      </w:r>
      <w:r w:rsidR="002C1035">
        <w:t>, below.</w:t>
      </w:r>
    </w:p>
    <w:p w14:paraId="03A8424C" w14:textId="57A6F92D" w:rsidR="00F557F9" w:rsidRPr="00082FBF" w:rsidRDefault="00CD01EC" w:rsidP="00CD01EC">
      <w:pPr>
        <w:pStyle w:val="TableTitle"/>
      </w:pPr>
      <w:bookmarkStart w:id="49" w:name="_Ref66870528"/>
      <w:r>
        <w:t xml:space="preserve">Table </w:t>
      </w:r>
      <w:fldSimple w:instr=" SEQ Table \* ARABIC ">
        <w:r w:rsidR="005F4D35">
          <w:rPr>
            <w:noProof/>
          </w:rPr>
          <w:t>9</w:t>
        </w:r>
      </w:fldSimple>
      <w:bookmarkEnd w:id="49"/>
      <w:r w:rsidR="00F557F9" w:rsidRPr="00082FBF">
        <w:t xml:space="preserve">: </w:t>
      </w:r>
      <w:r w:rsidR="00A05272" w:rsidRPr="00082FBF">
        <w:t>C</w:t>
      </w:r>
      <w:r w:rsidR="00F557F9" w:rsidRPr="00082FBF">
        <w:t xml:space="preserve">omparison of </w:t>
      </w:r>
      <w:r w:rsidR="00187420" w:rsidRPr="00082FBF">
        <w:t xml:space="preserve">human serum bactericidal assay </w:t>
      </w:r>
      <w:r w:rsidR="00F557F9" w:rsidRPr="00082FBF">
        <w:t>seroprotect</w:t>
      </w:r>
      <w:r w:rsidR="00B33E92" w:rsidRPr="00082FBF">
        <w:t>ion rate (percentage of subjects</w:t>
      </w:r>
      <w:r w:rsidR="00492141" w:rsidRPr="00082FBF">
        <w:t xml:space="preserve"> ≥ 1/</w:t>
      </w:r>
      <w:r w:rsidR="00B33E92" w:rsidRPr="00082FBF">
        <w:t>8) at D</w:t>
      </w:r>
      <w:r w:rsidR="006F7900" w:rsidRPr="00082FBF">
        <w:t xml:space="preserve">ay </w:t>
      </w:r>
      <w:r w:rsidR="00B33E92" w:rsidRPr="00082FBF">
        <w:t xml:space="preserve">30 for </w:t>
      </w:r>
      <w:r w:rsidR="005C34C4" w:rsidRPr="00082FBF">
        <w:t>meningococcal serogroups A, C, Y and W c</w:t>
      </w:r>
      <w:r w:rsidR="00B33E92" w:rsidRPr="00082FBF">
        <w:t>onjugate vaccine versus meningococcal control vaccine subjects</w:t>
      </w:r>
    </w:p>
    <w:p w14:paraId="65648961" w14:textId="11A3FE41" w:rsidR="00F33835" w:rsidRPr="00082FBF" w:rsidRDefault="00F33835" w:rsidP="00F33835">
      <w:r w:rsidRPr="00082FBF">
        <w:rPr>
          <w:noProof/>
          <w:lang w:eastAsia="en-AU"/>
        </w:rPr>
        <w:drawing>
          <wp:inline distT="0" distB="0" distL="0" distR="0" wp14:anchorId="5B5DBE0E" wp14:editId="0719DA61">
            <wp:extent cx="5400040" cy="2395855"/>
            <wp:effectExtent l="0" t="0" r="0" b="4445"/>
            <wp:docPr id="32" name="Picture 32" descr="Comparison of human serum bactericidal assay seroprotection rate (percentage of subjects ≥ 1/8) at Day 30 for meningococcal serogroups A, C, Y and W conjugate vaccine versus meningococcal control vaccin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2395855"/>
                    </a:xfrm>
                    <a:prstGeom prst="rect">
                      <a:avLst/>
                    </a:prstGeom>
                  </pic:spPr>
                </pic:pic>
              </a:graphicData>
            </a:graphic>
          </wp:inline>
        </w:drawing>
      </w:r>
    </w:p>
    <w:p w14:paraId="39B684E2" w14:textId="6A63BF73" w:rsidR="00E85DFD" w:rsidRPr="00082FBF" w:rsidRDefault="00E85DFD" w:rsidP="00CD4C75">
      <w:pPr>
        <w:pStyle w:val="TableDescription"/>
      </w:pPr>
      <w:r w:rsidRPr="00082FBF">
        <w:t xml:space="preserve">N: number of subjects in </w:t>
      </w:r>
      <w:r w:rsidR="007A024A" w:rsidRPr="00082FBF">
        <w:t>PPAS</w:t>
      </w:r>
    </w:p>
    <w:p w14:paraId="147CF4EE" w14:textId="52D37968" w:rsidR="00E85DFD" w:rsidRPr="00082FBF" w:rsidRDefault="00E85DFD" w:rsidP="00CD4C75">
      <w:pPr>
        <w:pStyle w:val="TableDescription"/>
      </w:pPr>
      <w:r w:rsidRPr="00082FBF">
        <w:t>M: number of subjects with available data for the endpoint</w:t>
      </w:r>
    </w:p>
    <w:p w14:paraId="15E55BB5" w14:textId="4F797954" w:rsidR="00E85DFD" w:rsidRPr="00082FBF" w:rsidRDefault="00E85DFD" w:rsidP="00CD4C75">
      <w:pPr>
        <w:pStyle w:val="TableDescription"/>
      </w:pPr>
      <w:r w:rsidRPr="00082FBF">
        <w:t>n: number of subjects who achieve an hSBA titres ≥ 1</w:t>
      </w:r>
      <w:r w:rsidR="00492141" w:rsidRPr="00082FBF">
        <w:t>/</w:t>
      </w:r>
      <w:r w:rsidRPr="00082FBF">
        <w:t>8 at D</w:t>
      </w:r>
      <w:r w:rsidR="006F7900" w:rsidRPr="00082FBF">
        <w:t xml:space="preserve">ay </w:t>
      </w:r>
      <w:r w:rsidRPr="00082FBF">
        <w:t>30</w:t>
      </w:r>
    </w:p>
    <w:p w14:paraId="1618A093" w14:textId="1CD88A29" w:rsidR="00A225A7" w:rsidRPr="00082FBF" w:rsidRDefault="00A225A7" w:rsidP="00A225A7">
      <w:r w:rsidRPr="00082FBF">
        <w:t>Thus consistently high proportions (&gt;</w:t>
      </w:r>
      <w:r w:rsidR="002C1035">
        <w:t> </w:t>
      </w:r>
      <w:r w:rsidRPr="00082FBF">
        <w:t xml:space="preserve">90%) achieved seroprotective titres with MenQuadfi (except in serogroup A), and generally lower proportions with </w:t>
      </w:r>
      <w:r w:rsidR="005C34C4" w:rsidRPr="00082FBF">
        <w:t xml:space="preserve">Menveo </w:t>
      </w:r>
      <w:r w:rsidRPr="00082FBF">
        <w:t>(particularly in serogroup C).</w:t>
      </w:r>
    </w:p>
    <w:p w14:paraId="49D4F33B" w14:textId="183B1612" w:rsidR="00A225A7" w:rsidRPr="00082FBF" w:rsidRDefault="00A225A7" w:rsidP="00A225A7">
      <w:r w:rsidRPr="00082FBF">
        <w:t xml:space="preserve">The results of </w:t>
      </w:r>
      <w:r w:rsidR="002C1035">
        <w:t>S</w:t>
      </w:r>
      <w:r w:rsidRPr="00082FBF">
        <w:t>tudy MET35 are considered acceptable.</w:t>
      </w:r>
    </w:p>
    <w:p w14:paraId="25CFF300" w14:textId="4971E829" w:rsidR="00A225A7" w:rsidRPr="00082FBF" w:rsidRDefault="00C51256" w:rsidP="00A05272">
      <w:pPr>
        <w:pStyle w:val="Heading4"/>
      </w:pPr>
      <w:r w:rsidRPr="00082FBF">
        <w:t>Study MET50</w:t>
      </w:r>
      <w:r>
        <w:t xml:space="preserve"> </w:t>
      </w:r>
      <w:r w:rsidR="00CD01EC">
        <w:t>a</w:t>
      </w:r>
      <w:r w:rsidR="00A225A7" w:rsidRPr="00082FBF">
        <w:t xml:space="preserve">dolescents </w:t>
      </w:r>
      <w:r w:rsidR="00DB1B82" w:rsidRPr="00082FBF">
        <w:t>(nai</w:t>
      </w:r>
      <w:r w:rsidR="00CD01EC">
        <w:t>ve)</w:t>
      </w:r>
    </w:p>
    <w:p w14:paraId="35AA1BE5" w14:textId="634933E7" w:rsidR="00A225A7" w:rsidRPr="00082FBF" w:rsidRDefault="00A225A7" w:rsidP="00A225A7">
      <w:r w:rsidRPr="00082FBF">
        <w:t>This wa</w:t>
      </w:r>
      <w:r w:rsidR="00DB1B82" w:rsidRPr="00082FBF">
        <w:t>s an immunogenicity study in nai</w:t>
      </w:r>
      <w:r w:rsidR="005C34C4" w:rsidRPr="00082FBF">
        <w:t xml:space="preserve">ve adolescents (ten to </w:t>
      </w:r>
      <w:r w:rsidRPr="00082FBF">
        <w:t>1</w:t>
      </w:r>
      <w:r w:rsidR="00227CA3" w:rsidRPr="00082FBF">
        <w:t>7 years of age) for MenQuadfi versus</w:t>
      </w:r>
      <w:r w:rsidRPr="00082FBF">
        <w:t xml:space="preserve"> </w:t>
      </w:r>
      <w:r w:rsidR="005C34C4" w:rsidRPr="00082FBF">
        <w:t>Menveo</w:t>
      </w:r>
      <w:r w:rsidRPr="00082FBF">
        <w:t>.</w:t>
      </w:r>
    </w:p>
    <w:p w14:paraId="59FCF250" w14:textId="51212A5D" w:rsidR="00A225A7" w:rsidRPr="00082FBF" w:rsidRDefault="00A225A7" w:rsidP="00A225A7">
      <w:r w:rsidRPr="00082FBF">
        <w:t>The</w:t>
      </w:r>
      <w:r w:rsidR="003F4C5B" w:rsidRPr="00082FBF">
        <w:t xml:space="preserve"> reported GMTs were as follows</w:t>
      </w:r>
      <w:r w:rsidR="002C1035">
        <w:t xml:space="preserve"> in </w:t>
      </w:r>
      <w:r w:rsidR="00234A22">
        <w:fldChar w:fldCharType="begin"/>
      </w:r>
      <w:r w:rsidR="00234A22">
        <w:instrText xml:space="preserve"> REF _Ref66870597 \h </w:instrText>
      </w:r>
      <w:r w:rsidR="00234A22">
        <w:fldChar w:fldCharType="separate"/>
      </w:r>
      <w:r w:rsidR="005F4D35">
        <w:t xml:space="preserve">Table </w:t>
      </w:r>
      <w:r w:rsidR="005F4D35">
        <w:rPr>
          <w:noProof/>
        </w:rPr>
        <w:t>10</w:t>
      </w:r>
      <w:r w:rsidR="00234A22">
        <w:fldChar w:fldCharType="end"/>
      </w:r>
      <w:r w:rsidR="002C1035">
        <w:t>, below.</w:t>
      </w:r>
    </w:p>
    <w:p w14:paraId="739EE67D" w14:textId="2EC81EF9" w:rsidR="00E85DFD" w:rsidRPr="00082FBF" w:rsidRDefault="00CD01EC" w:rsidP="00CD01EC">
      <w:pPr>
        <w:pStyle w:val="TableTitle"/>
      </w:pPr>
      <w:bookmarkStart w:id="50" w:name="_Ref66870597"/>
      <w:r>
        <w:t xml:space="preserve">Table </w:t>
      </w:r>
      <w:fldSimple w:instr=" SEQ Table \* ARABIC ">
        <w:r w:rsidR="005F4D35">
          <w:rPr>
            <w:noProof/>
          </w:rPr>
          <w:t>10</w:t>
        </w:r>
      </w:fldSimple>
      <w:bookmarkEnd w:id="50"/>
      <w:r w:rsidR="005C34C4" w:rsidRPr="00082FBF">
        <w:t>: Study MET50</w:t>
      </w:r>
      <w:r w:rsidR="00E85DFD" w:rsidRPr="00082FBF">
        <w:t xml:space="preserve"> </w:t>
      </w:r>
      <w:r w:rsidR="00EC21FF">
        <w:t xml:space="preserve">Summary of the </w:t>
      </w:r>
      <w:r w:rsidR="00EC21FF" w:rsidRPr="00EB1267">
        <w:t>human serum bactericidal assay geometric mean titres against meningococcal serogroups A, C, Y and W</w:t>
      </w:r>
      <w:r w:rsidR="00EC21FF">
        <w:t xml:space="preserve"> </w:t>
      </w:r>
      <w:r w:rsidR="002C1035">
        <w:t>(</w:t>
      </w:r>
      <w:r w:rsidR="00EC21FF" w:rsidRPr="00EB1267">
        <w:t>per-protocol analysis set</w:t>
      </w:r>
      <w:r w:rsidR="00EC21FF">
        <w:t xml:space="preserve"> 1</w:t>
      </w:r>
      <w:r w:rsidR="002C1035">
        <w:t>)</w:t>
      </w:r>
    </w:p>
    <w:p w14:paraId="17DF1477" w14:textId="752377D3" w:rsidR="005F3CB2" w:rsidRPr="00082FBF" w:rsidRDefault="005F3CB2" w:rsidP="00CD4C75">
      <w:r w:rsidRPr="00082FBF">
        <w:rPr>
          <w:noProof/>
          <w:lang w:eastAsia="en-AU"/>
        </w:rPr>
        <w:drawing>
          <wp:inline distT="0" distB="0" distL="0" distR="0" wp14:anchorId="6CB8DE7F" wp14:editId="0E8EF14F">
            <wp:extent cx="5400040" cy="2418080"/>
            <wp:effectExtent l="0" t="0" r="0" b="1270"/>
            <wp:docPr id="33" name="Picture 33" descr="Study MET50 summary of geometric mean of human serum bactericidal assay titres – per-protocol analysis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2418080"/>
                    </a:xfrm>
                    <a:prstGeom prst="rect">
                      <a:avLst/>
                    </a:prstGeom>
                  </pic:spPr>
                </pic:pic>
              </a:graphicData>
            </a:graphic>
          </wp:inline>
        </w:drawing>
      </w:r>
    </w:p>
    <w:p w14:paraId="7F1EE2FC" w14:textId="25961E31" w:rsidR="00E85DFD" w:rsidRPr="00082FBF" w:rsidRDefault="00E85DFD" w:rsidP="00CD4C75">
      <w:pPr>
        <w:pStyle w:val="TableDescription"/>
      </w:pPr>
      <w:r w:rsidRPr="00082FBF">
        <w:t>M: number of subjects with valid serology results for the particular serogroup and time point</w:t>
      </w:r>
    </w:p>
    <w:p w14:paraId="29C59001" w14:textId="47709214" w:rsidR="00E85DFD" w:rsidRPr="00082FBF" w:rsidRDefault="00E85DFD" w:rsidP="00CD4C75">
      <w:pPr>
        <w:pStyle w:val="TableDescription"/>
      </w:pPr>
      <w:r w:rsidRPr="00082FBF">
        <w:t>N: number of subjects in the PPAS1</w:t>
      </w:r>
    </w:p>
    <w:p w14:paraId="17B02A6B" w14:textId="16FC23DB" w:rsidR="00A225A7" w:rsidRPr="00082FBF" w:rsidRDefault="00A225A7" w:rsidP="00A225A7">
      <w:r w:rsidRPr="00082FBF">
        <w:t xml:space="preserve">The statistical comparison could not be located but the descriptive summary of GMTs is indicative of comparable immunogenicity (consistent higher immune response in serogroups C) of MenQuadfi compared to </w:t>
      </w:r>
      <w:r w:rsidR="00A05272" w:rsidRPr="00082FBF">
        <w:t>Menveo</w:t>
      </w:r>
      <w:r w:rsidRPr="00082FBF">
        <w:t>.</w:t>
      </w:r>
    </w:p>
    <w:p w14:paraId="5C5818DF" w14:textId="07B79EA3" w:rsidR="00A225A7" w:rsidRPr="00082FBF" w:rsidRDefault="00A225A7" w:rsidP="00A225A7">
      <w:r w:rsidRPr="00082FBF">
        <w:t>This was also a co</w:t>
      </w:r>
      <w:r w:rsidR="002C1035">
        <w:t>-</w:t>
      </w:r>
      <w:r w:rsidRPr="00082FBF">
        <w:t>administration study. The co</w:t>
      </w:r>
      <w:r w:rsidR="002C1035">
        <w:t>-</w:t>
      </w:r>
      <w:r w:rsidRPr="00082FBF">
        <w:t xml:space="preserve">administration of </w:t>
      </w:r>
      <w:r w:rsidR="008B1985" w:rsidRPr="00082FBF">
        <w:t>tetanus diphtheria acellular pertussis (</w:t>
      </w:r>
      <w:r w:rsidRPr="00082FBF">
        <w:t>Tdap</w:t>
      </w:r>
      <w:r w:rsidR="008B1985" w:rsidRPr="00082FBF">
        <w:t>)</w:t>
      </w:r>
      <w:r w:rsidRPr="00082FBF">
        <w:t>/</w:t>
      </w:r>
      <w:r w:rsidR="008B1985" w:rsidRPr="00082FBF">
        <w:t xml:space="preserve"> human papilloma virus (</w:t>
      </w:r>
      <w:r w:rsidRPr="00082FBF">
        <w:t>HPV</w:t>
      </w:r>
      <w:r w:rsidR="008B1985" w:rsidRPr="00082FBF">
        <w:t>)</w:t>
      </w:r>
      <w:r w:rsidRPr="00082FBF">
        <w:t xml:space="preserve"> vaccines with MenQuadfi did not alter ACWY immune response. For the co</w:t>
      </w:r>
      <w:r w:rsidR="002C1035">
        <w:t>-</w:t>
      </w:r>
      <w:r w:rsidRPr="00082FBF">
        <w:t xml:space="preserve">administered vaccines, response to </w:t>
      </w:r>
      <w:r w:rsidR="002C1035">
        <w:t xml:space="preserve">the </w:t>
      </w:r>
      <w:r w:rsidR="00A06298" w:rsidRPr="00A06298">
        <w:t xml:space="preserve">diphtheria, tetanus, pertussis </w:t>
      </w:r>
      <w:r w:rsidR="00A06298">
        <w:t>(</w:t>
      </w:r>
      <w:r w:rsidR="00A06298" w:rsidRPr="00082FBF">
        <w:t>DTP</w:t>
      </w:r>
      <w:r w:rsidR="00A06298">
        <w:t>)</w:t>
      </w:r>
      <w:r w:rsidR="00A06298" w:rsidRPr="00A06298">
        <w:t xml:space="preserve"> vaccine </w:t>
      </w:r>
      <w:r w:rsidRPr="00082FBF">
        <w:t>and HPV antigens was considered non</w:t>
      </w:r>
      <w:r w:rsidR="002C1035">
        <w:noBreakHyphen/>
      </w:r>
      <w:r w:rsidRPr="00082FBF">
        <w:t>inferior with or without concomitant MenQuadfi (results not shown).</w:t>
      </w:r>
    </w:p>
    <w:p w14:paraId="3ABF0039" w14:textId="353D7E07" w:rsidR="00A225A7" w:rsidRPr="00082FBF" w:rsidRDefault="00A225A7" w:rsidP="00A225A7">
      <w:r w:rsidRPr="00082FBF">
        <w:t>The ACYW seroprotective rates were as follows</w:t>
      </w:r>
      <w:r w:rsidR="002C1035">
        <w:t xml:space="preserve"> in </w:t>
      </w:r>
      <w:r w:rsidR="00E04643">
        <w:fldChar w:fldCharType="begin"/>
      </w:r>
      <w:r w:rsidR="00E04643">
        <w:instrText xml:space="preserve"> REF _Ref66870705 \h </w:instrText>
      </w:r>
      <w:r w:rsidR="00E04643">
        <w:fldChar w:fldCharType="separate"/>
      </w:r>
      <w:r w:rsidR="005F4D35">
        <w:t xml:space="preserve">Table </w:t>
      </w:r>
      <w:r w:rsidR="005F4D35">
        <w:rPr>
          <w:noProof/>
        </w:rPr>
        <w:t>11</w:t>
      </w:r>
      <w:r w:rsidR="00E04643">
        <w:fldChar w:fldCharType="end"/>
      </w:r>
      <w:r w:rsidR="002C1035">
        <w:t>.</w:t>
      </w:r>
    </w:p>
    <w:p w14:paraId="11B372BD" w14:textId="35BAE2E1" w:rsidR="00E85DFD" w:rsidRPr="00082FBF" w:rsidRDefault="00CD01EC" w:rsidP="00CD01EC">
      <w:pPr>
        <w:pStyle w:val="TableTitle"/>
      </w:pPr>
      <w:bookmarkStart w:id="51" w:name="_Ref66870705"/>
      <w:r>
        <w:t xml:space="preserve">Table </w:t>
      </w:r>
      <w:fldSimple w:instr=" SEQ Table \* ARABIC ">
        <w:r w:rsidR="005F4D35">
          <w:rPr>
            <w:noProof/>
          </w:rPr>
          <w:t>11</w:t>
        </w:r>
      </w:fldSimple>
      <w:bookmarkEnd w:id="51"/>
      <w:r w:rsidR="00A05272" w:rsidRPr="00082FBF">
        <w:t>: C</w:t>
      </w:r>
      <w:r w:rsidR="00E85DFD" w:rsidRPr="00082FBF">
        <w:t xml:space="preserve">omparison of the </w:t>
      </w:r>
      <w:r w:rsidR="00187420" w:rsidRPr="00082FBF">
        <w:t xml:space="preserve">human serum bactericidal assay </w:t>
      </w:r>
      <w:r w:rsidR="00E85DFD" w:rsidRPr="00082FBF">
        <w:t>seroprotection r</w:t>
      </w:r>
      <w:r w:rsidR="00492141" w:rsidRPr="00082FBF">
        <w:t>ate (percentage of subjects ≥ 1/</w:t>
      </w:r>
      <w:r w:rsidR="00E85DFD" w:rsidRPr="00082FBF">
        <w:t>8) at D</w:t>
      </w:r>
      <w:r w:rsidR="006F7900" w:rsidRPr="00082FBF">
        <w:t xml:space="preserve">ay </w:t>
      </w:r>
      <w:r w:rsidR="00E85DFD" w:rsidRPr="00082FBF">
        <w:t xml:space="preserve">30 for </w:t>
      </w:r>
      <w:r w:rsidR="00D621BD" w:rsidRPr="00082FBF">
        <w:t xml:space="preserve">meningococcal serogroups A, C, Y and W </w:t>
      </w:r>
      <w:r w:rsidR="00E85DFD" w:rsidRPr="00082FBF">
        <w:t>conjugate vaccine versus meningococcal control vaccine subjects</w:t>
      </w:r>
    </w:p>
    <w:p w14:paraId="002346A9" w14:textId="58A3E73D" w:rsidR="00D041DD" w:rsidRPr="00082FBF" w:rsidRDefault="00D041DD" w:rsidP="00CD4C75">
      <w:r w:rsidRPr="00082FBF">
        <w:rPr>
          <w:noProof/>
          <w:lang w:eastAsia="en-AU"/>
        </w:rPr>
        <w:drawing>
          <wp:inline distT="0" distB="0" distL="0" distR="0" wp14:anchorId="22EAE39B" wp14:editId="3A0F10A5">
            <wp:extent cx="5400040" cy="1075055"/>
            <wp:effectExtent l="0" t="0" r="0" b="0"/>
            <wp:docPr id="35" name="Picture 35" descr="Comparison of the human serum bactericidal assay seroprotection rate (percentage of subjects ≥ 1/8) at Day 30 for meningococcal serogroups A, C, Y, and W conjugate vaccine versus meningococcal control vaccin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1075055"/>
                    </a:xfrm>
                    <a:prstGeom prst="rect">
                      <a:avLst/>
                    </a:prstGeom>
                  </pic:spPr>
                </pic:pic>
              </a:graphicData>
            </a:graphic>
          </wp:inline>
        </w:drawing>
      </w:r>
    </w:p>
    <w:p w14:paraId="045E6757" w14:textId="2A177EEE" w:rsidR="00E85DFD" w:rsidRPr="00082FBF" w:rsidRDefault="00E85DFD" w:rsidP="00CD4C75">
      <w:pPr>
        <w:pStyle w:val="TableDescription"/>
      </w:pPr>
      <w:r w:rsidRPr="00082FBF">
        <w:t xml:space="preserve">N: number of subjects in the </w:t>
      </w:r>
      <w:r w:rsidR="007A024A" w:rsidRPr="00082FBF">
        <w:t>PPAS</w:t>
      </w:r>
    </w:p>
    <w:p w14:paraId="13F79A5E" w14:textId="60865795" w:rsidR="00E85DFD" w:rsidRPr="00082FBF" w:rsidRDefault="00E85DFD" w:rsidP="00CD4C75">
      <w:pPr>
        <w:pStyle w:val="TableDescription"/>
      </w:pPr>
      <w:r w:rsidRPr="00082FBF">
        <w:t>M: number of subjects with available data for the endpoint</w:t>
      </w:r>
    </w:p>
    <w:p w14:paraId="62758173" w14:textId="6F030860" w:rsidR="00E85DFD" w:rsidRPr="00082FBF" w:rsidRDefault="00E85DFD" w:rsidP="00CD4C75">
      <w:pPr>
        <w:pStyle w:val="TableDescription"/>
      </w:pPr>
      <w:r w:rsidRPr="00082FBF">
        <w:t>n: number of subjects</w:t>
      </w:r>
      <w:r w:rsidR="008B1985" w:rsidRPr="00082FBF">
        <w:t xml:space="preserve"> who achieve an hS</w:t>
      </w:r>
      <w:r w:rsidR="00492141" w:rsidRPr="00082FBF">
        <w:t>BA titres ≥ 1/</w:t>
      </w:r>
      <w:r w:rsidRPr="00082FBF">
        <w:t>8 at D</w:t>
      </w:r>
      <w:r w:rsidR="006F7900" w:rsidRPr="00082FBF">
        <w:t xml:space="preserve">ay </w:t>
      </w:r>
      <w:r w:rsidRPr="00082FBF">
        <w:t xml:space="preserve">30 </w:t>
      </w:r>
    </w:p>
    <w:p w14:paraId="417CA31E" w14:textId="4D644860" w:rsidR="00A225A7" w:rsidRPr="00082FBF" w:rsidRDefault="00A225A7" w:rsidP="00A225A7">
      <w:r w:rsidRPr="00082FBF">
        <w:t xml:space="preserve">The proportion of subjects achieving protective titres were consistently higher with MenQuadfi compared with </w:t>
      </w:r>
      <w:r w:rsidR="00A05272" w:rsidRPr="00082FBF">
        <w:t xml:space="preserve">Menveo </w:t>
      </w:r>
      <w:r w:rsidRPr="00082FBF">
        <w:t>wi</w:t>
      </w:r>
      <w:r w:rsidR="00A05272" w:rsidRPr="00082FBF">
        <w:t>th significant results for all four</w:t>
      </w:r>
      <w:r w:rsidRPr="00082FBF">
        <w:t xml:space="preserve"> serogroups.</w:t>
      </w:r>
    </w:p>
    <w:p w14:paraId="658A94FB" w14:textId="3C6A6C80" w:rsidR="00A225A7" w:rsidRPr="00082FBF" w:rsidRDefault="00A225A7" w:rsidP="00A225A7">
      <w:r w:rsidRPr="00082FBF">
        <w:t xml:space="preserve">The results of </w:t>
      </w:r>
      <w:r w:rsidR="002C1035">
        <w:t>S</w:t>
      </w:r>
      <w:r w:rsidRPr="00082FBF">
        <w:t>tudy MET50 are considered acceptable.</w:t>
      </w:r>
    </w:p>
    <w:p w14:paraId="10824E48" w14:textId="4C7C3A5C" w:rsidR="00A225A7" w:rsidRPr="00082FBF" w:rsidRDefault="00C51256" w:rsidP="00A05272">
      <w:pPr>
        <w:pStyle w:val="Heading4"/>
      </w:pPr>
      <w:r w:rsidRPr="00082FBF">
        <w:t>Study MET43</w:t>
      </w:r>
      <w:r>
        <w:t xml:space="preserve"> </w:t>
      </w:r>
      <w:r w:rsidR="00CD01EC">
        <w:t>a</w:t>
      </w:r>
      <w:r w:rsidR="001C0DDF" w:rsidRPr="00082FBF">
        <w:t>dolescent and</w:t>
      </w:r>
      <w:r w:rsidR="008B1985" w:rsidRPr="00082FBF">
        <w:t xml:space="preserve"> a</w:t>
      </w:r>
      <w:r w:rsidR="00A225A7" w:rsidRPr="00082FBF">
        <w:t xml:space="preserve">dults </w:t>
      </w:r>
      <w:r w:rsidR="00DB1B82" w:rsidRPr="00082FBF">
        <w:t>(nai</w:t>
      </w:r>
      <w:r w:rsidR="00CD01EC">
        <w:t>ve)</w:t>
      </w:r>
    </w:p>
    <w:p w14:paraId="7201E59D" w14:textId="5BF1F9C1" w:rsidR="00A225A7" w:rsidRPr="00082FBF" w:rsidRDefault="00A225A7" w:rsidP="00A225A7">
      <w:r w:rsidRPr="00082FBF">
        <w:t>This was a lot-to-lot consistency stu</w:t>
      </w:r>
      <w:r w:rsidR="001C0DDF" w:rsidRPr="00082FBF">
        <w:t xml:space="preserve">dy of MenQuadfi in </w:t>
      </w:r>
      <w:r w:rsidR="008B1985" w:rsidRPr="00082FBF">
        <w:t>adolescents and adults (</w:t>
      </w:r>
      <w:r w:rsidR="002C1035">
        <w:t>10</w:t>
      </w:r>
      <w:r w:rsidR="002C1035" w:rsidRPr="00082FBF">
        <w:t xml:space="preserve"> </w:t>
      </w:r>
      <w:r w:rsidRPr="00082FBF">
        <w:t>to 55 years of age)</w:t>
      </w:r>
      <w:r w:rsidR="00227CA3" w:rsidRPr="00082FBF">
        <w:t>, in which (pooled) MenQuadfi versus</w:t>
      </w:r>
      <w:r w:rsidRPr="00082FBF">
        <w:t xml:space="preserve"> </w:t>
      </w:r>
      <w:r w:rsidR="008B1985" w:rsidRPr="00082FBF">
        <w:t xml:space="preserve">Menactra </w:t>
      </w:r>
      <w:r w:rsidRPr="00082FBF">
        <w:t xml:space="preserve">immunogenicity (GMTs) were also compared and indicated comparable and generally higher (particularly serogroup C) immunogenicity of MenQuadfi compared to </w:t>
      </w:r>
      <w:r w:rsidR="00D65A89">
        <w:t>M</w:t>
      </w:r>
      <w:r w:rsidR="008B1985" w:rsidRPr="00082FBF">
        <w:t>enactra, which is the s</w:t>
      </w:r>
      <w:r w:rsidRPr="00082FBF">
        <w:t>ponsor’s currently approved quadrivalent meningococcal vaccine</w:t>
      </w:r>
      <w:r w:rsidR="002C1035">
        <w:t xml:space="preserve">. Results are shown below in </w:t>
      </w:r>
      <w:r w:rsidR="00E04643">
        <w:fldChar w:fldCharType="begin"/>
      </w:r>
      <w:r w:rsidR="00E04643">
        <w:instrText xml:space="preserve"> REF _Ref66870776 \h </w:instrText>
      </w:r>
      <w:r w:rsidR="00E04643">
        <w:fldChar w:fldCharType="separate"/>
      </w:r>
      <w:r w:rsidR="005F4D35">
        <w:t xml:space="preserve">Table </w:t>
      </w:r>
      <w:r w:rsidR="005F4D35">
        <w:rPr>
          <w:noProof/>
        </w:rPr>
        <w:t>12</w:t>
      </w:r>
      <w:r w:rsidR="00E04643">
        <w:fldChar w:fldCharType="end"/>
      </w:r>
      <w:r w:rsidR="002C1035">
        <w:t>.</w:t>
      </w:r>
    </w:p>
    <w:p w14:paraId="4E324515" w14:textId="553BABF7" w:rsidR="00380C43" w:rsidRPr="00082FBF" w:rsidRDefault="00CD01EC" w:rsidP="00CD01EC">
      <w:pPr>
        <w:pStyle w:val="TableTitle"/>
      </w:pPr>
      <w:bookmarkStart w:id="52" w:name="_Ref66870776"/>
      <w:r>
        <w:t xml:space="preserve">Table </w:t>
      </w:r>
      <w:fldSimple w:instr=" SEQ Table \* ARABIC ">
        <w:r w:rsidR="005F4D35">
          <w:rPr>
            <w:noProof/>
          </w:rPr>
          <w:t>12</w:t>
        </w:r>
      </w:fldSimple>
      <w:bookmarkEnd w:id="52"/>
      <w:r w:rsidR="008B1985" w:rsidRPr="00082FBF">
        <w:t>: Study MET43</w:t>
      </w:r>
      <w:r w:rsidR="00380C43" w:rsidRPr="00082FBF">
        <w:t xml:space="preserve"> </w:t>
      </w:r>
      <w:r w:rsidR="002C1035">
        <w:t>C</w:t>
      </w:r>
      <w:r w:rsidR="00380C43" w:rsidRPr="00082FBF">
        <w:t xml:space="preserve">omparison of the </w:t>
      </w:r>
      <w:r w:rsidR="00187420" w:rsidRPr="00082FBF">
        <w:t>human serum bactericidal assay geometric mean titre</w:t>
      </w:r>
      <w:r w:rsidR="00255921">
        <w:t>s</w:t>
      </w:r>
      <w:r w:rsidR="00187420" w:rsidRPr="00082FBF">
        <w:t xml:space="preserve"> </w:t>
      </w:r>
      <w:r w:rsidR="00380C43" w:rsidRPr="00082FBF">
        <w:t xml:space="preserve">for </w:t>
      </w:r>
      <w:r w:rsidR="00D621BD" w:rsidRPr="00082FBF">
        <w:t xml:space="preserve">meningococcal serogroups A, C, Y and W </w:t>
      </w:r>
      <w:r w:rsidR="008B1985" w:rsidRPr="00082FBF">
        <w:t xml:space="preserve">conjugate vaccine (group 1 to </w:t>
      </w:r>
      <w:r w:rsidR="00380C43" w:rsidRPr="00082FBF">
        <w:t xml:space="preserve">3 pooled) versus Menactra (group 4) </w:t>
      </w:r>
      <w:r w:rsidR="002C1035">
        <w:t>(</w:t>
      </w:r>
      <w:r w:rsidR="008B1985" w:rsidRPr="00082FBF">
        <w:t>per-protocol analysis set</w:t>
      </w:r>
      <w:r w:rsidR="002C1035">
        <w:t>)</w:t>
      </w:r>
    </w:p>
    <w:p w14:paraId="4DD2A07C" w14:textId="2C393138" w:rsidR="00A225A7" w:rsidRPr="00082FBF" w:rsidRDefault="00B0359B" w:rsidP="00CD4C75">
      <w:r w:rsidRPr="00082FBF">
        <w:rPr>
          <w:noProof/>
          <w:lang w:eastAsia="en-AU"/>
        </w:rPr>
        <w:drawing>
          <wp:inline distT="0" distB="0" distL="0" distR="0" wp14:anchorId="3B021772" wp14:editId="1BEC711F">
            <wp:extent cx="5400040" cy="1211580"/>
            <wp:effectExtent l="0" t="0" r="0" b="7620"/>
            <wp:docPr id="37" name="Picture 37" descr="Study MET43 comparison of the human serum bactericidal assay geometric mean titre for meningococcal serogroups A, C, Y, and W conjugate vaccine (group 1 to 3 pooled) versus Menactra (group 4) – per-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1211580"/>
                    </a:xfrm>
                    <a:prstGeom prst="rect">
                      <a:avLst/>
                    </a:prstGeom>
                  </pic:spPr>
                </pic:pic>
              </a:graphicData>
            </a:graphic>
          </wp:inline>
        </w:drawing>
      </w:r>
    </w:p>
    <w:p w14:paraId="3AFDCE6B" w14:textId="77777777" w:rsidR="00380C43" w:rsidRPr="00082FBF" w:rsidRDefault="00380C43" w:rsidP="00CD4C75">
      <w:pPr>
        <w:pStyle w:val="TableDescription"/>
      </w:pPr>
      <w:r w:rsidRPr="00082FBF">
        <w:t>M: number of subjects with available data for the endpoint</w:t>
      </w:r>
    </w:p>
    <w:p w14:paraId="27A4D680" w14:textId="08B68622" w:rsidR="00380C43" w:rsidRPr="00082FBF" w:rsidRDefault="00380C43" w:rsidP="00CD4C75">
      <w:pPr>
        <w:pStyle w:val="TableDescription"/>
      </w:pPr>
      <w:r w:rsidRPr="00082FBF">
        <w:t>N: number of subjects in PPAS</w:t>
      </w:r>
    </w:p>
    <w:p w14:paraId="246396FB" w14:textId="37959954" w:rsidR="00A225A7" w:rsidRPr="00082FBF" w:rsidRDefault="00A225A7" w:rsidP="00A225A7">
      <w:r w:rsidRPr="00082FBF">
        <w:t>The hSBA seroprot</w:t>
      </w:r>
      <w:r w:rsidR="00DB1B82" w:rsidRPr="00082FBF">
        <w:t>ective rates in adolescents (naive) and adults (nai</w:t>
      </w:r>
      <w:r w:rsidRPr="00082FBF">
        <w:t xml:space="preserve">ve), separately by age strata, in this study were as follows and continued to consistently show significantly higher </w:t>
      </w:r>
      <w:r w:rsidR="00227CA3" w:rsidRPr="00082FBF">
        <w:t>protective rates in MenQuadfi versus</w:t>
      </w:r>
      <w:r w:rsidRPr="00082FBF">
        <w:t xml:space="preserve"> </w:t>
      </w:r>
      <w:r w:rsidR="008B1985" w:rsidRPr="00082FBF">
        <w:t xml:space="preserve">Menactra </w:t>
      </w:r>
      <w:r w:rsidRPr="00082FBF">
        <w:t>in adolescent as well as adults</w:t>
      </w:r>
      <w:r w:rsidR="00216541">
        <w:t xml:space="preserve">, as shown in </w:t>
      </w:r>
      <w:r w:rsidR="00E04643">
        <w:fldChar w:fldCharType="begin"/>
      </w:r>
      <w:r w:rsidR="00E04643">
        <w:instrText xml:space="preserve"> REF _Ref66870837 \h </w:instrText>
      </w:r>
      <w:r w:rsidR="00E04643">
        <w:fldChar w:fldCharType="separate"/>
      </w:r>
      <w:r w:rsidR="005F4D35">
        <w:t xml:space="preserve">Table </w:t>
      </w:r>
      <w:r w:rsidR="005F4D35">
        <w:rPr>
          <w:noProof/>
        </w:rPr>
        <w:t>13</w:t>
      </w:r>
      <w:r w:rsidR="00E04643">
        <w:fldChar w:fldCharType="end"/>
      </w:r>
      <w:r w:rsidR="00216541">
        <w:t>, below.</w:t>
      </w:r>
    </w:p>
    <w:p w14:paraId="51EE1D98" w14:textId="7CEDFFAC" w:rsidR="00380C43" w:rsidRPr="00082FBF" w:rsidRDefault="00CD01EC" w:rsidP="00CD01EC">
      <w:pPr>
        <w:pStyle w:val="TableTitle"/>
      </w:pPr>
      <w:bookmarkStart w:id="53" w:name="_Ref66870837"/>
      <w:r>
        <w:t xml:space="preserve">Table </w:t>
      </w:r>
      <w:fldSimple w:instr=" SEQ Table \* ARABIC ">
        <w:r w:rsidR="005F4D35">
          <w:rPr>
            <w:noProof/>
          </w:rPr>
          <w:t>13</w:t>
        </w:r>
      </w:fldSimple>
      <w:bookmarkEnd w:id="53"/>
      <w:r w:rsidR="008B1985" w:rsidRPr="00082FBF">
        <w:t>: C</w:t>
      </w:r>
      <w:r w:rsidR="00380C43" w:rsidRPr="00082FBF">
        <w:t xml:space="preserve">omparison of the </w:t>
      </w:r>
      <w:r w:rsidR="00187420" w:rsidRPr="00082FBF">
        <w:t xml:space="preserve">human serum bactericidal assay </w:t>
      </w:r>
      <w:r w:rsidR="00D65A89">
        <w:t>sero</w:t>
      </w:r>
      <w:r w:rsidR="00D65A89" w:rsidRPr="00082FBF">
        <w:t xml:space="preserve">protection </w:t>
      </w:r>
      <w:r w:rsidR="00380C43" w:rsidRPr="00082FBF">
        <w:t>r</w:t>
      </w:r>
      <w:r w:rsidR="00492141" w:rsidRPr="00082FBF">
        <w:t>ate (percentage of subjects ≥ 1/</w:t>
      </w:r>
      <w:r w:rsidR="00380C43" w:rsidRPr="00082FBF">
        <w:t>8) at D</w:t>
      </w:r>
      <w:r w:rsidR="006F7900" w:rsidRPr="00082FBF">
        <w:t xml:space="preserve">ay </w:t>
      </w:r>
      <w:r w:rsidR="00380C43" w:rsidRPr="00082FBF">
        <w:t xml:space="preserve">30 for </w:t>
      </w:r>
      <w:r w:rsidR="00D621BD" w:rsidRPr="00082FBF">
        <w:t xml:space="preserve">meningococcal serogroups A, C, Y and W </w:t>
      </w:r>
      <w:r w:rsidR="00380C43" w:rsidRPr="00082FBF">
        <w:t>conjugate vaccine versus meningococcal control vaccine subjects</w:t>
      </w:r>
    </w:p>
    <w:p w14:paraId="32F3CB43" w14:textId="2C1E07C9" w:rsidR="00B0359B" w:rsidRPr="00082FBF" w:rsidRDefault="00B0359B" w:rsidP="00CD4C75">
      <w:r w:rsidRPr="00082FBF">
        <w:rPr>
          <w:noProof/>
          <w:lang w:eastAsia="en-AU"/>
        </w:rPr>
        <w:drawing>
          <wp:inline distT="0" distB="0" distL="0" distR="0" wp14:anchorId="171D7480" wp14:editId="31F4352A">
            <wp:extent cx="5400040" cy="1732915"/>
            <wp:effectExtent l="0" t="0" r="0" b="635"/>
            <wp:docPr id="38" name="Picture 38" descr="Comparison of the human serum bactericidal assay preprotection rate (percentage of subjects ≥ 1/8) at Day 30 for meningococcal serogroups A, C, Y, and W conjugate vaccine versus meningococcal control vaccin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1732915"/>
                    </a:xfrm>
                    <a:prstGeom prst="rect">
                      <a:avLst/>
                    </a:prstGeom>
                  </pic:spPr>
                </pic:pic>
              </a:graphicData>
            </a:graphic>
          </wp:inline>
        </w:drawing>
      </w:r>
    </w:p>
    <w:p w14:paraId="29415F8A" w14:textId="256C9A11" w:rsidR="00380C43" w:rsidRPr="00082FBF" w:rsidRDefault="00380C43" w:rsidP="00CD4C75">
      <w:pPr>
        <w:pStyle w:val="TableDescription"/>
      </w:pPr>
      <w:r w:rsidRPr="00082FBF">
        <w:t xml:space="preserve">N: number of subjects in the </w:t>
      </w:r>
      <w:r w:rsidR="007A024A" w:rsidRPr="00082FBF">
        <w:t>PPAS</w:t>
      </w:r>
    </w:p>
    <w:p w14:paraId="42B97FB9" w14:textId="7A4027A2" w:rsidR="00380C43" w:rsidRPr="00082FBF" w:rsidRDefault="00380C43" w:rsidP="00CD4C75">
      <w:pPr>
        <w:pStyle w:val="TableDescription"/>
      </w:pPr>
      <w:r w:rsidRPr="00082FBF">
        <w:t>M: number of subjects with available data for the endpoint</w:t>
      </w:r>
    </w:p>
    <w:p w14:paraId="17950ACD" w14:textId="517854B9" w:rsidR="00380C43" w:rsidRPr="00082FBF" w:rsidRDefault="00380C43" w:rsidP="00CD4C75">
      <w:pPr>
        <w:pStyle w:val="TableDescription"/>
      </w:pPr>
      <w:r w:rsidRPr="00082FBF">
        <w:t xml:space="preserve">n: number of subjects </w:t>
      </w:r>
      <w:r w:rsidR="00492141" w:rsidRPr="00082FBF">
        <w:t>who achiev</w:t>
      </w:r>
      <w:r w:rsidR="008B1985" w:rsidRPr="00082FBF">
        <w:t>e an hS</w:t>
      </w:r>
      <w:r w:rsidR="00492141" w:rsidRPr="00082FBF">
        <w:t>BA titres ≥ 1/</w:t>
      </w:r>
      <w:r w:rsidRPr="00082FBF">
        <w:t>8 at D</w:t>
      </w:r>
      <w:r w:rsidR="006F7900" w:rsidRPr="00082FBF">
        <w:t xml:space="preserve">ay </w:t>
      </w:r>
      <w:r w:rsidRPr="00082FBF">
        <w:t xml:space="preserve">30 </w:t>
      </w:r>
    </w:p>
    <w:p w14:paraId="788F004B" w14:textId="4C16D00D" w:rsidR="00A225A7" w:rsidRPr="00082FBF" w:rsidRDefault="00A225A7" w:rsidP="00A225A7">
      <w:r w:rsidRPr="00082FBF">
        <w:t xml:space="preserve">The results of </w:t>
      </w:r>
      <w:r w:rsidR="00216541">
        <w:t>S</w:t>
      </w:r>
      <w:r w:rsidRPr="00082FBF">
        <w:t>tudy MET43 are considered acceptable.</w:t>
      </w:r>
    </w:p>
    <w:p w14:paraId="210B33EF" w14:textId="03780E91" w:rsidR="00A225A7" w:rsidRPr="00082FBF" w:rsidRDefault="00C51256" w:rsidP="000E5AC7">
      <w:pPr>
        <w:pStyle w:val="Heading4"/>
      </w:pPr>
      <w:r w:rsidRPr="00082FBF">
        <w:t>Study MET49</w:t>
      </w:r>
      <w:r>
        <w:t xml:space="preserve"> </w:t>
      </w:r>
      <w:r w:rsidR="00CD01EC">
        <w:t>a</w:t>
      </w:r>
      <w:r w:rsidR="001C0DDF" w:rsidRPr="00082FBF">
        <w:t>dults and</w:t>
      </w:r>
      <w:r w:rsidR="000E5AC7" w:rsidRPr="00082FBF">
        <w:t xml:space="preserve"> e</w:t>
      </w:r>
      <w:r w:rsidR="00A225A7" w:rsidRPr="00082FBF">
        <w:t>lderly (≥</w:t>
      </w:r>
      <w:r w:rsidR="000E5AC7" w:rsidRPr="00082FBF">
        <w:t xml:space="preserve"> </w:t>
      </w:r>
      <w:r w:rsidR="00A225A7" w:rsidRPr="00082FBF">
        <w:t xml:space="preserve">56 years of age; </w:t>
      </w:r>
      <w:r w:rsidR="00DB1B82" w:rsidRPr="00082FBF">
        <w:t>nai</w:t>
      </w:r>
      <w:r w:rsidR="00A225A7" w:rsidRPr="00082FBF">
        <w:t>ve)</w:t>
      </w:r>
    </w:p>
    <w:p w14:paraId="45D426E0" w14:textId="0D3755E2" w:rsidR="00A225A7" w:rsidRPr="00082FBF" w:rsidRDefault="00A225A7" w:rsidP="00A225A7">
      <w:r w:rsidRPr="00082FBF">
        <w:t xml:space="preserve">The comparator vaccine product in this </w:t>
      </w:r>
      <w:r w:rsidR="000E5AC7" w:rsidRPr="00082FBF">
        <w:t xml:space="preserve">adults and elderly </w:t>
      </w:r>
      <w:r w:rsidRPr="00082FBF">
        <w:t xml:space="preserve">study was </w:t>
      </w:r>
      <w:r w:rsidR="000E5AC7" w:rsidRPr="00082FBF">
        <w:t xml:space="preserve">Menomune </w:t>
      </w:r>
      <w:r w:rsidRPr="00082FBF">
        <w:t xml:space="preserve">which is a plain </w:t>
      </w:r>
      <w:r w:rsidR="000E5AC7" w:rsidRPr="00082FBF">
        <w:t>polysaccharide ACYW vaccine (that is,</w:t>
      </w:r>
      <w:r w:rsidRPr="00082FBF">
        <w:t xml:space="preserve"> not conjugated and has now been discontinued from the ARTG (commercial reasons)</w:t>
      </w:r>
      <w:r w:rsidR="000E5AC7" w:rsidRPr="00082FBF">
        <w:t>)</w:t>
      </w:r>
      <w:r w:rsidRPr="00082FBF">
        <w:t>.</w:t>
      </w:r>
    </w:p>
    <w:p w14:paraId="76E42B0D" w14:textId="44440488" w:rsidR="00A225A7" w:rsidRPr="00082FBF" w:rsidRDefault="00A225A7" w:rsidP="00A225A7">
      <w:r w:rsidRPr="00082FBF">
        <w:t>The GMTs were reported as follows</w:t>
      </w:r>
      <w:r w:rsidR="00216541">
        <w:t xml:space="preserve"> in </w:t>
      </w:r>
      <w:r w:rsidR="00E04643">
        <w:fldChar w:fldCharType="begin"/>
      </w:r>
      <w:r w:rsidR="00E04643">
        <w:instrText xml:space="preserve"> REF _Ref66870993 \h </w:instrText>
      </w:r>
      <w:r w:rsidR="00E04643">
        <w:fldChar w:fldCharType="separate"/>
      </w:r>
      <w:r w:rsidR="005F4D35">
        <w:t xml:space="preserve">Table </w:t>
      </w:r>
      <w:r w:rsidR="005F4D35">
        <w:rPr>
          <w:noProof/>
        </w:rPr>
        <w:t>14</w:t>
      </w:r>
      <w:r w:rsidR="00E04643">
        <w:fldChar w:fldCharType="end"/>
      </w:r>
      <w:r w:rsidR="00216541">
        <w:t>, below.</w:t>
      </w:r>
    </w:p>
    <w:p w14:paraId="7860EA6F" w14:textId="1A27A013" w:rsidR="00F77F82" w:rsidRPr="00082FBF" w:rsidRDefault="00CD01EC" w:rsidP="00CD01EC">
      <w:pPr>
        <w:pStyle w:val="TableTitle"/>
      </w:pPr>
      <w:bookmarkStart w:id="54" w:name="_Ref66870993"/>
      <w:r>
        <w:t xml:space="preserve">Table </w:t>
      </w:r>
      <w:fldSimple w:instr=" SEQ Table \* ARABIC ">
        <w:r w:rsidR="005F4D35">
          <w:rPr>
            <w:noProof/>
          </w:rPr>
          <w:t>14</w:t>
        </w:r>
      </w:fldSimple>
      <w:bookmarkEnd w:id="54"/>
      <w:r w:rsidR="000E5AC7" w:rsidRPr="00082FBF">
        <w:t>: Study MET49</w:t>
      </w:r>
      <w:r w:rsidR="00E04643">
        <w:t xml:space="preserve"> </w:t>
      </w:r>
      <w:r w:rsidR="00EC21FF">
        <w:t>C</w:t>
      </w:r>
      <w:r w:rsidR="00EC21FF" w:rsidRPr="00EB1267">
        <w:t>omparison of the human serum bactericidal assay geometric mean titres against meningococcal serogroups A, C, Y and W at Day 30 between group 1 and group 2</w:t>
      </w:r>
      <w:r w:rsidR="00EC21FF">
        <w:t xml:space="preserve"> </w:t>
      </w:r>
      <w:r w:rsidR="00216541">
        <w:t>(</w:t>
      </w:r>
      <w:r w:rsidR="00EC21FF" w:rsidRPr="00EB1267">
        <w:t>per-protocol analysis set</w:t>
      </w:r>
      <w:r w:rsidR="00216541">
        <w:t>)</w:t>
      </w:r>
    </w:p>
    <w:p w14:paraId="63E0473F" w14:textId="53926103" w:rsidR="00B0359B" w:rsidRPr="00082FBF" w:rsidRDefault="00B0359B" w:rsidP="00CD4C75">
      <w:r w:rsidRPr="00082FBF">
        <w:rPr>
          <w:noProof/>
          <w:lang w:eastAsia="en-AU"/>
        </w:rPr>
        <w:drawing>
          <wp:inline distT="0" distB="0" distL="0" distR="0" wp14:anchorId="31A0A162" wp14:editId="6C2E7FFE">
            <wp:extent cx="5400040" cy="1438275"/>
            <wp:effectExtent l="0" t="0" r="0" b="9525"/>
            <wp:docPr id="42" name="Picture 42" descr="Study MET49 comparison of the geometric mean titres of human serum bactericidal assay against meningococcal serogroups A, C, Y and W at Day 30 between group 1 versus group 2 – per-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1438275"/>
                    </a:xfrm>
                    <a:prstGeom prst="rect">
                      <a:avLst/>
                    </a:prstGeom>
                  </pic:spPr>
                </pic:pic>
              </a:graphicData>
            </a:graphic>
          </wp:inline>
        </w:drawing>
      </w:r>
    </w:p>
    <w:p w14:paraId="1CAF4064" w14:textId="77777777" w:rsidR="007D4B73" w:rsidRPr="00082FBF" w:rsidRDefault="007D4B73" w:rsidP="00CD4C75">
      <w:pPr>
        <w:pStyle w:val="TableDescription"/>
      </w:pPr>
      <w:r w:rsidRPr="00082FBF">
        <w:t>M: number of subjects with available data for the endpoint</w:t>
      </w:r>
    </w:p>
    <w:p w14:paraId="3F450B58" w14:textId="5A92F6E8" w:rsidR="00F77F82" w:rsidRPr="00082FBF" w:rsidRDefault="00F77F82" w:rsidP="00CD4C75">
      <w:pPr>
        <w:pStyle w:val="TableDescription"/>
      </w:pPr>
      <w:r w:rsidRPr="00082FBF">
        <w:t xml:space="preserve">N: number of subjects in </w:t>
      </w:r>
      <w:r w:rsidR="007D4B73" w:rsidRPr="00082FBF">
        <w:t>PPAS</w:t>
      </w:r>
    </w:p>
    <w:p w14:paraId="064FE6CD" w14:textId="450E14DA" w:rsidR="00A225A7" w:rsidRPr="00082FBF" w:rsidRDefault="00A225A7" w:rsidP="00A225A7">
      <w:r w:rsidRPr="00082FBF">
        <w:t xml:space="preserve">Thus much higher immunogenicity of MenQuadfi compared to </w:t>
      </w:r>
      <w:r w:rsidR="000E5AC7" w:rsidRPr="00082FBF">
        <w:t xml:space="preserve">Menomune </w:t>
      </w:r>
      <w:r w:rsidRPr="00082FBF">
        <w:t>was demonstrated for all serogroups in subjects ≥</w:t>
      </w:r>
      <w:r w:rsidR="000E5AC7" w:rsidRPr="00082FBF">
        <w:t xml:space="preserve"> </w:t>
      </w:r>
      <w:r w:rsidRPr="00082FBF">
        <w:t>56 years of age.</w:t>
      </w:r>
    </w:p>
    <w:p w14:paraId="4255FB39" w14:textId="567264DE" w:rsidR="00A225A7" w:rsidRPr="00082FBF" w:rsidRDefault="00A225A7" w:rsidP="00A225A7">
      <w:r w:rsidRPr="00082FBF">
        <w:t>The seroprotective rates (GMTs ≥</w:t>
      </w:r>
      <w:r w:rsidR="000E5AC7" w:rsidRPr="00082FBF">
        <w:t xml:space="preserve"> </w:t>
      </w:r>
      <w:r w:rsidRPr="00082FBF">
        <w:t>1/8 by hSBA), in the overall ≥</w:t>
      </w:r>
      <w:r w:rsidR="000E5AC7" w:rsidRPr="00082FBF">
        <w:t xml:space="preserve"> </w:t>
      </w:r>
      <w:r w:rsidRPr="00082FBF">
        <w:t>56 years of age population, were as follows</w:t>
      </w:r>
      <w:r w:rsidR="00216541">
        <w:t xml:space="preserve"> in </w:t>
      </w:r>
      <w:r w:rsidR="003674DC">
        <w:fldChar w:fldCharType="begin"/>
      </w:r>
      <w:r w:rsidR="003674DC">
        <w:instrText xml:space="preserve"> REF _Ref66873043 \h </w:instrText>
      </w:r>
      <w:r w:rsidR="003674DC">
        <w:fldChar w:fldCharType="separate"/>
      </w:r>
      <w:r w:rsidR="005F4D35">
        <w:t xml:space="preserve">Table </w:t>
      </w:r>
      <w:r w:rsidR="005F4D35">
        <w:rPr>
          <w:noProof/>
        </w:rPr>
        <w:t>15</w:t>
      </w:r>
      <w:r w:rsidR="003674DC">
        <w:fldChar w:fldCharType="end"/>
      </w:r>
      <w:r w:rsidR="00216541">
        <w:t>.</w:t>
      </w:r>
    </w:p>
    <w:p w14:paraId="4C0FD0E5" w14:textId="2A675300" w:rsidR="007D4B73" w:rsidRPr="00082FBF" w:rsidRDefault="00CD01EC" w:rsidP="00CD01EC">
      <w:pPr>
        <w:pStyle w:val="TableTitle"/>
      </w:pPr>
      <w:bookmarkStart w:id="55" w:name="_Ref66873043"/>
      <w:r>
        <w:t xml:space="preserve">Table </w:t>
      </w:r>
      <w:fldSimple w:instr=" SEQ Table \* ARABIC ">
        <w:r w:rsidR="005F4D35">
          <w:rPr>
            <w:noProof/>
          </w:rPr>
          <w:t>15</w:t>
        </w:r>
      </w:fldSimple>
      <w:bookmarkEnd w:id="55"/>
      <w:r w:rsidR="000E5AC7" w:rsidRPr="00082FBF">
        <w:rPr>
          <w:noProof/>
        </w:rPr>
        <w:t xml:space="preserve">: </w:t>
      </w:r>
      <w:r w:rsidR="00216541">
        <w:rPr>
          <w:noProof/>
        </w:rPr>
        <w:t>Study MET49 C</w:t>
      </w:r>
      <w:r w:rsidR="007D4B73" w:rsidRPr="00082FBF">
        <w:t xml:space="preserve">omparison of the </w:t>
      </w:r>
      <w:r w:rsidR="00187420" w:rsidRPr="00082FBF">
        <w:t xml:space="preserve">human serum bactericidal assay </w:t>
      </w:r>
      <w:r w:rsidR="00D65A89">
        <w:t>sero</w:t>
      </w:r>
      <w:r w:rsidR="00D65A89" w:rsidRPr="00082FBF">
        <w:t xml:space="preserve">protection </w:t>
      </w:r>
      <w:r w:rsidR="007D4B73" w:rsidRPr="00082FBF">
        <w:t>rate (</w:t>
      </w:r>
      <w:r w:rsidR="00492141" w:rsidRPr="00082FBF">
        <w:t>percentage of subjects ≥ 1/</w:t>
      </w:r>
      <w:r w:rsidR="007D4B73" w:rsidRPr="00082FBF">
        <w:t>8) at D</w:t>
      </w:r>
      <w:r w:rsidR="006F7900" w:rsidRPr="00082FBF">
        <w:t xml:space="preserve">ay </w:t>
      </w:r>
      <w:r w:rsidR="007D4B73" w:rsidRPr="00082FBF">
        <w:t xml:space="preserve">30 for </w:t>
      </w:r>
      <w:r w:rsidR="00D621BD" w:rsidRPr="00082FBF">
        <w:t>meningococcal polysaccharide ser</w:t>
      </w:r>
      <w:r w:rsidR="00502715">
        <w:t>ogroups A, C, Y</w:t>
      </w:r>
      <w:r w:rsidR="00D621BD" w:rsidRPr="00082FBF">
        <w:t xml:space="preserve"> and W </w:t>
      </w:r>
      <w:r w:rsidR="007D4B73" w:rsidRPr="00082FBF">
        <w:t>conjugate vaccine versus meningococcal control vaccine subjects</w:t>
      </w:r>
    </w:p>
    <w:p w14:paraId="6DE0F4BC" w14:textId="1BC218CF" w:rsidR="00B0359B" w:rsidRPr="00082FBF" w:rsidRDefault="00B0359B" w:rsidP="00CD4C75">
      <w:r w:rsidRPr="00082FBF">
        <w:rPr>
          <w:noProof/>
          <w:lang w:eastAsia="en-AU"/>
        </w:rPr>
        <w:drawing>
          <wp:inline distT="0" distB="0" distL="0" distR="0" wp14:anchorId="003E73FA" wp14:editId="2033ADB6">
            <wp:extent cx="5400040" cy="1056005"/>
            <wp:effectExtent l="0" t="0" r="0" b="0"/>
            <wp:docPr id="43" name="Picture 43" descr="Comparison of the human serum bactericidal assay preprotection rate (percentage of subjects ≥ 1/8) at Day 30 for meningococcal polysaccharide serogroups A, C, Y, and W conjugate vaccine versus meningococcal control vaccin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1056005"/>
                    </a:xfrm>
                    <a:prstGeom prst="rect">
                      <a:avLst/>
                    </a:prstGeom>
                  </pic:spPr>
                </pic:pic>
              </a:graphicData>
            </a:graphic>
          </wp:inline>
        </w:drawing>
      </w:r>
    </w:p>
    <w:p w14:paraId="72D83BCE" w14:textId="704EE108" w:rsidR="00A225A7" w:rsidRPr="00082FBF" w:rsidRDefault="00A225A7" w:rsidP="00A225A7">
      <w:r w:rsidRPr="00082FBF">
        <w:t>The seroprotective rates (GMTs ≥</w:t>
      </w:r>
      <w:r w:rsidR="003674DC">
        <w:t xml:space="preserve"> </w:t>
      </w:r>
      <w:r w:rsidRPr="00082FBF">
        <w:t>1/8 by hSBA), by age strata in older adults and elderly were as follows</w:t>
      </w:r>
      <w:r w:rsidR="00216541">
        <w:t xml:space="preserve"> in </w:t>
      </w:r>
      <w:r w:rsidR="003674DC">
        <w:fldChar w:fldCharType="begin"/>
      </w:r>
      <w:r w:rsidR="003674DC">
        <w:instrText xml:space="preserve"> REF _Ref66873084 \h </w:instrText>
      </w:r>
      <w:r w:rsidR="003674DC">
        <w:fldChar w:fldCharType="separate"/>
      </w:r>
      <w:r w:rsidR="005F4D35">
        <w:t xml:space="preserve">Table </w:t>
      </w:r>
      <w:r w:rsidR="005F4D35">
        <w:rPr>
          <w:noProof/>
        </w:rPr>
        <w:t>16</w:t>
      </w:r>
      <w:r w:rsidR="003674DC">
        <w:fldChar w:fldCharType="end"/>
      </w:r>
      <w:r w:rsidR="00216541">
        <w:t>, below,</w:t>
      </w:r>
    </w:p>
    <w:p w14:paraId="276D8AB6" w14:textId="36AF139E" w:rsidR="00725E29" w:rsidRPr="00082FBF" w:rsidRDefault="00CD01EC" w:rsidP="00CD4C75">
      <w:pPr>
        <w:pStyle w:val="TableTitle"/>
        <w:pageBreakBefore/>
      </w:pPr>
      <w:bookmarkStart w:id="56" w:name="_Ref66873084"/>
      <w:r>
        <w:t xml:space="preserve">Table </w:t>
      </w:r>
      <w:fldSimple w:instr=" SEQ Table \* ARABIC ">
        <w:r w:rsidR="005F4D35">
          <w:rPr>
            <w:noProof/>
          </w:rPr>
          <w:t>16</w:t>
        </w:r>
      </w:fldSimple>
      <w:bookmarkEnd w:id="56"/>
      <w:r w:rsidR="00022BCB">
        <w:t xml:space="preserve">: </w:t>
      </w:r>
      <w:r w:rsidR="00216541">
        <w:t xml:space="preserve">Study MET49 </w:t>
      </w:r>
      <w:r w:rsidR="00022BCB">
        <w:t>C</w:t>
      </w:r>
      <w:r w:rsidR="00725E29" w:rsidRPr="00082FBF">
        <w:t xml:space="preserve">omparison of the </w:t>
      </w:r>
      <w:r w:rsidR="00187420" w:rsidRPr="00082FBF">
        <w:t xml:space="preserve">human serum bactericidal assay </w:t>
      </w:r>
      <w:r w:rsidR="00D65A89">
        <w:t>sero</w:t>
      </w:r>
      <w:r w:rsidR="00D65A89" w:rsidRPr="00082FBF">
        <w:t xml:space="preserve">protection </w:t>
      </w:r>
      <w:r w:rsidR="00725E29" w:rsidRPr="00082FBF">
        <w:t>r</w:t>
      </w:r>
      <w:r w:rsidR="00492141" w:rsidRPr="00082FBF">
        <w:t>ate (percentage of subjects ≥ 1/</w:t>
      </w:r>
      <w:r w:rsidR="00725E29" w:rsidRPr="00082FBF">
        <w:t>8) at D</w:t>
      </w:r>
      <w:r w:rsidR="006F7900" w:rsidRPr="00082FBF">
        <w:t xml:space="preserve">ay </w:t>
      </w:r>
      <w:r w:rsidR="00725E29" w:rsidRPr="00082FBF">
        <w:t xml:space="preserve">30 for </w:t>
      </w:r>
      <w:r w:rsidR="00D621BD" w:rsidRPr="00082FBF">
        <w:t xml:space="preserve">meningococcal polysaccharide serogroups A, C, Y and W </w:t>
      </w:r>
      <w:r w:rsidR="00725E29" w:rsidRPr="00082FBF">
        <w:t>conjugate vaccine versus meningococcal control vaccine subjects</w:t>
      </w:r>
    </w:p>
    <w:p w14:paraId="4F2FFB23" w14:textId="4191071F" w:rsidR="00B0359B" w:rsidRPr="00082FBF" w:rsidRDefault="00B0359B" w:rsidP="00CD4C75">
      <w:r w:rsidRPr="00082FBF">
        <w:rPr>
          <w:noProof/>
          <w:lang w:eastAsia="en-AU"/>
        </w:rPr>
        <w:drawing>
          <wp:inline distT="0" distB="0" distL="0" distR="0" wp14:anchorId="73CB1676" wp14:editId="0C9F2B75">
            <wp:extent cx="5400040" cy="3049905"/>
            <wp:effectExtent l="0" t="0" r="0" b="0"/>
            <wp:docPr id="44" name="Picture 44" descr="Comparison of the human serum bactericidal assay preprotection rate (percentage of subjects ≥ 1/8) at Day 30 for meningococcal polysaccharide serogroups A, C, Y, and W conjugate vaccine versus meningococcal control vaccin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3049905"/>
                    </a:xfrm>
                    <a:prstGeom prst="rect">
                      <a:avLst/>
                    </a:prstGeom>
                  </pic:spPr>
                </pic:pic>
              </a:graphicData>
            </a:graphic>
          </wp:inline>
        </w:drawing>
      </w:r>
    </w:p>
    <w:p w14:paraId="41E56323" w14:textId="043D2F59" w:rsidR="00725E29" w:rsidRPr="00082FBF" w:rsidRDefault="00725E29" w:rsidP="00CD4C75">
      <w:pPr>
        <w:pStyle w:val="TableDescription"/>
      </w:pPr>
      <w:r w:rsidRPr="00082FBF">
        <w:t xml:space="preserve">N: number of subjects in the </w:t>
      </w:r>
      <w:r w:rsidR="007A024A" w:rsidRPr="00082FBF">
        <w:t>PPAS</w:t>
      </w:r>
    </w:p>
    <w:p w14:paraId="18190EBB" w14:textId="77777777" w:rsidR="00725E29" w:rsidRPr="00082FBF" w:rsidRDefault="00725E29" w:rsidP="00CD4C75">
      <w:pPr>
        <w:pStyle w:val="TableDescription"/>
      </w:pPr>
      <w:r w:rsidRPr="00082FBF">
        <w:t>M: number of subjects with available data for the endpoint</w:t>
      </w:r>
    </w:p>
    <w:p w14:paraId="1456EDAF" w14:textId="34B84BF9" w:rsidR="00725E29" w:rsidRPr="00082FBF" w:rsidRDefault="00725E29" w:rsidP="00CD4C75">
      <w:pPr>
        <w:pStyle w:val="TableDescription"/>
      </w:pPr>
      <w:r w:rsidRPr="00082FBF">
        <w:t>n: number of subjects</w:t>
      </w:r>
      <w:r w:rsidR="008B1985" w:rsidRPr="00082FBF">
        <w:t xml:space="preserve"> who achieve an hS</w:t>
      </w:r>
      <w:r w:rsidR="00492141" w:rsidRPr="00082FBF">
        <w:t>BA titres ≥ 1/</w:t>
      </w:r>
      <w:r w:rsidRPr="00082FBF">
        <w:t>8 at D</w:t>
      </w:r>
      <w:r w:rsidR="006F7900" w:rsidRPr="00082FBF">
        <w:t xml:space="preserve">ay </w:t>
      </w:r>
      <w:r w:rsidRPr="00082FBF">
        <w:t xml:space="preserve">30 </w:t>
      </w:r>
    </w:p>
    <w:p w14:paraId="50AA302C" w14:textId="747BE874" w:rsidR="00A225A7" w:rsidRPr="00082FBF" w:rsidRDefault="00A225A7" w:rsidP="00A225A7">
      <w:r w:rsidRPr="00082FBF">
        <w:t>Thus seroprotective rates by age strata including ≥</w:t>
      </w:r>
      <w:r w:rsidR="000E5AC7" w:rsidRPr="00082FBF">
        <w:t xml:space="preserve"> </w:t>
      </w:r>
      <w:r w:rsidRPr="00082FBF">
        <w:t>77 years of age were consistent with the results in overall population of ≥</w:t>
      </w:r>
      <w:r w:rsidR="000E5AC7" w:rsidRPr="00082FBF">
        <w:t xml:space="preserve"> </w:t>
      </w:r>
      <w:r w:rsidRPr="00082FBF">
        <w:t xml:space="preserve">56 years of age population and continued to consistently show higher protective rates for MenQuadfi compared to </w:t>
      </w:r>
      <w:r w:rsidR="000E5AC7" w:rsidRPr="00082FBF">
        <w:t xml:space="preserve">Menomune </w:t>
      </w:r>
      <w:r w:rsidRPr="00082FBF">
        <w:t>in all serogroups.</w:t>
      </w:r>
    </w:p>
    <w:p w14:paraId="2C06F41C" w14:textId="118CA443" w:rsidR="00A225A7" w:rsidRPr="00082FBF" w:rsidRDefault="00A225A7" w:rsidP="00A225A7">
      <w:r w:rsidRPr="00082FBF">
        <w:t xml:space="preserve">The use of </w:t>
      </w:r>
      <w:r w:rsidR="000E5AC7" w:rsidRPr="00082FBF">
        <w:t xml:space="preserve">Menomune </w:t>
      </w:r>
      <w:r w:rsidRPr="00082FBF">
        <w:t>as comparator vaccine is considered acceptable in this age group.</w:t>
      </w:r>
    </w:p>
    <w:p w14:paraId="21CF8DC5" w14:textId="77777777" w:rsidR="00A225A7" w:rsidRPr="00082FBF" w:rsidRDefault="00A225A7" w:rsidP="00A225A7">
      <w:r w:rsidRPr="00082FBF">
        <w:t>The results study MET49 are considered acceptable.</w:t>
      </w:r>
    </w:p>
    <w:p w14:paraId="327E8FDD" w14:textId="2AD0E384" w:rsidR="00A225A7" w:rsidRPr="00082FBF" w:rsidRDefault="00C51256" w:rsidP="000E5AC7">
      <w:pPr>
        <w:pStyle w:val="Heading4"/>
      </w:pPr>
      <w:r w:rsidRPr="00082FBF">
        <w:t>Study MET56</w:t>
      </w:r>
      <w:r>
        <w:t xml:space="preserve"> </w:t>
      </w:r>
      <w:r w:rsidR="00CD01EC">
        <w:t>a</w:t>
      </w:r>
      <w:r w:rsidR="001C0DDF" w:rsidRPr="00082FBF">
        <w:t>dolescents and</w:t>
      </w:r>
      <w:r w:rsidR="00A225A7" w:rsidRPr="00082FBF">
        <w:t xml:space="preserve"> </w:t>
      </w:r>
      <w:r w:rsidR="000E5AC7" w:rsidRPr="00082FBF">
        <w:t>a</w:t>
      </w:r>
      <w:r w:rsidR="00A225A7" w:rsidRPr="00082FBF">
        <w:t>dults (≥ 15 years of age primed subjects)</w:t>
      </w:r>
    </w:p>
    <w:p w14:paraId="3C61EE32" w14:textId="1DCC0A7E" w:rsidR="00A225A7" w:rsidRPr="00082FBF" w:rsidRDefault="00A225A7" w:rsidP="00A225A7">
      <w:r w:rsidRPr="00082FBF">
        <w:t xml:space="preserve">This was </w:t>
      </w:r>
      <w:r w:rsidR="001C0DDF" w:rsidRPr="00082FBF">
        <w:t xml:space="preserve">a booster study in </w:t>
      </w:r>
      <w:r w:rsidR="000E5AC7" w:rsidRPr="00082FBF">
        <w:t xml:space="preserve">adolescents and adults </w:t>
      </w:r>
      <w:r w:rsidR="00227CA3" w:rsidRPr="00082FBF">
        <w:t>for MenQuadfi versus</w:t>
      </w:r>
      <w:r w:rsidRPr="00082FBF">
        <w:t xml:space="preserve"> </w:t>
      </w:r>
      <w:r w:rsidR="00D65A89">
        <w:t>M</w:t>
      </w:r>
      <w:r w:rsidR="00D65A89" w:rsidRPr="00082FBF">
        <w:t xml:space="preserve">enactra </w:t>
      </w:r>
      <w:r w:rsidR="000E5AC7" w:rsidRPr="00082FBF">
        <w:t xml:space="preserve">(that is, </w:t>
      </w:r>
      <w:r w:rsidRPr="00082FBF">
        <w:t>a population that had received a currently av</w:t>
      </w:r>
      <w:r w:rsidR="000E5AC7" w:rsidRPr="00082FBF">
        <w:t>ailable ACYW conjugate vaccine four to ten</w:t>
      </w:r>
      <w:r w:rsidRPr="00082FBF">
        <w:t xml:space="preserve"> years ago</w:t>
      </w:r>
      <w:r w:rsidR="000E5AC7" w:rsidRPr="00082FBF">
        <w:t>)</w:t>
      </w:r>
      <w:r w:rsidRPr="00082FBF">
        <w:t>.</w:t>
      </w:r>
    </w:p>
    <w:p w14:paraId="13FBD6FF" w14:textId="09D5A4D0" w:rsidR="00A225A7" w:rsidRPr="00082FBF" w:rsidRDefault="00A225A7" w:rsidP="00A225A7">
      <w:r w:rsidRPr="00082FBF">
        <w:t>The reported GMTs were as follows</w:t>
      </w:r>
      <w:r w:rsidR="008D5D45">
        <w:t xml:space="preserve"> in </w:t>
      </w:r>
      <w:r w:rsidR="003674DC">
        <w:fldChar w:fldCharType="begin"/>
      </w:r>
      <w:r w:rsidR="003674DC">
        <w:instrText xml:space="preserve"> REF _Ref66873116 \h </w:instrText>
      </w:r>
      <w:r w:rsidR="003674DC">
        <w:fldChar w:fldCharType="separate"/>
      </w:r>
      <w:r w:rsidR="005F4D35">
        <w:t xml:space="preserve">Table </w:t>
      </w:r>
      <w:r w:rsidR="005F4D35">
        <w:rPr>
          <w:noProof/>
        </w:rPr>
        <w:t>17</w:t>
      </w:r>
      <w:r w:rsidR="003674DC">
        <w:fldChar w:fldCharType="end"/>
      </w:r>
      <w:r w:rsidR="008D5D45">
        <w:t>.</w:t>
      </w:r>
    </w:p>
    <w:p w14:paraId="4573F14C" w14:textId="721D7049" w:rsidR="00725E29" w:rsidRPr="00082FBF" w:rsidRDefault="00CD01EC" w:rsidP="00CD01EC">
      <w:pPr>
        <w:pStyle w:val="TableTitle"/>
      </w:pPr>
      <w:bookmarkStart w:id="57" w:name="_Ref66873116"/>
      <w:r>
        <w:t xml:space="preserve">Table </w:t>
      </w:r>
      <w:fldSimple w:instr=" SEQ Table \* ARABIC ">
        <w:r w:rsidR="005F4D35">
          <w:rPr>
            <w:noProof/>
          </w:rPr>
          <w:t>17</w:t>
        </w:r>
      </w:fldSimple>
      <w:bookmarkEnd w:id="57"/>
      <w:r w:rsidR="00022BCB">
        <w:t>: Study MET56</w:t>
      </w:r>
      <w:r w:rsidR="00EC21FF" w:rsidRPr="00EC21FF">
        <w:t xml:space="preserve"> </w:t>
      </w:r>
      <w:r w:rsidR="00EC21FF">
        <w:t xml:space="preserve">Summary of </w:t>
      </w:r>
      <w:r w:rsidR="00EC21FF" w:rsidRPr="00EB1267">
        <w:t>the human serum bactericidal assay geometric mean titres against meningococcal serogroups A, C, Y and W</w:t>
      </w:r>
      <w:r w:rsidR="008D5D45">
        <w:t>,</w:t>
      </w:r>
      <w:r w:rsidR="00EC21FF" w:rsidRPr="00EB1267">
        <w:t xml:space="preserve"> </w:t>
      </w:r>
      <w:r w:rsidR="008D5D45">
        <w:t>in</w:t>
      </w:r>
      <w:r w:rsidR="00725E29" w:rsidRPr="00082FBF">
        <w:t xml:space="preserve"> primed adolescents and adults </w:t>
      </w:r>
      <w:r w:rsidR="008D5D45">
        <w:t>(</w:t>
      </w:r>
      <w:r w:rsidR="000E5AC7" w:rsidRPr="00082FBF">
        <w:t>per-protocol analysis set</w:t>
      </w:r>
      <w:r w:rsidR="008D5D45">
        <w:t>)</w:t>
      </w:r>
    </w:p>
    <w:p w14:paraId="0C25456F" w14:textId="5317E68E" w:rsidR="009C59CB" w:rsidRPr="00082FBF" w:rsidRDefault="009C59CB" w:rsidP="00CD4C75">
      <w:r w:rsidRPr="00082FBF">
        <w:rPr>
          <w:noProof/>
          <w:lang w:eastAsia="en-AU"/>
        </w:rPr>
        <w:drawing>
          <wp:inline distT="0" distB="0" distL="0" distR="0" wp14:anchorId="56F4A755" wp14:editId="41FA9849">
            <wp:extent cx="5400040" cy="1878330"/>
            <wp:effectExtent l="0" t="0" r="0" b="7620"/>
            <wp:docPr id="45" name="Picture 45" descr="Study MET56 summary of geometric means of hSBA titres – primed adolescents and adults – per-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1878330"/>
                    </a:xfrm>
                    <a:prstGeom prst="rect">
                      <a:avLst/>
                    </a:prstGeom>
                  </pic:spPr>
                </pic:pic>
              </a:graphicData>
            </a:graphic>
          </wp:inline>
        </w:drawing>
      </w:r>
    </w:p>
    <w:p w14:paraId="432B7895" w14:textId="575C9887" w:rsidR="00725E29" w:rsidRPr="00082FBF" w:rsidRDefault="00725E29" w:rsidP="00CD4C75">
      <w:pPr>
        <w:pStyle w:val="TableDescription"/>
      </w:pPr>
      <w:r w:rsidRPr="00082FBF">
        <w:t>M: number of subjects with valid serology results for the particular serogroup and time point</w:t>
      </w:r>
    </w:p>
    <w:p w14:paraId="2225B7E1" w14:textId="4353CD1B" w:rsidR="00725E29" w:rsidRPr="00082FBF" w:rsidRDefault="00725E29" w:rsidP="00CD4C75">
      <w:pPr>
        <w:pStyle w:val="TableDescription"/>
      </w:pPr>
      <w:r w:rsidRPr="00082FBF">
        <w:t>N: number of subjects in the PPAS</w:t>
      </w:r>
    </w:p>
    <w:p w14:paraId="5660AB8A" w14:textId="15DB782A" w:rsidR="00A225A7" w:rsidRPr="00082FBF" w:rsidRDefault="00A225A7" w:rsidP="00A225A7">
      <w:r w:rsidRPr="00082FBF">
        <w:t xml:space="preserve">The statistical comparison could not be located but indicated significantly higher immune response with MenQuadfi compared to </w:t>
      </w:r>
      <w:r w:rsidR="000E5AC7" w:rsidRPr="00082FBF">
        <w:t>Menactra</w:t>
      </w:r>
      <w:r w:rsidRPr="00082FBF">
        <w:t>.</w:t>
      </w:r>
    </w:p>
    <w:p w14:paraId="55A1A1F3" w14:textId="457AB17A" w:rsidR="00A225A7" w:rsidRPr="00082FBF" w:rsidRDefault="00A225A7" w:rsidP="00A225A7">
      <w:r w:rsidRPr="00082FBF">
        <w:t>The seroprotective rates (proportion ≥</w:t>
      </w:r>
      <w:r w:rsidR="000E5AC7" w:rsidRPr="00082FBF">
        <w:t xml:space="preserve"> </w:t>
      </w:r>
      <w:r w:rsidRPr="00082FBF">
        <w:t>1/8 hSBA) were as follows</w:t>
      </w:r>
      <w:r w:rsidR="008D5D45">
        <w:t xml:space="preserve"> in </w:t>
      </w:r>
      <w:r w:rsidR="00E04643">
        <w:fldChar w:fldCharType="begin"/>
      </w:r>
      <w:r w:rsidR="00E04643">
        <w:instrText xml:space="preserve"> REF _Ref66871089 \h </w:instrText>
      </w:r>
      <w:r w:rsidR="00E04643">
        <w:fldChar w:fldCharType="separate"/>
      </w:r>
      <w:r w:rsidR="005F4D35">
        <w:t xml:space="preserve">Table </w:t>
      </w:r>
      <w:r w:rsidR="005F4D35">
        <w:rPr>
          <w:noProof/>
        </w:rPr>
        <w:t>18</w:t>
      </w:r>
      <w:r w:rsidR="00E04643">
        <w:fldChar w:fldCharType="end"/>
      </w:r>
      <w:r w:rsidR="008D5D45">
        <w:t>.</w:t>
      </w:r>
    </w:p>
    <w:p w14:paraId="694F68AE" w14:textId="5A4EA23E" w:rsidR="002C3351" w:rsidRPr="00082FBF" w:rsidRDefault="00CD01EC" w:rsidP="00CD01EC">
      <w:pPr>
        <w:pStyle w:val="TableTitle"/>
      </w:pPr>
      <w:bookmarkStart w:id="58" w:name="_Ref66871089"/>
      <w:r>
        <w:t xml:space="preserve">Table </w:t>
      </w:r>
      <w:fldSimple w:instr=" SEQ Table \* ARABIC ">
        <w:r w:rsidR="005F4D35">
          <w:rPr>
            <w:noProof/>
          </w:rPr>
          <w:t>18</w:t>
        </w:r>
      </w:fldSimple>
      <w:bookmarkEnd w:id="58"/>
      <w:r w:rsidR="000E5AC7" w:rsidRPr="00082FBF">
        <w:t>: Study MET56</w:t>
      </w:r>
      <w:r w:rsidR="002C3351" w:rsidRPr="00082FBF">
        <w:t xml:space="preserve"> </w:t>
      </w:r>
      <w:r w:rsidR="008D5D45">
        <w:t>N</w:t>
      </w:r>
      <w:r w:rsidR="002C3351" w:rsidRPr="00082FBF">
        <w:t xml:space="preserve">umber and percentage of subjects with </w:t>
      </w:r>
      <w:r w:rsidR="00187420" w:rsidRPr="00082FBF">
        <w:t xml:space="preserve">human serum bactericidal assay </w:t>
      </w:r>
      <w:r w:rsidR="00492141" w:rsidRPr="00082FBF">
        <w:t>titre ≥ 1/</w:t>
      </w:r>
      <w:r w:rsidR="002C3351" w:rsidRPr="00082FBF">
        <w:t xml:space="preserve">8 </w:t>
      </w:r>
      <w:r w:rsidR="008D5D45">
        <w:t>in</w:t>
      </w:r>
      <w:r w:rsidR="002C3351" w:rsidRPr="00082FBF">
        <w:t xml:space="preserve"> primed adolescents and adults </w:t>
      </w:r>
      <w:r w:rsidR="008D5D45">
        <w:t>(</w:t>
      </w:r>
      <w:r w:rsidR="000E5AC7" w:rsidRPr="00082FBF">
        <w:t>per-protocol analysis set</w:t>
      </w:r>
      <w:r w:rsidR="008D5D45">
        <w:t>)</w:t>
      </w:r>
    </w:p>
    <w:p w14:paraId="3DA11E34" w14:textId="5958BBE1" w:rsidR="009C59CB" w:rsidRPr="00082FBF" w:rsidRDefault="009C59CB" w:rsidP="00CD4C75">
      <w:r w:rsidRPr="00082FBF">
        <w:rPr>
          <w:noProof/>
          <w:lang w:eastAsia="en-AU"/>
        </w:rPr>
        <w:drawing>
          <wp:inline distT="0" distB="0" distL="0" distR="0" wp14:anchorId="3C2C903D" wp14:editId="04B3D1F3">
            <wp:extent cx="5400040" cy="1892300"/>
            <wp:effectExtent l="0" t="0" r="0" b="0"/>
            <wp:docPr id="46" name="Picture 46" descr="Study MET56 number and percentage of subjects with human serum bactericidal assay titre ≥ 1/8 – primed adolescents and adults – per-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1892300"/>
                    </a:xfrm>
                    <a:prstGeom prst="rect">
                      <a:avLst/>
                    </a:prstGeom>
                  </pic:spPr>
                </pic:pic>
              </a:graphicData>
            </a:graphic>
          </wp:inline>
        </w:drawing>
      </w:r>
    </w:p>
    <w:p w14:paraId="6499D128" w14:textId="77777777" w:rsidR="002C3351" w:rsidRPr="00082FBF" w:rsidRDefault="002C3351" w:rsidP="00CD4C75">
      <w:pPr>
        <w:pStyle w:val="TableDescription"/>
      </w:pPr>
      <w:r w:rsidRPr="00082FBF">
        <w:t>M: number of subjects with valid serology results for the particular serogroup and time point</w:t>
      </w:r>
    </w:p>
    <w:p w14:paraId="7BF9CCDC" w14:textId="2836FB85" w:rsidR="002C3351" w:rsidRPr="00082FBF" w:rsidRDefault="002C3351" w:rsidP="00CD4C75">
      <w:pPr>
        <w:pStyle w:val="TableDescription"/>
      </w:pPr>
      <w:r w:rsidRPr="00082FBF">
        <w:t>N: number of subjects in the PPAS</w:t>
      </w:r>
    </w:p>
    <w:p w14:paraId="2D96D340" w14:textId="7901FAE9" w:rsidR="002C3351" w:rsidRPr="00082FBF" w:rsidRDefault="002C3351" w:rsidP="00CD4C75">
      <w:pPr>
        <w:pStyle w:val="TableDescription"/>
      </w:pPr>
      <w:r w:rsidRPr="00082FBF">
        <w:t>n: number of subjects experiencing the endpoint</w:t>
      </w:r>
      <w:r w:rsidR="000E5AC7" w:rsidRPr="00082FBF">
        <w:t xml:space="preserve"> listed in the first three</w:t>
      </w:r>
      <w:r w:rsidR="003F4C5B" w:rsidRPr="00082FBF">
        <w:t xml:space="preserve"> columns.</w:t>
      </w:r>
    </w:p>
    <w:p w14:paraId="7E5FC4B3" w14:textId="24A4992A" w:rsidR="00A225A7" w:rsidRPr="00082FBF" w:rsidRDefault="00A225A7" w:rsidP="00A225A7">
      <w:r w:rsidRPr="00082FBF">
        <w:t xml:space="preserve">The percentage </w:t>
      </w:r>
      <w:r w:rsidR="00EC21FF">
        <w:t>sero</w:t>
      </w:r>
      <w:r w:rsidRPr="00082FBF">
        <w:t>protective rates were simi</w:t>
      </w:r>
      <w:r w:rsidR="00227CA3" w:rsidRPr="00082FBF">
        <w:t>lar in both groups (MenQuadfi versus</w:t>
      </w:r>
      <w:r w:rsidRPr="00082FBF">
        <w:t xml:space="preserve"> </w:t>
      </w:r>
      <w:r w:rsidR="000E5AC7" w:rsidRPr="00082FBF">
        <w:t>Menactra</w:t>
      </w:r>
      <w:r w:rsidRPr="00082FBF">
        <w:t>)</w:t>
      </w:r>
      <w:r w:rsidR="008D5D45">
        <w:t xml:space="preserve">, as shown in </w:t>
      </w:r>
      <w:r w:rsidR="003674DC">
        <w:fldChar w:fldCharType="begin"/>
      </w:r>
      <w:r w:rsidR="003674DC">
        <w:instrText xml:space="preserve"> REF _Ref66873172 \h </w:instrText>
      </w:r>
      <w:r w:rsidR="003674DC">
        <w:fldChar w:fldCharType="separate"/>
      </w:r>
      <w:r w:rsidR="005F4D35" w:rsidRPr="00082FBF">
        <w:t xml:space="preserve">Figure </w:t>
      </w:r>
      <w:r w:rsidR="005F4D35">
        <w:rPr>
          <w:noProof/>
        </w:rPr>
        <w:t>6</w:t>
      </w:r>
      <w:r w:rsidR="003674DC">
        <w:fldChar w:fldCharType="end"/>
      </w:r>
      <w:r w:rsidR="008D5D45">
        <w:t>, below.</w:t>
      </w:r>
    </w:p>
    <w:p w14:paraId="0E5975D6" w14:textId="01D6AAE7" w:rsidR="002C3351" w:rsidRPr="00082FBF" w:rsidRDefault="002C3351" w:rsidP="00254DF9">
      <w:pPr>
        <w:pStyle w:val="FigureTitle"/>
      </w:pPr>
      <w:bookmarkStart w:id="59" w:name="_Ref66873172"/>
      <w:r w:rsidRPr="00082FBF">
        <w:t xml:space="preserve">Figure </w:t>
      </w:r>
      <w:fldSimple w:instr=" SEQ Figure \* ARABIC ">
        <w:r w:rsidR="005F4D35">
          <w:rPr>
            <w:noProof/>
          </w:rPr>
          <w:t>6</w:t>
        </w:r>
      </w:fldSimple>
      <w:bookmarkEnd w:id="59"/>
      <w:r w:rsidR="003F4C5B" w:rsidRPr="00082FBF">
        <w:t xml:space="preserve">: </w:t>
      </w:r>
      <w:r w:rsidR="000E5AC7" w:rsidRPr="00082FBF">
        <w:t>Study MET56</w:t>
      </w:r>
      <w:r w:rsidR="00EE1434">
        <w:t xml:space="preserve"> F</w:t>
      </w:r>
      <w:r w:rsidRPr="00082FBF">
        <w:t xml:space="preserve">orest plots of </w:t>
      </w:r>
      <w:r w:rsidR="00187420" w:rsidRPr="00082FBF">
        <w:t xml:space="preserve">human serum bactericidal assay </w:t>
      </w:r>
      <w:r w:rsidRPr="00082FBF">
        <w:t>vaccine immune response against meningococcal serogro</w:t>
      </w:r>
      <w:r w:rsidR="000E5AC7" w:rsidRPr="00082FBF">
        <w:t xml:space="preserve">ups A, C, Y and W and safety </w:t>
      </w:r>
      <w:r w:rsidR="008D5D45">
        <w:t>(</w:t>
      </w:r>
      <w:r w:rsidR="000E5AC7" w:rsidRPr="00082FBF">
        <w:t>m</w:t>
      </w:r>
      <w:r w:rsidRPr="00082FBF">
        <w:t>eningococcal vaccine</w:t>
      </w:r>
      <w:r w:rsidR="008D5D45">
        <w:t xml:space="preserve">, </w:t>
      </w:r>
      <w:r w:rsidRPr="00082FBF">
        <w:t>primed adolescents and adults</w:t>
      </w:r>
      <w:r w:rsidR="008D5D45">
        <w:t>)</w:t>
      </w:r>
    </w:p>
    <w:p w14:paraId="28AD63CA" w14:textId="20EA0690" w:rsidR="00254DF9" w:rsidRPr="00082FBF" w:rsidRDefault="00254DF9" w:rsidP="00CD4C75">
      <w:r w:rsidRPr="00082FBF">
        <w:rPr>
          <w:noProof/>
          <w:lang w:eastAsia="en-AU"/>
        </w:rPr>
        <w:drawing>
          <wp:inline distT="0" distB="0" distL="0" distR="0" wp14:anchorId="4D0A9003" wp14:editId="32CC2F5A">
            <wp:extent cx="5400040" cy="1228725"/>
            <wp:effectExtent l="19050" t="19050" r="10160" b="28575"/>
            <wp:docPr id="47" name="Picture 47" descr="Study MET56 forest plots of human serum bactericidal assay vaccine immune response against meningococcal serogroups A, C, Y and W and safety – meningococcal vaccine – primed adolescents and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1228725"/>
                    </a:xfrm>
                    <a:prstGeom prst="rect">
                      <a:avLst/>
                    </a:prstGeom>
                    <a:ln w="6350">
                      <a:solidFill>
                        <a:schemeClr val="tx1"/>
                      </a:solidFill>
                    </a:ln>
                  </pic:spPr>
                </pic:pic>
              </a:graphicData>
            </a:graphic>
          </wp:inline>
        </w:drawing>
      </w:r>
    </w:p>
    <w:p w14:paraId="1E1FC2AA" w14:textId="59C52AE4" w:rsidR="00A225A7" w:rsidRPr="00082FBF" w:rsidRDefault="00A225A7" w:rsidP="00A225A7">
      <w:r w:rsidRPr="00082FBF">
        <w:t xml:space="preserve">The results of </w:t>
      </w:r>
      <w:r w:rsidR="008D5D45">
        <w:t>S</w:t>
      </w:r>
      <w:r w:rsidRPr="00082FBF">
        <w:t xml:space="preserve">tudy MET56 are considered acceptable. A very high response to MenQuadfi booster compared to </w:t>
      </w:r>
      <w:r w:rsidR="000E5AC7" w:rsidRPr="00082FBF">
        <w:t xml:space="preserve">Menactra </w:t>
      </w:r>
      <w:r w:rsidRPr="00082FBF">
        <w:t>booster is noted.</w:t>
      </w:r>
    </w:p>
    <w:p w14:paraId="437BC61B" w14:textId="4E2B56EA" w:rsidR="00A225A7" w:rsidRPr="00082FBF" w:rsidRDefault="00A225A7" w:rsidP="000E5AC7">
      <w:pPr>
        <w:pStyle w:val="Heading4"/>
      </w:pPr>
      <w:r w:rsidRPr="00082FBF">
        <w:t>Safety</w:t>
      </w:r>
    </w:p>
    <w:p w14:paraId="7E6BC52F" w14:textId="3CEAFFE5" w:rsidR="00A225A7" w:rsidRPr="00082FBF" w:rsidRDefault="00A225A7" w:rsidP="00A225A7">
      <w:r w:rsidRPr="00082FBF">
        <w:t>The safety da</w:t>
      </w:r>
      <w:r w:rsidR="000E5AC7" w:rsidRPr="00082FBF">
        <w:t>tabase consists of 8</w:t>
      </w:r>
      <w:r w:rsidRPr="00082FBF">
        <w:t>407 participants comprising exposure to MenQuadfi (n</w:t>
      </w:r>
      <w:r w:rsidR="008D5D45">
        <w:t> </w:t>
      </w:r>
      <w:r w:rsidRPr="00082FBF">
        <w:t>=</w:t>
      </w:r>
      <w:r w:rsidR="008D5D45">
        <w:t> </w:t>
      </w:r>
      <w:r w:rsidRPr="00082FBF">
        <w:t xml:space="preserve">5417), </w:t>
      </w:r>
      <w:r w:rsidR="00492141" w:rsidRPr="00082FBF">
        <w:t xml:space="preserve">Menactra </w:t>
      </w:r>
      <w:r w:rsidRPr="00082FBF">
        <w:t>(n</w:t>
      </w:r>
      <w:r w:rsidR="000E5AC7" w:rsidRPr="00082FBF">
        <w:t xml:space="preserve"> </w:t>
      </w:r>
      <w:r w:rsidRPr="00082FBF">
        <w:t>=</w:t>
      </w:r>
      <w:r w:rsidR="000E5AC7" w:rsidRPr="00082FBF">
        <w:t xml:space="preserve"> </w:t>
      </w:r>
      <w:r w:rsidRPr="00082FBF">
        <w:t xml:space="preserve">1042), </w:t>
      </w:r>
      <w:r w:rsidR="00492141" w:rsidRPr="00082FBF">
        <w:t xml:space="preserve">Menveo </w:t>
      </w:r>
      <w:r w:rsidRPr="00082FBF">
        <w:t>(n</w:t>
      </w:r>
      <w:r w:rsidR="000E5AC7" w:rsidRPr="00082FBF">
        <w:t xml:space="preserve"> </w:t>
      </w:r>
      <w:r w:rsidRPr="00082FBF">
        <w:t>=</w:t>
      </w:r>
      <w:r w:rsidR="000E5AC7" w:rsidRPr="00082FBF">
        <w:t xml:space="preserve"> </w:t>
      </w:r>
      <w:r w:rsidRPr="00082FBF">
        <w:t xml:space="preserve">995), </w:t>
      </w:r>
      <w:r w:rsidR="00492141" w:rsidRPr="00082FBF">
        <w:t xml:space="preserve">Menomune </w:t>
      </w:r>
      <w:r w:rsidRPr="00082FBF">
        <w:t>(n</w:t>
      </w:r>
      <w:r w:rsidR="000E5AC7" w:rsidRPr="00082FBF">
        <w:t xml:space="preserve"> </w:t>
      </w:r>
      <w:r w:rsidRPr="00082FBF">
        <w:t>=</w:t>
      </w:r>
      <w:r w:rsidR="000E5AC7" w:rsidRPr="00082FBF">
        <w:t xml:space="preserve"> </w:t>
      </w:r>
      <w:r w:rsidRPr="00082FBF">
        <w:t xml:space="preserve">553) and </w:t>
      </w:r>
      <w:r w:rsidR="00492141" w:rsidRPr="00082FBF">
        <w:t xml:space="preserve">Nimenrix </w:t>
      </w:r>
      <w:r w:rsidRPr="00082FBF">
        <w:t>(n</w:t>
      </w:r>
      <w:r w:rsidR="000E5AC7" w:rsidRPr="00082FBF">
        <w:t xml:space="preserve"> </w:t>
      </w:r>
      <w:r w:rsidRPr="00082FBF">
        <w:t>=</w:t>
      </w:r>
      <w:r w:rsidR="000E5AC7" w:rsidRPr="00082FBF">
        <w:t xml:space="preserve"> </w:t>
      </w:r>
      <w:r w:rsidRPr="00082FBF">
        <w:t>400)</w:t>
      </w:r>
      <w:r w:rsidR="008D5D45">
        <w:t xml:space="preserve">. The proportions of subjects experience at least one serious adverse event (SAE) are shown in </w:t>
      </w:r>
      <w:r w:rsidR="003674DC">
        <w:fldChar w:fldCharType="begin"/>
      </w:r>
      <w:r w:rsidR="003674DC">
        <w:instrText xml:space="preserve"> REF _Ref66873223 \h </w:instrText>
      </w:r>
      <w:r w:rsidR="003674DC">
        <w:fldChar w:fldCharType="separate"/>
      </w:r>
      <w:r w:rsidR="005F4D35">
        <w:t xml:space="preserve">Table </w:t>
      </w:r>
      <w:r w:rsidR="005F4D35">
        <w:rPr>
          <w:noProof/>
        </w:rPr>
        <w:t>19</w:t>
      </w:r>
      <w:r w:rsidR="003674DC">
        <w:fldChar w:fldCharType="end"/>
      </w:r>
      <w:r w:rsidR="008D5D45">
        <w:t>, below.</w:t>
      </w:r>
    </w:p>
    <w:p w14:paraId="4D3DD070" w14:textId="011EB164" w:rsidR="00E67351" w:rsidRPr="00082FBF" w:rsidRDefault="00CD01EC" w:rsidP="00CD01EC">
      <w:pPr>
        <w:pStyle w:val="TableTitle"/>
      </w:pPr>
      <w:bookmarkStart w:id="60" w:name="_Ref66873223"/>
      <w:r>
        <w:t xml:space="preserve">Table </w:t>
      </w:r>
      <w:fldSimple w:instr=" SEQ Table \* ARABIC ">
        <w:r w:rsidR="005F4D35">
          <w:rPr>
            <w:noProof/>
          </w:rPr>
          <w:t>19</w:t>
        </w:r>
      </w:fldSimple>
      <w:bookmarkEnd w:id="60"/>
      <w:r w:rsidR="00E67351" w:rsidRPr="00082FBF">
        <w:t>: Safety overview</w:t>
      </w:r>
      <w:r w:rsidR="008D5D45">
        <w:t>, subjects experiencing at least one serious adverse event</w:t>
      </w:r>
      <w:r w:rsidR="00E67351" w:rsidRPr="00082FBF">
        <w:t xml:space="preserve"> after vaccine injection</w:t>
      </w:r>
    </w:p>
    <w:p w14:paraId="3C7995A0" w14:textId="73FB0082" w:rsidR="00254DF9" w:rsidRPr="00082FBF" w:rsidRDefault="00254DF9" w:rsidP="00CD4C75">
      <w:r w:rsidRPr="00082FBF">
        <w:rPr>
          <w:noProof/>
          <w:lang w:eastAsia="en-AU"/>
        </w:rPr>
        <w:drawing>
          <wp:inline distT="0" distB="0" distL="0" distR="0" wp14:anchorId="7F4F7B93" wp14:editId="569039C2">
            <wp:extent cx="5400040" cy="613410"/>
            <wp:effectExtent l="0" t="0" r="0" b="0"/>
            <wp:docPr id="1" name="Picture 1" descr="Safety overview after vaccine inj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613410"/>
                    </a:xfrm>
                    <a:prstGeom prst="rect">
                      <a:avLst/>
                    </a:prstGeom>
                  </pic:spPr>
                </pic:pic>
              </a:graphicData>
            </a:graphic>
          </wp:inline>
        </w:drawing>
      </w:r>
    </w:p>
    <w:p w14:paraId="00F4E7AB" w14:textId="118E9560" w:rsidR="00E67351" w:rsidRPr="00082FBF" w:rsidRDefault="00E67351" w:rsidP="008D3CC5">
      <w:pPr>
        <w:pStyle w:val="TableDescription"/>
      </w:pPr>
      <w:r w:rsidRPr="00082FBF">
        <w:t>*MenACYW conjugate vaccine group only includes the subjects who received MenACYW conjugate vaccine alone at Visit 01, and excludes the</w:t>
      </w:r>
      <w:r w:rsidR="000E5AC7" w:rsidRPr="00082FBF">
        <w:t xml:space="preserve"> subjects who received MenACYW plus</w:t>
      </w:r>
      <w:r w:rsidRPr="00082FBF">
        <w:t xml:space="preserve"> Concomitant vaccines at Visit 01.</w:t>
      </w:r>
    </w:p>
    <w:p w14:paraId="4E683B73" w14:textId="75C40291" w:rsidR="00E67351" w:rsidRPr="00082FBF" w:rsidRDefault="0093798E" w:rsidP="008D3CC5">
      <w:pPr>
        <w:pStyle w:val="TableDescription"/>
      </w:pPr>
      <w:r w:rsidRPr="00082FBF">
        <w:t>Meningococcal C</w:t>
      </w:r>
      <w:r w:rsidR="000E5AC7" w:rsidRPr="00082FBF">
        <w:t xml:space="preserve"> </w:t>
      </w:r>
      <w:r w:rsidR="00E67351" w:rsidRPr="00082FBF">
        <w:t xml:space="preserve">primed subjects from </w:t>
      </w:r>
      <w:r w:rsidR="008D5D45">
        <w:t xml:space="preserve">Study </w:t>
      </w:r>
      <w:r w:rsidR="00E67351" w:rsidRPr="00082FBF">
        <w:t xml:space="preserve">MET51 were excluded from the pooled safety analysis; </w:t>
      </w:r>
      <w:r w:rsidR="00795C9E" w:rsidRPr="00082FBF">
        <w:t>meningococcal conjugate vaccines (</w:t>
      </w:r>
      <w:r w:rsidR="00E67351" w:rsidRPr="00082FBF">
        <w:t>MCV</w:t>
      </w:r>
      <w:r w:rsidR="00795C9E" w:rsidRPr="00082FBF">
        <w:t xml:space="preserve">) 4 </w:t>
      </w:r>
      <w:r w:rsidR="00E67351" w:rsidRPr="00082FBF">
        <w:t xml:space="preserve">primed subjects from </w:t>
      </w:r>
      <w:r w:rsidR="008D5D45">
        <w:t xml:space="preserve">Study </w:t>
      </w:r>
      <w:r w:rsidR="00E67351" w:rsidRPr="00082FBF">
        <w:t>MET56 were included in the pooled safety analysis</w:t>
      </w:r>
    </w:p>
    <w:p w14:paraId="0FBD8AB1" w14:textId="49B2AC29" w:rsidR="00E67351" w:rsidRPr="00082FBF" w:rsidRDefault="00E67351" w:rsidP="008D3CC5">
      <w:pPr>
        <w:pStyle w:val="TableDescription"/>
      </w:pPr>
      <w:r w:rsidRPr="00082FBF">
        <w:t xml:space="preserve">Contributing studies: </w:t>
      </w:r>
      <w:r w:rsidR="008D5D45">
        <w:t xml:space="preserve">Studies </w:t>
      </w:r>
      <w:r w:rsidRPr="00082FBF">
        <w:t>MET35, MET43, MET44, MET49, MET50, MET51, MET54, MET56, and MET57</w:t>
      </w:r>
    </w:p>
    <w:p w14:paraId="077891F1" w14:textId="3D64BF21" w:rsidR="00A225A7" w:rsidRPr="00082FBF" w:rsidRDefault="00A225A7" w:rsidP="00A225A7">
      <w:r w:rsidRPr="00082FBF">
        <w:t xml:space="preserve">The overall adverse </w:t>
      </w:r>
      <w:r w:rsidR="00795C9E" w:rsidRPr="00082FBF">
        <w:t>events</w:t>
      </w:r>
      <w:r w:rsidRPr="00082FBF">
        <w:t xml:space="preserve"> (AE) of MenQuadfi was similar to the current quadrivalent comparators.</w:t>
      </w:r>
    </w:p>
    <w:p w14:paraId="37837363" w14:textId="4158EB8C" w:rsidR="00A225A7" w:rsidRPr="00082FBF" w:rsidRDefault="00795C9E" w:rsidP="00A225A7">
      <w:r w:rsidRPr="00082FBF">
        <w:t xml:space="preserve">The incidence of the </w:t>
      </w:r>
      <w:r w:rsidR="00A225A7" w:rsidRPr="00082FBF">
        <w:t xml:space="preserve">SAEs in the total safety dataset was MenQuadfi (1.2%), </w:t>
      </w:r>
      <w:r w:rsidR="00492141" w:rsidRPr="00082FBF">
        <w:t xml:space="preserve">Menactra </w:t>
      </w:r>
      <w:r w:rsidR="00A225A7" w:rsidRPr="00082FBF">
        <w:t xml:space="preserve">(0.9%), </w:t>
      </w:r>
      <w:r w:rsidR="00492141" w:rsidRPr="00082FBF">
        <w:t xml:space="preserve">Menveo </w:t>
      </w:r>
      <w:r w:rsidR="00A225A7" w:rsidRPr="00082FBF">
        <w:t xml:space="preserve">(0.7%), </w:t>
      </w:r>
      <w:r w:rsidR="00492141" w:rsidRPr="00082FBF">
        <w:t xml:space="preserve">Menomune </w:t>
      </w:r>
      <w:r w:rsidR="00A225A7" w:rsidRPr="00082FBF">
        <w:t xml:space="preserve">(2.7%) and </w:t>
      </w:r>
      <w:r w:rsidR="00492141" w:rsidRPr="00082FBF">
        <w:t xml:space="preserve">Nimenrix </w:t>
      </w:r>
      <w:r w:rsidR="00A225A7" w:rsidRPr="00082FBF">
        <w:t>(0.3%).</w:t>
      </w:r>
    </w:p>
    <w:p w14:paraId="48EE7694" w14:textId="714BA548" w:rsidR="00A225A7" w:rsidRPr="00082FBF" w:rsidRDefault="00A225A7" w:rsidP="00A225A7">
      <w:r w:rsidRPr="00082FBF">
        <w:t>Consideration of local and systemic reactogenicity, particularly in toddlers and children, is of regulatory interest. The reported rates in toddlers and children (integrated data from the relevant age pools) are reproduced below for reference and did not generally indicate higher occurrences in MenQuadfi group compared to the comparator ACYW vaccines</w:t>
      </w:r>
      <w:r w:rsidR="0037671E">
        <w:t xml:space="preserve">. Data for this is shown in </w:t>
      </w:r>
      <w:r w:rsidR="003674DC">
        <w:fldChar w:fldCharType="begin"/>
      </w:r>
      <w:r w:rsidR="003674DC">
        <w:instrText xml:space="preserve"> REF _Ref66873252 \h </w:instrText>
      </w:r>
      <w:r w:rsidR="003674DC">
        <w:fldChar w:fldCharType="separate"/>
      </w:r>
      <w:r w:rsidR="005F4D35">
        <w:t xml:space="preserve">Table </w:t>
      </w:r>
      <w:r w:rsidR="005F4D35">
        <w:rPr>
          <w:noProof/>
        </w:rPr>
        <w:t>20</w:t>
      </w:r>
      <w:r w:rsidR="003674DC">
        <w:fldChar w:fldCharType="end"/>
      </w:r>
      <w:r w:rsidR="0037671E">
        <w:t>, below.</w:t>
      </w:r>
    </w:p>
    <w:p w14:paraId="46E62D51" w14:textId="011CD6CB" w:rsidR="003A49B5" w:rsidRPr="00AB651B" w:rsidRDefault="00AB651B" w:rsidP="00AB651B">
      <w:pPr>
        <w:pStyle w:val="TableTitle"/>
      </w:pPr>
      <w:bookmarkStart w:id="61" w:name="_Ref66873252"/>
      <w:r>
        <w:t xml:space="preserve">Table </w:t>
      </w:r>
      <w:fldSimple w:instr=" SEQ Table \* ARABIC ">
        <w:r w:rsidR="005F4D35">
          <w:rPr>
            <w:noProof/>
          </w:rPr>
          <w:t>20</w:t>
        </w:r>
      </w:fldSimple>
      <w:bookmarkEnd w:id="61"/>
      <w:r w:rsidR="00E67351" w:rsidRPr="00AB651B">
        <w:t xml:space="preserve">: </w:t>
      </w:r>
      <w:r w:rsidR="0037671E">
        <w:t>Studies MET51 and MET54 Solicited injection site reactions in toddlers (safety analysis set)</w:t>
      </w:r>
    </w:p>
    <w:p w14:paraId="52C5D8DC" w14:textId="11D89BA6" w:rsidR="003A49B5" w:rsidRPr="00082FBF" w:rsidRDefault="003A49B5" w:rsidP="008D3CC5">
      <w:r w:rsidRPr="00082FBF">
        <w:rPr>
          <w:noProof/>
          <w:lang w:eastAsia="en-AU"/>
        </w:rPr>
        <w:drawing>
          <wp:inline distT="0" distB="0" distL="0" distR="0" wp14:anchorId="31C84204" wp14:editId="412BB421">
            <wp:extent cx="5400040" cy="1960880"/>
            <wp:effectExtent l="0" t="0" r="0" b="1270"/>
            <wp:docPr id="48" name="Picture 48" descr="Table 20: Studies MET51 and MET54 Solicited injection site reactions in toddler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1960880"/>
                    </a:xfrm>
                    <a:prstGeom prst="rect">
                      <a:avLst/>
                    </a:prstGeom>
                  </pic:spPr>
                </pic:pic>
              </a:graphicData>
            </a:graphic>
          </wp:inline>
        </w:drawing>
      </w:r>
    </w:p>
    <w:p w14:paraId="111A3CB5" w14:textId="3847EAE8" w:rsidR="003A49B5" w:rsidRPr="00082FBF" w:rsidRDefault="00AB651B" w:rsidP="00AB651B">
      <w:pPr>
        <w:pStyle w:val="TableTitle"/>
      </w:pPr>
      <w:r>
        <w:t xml:space="preserve">Table </w:t>
      </w:r>
      <w:fldSimple w:instr=" SEQ Table \* ARABIC ">
        <w:r w:rsidR="005F4D35">
          <w:rPr>
            <w:noProof/>
          </w:rPr>
          <w:t>21</w:t>
        </w:r>
      </w:fldSimple>
      <w:r w:rsidRPr="00AB651B">
        <w:t xml:space="preserve">: </w:t>
      </w:r>
      <w:r w:rsidR="0037671E">
        <w:t>Studies MET51 and MET54 Solicited systemic reactions in toddlers (safety analysis set)</w:t>
      </w:r>
    </w:p>
    <w:p w14:paraId="33F9F255" w14:textId="78AE95DA" w:rsidR="003A49B5" w:rsidRPr="00082FBF" w:rsidRDefault="003A49B5" w:rsidP="008D3CC5">
      <w:r w:rsidRPr="00082FBF">
        <w:rPr>
          <w:noProof/>
          <w:lang w:eastAsia="en-AU"/>
        </w:rPr>
        <w:drawing>
          <wp:inline distT="0" distB="0" distL="0" distR="0" wp14:anchorId="5CB7B7DE" wp14:editId="05B1F6F3">
            <wp:extent cx="5400040" cy="2988310"/>
            <wp:effectExtent l="0" t="0" r="0" b="2540"/>
            <wp:docPr id="51" name="Picture 51" descr="Table 21: Studies MET51 and MET54 Solicited systemic reactions in toddler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2988310"/>
                    </a:xfrm>
                    <a:prstGeom prst="rect">
                      <a:avLst/>
                    </a:prstGeom>
                  </pic:spPr>
                </pic:pic>
              </a:graphicData>
            </a:graphic>
          </wp:inline>
        </w:drawing>
      </w:r>
    </w:p>
    <w:p w14:paraId="6221A0EA" w14:textId="676DEBA6" w:rsidR="003A49B5" w:rsidRPr="00AB651B" w:rsidRDefault="00AB651B" w:rsidP="00AB651B">
      <w:pPr>
        <w:pStyle w:val="TableTitle"/>
      </w:pPr>
      <w:r w:rsidRPr="00AB651B">
        <w:t xml:space="preserve">Table </w:t>
      </w:r>
      <w:fldSimple w:instr=" SEQ Table \* ARABIC ">
        <w:r w:rsidR="005F4D35">
          <w:rPr>
            <w:noProof/>
          </w:rPr>
          <w:t>22</w:t>
        </w:r>
      </w:fldSimple>
      <w:r w:rsidR="0023399B" w:rsidRPr="00AB651B">
        <w:t>: Study MET35</w:t>
      </w:r>
      <w:r w:rsidR="0037671E">
        <w:t xml:space="preserve"> I</w:t>
      </w:r>
      <w:r w:rsidR="0037671E" w:rsidRPr="00AB651B">
        <w:t>njection site reactions</w:t>
      </w:r>
      <w:r w:rsidR="0037671E">
        <w:t xml:space="preserve"> in</w:t>
      </w:r>
      <w:r w:rsidR="0023399B" w:rsidRPr="00AB651B">
        <w:t xml:space="preserve"> children </w:t>
      </w:r>
      <w:r w:rsidR="0037671E">
        <w:t>(</w:t>
      </w:r>
      <w:r w:rsidR="0023399B" w:rsidRPr="00AB651B">
        <w:t>safety analysis set</w:t>
      </w:r>
      <w:r w:rsidR="0037671E">
        <w:t>)</w:t>
      </w:r>
    </w:p>
    <w:p w14:paraId="4AF49FD7" w14:textId="6FFFD76B" w:rsidR="0037671E" w:rsidRPr="00082FBF" w:rsidRDefault="003A49B5" w:rsidP="008D3CC5">
      <w:r w:rsidRPr="00082FBF">
        <w:rPr>
          <w:noProof/>
          <w:lang w:eastAsia="en-AU"/>
        </w:rPr>
        <w:drawing>
          <wp:inline distT="0" distB="0" distL="0" distR="0" wp14:anchorId="3EA554EB" wp14:editId="02478C4D">
            <wp:extent cx="5400040" cy="2105025"/>
            <wp:effectExtent l="0" t="0" r="0" b="9525"/>
            <wp:docPr id="52" name="Picture 52" descr="Table 22: Study MET35 Injection site reactions in childre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2105025"/>
                    </a:xfrm>
                    <a:prstGeom prst="rect">
                      <a:avLst/>
                    </a:prstGeom>
                  </pic:spPr>
                </pic:pic>
              </a:graphicData>
            </a:graphic>
          </wp:inline>
        </w:drawing>
      </w:r>
    </w:p>
    <w:p w14:paraId="32CF9807" w14:textId="15948813" w:rsidR="003A49B5" w:rsidRPr="00082FBF" w:rsidRDefault="00AB651B" w:rsidP="00AB651B">
      <w:pPr>
        <w:pStyle w:val="TableTitle"/>
      </w:pPr>
      <w:r>
        <w:t xml:space="preserve">Table </w:t>
      </w:r>
      <w:fldSimple w:instr=" SEQ Table \* ARABIC ">
        <w:r w:rsidR="005F4D35">
          <w:rPr>
            <w:noProof/>
          </w:rPr>
          <w:t>23</w:t>
        </w:r>
      </w:fldSimple>
      <w:r w:rsidRPr="00AB651B">
        <w:t>: Study MET35</w:t>
      </w:r>
      <w:r w:rsidR="0037671E">
        <w:t xml:space="preserve"> S</w:t>
      </w:r>
      <w:r w:rsidR="0037671E" w:rsidRPr="00082FBF">
        <w:t>olicited systemic reactions</w:t>
      </w:r>
      <w:r w:rsidR="0037671E">
        <w:t xml:space="preserve"> in </w:t>
      </w:r>
      <w:r w:rsidRPr="00AB651B">
        <w:t xml:space="preserve">children </w:t>
      </w:r>
      <w:r w:rsidR="0037671E">
        <w:t>(</w:t>
      </w:r>
      <w:r w:rsidRPr="00AB651B">
        <w:t>safety analysis set</w:t>
      </w:r>
      <w:r w:rsidR="0037671E">
        <w:t>)</w:t>
      </w:r>
    </w:p>
    <w:p w14:paraId="243DACF1" w14:textId="6B74A5E5" w:rsidR="003A49B5" w:rsidRPr="00082FBF" w:rsidRDefault="003A49B5" w:rsidP="008D3CC5">
      <w:pPr>
        <w:rPr>
          <w:sz w:val="18"/>
        </w:rPr>
      </w:pPr>
      <w:r w:rsidRPr="00082FBF">
        <w:rPr>
          <w:noProof/>
          <w:lang w:eastAsia="en-AU"/>
        </w:rPr>
        <w:drawing>
          <wp:inline distT="0" distB="0" distL="0" distR="0" wp14:anchorId="750D452A" wp14:editId="2B213CF8">
            <wp:extent cx="5400040" cy="2437765"/>
            <wp:effectExtent l="0" t="0" r="0" b="635"/>
            <wp:docPr id="53" name="Picture 53" descr="Table 23: Study MET35 Solicited systemic reactions in childre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2437765"/>
                    </a:xfrm>
                    <a:prstGeom prst="rect">
                      <a:avLst/>
                    </a:prstGeom>
                  </pic:spPr>
                </pic:pic>
              </a:graphicData>
            </a:graphic>
          </wp:inline>
        </w:drawing>
      </w:r>
    </w:p>
    <w:p w14:paraId="05A4ACF3" w14:textId="394A5331" w:rsidR="00A225A7" w:rsidRPr="00AB651B" w:rsidRDefault="00AB651B" w:rsidP="00AB651B">
      <w:pPr>
        <w:pStyle w:val="TableTitle"/>
      </w:pPr>
      <w:r>
        <w:t xml:space="preserve">Table </w:t>
      </w:r>
      <w:fldSimple w:instr=" SEQ Table \* ARABIC ">
        <w:r w:rsidR="005F4D35">
          <w:rPr>
            <w:noProof/>
          </w:rPr>
          <w:t>24</w:t>
        </w:r>
      </w:fldSimple>
      <w:r w:rsidRPr="00AB651B">
        <w:t>: Study MET35</w:t>
      </w:r>
      <w:r w:rsidR="0037671E">
        <w:t xml:space="preserve"> S</w:t>
      </w:r>
      <w:r w:rsidR="0037671E" w:rsidRPr="00AB651B">
        <w:t>olicited injection site reactions after meningococcal vaccine</w:t>
      </w:r>
      <w:r w:rsidR="0037671E">
        <w:t xml:space="preserve"> in</w:t>
      </w:r>
      <w:r w:rsidRPr="00AB651B">
        <w:t xml:space="preserve"> children </w:t>
      </w:r>
      <w:r w:rsidR="0037671E">
        <w:t>(</w:t>
      </w:r>
      <w:r w:rsidRPr="00AB651B">
        <w:t>safety analysis set</w:t>
      </w:r>
      <w:r w:rsidR="0037671E">
        <w:t>)</w:t>
      </w:r>
      <w:r w:rsidRPr="00AB651B">
        <w:t xml:space="preserve"> </w:t>
      </w:r>
    </w:p>
    <w:p w14:paraId="12B986EB" w14:textId="3DA5B7DC" w:rsidR="003A49B5" w:rsidRPr="00082FBF" w:rsidRDefault="003A49B5" w:rsidP="003A49B5">
      <w:pPr>
        <w:jc w:val="center"/>
        <w:rPr>
          <w:b/>
          <w:sz w:val="18"/>
        </w:rPr>
      </w:pPr>
      <w:r w:rsidRPr="00082FBF">
        <w:rPr>
          <w:noProof/>
          <w:lang w:eastAsia="en-AU"/>
        </w:rPr>
        <w:drawing>
          <wp:inline distT="0" distB="0" distL="0" distR="0" wp14:anchorId="198B377C" wp14:editId="5550DB63">
            <wp:extent cx="5400040" cy="1971675"/>
            <wp:effectExtent l="0" t="0" r="0" b="9525"/>
            <wp:docPr id="54" name="Picture 54" descr="Table 24: Study MET35 Solicited injection site reactions after meningococcal vaccine in childre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1971675"/>
                    </a:xfrm>
                    <a:prstGeom prst="rect">
                      <a:avLst/>
                    </a:prstGeom>
                  </pic:spPr>
                </pic:pic>
              </a:graphicData>
            </a:graphic>
          </wp:inline>
        </w:drawing>
      </w:r>
    </w:p>
    <w:p w14:paraId="198B8D2B" w14:textId="0475DAD3" w:rsidR="00A225A7" w:rsidRPr="00082FBF" w:rsidRDefault="00AB651B" w:rsidP="00AB651B">
      <w:pPr>
        <w:pStyle w:val="TableTitle"/>
      </w:pPr>
      <w:r>
        <w:t xml:space="preserve">Table </w:t>
      </w:r>
      <w:fldSimple w:instr=" SEQ Table \* ARABIC ">
        <w:r w:rsidR="005F4D35">
          <w:rPr>
            <w:noProof/>
          </w:rPr>
          <w:t>25</w:t>
        </w:r>
      </w:fldSimple>
      <w:r w:rsidRPr="00AB651B">
        <w:t>: Study MET35</w:t>
      </w:r>
      <w:r w:rsidR="0037671E">
        <w:t xml:space="preserve"> Solicited systemic reactions in</w:t>
      </w:r>
      <w:r w:rsidRPr="00AB651B">
        <w:t xml:space="preserve"> children </w:t>
      </w:r>
      <w:r w:rsidR="0037671E">
        <w:t>(</w:t>
      </w:r>
      <w:r w:rsidRPr="00AB651B">
        <w:t>safety analysis set</w:t>
      </w:r>
      <w:r w:rsidR="0037671E">
        <w:t>)</w:t>
      </w:r>
    </w:p>
    <w:p w14:paraId="53325CD8" w14:textId="52E10331" w:rsidR="003A49B5" w:rsidRPr="00082FBF" w:rsidRDefault="003A49B5" w:rsidP="003A49B5">
      <w:pPr>
        <w:jc w:val="center"/>
        <w:rPr>
          <w:b/>
          <w:sz w:val="18"/>
        </w:rPr>
      </w:pPr>
      <w:r w:rsidRPr="00082FBF">
        <w:rPr>
          <w:noProof/>
          <w:lang w:eastAsia="en-AU"/>
        </w:rPr>
        <w:drawing>
          <wp:inline distT="0" distB="0" distL="0" distR="0" wp14:anchorId="1D4445A5" wp14:editId="7B8137C3">
            <wp:extent cx="5400040" cy="2432050"/>
            <wp:effectExtent l="0" t="0" r="0" b="6350"/>
            <wp:docPr id="55" name="Picture 55" descr="Table 25: Study MET35 Solicited systemic reactions in childre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2432050"/>
                    </a:xfrm>
                    <a:prstGeom prst="rect">
                      <a:avLst/>
                    </a:prstGeom>
                  </pic:spPr>
                </pic:pic>
              </a:graphicData>
            </a:graphic>
          </wp:inline>
        </w:drawing>
      </w:r>
    </w:p>
    <w:p w14:paraId="7D3C2645" w14:textId="01FAF7D2" w:rsidR="00A225A7" w:rsidRPr="0037671E" w:rsidRDefault="00A225A7" w:rsidP="0037671E">
      <w:r w:rsidRPr="0037671E">
        <w:t>The reported rates in toddlers and children were also generally similar to the rates reports in adolescents and adults. The incidence of solicited systemic effects in overall elderly population (≥</w:t>
      </w:r>
      <w:r w:rsidR="00795C9E" w:rsidRPr="0037671E">
        <w:t xml:space="preserve"> </w:t>
      </w:r>
      <w:r w:rsidRPr="0037671E">
        <w:t>56 years of age) was as follows</w:t>
      </w:r>
      <w:r w:rsidR="0037671E">
        <w:t xml:space="preserve"> in </w:t>
      </w:r>
      <w:r w:rsidR="003674DC">
        <w:fldChar w:fldCharType="begin"/>
      </w:r>
      <w:r w:rsidR="003674DC">
        <w:instrText xml:space="preserve"> REF _Ref66873286 \h </w:instrText>
      </w:r>
      <w:r w:rsidR="003674DC">
        <w:fldChar w:fldCharType="separate"/>
      </w:r>
      <w:r w:rsidR="005F4D35">
        <w:t xml:space="preserve">Table </w:t>
      </w:r>
      <w:r w:rsidR="005F4D35">
        <w:rPr>
          <w:noProof/>
        </w:rPr>
        <w:t>26</w:t>
      </w:r>
      <w:r w:rsidR="003674DC">
        <w:fldChar w:fldCharType="end"/>
      </w:r>
      <w:r w:rsidR="0037671E">
        <w:t>, below.</w:t>
      </w:r>
    </w:p>
    <w:p w14:paraId="208ECFEF" w14:textId="063CD779" w:rsidR="00F80E05" w:rsidRPr="00082FBF" w:rsidRDefault="00AB651B" w:rsidP="00AB651B">
      <w:pPr>
        <w:pStyle w:val="TableTitle"/>
      </w:pPr>
      <w:bookmarkStart w:id="62" w:name="_Ref66873286"/>
      <w:r>
        <w:t xml:space="preserve">Table </w:t>
      </w:r>
      <w:fldSimple w:instr=" SEQ Table \* ARABIC ">
        <w:r w:rsidR="005F4D35">
          <w:rPr>
            <w:noProof/>
          </w:rPr>
          <w:t>26</w:t>
        </w:r>
      </w:fldSimple>
      <w:bookmarkEnd w:id="62"/>
      <w:r w:rsidR="00331037" w:rsidRPr="00082FBF">
        <w:t>: Any and Grade 3 solicited systemic reactions after vaccine injection, by maximum intensity during the solicited period</w:t>
      </w:r>
      <w:r w:rsidR="0037671E">
        <w:t>,</w:t>
      </w:r>
      <w:r w:rsidR="00331037" w:rsidRPr="00082FBF">
        <w:t xml:space="preserve"> </w:t>
      </w:r>
      <w:r w:rsidR="0037671E">
        <w:t>in</w:t>
      </w:r>
      <w:r w:rsidR="00331037" w:rsidRPr="00082FBF">
        <w:t xml:space="preserve"> older adults and elderly </w:t>
      </w:r>
      <w:r w:rsidR="0037671E">
        <w:t>(</w:t>
      </w:r>
      <w:r w:rsidR="00331037" w:rsidRPr="00082FBF">
        <w:t>safety analysis set</w:t>
      </w:r>
      <w:r w:rsidR="0037671E">
        <w:t>)</w:t>
      </w:r>
    </w:p>
    <w:p w14:paraId="55F7BC8C" w14:textId="05BD8EF2" w:rsidR="00FF3CB6" w:rsidRPr="00082FBF" w:rsidRDefault="00FF3CB6" w:rsidP="008D3CC5">
      <w:r w:rsidRPr="00082FBF">
        <w:rPr>
          <w:noProof/>
          <w:lang w:eastAsia="en-AU"/>
        </w:rPr>
        <w:drawing>
          <wp:inline distT="0" distB="0" distL="0" distR="0" wp14:anchorId="54218359" wp14:editId="5E66CA51">
            <wp:extent cx="5400040" cy="2387600"/>
            <wp:effectExtent l="0" t="0" r="0" b="0"/>
            <wp:docPr id="56" name="Picture 56" descr="Any and Grade 3 solicited systemic reactions after vaccine injection, by maximum intensity during the solicited period – older adults and elderly –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2387600"/>
                    </a:xfrm>
                    <a:prstGeom prst="rect">
                      <a:avLst/>
                    </a:prstGeom>
                  </pic:spPr>
                </pic:pic>
              </a:graphicData>
            </a:graphic>
          </wp:inline>
        </w:drawing>
      </w:r>
    </w:p>
    <w:p w14:paraId="7F08D938" w14:textId="42C1BD80" w:rsidR="00A225A7" w:rsidRPr="00082FBF" w:rsidRDefault="00A225A7" w:rsidP="00F52013">
      <w:r w:rsidRPr="00082FBF">
        <w:t xml:space="preserve">The </w:t>
      </w:r>
      <w:r w:rsidR="00795C9E" w:rsidRPr="00082FBF">
        <w:t xml:space="preserve">adverse events of special interest </w:t>
      </w:r>
      <w:r w:rsidRPr="00082FBF">
        <w:t>(AESI) included Kawasaki disease, Guillain</w:t>
      </w:r>
      <w:r w:rsidR="00795C9E" w:rsidRPr="00082FBF">
        <w:t>-Barre</w:t>
      </w:r>
      <w:r w:rsidRPr="00082FBF">
        <w:t xml:space="preserve"> syndrome (GBS), generali</w:t>
      </w:r>
      <w:r w:rsidR="0037671E">
        <w:t>s</w:t>
      </w:r>
      <w:r w:rsidRPr="00082FBF">
        <w:t>ed seizures (including febrile seizures), and idiopathic thrombocytopenic purpura (ITP). There were no reports of Kawasaki disease, GBS or ITP. Four AESIs of convulsions, all with MenQuadfi, were reported as follows:</w:t>
      </w:r>
    </w:p>
    <w:p w14:paraId="11823654" w14:textId="1EB80442" w:rsidR="00A225A7" w:rsidRPr="00082FBF" w:rsidRDefault="00A225A7" w:rsidP="00F52013">
      <w:pPr>
        <w:rPr>
          <w:rFonts w:asciiTheme="minorHAnsi" w:eastAsiaTheme="minorHAnsi" w:hAnsiTheme="minorHAnsi"/>
        </w:rPr>
      </w:pPr>
      <w:r w:rsidRPr="00082FBF">
        <w:rPr>
          <w:rFonts w:asciiTheme="minorHAnsi" w:eastAsiaTheme="minorHAnsi" w:hAnsiTheme="minorHAnsi"/>
        </w:rPr>
        <w:t>An episode of febrile convulsion reported in a 17</w:t>
      </w:r>
      <w:r w:rsidR="00795C9E" w:rsidRPr="00082FBF">
        <w:rPr>
          <w:rFonts w:asciiTheme="minorHAnsi" w:eastAsiaTheme="minorHAnsi" w:hAnsiTheme="minorHAnsi"/>
        </w:rPr>
        <w:t xml:space="preserve"> </w:t>
      </w:r>
      <w:r w:rsidRPr="00082FBF">
        <w:rPr>
          <w:rFonts w:asciiTheme="minorHAnsi" w:eastAsiaTheme="minorHAnsi" w:hAnsiTheme="minorHAnsi"/>
        </w:rPr>
        <w:t xml:space="preserve">months old female toddler with family history of febrile convulsion. The toddler had concomitant viral upper respiratory tract infection. The event occurred 23 days after receiving the vaccine in </w:t>
      </w:r>
      <w:r w:rsidR="0037671E">
        <w:rPr>
          <w:rFonts w:asciiTheme="minorHAnsi" w:eastAsiaTheme="minorHAnsi" w:hAnsiTheme="minorHAnsi"/>
        </w:rPr>
        <w:t>S</w:t>
      </w:r>
      <w:r w:rsidRPr="00082FBF">
        <w:rPr>
          <w:rFonts w:asciiTheme="minorHAnsi" w:eastAsiaTheme="minorHAnsi" w:hAnsiTheme="minorHAnsi"/>
        </w:rPr>
        <w:t>tudy MET51. The subject is reported as recovered.</w:t>
      </w:r>
    </w:p>
    <w:p w14:paraId="4B6AE718" w14:textId="67F544E3" w:rsidR="00A225A7" w:rsidRPr="00082FBF" w:rsidRDefault="00A225A7" w:rsidP="00F52013">
      <w:pPr>
        <w:rPr>
          <w:rFonts w:asciiTheme="minorHAnsi" w:eastAsiaTheme="minorHAnsi" w:hAnsiTheme="minorHAnsi"/>
        </w:rPr>
      </w:pPr>
      <w:r w:rsidRPr="00082FBF">
        <w:rPr>
          <w:rFonts w:asciiTheme="minorHAnsi" w:eastAsiaTheme="minorHAnsi" w:hAnsiTheme="minorHAnsi"/>
        </w:rPr>
        <w:t>A report of seizure in a 12</w:t>
      </w:r>
      <w:r w:rsidR="00795C9E" w:rsidRPr="00082FBF">
        <w:rPr>
          <w:rFonts w:asciiTheme="minorHAnsi" w:eastAsiaTheme="minorHAnsi" w:hAnsiTheme="minorHAnsi"/>
        </w:rPr>
        <w:t xml:space="preserve"> </w:t>
      </w:r>
      <w:r w:rsidRPr="00082FBF">
        <w:rPr>
          <w:rFonts w:asciiTheme="minorHAnsi" w:eastAsiaTheme="minorHAnsi" w:hAnsiTheme="minorHAnsi"/>
        </w:rPr>
        <w:t>year</w:t>
      </w:r>
      <w:r w:rsidR="00795C9E" w:rsidRPr="00082FBF">
        <w:rPr>
          <w:rFonts w:asciiTheme="minorHAnsi" w:eastAsiaTheme="minorHAnsi" w:hAnsiTheme="minorHAnsi"/>
        </w:rPr>
        <w:t>s</w:t>
      </w:r>
      <w:r w:rsidRPr="00082FBF">
        <w:rPr>
          <w:rFonts w:asciiTheme="minorHAnsi" w:eastAsiaTheme="minorHAnsi" w:hAnsiTheme="minorHAnsi"/>
        </w:rPr>
        <w:t xml:space="preserve"> old female adolescent with a history o</w:t>
      </w:r>
      <w:r w:rsidR="00795C9E" w:rsidRPr="00082FBF">
        <w:rPr>
          <w:rFonts w:asciiTheme="minorHAnsi" w:eastAsiaTheme="minorHAnsi" w:hAnsiTheme="minorHAnsi"/>
        </w:rPr>
        <w:t>f partial complex epilepsy and t</w:t>
      </w:r>
      <w:r w:rsidRPr="00082FBF">
        <w:rPr>
          <w:rFonts w:asciiTheme="minorHAnsi" w:eastAsiaTheme="minorHAnsi" w:hAnsiTheme="minorHAnsi"/>
        </w:rPr>
        <w:t xml:space="preserve">ype 1 diabetes mellitus. The event occurred 107 days after receiving the vaccine in </w:t>
      </w:r>
      <w:r w:rsidR="0037671E">
        <w:rPr>
          <w:rFonts w:asciiTheme="minorHAnsi" w:eastAsiaTheme="minorHAnsi" w:hAnsiTheme="minorHAnsi"/>
        </w:rPr>
        <w:t>S</w:t>
      </w:r>
      <w:r w:rsidRPr="00082FBF">
        <w:rPr>
          <w:rFonts w:asciiTheme="minorHAnsi" w:eastAsiaTheme="minorHAnsi" w:hAnsiTheme="minorHAnsi"/>
        </w:rPr>
        <w:t xml:space="preserve">tudy MET50. </w:t>
      </w:r>
      <w:r w:rsidRPr="00082FBF">
        <w:rPr>
          <w:rFonts w:asciiTheme="minorHAnsi" w:eastAsiaTheme="minorHAnsi" w:hAnsiTheme="minorHAnsi" w:cs="TimesNewRomanPSMT"/>
        </w:rPr>
        <w:t xml:space="preserve">The neurologist assessed the seizure as unrelated to the subject’s diabetes and consistent with the prior history of epilepsy. </w:t>
      </w:r>
      <w:r w:rsidRPr="00082FBF">
        <w:rPr>
          <w:rFonts w:asciiTheme="minorHAnsi" w:eastAsiaTheme="minorHAnsi" w:hAnsiTheme="minorHAnsi"/>
        </w:rPr>
        <w:t>The subject is reported as recovered.</w:t>
      </w:r>
    </w:p>
    <w:p w14:paraId="5F304E7F" w14:textId="62DB8213" w:rsidR="00A225A7" w:rsidRPr="00082FBF" w:rsidRDefault="00A225A7" w:rsidP="00F52013">
      <w:pPr>
        <w:rPr>
          <w:rFonts w:asciiTheme="minorHAnsi" w:eastAsiaTheme="minorHAnsi" w:hAnsiTheme="minorHAnsi"/>
        </w:rPr>
      </w:pPr>
      <w:r w:rsidRPr="00082FBF">
        <w:rPr>
          <w:rFonts w:asciiTheme="minorHAnsi" w:eastAsiaTheme="minorHAnsi" w:hAnsiTheme="minorHAnsi"/>
        </w:rPr>
        <w:t>An episode of status epilepticus reported in a 24 year</w:t>
      </w:r>
      <w:r w:rsidR="00795C9E" w:rsidRPr="00082FBF">
        <w:rPr>
          <w:rFonts w:asciiTheme="minorHAnsi" w:eastAsiaTheme="minorHAnsi" w:hAnsiTheme="minorHAnsi"/>
        </w:rPr>
        <w:t>s</w:t>
      </w:r>
      <w:r w:rsidRPr="00082FBF">
        <w:rPr>
          <w:rFonts w:asciiTheme="minorHAnsi" w:eastAsiaTheme="minorHAnsi" w:hAnsiTheme="minorHAnsi"/>
        </w:rPr>
        <w:t xml:space="preserve"> old male adult with a history of childhood seizures and drug and alcohol abuse. The event occurred 22 days after receiving the vaccine in </w:t>
      </w:r>
      <w:r w:rsidR="0037671E">
        <w:rPr>
          <w:rFonts w:asciiTheme="minorHAnsi" w:eastAsiaTheme="minorHAnsi" w:hAnsiTheme="minorHAnsi"/>
        </w:rPr>
        <w:t>S</w:t>
      </w:r>
      <w:r w:rsidRPr="00082FBF">
        <w:rPr>
          <w:rFonts w:asciiTheme="minorHAnsi" w:eastAsiaTheme="minorHAnsi" w:hAnsiTheme="minorHAnsi"/>
        </w:rPr>
        <w:t>tudy MET43. The subject is reported as recovered.</w:t>
      </w:r>
    </w:p>
    <w:p w14:paraId="5B40429D" w14:textId="255F25C2" w:rsidR="00A225A7" w:rsidRPr="00082FBF" w:rsidRDefault="00A225A7" w:rsidP="00F52013">
      <w:pPr>
        <w:rPr>
          <w:rFonts w:asciiTheme="minorHAnsi" w:eastAsiaTheme="minorHAnsi" w:hAnsiTheme="minorHAnsi"/>
        </w:rPr>
      </w:pPr>
      <w:r w:rsidRPr="00082FBF">
        <w:rPr>
          <w:rFonts w:asciiTheme="minorHAnsi" w:eastAsiaTheme="minorHAnsi" w:hAnsiTheme="minorHAnsi"/>
        </w:rPr>
        <w:t xml:space="preserve">A report of seizure in a 44 years old male adult at 59 days after receiving the vaccine in </w:t>
      </w:r>
      <w:r w:rsidR="0037671E">
        <w:rPr>
          <w:rFonts w:asciiTheme="minorHAnsi" w:eastAsiaTheme="minorHAnsi" w:hAnsiTheme="minorHAnsi"/>
        </w:rPr>
        <w:t>S</w:t>
      </w:r>
      <w:r w:rsidRPr="00082FBF">
        <w:rPr>
          <w:rFonts w:asciiTheme="minorHAnsi" w:eastAsiaTheme="minorHAnsi" w:hAnsiTheme="minorHAnsi"/>
        </w:rPr>
        <w:t>tudy MET43 and assessed as likely a part of alcohol withdrawal symptoms. The subject is reported as recovered.</w:t>
      </w:r>
    </w:p>
    <w:p w14:paraId="4B487121" w14:textId="77777777" w:rsidR="00A225A7" w:rsidRPr="00082FBF" w:rsidRDefault="00A225A7" w:rsidP="00F52013">
      <w:r w:rsidRPr="00082FBF">
        <w:t>None or the convulsion AESIs were considered related, although imbalanced occurrence with MenQuadfi is noted.</w:t>
      </w:r>
    </w:p>
    <w:p w14:paraId="3528CEA3" w14:textId="39019016" w:rsidR="00A225A7" w:rsidRPr="00082FBF" w:rsidRDefault="00A225A7" w:rsidP="00F52013">
      <w:r w:rsidRPr="00082FBF">
        <w:t>There have been no reports of anaphylaxis during the clinical de</w:t>
      </w:r>
      <w:r w:rsidR="003F4C5B" w:rsidRPr="00082FBF">
        <w:t xml:space="preserve">velopment program. </w:t>
      </w:r>
      <w:r w:rsidRPr="00082FBF">
        <w:t>There were no deaths.</w:t>
      </w:r>
    </w:p>
    <w:p w14:paraId="798C2046" w14:textId="334AB304" w:rsidR="00A225A7" w:rsidRPr="00082FBF" w:rsidRDefault="00A225A7" w:rsidP="00F52013">
      <w:r w:rsidRPr="00082FBF">
        <w:t>Note safety data are confined to within 30</w:t>
      </w:r>
      <w:r w:rsidR="00795C9E" w:rsidRPr="00082FBF">
        <w:t xml:space="preserve"> to </w:t>
      </w:r>
      <w:r w:rsidRPr="00082FBF">
        <w:t>42 days post-vaccination follow-up.</w:t>
      </w:r>
    </w:p>
    <w:p w14:paraId="0FBF0E33" w14:textId="77777777" w:rsidR="00A225A7" w:rsidRPr="00082FBF" w:rsidRDefault="00A225A7" w:rsidP="00F52013">
      <w:r w:rsidRPr="00082FBF">
        <w:t>Overall, data is consistent with the current quadrivalent ACYW vaccines. The length of follow-up is very limited at this stage. No post-market data are available yet. Hence, the risk of potential AESIs or other rare effects cannot be reliably estimated due to lack of large scale use in unselected population.</w:t>
      </w:r>
    </w:p>
    <w:p w14:paraId="57771444" w14:textId="77777777" w:rsidR="008E7846" w:rsidRPr="00082FBF" w:rsidRDefault="00386150" w:rsidP="007B6132">
      <w:pPr>
        <w:pStyle w:val="Heading3"/>
        <w:rPr>
          <w:lang w:eastAsia="en-AU"/>
        </w:rPr>
      </w:pPr>
      <w:bookmarkStart w:id="63" w:name="_Toc67390284"/>
      <w:r w:rsidRPr="00082FBF">
        <w:rPr>
          <w:lang w:eastAsia="en-AU"/>
        </w:rPr>
        <w:t>Risk m</w:t>
      </w:r>
      <w:r w:rsidR="008E7846" w:rsidRPr="00082FBF">
        <w:rPr>
          <w:lang w:eastAsia="en-AU"/>
        </w:rPr>
        <w:t xml:space="preserve">anagement </w:t>
      </w:r>
      <w:r w:rsidRPr="00082FBF">
        <w:rPr>
          <w:lang w:eastAsia="en-AU"/>
        </w:rPr>
        <w:t>p</w:t>
      </w:r>
      <w:r w:rsidR="008E7846" w:rsidRPr="00082FBF">
        <w:rPr>
          <w:lang w:eastAsia="en-AU"/>
        </w:rPr>
        <w:t>lan</w:t>
      </w:r>
      <w:bookmarkEnd w:id="44"/>
      <w:bookmarkEnd w:id="63"/>
    </w:p>
    <w:p w14:paraId="04E45C0B" w14:textId="30EF8CC0" w:rsidR="007B492D" w:rsidRPr="00082FBF" w:rsidRDefault="0037671E" w:rsidP="007B492D">
      <w:r>
        <w:t>The sponsor</w:t>
      </w:r>
      <w:r w:rsidR="007B492D" w:rsidRPr="00082FBF">
        <w:t xml:space="preserve"> has submitted EU-</w:t>
      </w:r>
      <w:r w:rsidR="00574D01" w:rsidRPr="00082FBF">
        <w:t>risk management plan (</w:t>
      </w:r>
      <w:r w:rsidR="007B492D" w:rsidRPr="00082FBF">
        <w:t>RMP</w:t>
      </w:r>
      <w:r w:rsidR="00574D01" w:rsidRPr="00082FBF">
        <w:t>)</w:t>
      </w:r>
      <w:bookmarkStart w:id="64" w:name="_Ref63158027"/>
      <w:r w:rsidR="00872F55" w:rsidRPr="00082FBF">
        <w:rPr>
          <w:rStyle w:val="FootnoteReference"/>
        </w:rPr>
        <w:footnoteReference w:id="13"/>
      </w:r>
      <w:bookmarkEnd w:id="64"/>
      <w:r w:rsidR="007B492D" w:rsidRPr="00082FBF">
        <w:t xml:space="preserve"> version 0.1 (dated 13 September 2019; </w:t>
      </w:r>
      <w:r w:rsidR="00574D01" w:rsidRPr="00082FBF">
        <w:t>data lock point (</w:t>
      </w:r>
      <w:r w:rsidR="007B492D" w:rsidRPr="00082FBF">
        <w:t>DLP</w:t>
      </w:r>
      <w:r w:rsidR="00574D01" w:rsidRPr="00082FBF">
        <w:t>)</w:t>
      </w:r>
      <w:r w:rsidR="007B492D" w:rsidRPr="00082FBF">
        <w:t xml:space="preserve"> 15 June 2019) and </w:t>
      </w:r>
      <w:r w:rsidR="00574D01" w:rsidRPr="00082FBF">
        <w:t>Australia</w:t>
      </w:r>
      <w:r>
        <w:t>n</w:t>
      </w:r>
      <w:r w:rsidR="00574D01" w:rsidRPr="00082FBF">
        <w:t xml:space="preserve"> specific </w:t>
      </w:r>
      <w:r>
        <w:t>A</w:t>
      </w:r>
      <w:r w:rsidR="00574D01" w:rsidRPr="00082FBF">
        <w:t>nnex (</w:t>
      </w:r>
      <w:r w:rsidR="007B492D" w:rsidRPr="00082FBF">
        <w:t>ASA</w:t>
      </w:r>
      <w:r w:rsidR="00574D01" w:rsidRPr="00082FBF">
        <w:t>)</w:t>
      </w:r>
      <w:r w:rsidR="007B492D" w:rsidRPr="00082FBF">
        <w:t xml:space="preserve"> version 1.0 (dated 29 October 2019) in suppor</w:t>
      </w:r>
      <w:r w:rsidR="002F3D34">
        <w:t xml:space="preserve">t of this application. With the questions raised by TGA </w:t>
      </w:r>
      <w:r w:rsidR="007B492D" w:rsidRPr="00082FBF">
        <w:t>responses the</w:t>
      </w:r>
      <w:r w:rsidR="00574D01" w:rsidRPr="00082FBF">
        <w:t xml:space="preserve"> sponsor provided an updated EU-</w:t>
      </w:r>
      <w:r w:rsidR="007B492D" w:rsidRPr="00082FBF">
        <w:t>RMP version 0.2 (dated 6 May 2020; DLP 15 June 2019) and an ASA versio</w:t>
      </w:r>
      <w:r w:rsidR="003F4C5B" w:rsidRPr="00082FBF">
        <w:t>n 1.1 (dated 30 June 2020).</w:t>
      </w:r>
    </w:p>
    <w:p w14:paraId="61642EFA" w14:textId="321DBA3C" w:rsidR="007D53B6" w:rsidRPr="00082FBF" w:rsidRDefault="007D53B6" w:rsidP="007D53B6">
      <w:r w:rsidRPr="00082FBF">
        <w:t>The summary of safety concerns and their associated risk monitoring and mitigation strategies are summarised in</w:t>
      </w:r>
      <w:r w:rsidR="003674DC">
        <w:t xml:space="preserve"> </w:t>
      </w:r>
      <w:r w:rsidR="003674DC">
        <w:fldChar w:fldCharType="begin"/>
      </w:r>
      <w:r w:rsidR="003674DC">
        <w:instrText xml:space="preserve"> REF _Ref63153679 \h </w:instrText>
      </w:r>
      <w:r w:rsidR="003674DC">
        <w:fldChar w:fldCharType="separate"/>
      </w:r>
      <w:r w:rsidR="005F4D35" w:rsidRPr="00082FBF">
        <w:t xml:space="preserve">Table </w:t>
      </w:r>
      <w:r w:rsidR="005F4D35">
        <w:rPr>
          <w:noProof/>
        </w:rPr>
        <w:t>27</w:t>
      </w:r>
      <w:r w:rsidR="003674DC">
        <w:fldChar w:fldCharType="end"/>
      </w:r>
      <w:r w:rsidRPr="00082FBF">
        <w:t>.</w:t>
      </w:r>
      <w:r w:rsidR="00872F55" w:rsidRPr="00082FBF">
        <w:rPr>
          <w:vertAlign w:val="superscript"/>
        </w:rPr>
        <w:fldChar w:fldCharType="begin"/>
      </w:r>
      <w:r w:rsidR="00872F55" w:rsidRPr="00082FBF">
        <w:rPr>
          <w:vertAlign w:val="superscript"/>
        </w:rPr>
        <w:instrText xml:space="preserve"> NOTEREF _Ref63158027 \h  \* MERGEFORMAT </w:instrText>
      </w:r>
      <w:r w:rsidR="00872F55" w:rsidRPr="00082FBF">
        <w:rPr>
          <w:vertAlign w:val="superscript"/>
        </w:rPr>
      </w:r>
      <w:r w:rsidR="00872F55" w:rsidRPr="00082FBF">
        <w:rPr>
          <w:vertAlign w:val="superscript"/>
        </w:rPr>
        <w:fldChar w:fldCharType="separate"/>
      </w:r>
      <w:r w:rsidR="005F4D35">
        <w:rPr>
          <w:vertAlign w:val="superscript"/>
        </w:rPr>
        <w:t>13</w:t>
      </w:r>
      <w:r w:rsidR="00872F55" w:rsidRPr="00082FBF">
        <w:rPr>
          <w:vertAlign w:val="superscript"/>
        </w:rPr>
        <w:fldChar w:fldCharType="end"/>
      </w:r>
    </w:p>
    <w:p w14:paraId="54C63812" w14:textId="073394E1" w:rsidR="007B492D" w:rsidRPr="00082FBF" w:rsidRDefault="00E13C8E" w:rsidP="00E13C8E">
      <w:pPr>
        <w:pStyle w:val="FigureTitle"/>
      </w:pPr>
      <w:bookmarkStart w:id="65" w:name="_Ref63153679"/>
      <w:r w:rsidRPr="00082FBF">
        <w:t xml:space="preserve">Table </w:t>
      </w:r>
      <w:fldSimple w:instr=" SEQ Table \* ARABIC ">
        <w:r w:rsidR="005F4D35">
          <w:rPr>
            <w:noProof/>
          </w:rPr>
          <w:t>27</w:t>
        </w:r>
      </w:fldSimple>
      <w:bookmarkEnd w:id="65"/>
      <w:r w:rsidR="007B492D" w:rsidRPr="00082FBF">
        <w:t>. Summary of safety concerns and their associated risk monitoring and mitigation strategies</w:t>
      </w:r>
    </w:p>
    <w:tbl>
      <w:tblPr>
        <w:tblStyle w:val="TableTGAblue"/>
        <w:tblW w:w="8921" w:type="dxa"/>
        <w:tblLayout w:type="fixed"/>
        <w:tblLook w:val="04A0" w:firstRow="1" w:lastRow="0" w:firstColumn="1" w:lastColumn="0" w:noHBand="0" w:noVBand="1"/>
      </w:tblPr>
      <w:tblGrid>
        <w:gridCol w:w="1691"/>
        <w:gridCol w:w="2410"/>
        <w:gridCol w:w="1276"/>
        <w:gridCol w:w="1134"/>
        <w:gridCol w:w="1276"/>
        <w:gridCol w:w="1134"/>
      </w:tblGrid>
      <w:tr w:rsidR="001B1B81" w:rsidRPr="00082FBF" w14:paraId="3D6201AE" w14:textId="77777777" w:rsidTr="001B1B81">
        <w:trPr>
          <w:cnfStyle w:val="100000000000" w:firstRow="1" w:lastRow="0" w:firstColumn="0" w:lastColumn="0" w:oddVBand="0" w:evenVBand="0" w:oddHBand="0" w:evenHBand="0" w:firstRowFirstColumn="0" w:firstRowLastColumn="0" w:lastRowFirstColumn="0" w:lastRowLastColumn="0"/>
          <w:trHeight w:val="131"/>
        </w:trPr>
        <w:tc>
          <w:tcPr>
            <w:tcW w:w="4101" w:type="dxa"/>
            <w:gridSpan w:val="2"/>
            <w:vMerge w:val="restart"/>
            <w:tcBorders>
              <w:right w:val="single" w:sz="8" w:space="0" w:color="auto"/>
            </w:tcBorders>
          </w:tcPr>
          <w:p w14:paraId="5361E760" w14:textId="77777777" w:rsidR="007B492D" w:rsidRPr="00082FBF" w:rsidRDefault="007B492D" w:rsidP="00115F19">
            <w:pPr>
              <w:pStyle w:val="Tabletext"/>
              <w:rPr>
                <w:rFonts w:asciiTheme="minorHAnsi" w:hAnsiTheme="minorHAnsi"/>
                <w:b w:val="0"/>
                <w:szCs w:val="19"/>
              </w:rPr>
            </w:pPr>
            <w:r w:rsidRPr="00082FBF">
              <w:rPr>
                <w:rFonts w:asciiTheme="minorHAnsi" w:hAnsiTheme="minorHAnsi"/>
                <w:szCs w:val="19"/>
              </w:rPr>
              <w:t>Summary of safety concerns</w:t>
            </w:r>
          </w:p>
        </w:tc>
        <w:tc>
          <w:tcPr>
            <w:tcW w:w="2410" w:type="dxa"/>
            <w:gridSpan w:val="2"/>
            <w:tcBorders>
              <w:left w:val="single" w:sz="8" w:space="0" w:color="auto"/>
              <w:right w:val="single" w:sz="8" w:space="0" w:color="auto"/>
            </w:tcBorders>
          </w:tcPr>
          <w:p w14:paraId="6DF629BC" w14:textId="77777777" w:rsidR="007B492D" w:rsidRPr="00082FBF" w:rsidRDefault="007B492D" w:rsidP="00115F19">
            <w:pPr>
              <w:pStyle w:val="Tabletext"/>
              <w:rPr>
                <w:rFonts w:asciiTheme="minorHAnsi" w:hAnsiTheme="minorHAnsi"/>
                <w:b w:val="0"/>
                <w:szCs w:val="19"/>
              </w:rPr>
            </w:pPr>
            <w:r w:rsidRPr="00082FBF">
              <w:rPr>
                <w:rFonts w:asciiTheme="minorHAnsi" w:hAnsiTheme="minorHAnsi"/>
                <w:szCs w:val="19"/>
              </w:rPr>
              <w:t>Pharmacovigilance</w:t>
            </w:r>
          </w:p>
        </w:tc>
        <w:tc>
          <w:tcPr>
            <w:tcW w:w="2410" w:type="dxa"/>
            <w:gridSpan w:val="2"/>
            <w:tcBorders>
              <w:left w:val="single" w:sz="8" w:space="0" w:color="auto"/>
            </w:tcBorders>
          </w:tcPr>
          <w:p w14:paraId="17AC05AA" w14:textId="77777777" w:rsidR="007B492D" w:rsidRPr="00082FBF" w:rsidRDefault="007B492D" w:rsidP="00115F19">
            <w:pPr>
              <w:pStyle w:val="Tabletext"/>
              <w:rPr>
                <w:rFonts w:asciiTheme="minorHAnsi" w:hAnsiTheme="minorHAnsi"/>
                <w:b w:val="0"/>
                <w:szCs w:val="19"/>
              </w:rPr>
            </w:pPr>
            <w:r w:rsidRPr="00082FBF">
              <w:rPr>
                <w:rFonts w:asciiTheme="minorHAnsi" w:hAnsiTheme="minorHAnsi"/>
                <w:szCs w:val="19"/>
              </w:rPr>
              <w:t>Risk Minimisation</w:t>
            </w:r>
          </w:p>
        </w:tc>
      </w:tr>
      <w:tr w:rsidR="007B492D" w:rsidRPr="00082FBF" w14:paraId="4F28736A" w14:textId="77777777" w:rsidTr="001B1B81">
        <w:trPr>
          <w:trHeight w:val="150"/>
        </w:trPr>
        <w:tc>
          <w:tcPr>
            <w:tcW w:w="4101" w:type="dxa"/>
            <w:gridSpan w:val="2"/>
            <w:vMerge/>
            <w:tcBorders>
              <w:right w:val="single" w:sz="8" w:space="0" w:color="auto"/>
            </w:tcBorders>
          </w:tcPr>
          <w:p w14:paraId="73E74F84" w14:textId="77777777" w:rsidR="007B492D" w:rsidRPr="00082FBF" w:rsidRDefault="007B492D" w:rsidP="00115F19">
            <w:pPr>
              <w:pStyle w:val="Tabletext"/>
              <w:rPr>
                <w:rFonts w:asciiTheme="minorHAnsi" w:hAnsiTheme="minorHAnsi"/>
                <w:b/>
                <w:szCs w:val="19"/>
              </w:rPr>
            </w:pPr>
          </w:p>
        </w:tc>
        <w:tc>
          <w:tcPr>
            <w:tcW w:w="1276" w:type="dxa"/>
            <w:tcBorders>
              <w:left w:val="single" w:sz="8" w:space="0" w:color="auto"/>
            </w:tcBorders>
            <w:shd w:val="clear" w:color="auto" w:fill="006DA7"/>
          </w:tcPr>
          <w:p w14:paraId="0BE27CF5" w14:textId="77777777" w:rsidR="007B492D" w:rsidRPr="00082FBF" w:rsidRDefault="007B492D" w:rsidP="00115F19">
            <w:pPr>
              <w:pStyle w:val="Tabletext"/>
              <w:rPr>
                <w:rFonts w:asciiTheme="minorHAnsi" w:hAnsiTheme="minorHAnsi"/>
                <w:color w:val="FFFFFF" w:themeColor="background1"/>
                <w:szCs w:val="19"/>
              </w:rPr>
            </w:pPr>
            <w:r w:rsidRPr="00082FBF">
              <w:rPr>
                <w:rFonts w:asciiTheme="minorHAnsi" w:hAnsiTheme="minorHAnsi"/>
                <w:color w:val="FFFFFF" w:themeColor="background1"/>
                <w:szCs w:val="19"/>
              </w:rPr>
              <w:t>Routine</w:t>
            </w:r>
          </w:p>
        </w:tc>
        <w:tc>
          <w:tcPr>
            <w:tcW w:w="1134" w:type="dxa"/>
            <w:shd w:val="clear" w:color="auto" w:fill="006DA7"/>
          </w:tcPr>
          <w:p w14:paraId="0AE07C2E" w14:textId="77777777" w:rsidR="007B492D" w:rsidRPr="00082FBF" w:rsidRDefault="007B492D" w:rsidP="00115F19">
            <w:pPr>
              <w:pStyle w:val="Tabletext"/>
              <w:rPr>
                <w:rFonts w:asciiTheme="minorHAnsi" w:hAnsiTheme="minorHAnsi"/>
                <w:color w:val="FFFFFF" w:themeColor="background1"/>
                <w:szCs w:val="19"/>
              </w:rPr>
            </w:pPr>
            <w:r w:rsidRPr="00082FBF">
              <w:rPr>
                <w:rFonts w:asciiTheme="minorHAnsi" w:hAnsiTheme="minorHAnsi"/>
                <w:color w:val="FFFFFF" w:themeColor="background1"/>
                <w:szCs w:val="19"/>
              </w:rPr>
              <w:t>Additional</w:t>
            </w:r>
          </w:p>
        </w:tc>
        <w:tc>
          <w:tcPr>
            <w:tcW w:w="1276" w:type="dxa"/>
            <w:shd w:val="clear" w:color="auto" w:fill="006DA7"/>
          </w:tcPr>
          <w:p w14:paraId="61089486" w14:textId="77777777" w:rsidR="007B492D" w:rsidRPr="00082FBF" w:rsidRDefault="007B492D" w:rsidP="00115F19">
            <w:pPr>
              <w:pStyle w:val="Tabletext"/>
              <w:rPr>
                <w:rFonts w:asciiTheme="minorHAnsi" w:hAnsiTheme="minorHAnsi"/>
                <w:color w:val="FFFFFF" w:themeColor="background1"/>
                <w:szCs w:val="19"/>
              </w:rPr>
            </w:pPr>
            <w:r w:rsidRPr="00082FBF">
              <w:rPr>
                <w:rFonts w:asciiTheme="minorHAnsi" w:hAnsiTheme="minorHAnsi"/>
                <w:color w:val="FFFFFF" w:themeColor="background1"/>
                <w:szCs w:val="19"/>
              </w:rPr>
              <w:t>Routine</w:t>
            </w:r>
          </w:p>
        </w:tc>
        <w:tc>
          <w:tcPr>
            <w:tcW w:w="1134" w:type="dxa"/>
            <w:shd w:val="clear" w:color="auto" w:fill="006DA7"/>
          </w:tcPr>
          <w:p w14:paraId="2136D224" w14:textId="77777777" w:rsidR="007B492D" w:rsidRPr="00082FBF" w:rsidRDefault="007B492D" w:rsidP="00115F19">
            <w:pPr>
              <w:pStyle w:val="Tabletext"/>
              <w:rPr>
                <w:rFonts w:asciiTheme="minorHAnsi" w:hAnsiTheme="minorHAnsi"/>
                <w:color w:val="FFFFFF" w:themeColor="background1"/>
                <w:szCs w:val="19"/>
              </w:rPr>
            </w:pPr>
            <w:r w:rsidRPr="00082FBF">
              <w:rPr>
                <w:rFonts w:asciiTheme="minorHAnsi" w:hAnsiTheme="minorHAnsi"/>
                <w:color w:val="FFFFFF" w:themeColor="background1"/>
                <w:szCs w:val="19"/>
              </w:rPr>
              <w:t>Additional</w:t>
            </w:r>
          </w:p>
        </w:tc>
      </w:tr>
      <w:tr w:rsidR="007B492D" w:rsidRPr="00082FBF" w14:paraId="4C7110E7" w14:textId="77777777" w:rsidTr="001B1B81">
        <w:trPr>
          <w:trHeight w:val="137"/>
        </w:trPr>
        <w:tc>
          <w:tcPr>
            <w:tcW w:w="1691" w:type="dxa"/>
          </w:tcPr>
          <w:p w14:paraId="5DE07628" w14:textId="77777777" w:rsidR="007B492D" w:rsidRPr="00082FBF" w:rsidRDefault="007B492D" w:rsidP="00115F19">
            <w:pPr>
              <w:pStyle w:val="Tabletext"/>
              <w:rPr>
                <w:rFonts w:asciiTheme="minorHAnsi" w:hAnsiTheme="minorHAnsi"/>
                <w:b/>
                <w:szCs w:val="19"/>
              </w:rPr>
            </w:pPr>
            <w:r w:rsidRPr="00082FBF">
              <w:rPr>
                <w:rFonts w:asciiTheme="minorHAnsi" w:hAnsiTheme="minorHAnsi"/>
                <w:b/>
                <w:szCs w:val="19"/>
              </w:rPr>
              <w:t>Important identified risks</w:t>
            </w:r>
          </w:p>
        </w:tc>
        <w:tc>
          <w:tcPr>
            <w:tcW w:w="2410" w:type="dxa"/>
          </w:tcPr>
          <w:p w14:paraId="0721D5C5" w14:textId="77777777" w:rsidR="007B492D" w:rsidRPr="00082FBF" w:rsidRDefault="007B492D" w:rsidP="00115F19">
            <w:pPr>
              <w:pStyle w:val="Tabletext"/>
              <w:rPr>
                <w:rFonts w:asciiTheme="minorHAnsi" w:hAnsiTheme="minorHAnsi"/>
                <w:szCs w:val="19"/>
              </w:rPr>
            </w:pPr>
            <w:r w:rsidRPr="00082FBF">
              <w:rPr>
                <w:rFonts w:asciiTheme="minorHAnsi" w:hAnsiTheme="minorHAnsi"/>
                <w:szCs w:val="19"/>
              </w:rPr>
              <w:t>None</w:t>
            </w:r>
          </w:p>
        </w:tc>
        <w:tc>
          <w:tcPr>
            <w:tcW w:w="1276" w:type="dxa"/>
          </w:tcPr>
          <w:p w14:paraId="381295FF" w14:textId="77777777" w:rsidR="007B492D" w:rsidRPr="00082FBF" w:rsidRDefault="007B492D" w:rsidP="00115F19">
            <w:pPr>
              <w:pStyle w:val="Tabletext"/>
              <w:jc w:val="center"/>
              <w:rPr>
                <w:rFonts w:asciiTheme="minorHAnsi" w:hAnsiTheme="minorHAnsi"/>
                <w:color w:val="00B050"/>
                <w:szCs w:val="19"/>
              </w:rPr>
            </w:pPr>
          </w:p>
        </w:tc>
        <w:tc>
          <w:tcPr>
            <w:tcW w:w="1134" w:type="dxa"/>
          </w:tcPr>
          <w:p w14:paraId="3C1130A7" w14:textId="77777777" w:rsidR="007B492D" w:rsidRPr="00082FBF" w:rsidRDefault="007B492D" w:rsidP="00115F19">
            <w:pPr>
              <w:pStyle w:val="Tabletext"/>
              <w:jc w:val="center"/>
              <w:rPr>
                <w:rFonts w:asciiTheme="minorHAnsi" w:hAnsiTheme="minorHAnsi"/>
                <w:color w:val="00B050"/>
                <w:szCs w:val="19"/>
              </w:rPr>
            </w:pPr>
          </w:p>
        </w:tc>
        <w:tc>
          <w:tcPr>
            <w:tcW w:w="1276" w:type="dxa"/>
          </w:tcPr>
          <w:p w14:paraId="7A844869" w14:textId="77777777" w:rsidR="007B492D" w:rsidRPr="00082FBF" w:rsidRDefault="007B492D" w:rsidP="00115F19">
            <w:pPr>
              <w:pStyle w:val="Tabletext"/>
              <w:jc w:val="center"/>
              <w:rPr>
                <w:rFonts w:asciiTheme="minorHAnsi" w:hAnsiTheme="minorHAnsi"/>
                <w:color w:val="00B050"/>
                <w:szCs w:val="19"/>
              </w:rPr>
            </w:pPr>
          </w:p>
        </w:tc>
        <w:tc>
          <w:tcPr>
            <w:tcW w:w="1134" w:type="dxa"/>
          </w:tcPr>
          <w:p w14:paraId="3FDAEADE" w14:textId="77777777" w:rsidR="007B492D" w:rsidRPr="00082FBF" w:rsidRDefault="007B492D" w:rsidP="00115F19">
            <w:pPr>
              <w:pStyle w:val="Tabletext"/>
              <w:jc w:val="center"/>
              <w:rPr>
                <w:rFonts w:asciiTheme="minorHAnsi" w:hAnsiTheme="minorHAnsi"/>
                <w:color w:val="00B050"/>
                <w:szCs w:val="19"/>
              </w:rPr>
            </w:pPr>
          </w:p>
        </w:tc>
      </w:tr>
      <w:tr w:rsidR="007B492D" w:rsidRPr="00082FBF" w14:paraId="4F01EAA7" w14:textId="77777777" w:rsidTr="001B1B81">
        <w:trPr>
          <w:trHeight w:val="159"/>
        </w:trPr>
        <w:tc>
          <w:tcPr>
            <w:tcW w:w="1691" w:type="dxa"/>
          </w:tcPr>
          <w:p w14:paraId="28A247FC" w14:textId="77777777" w:rsidR="007B492D" w:rsidRPr="00082FBF" w:rsidRDefault="007B492D" w:rsidP="00115F19">
            <w:pPr>
              <w:pStyle w:val="Tabletext"/>
              <w:rPr>
                <w:rFonts w:asciiTheme="minorHAnsi" w:hAnsiTheme="minorHAnsi"/>
                <w:b/>
                <w:szCs w:val="19"/>
              </w:rPr>
            </w:pPr>
            <w:r w:rsidRPr="00082FBF">
              <w:rPr>
                <w:rFonts w:asciiTheme="minorHAnsi" w:hAnsiTheme="minorHAnsi"/>
                <w:b/>
                <w:szCs w:val="19"/>
              </w:rPr>
              <w:t>Important potential risks</w:t>
            </w:r>
          </w:p>
        </w:tc>
        <w:tc>
          <w:tcPr>
            <w:tcW w:w="2410" w:type="dxa"/>
          </w:tcPr>
          <w:p w14:paraId="74B04EC2" w14:textId="77777777" w:rsidR="007B492D" w:rsidRPr="00082FBF" w:rsidRDefault="007B492D" w:rsidP="00115F19">
            <w:pPr>
              <w:pStyle w:val="Tabletext"/>
              <w:rPr>
                <w:rFonts w:asciiTheme="minorHAnsi" w:hAnsiTheme="minorHAnsi"/>
                <w:szCs w:val="19"/>
              </w:rPr>
            </w:pPr>
            <w:r w:rsidRPr="00082FBF">
              <w:rPr>
                <w:rFonts w:asciiTheme="minorHAnsi" w:hAnsiTheme="minorHAnsi"/>
                <w:szCs w:val="19"/>
              </w:rPr>
              <w:t>None</w:t>
            </w:r>
          </w:p>
        </w:tc>
        <w:tc>
          <w:tcPr>
            <w:tcW w:w="1276" w:type="dxa"/>
          </w:tcPr>
          <w:p w14:paraId="2ACA5BDE" w14:textId="77777777" w:rsidR="007B492D" w:rsidRPr="00082FBF" w:rsidRDefault="007B492D" w:rsidP="00115F19">
            <w:pPr>
              <w:pStyle w:val="Tabletext"/>
              <w:jc w:val="center"/>
              <w:rPr>
                <w:rFonts w:asciiTheme="minorHAnsi" w:hAnsiTheme="minorHAnsi"/>
                <w:color w:val="00B050"/>
                <w:szCs w:val="19"/>
              </w:rPr>
            </w:pPr>
          </w:p>
        </w:tc>
        <w:tc>
          <w:tcPr>
            <w:tcW w:w="1134" w:type="dxa"/>
          </w:tcPr>
          <w:p w14:paraId="30332300" w14:textId="77777777" w:rsidR="007B492D" w:rsidRPr="00082FBF" w:rsidRDefault="007B492D" w:rsidP="00115F19">
            <w:pPr>
              <w:pStyle w:val="Tabletext"/>
              <w:jc w:val="center"/>
              <w:rPr>
                <w:rFonts w:asciiTheme="minorHAnsi" w:hAnsiTheme="minorHAnsi"/>
                <w:color w:val="00B050"/>
                <w:szCs w:val="19"/>
              </w:rPr>
            </w:pPr>
          </w:p>
        </w:tc>
        <w:tc>
          <w:tcPr>
            <w:tcW w:w="1276" w:type="dxa"/>
          </w:tcPr>
          <w:p w14:paraId="34D27830" w14:textId="77777777" w:rsidR="007B492D" w:rsidRPr="00082FBF" w:rsidRDefault="007B492D" w:rsidP="00115F19">
            <w:pPr>
              <w:pStyle w:val="Tabletext"/>
              <w:jc w:val="center"/>
              <w:rPr>
                <w:rFonts w:asciiTheme="minorHAnsi" w:hAnsiTheme="minorHAnsi"/>
                <w:color w:val="00B050"/>
                <w:szCs w:val="19"/>
              </w:rPr>
            </w:pPr>
          </w:p>
        </w:tc>
        <w:tc>
          <w:tcPr>
            <w:tcW w:w="1134" w:type="dxa"/>
          </w:tcPr>
          <w:p w14:paraId="0959A454" w14:textId="77777777" w:rsidR="007B492D" w:rsidRPr="00082FBF" w:rsidRDefault="007B492D" w:rsidP="00115F19">
            <w:pPr>
              <w:pStyle w:val="Tabletext"/>
              <w:jc w:val="center"/>
              <w:rPr>
                <w:rFonts w:asciiTheme="minorHAnsi" w:hAnsiTheme="minorHAnsi"/>
                <w:color w:val="00B050"/>
                <w:szCs w:val="19"/>
              </w:rPr>
            </w:pPr>
          </w:p>
        </w:tc>
      </w:tr>
      <w:tr w:rsidR="007B492D" w:rsidRPr="00082FBF" w14:paraId="22F1ED40" w14:textId="77777777" w:rsidTr="001B1B81">
        <w:trPr>
          <w:trHeight w:val="178"/>
        </w:trPr>
        <w:tc>
          <w:tcPr>
            <w:tcW w:w="1691" w:type="dxa"/>
            <w:vMerge w:val="restart"/>
          </w:tcPr>
          <w:p w14:paraId="1793F518" w14:textId="77777777" w:rsidR="007B492D" w:rsidRPr="00082FBF" w:rsidRDefault="007B492D" w:rsidP="00115F19">
            <w:pPr>
              <w:pStyle w:val="Tabletext"/>
              <w:rPr>
                <w:rFonts w:asciiTheme="minorHAnsi" w:hAnsiTheme="minorHAnsi"/>
                <w:b/>
                <w:szCs w:val="19"/>
              </w:rPr>
            </w:pPr>
            <w:r w:rsidRPr="00082FBF">
              <w:rPr>
                <w:rFonts w:asciiTheme="minorHAnsi" w:hAnsiTheme="minorHAnsi"/>
                <w:b/>
                <w:szCs w:val="19"/>
              </w:rPr>
              <w:t>Missing information</w:t>
            </w:r>
          </w:p>
        </w:tc>
        <w:tc>
          <w:tcPr>
            <w:tcW w:w="2410" w:type="dxa"/>
          </w:tcPr>
          <w:p w14:paraId="222E46D4" w14:textId="77777777" w:rsidR="007B492D" w:rsidRPr="00082FBF" w:rsidRDefault="007B492D" w:rsidP="00115F19">
            <w:pPr>
              <w:pStyle w:val="Tabletext"/>
              <w:rPr>
                <w:rFonts w:asciiTheme="minorHAnsi" w:hAnsiTheme="minorHAnsi"/>
                <w:szCs w:val="19"/>
              </w:rPr>
            </w:pPr>
            <w:r w:rsidRPr="00082FBF">
              <w:rPr>
                <w:rFonts w:asciiTheme="minorHAnsi" w:hAnsiTheme="minorHAnsi"/>
                <w:szCs w:val="19"/>
              </w:rPr>
              <w:t>Long-term persistence of the vaccine response, and safety and immunogenicity of booster in individuals primed with MenACYW conjugate vaccine</w:t>
            </w:r>
          </w:p>
        </w:tc>
        <w:tc>
          <w:tcPr>
            <w:tcW w:w="1276" w:type="dxa"/>
          </w:tcPr>
          <w:p w14:paraId="645FF3D4" w14:textId="77777777" w:rsidR="007B492D" w:rsidRPr="00082FBF" w:rsidRDefault="007B492D" w:rsidP="00115F19">
            <w:pPr>
              <w:pStyle w:val="Tabletext"/>
              <w:jc w:val="center"/>
              <w:rPr>
                <w:rFonts w:asciiTheme="minorHAnsi" w:hAnsiTheme="minorHAnsi"/>
                <w:szCs w:val="19"/>
              </w:rPr>
            </w:pPr>
            <w:r w:rsidRPr="00082FBF">
              <w:rPr>
                <w:rFonts w:asciiTheme="minorHAnsi" w:hAnsiTheme="minorHAnsi"/>
                <w:szCs w:val="19"/>
              </w:rPr>
              <w:sym w:font="Wingdings" w:char="F0FC"/>
            </w:r>
          </w:p>
        </w:tc>
        <w:tc>
          <w:tcPr>
            <w:tcW w:w="1134" w:type="dxa"/>
          </w:tcPr>
          <w:p w14:paraId="5019EA6D" w14:textId="77777777" w:rsidR="007B492D" w:rsidRPr="00082FBF" w:rsidRDefault="007B492D" w:rsidP="00115F19">
            <w:pPr>
              <w:pStyle w:val="Tabletext"/>
              <w:jc w:val="center"/>
              <w:rPr>
                <w:rFonts w:asciiTheme="minorHAnsi" w:hAnsiTheme="minorHAnsi"/>
                <w:szCs w:val="19"/>
              </w:rPr>
            </w:pPr>
            <w:r w:rsidRPr="00082FBF">
              <w:rPr>
                <w:rFonts w:asciiTheme="minorHAnsi" w:hAnsiTheme="minorHAnsi"/>
                <w:szCs w:val="19"/>
              </w:rPr>
              <w:sym w:font="Wingdings" w:char="F0FC"/>
            </w:r>
            <w:r w:rsidRPr="00082FBF">
              <w:rPr>
                <w:rFonts w:asciiTheme="minorHAnsi" w:hAnsiTheme="minorHAnsi"/>
                <w:szCs w:val="19"/>
              </w:rPr>
              <w:t>*</w:t>
            </w:r>
          </w:p>
        </w:tc>
        <w:tc>
          <w:tcPr>
            <w:tcW w:w="1276" w:type="dxa"/>
          </w:tcPr>
          <w:p w14:paraId="0D432C58" w14:textId="77777777" w:rsidR="007B492D" w:rsidRPr="00082FBF" w:rsidRDefault="007B492D" w:rsidP="00115F19">
            <w:pPr>
              <w:pStyle w:val="Tabletext"/>
              <w:jc w:val="center"/>
              <w:rPr>
                <w:rFonts w:asciiTheme="minorHAnsi" w:hAnsiTheme="minorHAnsi"/>
                <w:szCs w:val="19"/>
              </w:rPr>
            </w:pPr>
            <w:r w:rsidRPr="00082FBF">
              <w:rPr>
                <w:rFonts w:asciiTheme="minorHAnsi" w:hAnsiTheme="minorHAnsi"/>
                <w:szCs w:val="19"/>
              </w:rPr>
              <w:sym w:font="Wingdings" w:char="F0FC"/>
            </w:r>
          </w:p>
        </w:tc>
        <w:tc>
          <w:tcPr>
            <w:tcW w:w="1134" w:type="dxa"/>
          </w:tcPr>
          <w:p w14:paraId="6508F027" w14:textId="73253793" w:rsidR="007B492D" w:rsidRPr="00082FBF" w:rsidRDefault="00F52013" w:rsidP="00115F19">
            <w:pPr>
              <w:pStyle w:val="Tabletext"/>
              <w:jc w:val="center"/>
              <w:rPr>
                <w:rFonts w:asciiTheme="minorHAnsi" w:hAnsiTheme="minorHAnsi"/>
                <w:szCs w:val="19"/>
              </w:rPr>
            </w:pPr>
            <w:r w:rsidRPr="00082FBF">
              <w:rPr>
                <w:rFonts w:asciiTheme="minorHAnsi" w:hAnsiTheme="minorHAnsi"/>
                <w:szCs w:val="19"/>
              </w:rPr>
              <w:t>-</w:t>
            </w:r>
          </w:p>
        </w:tc>
      </w:tr>
      <w:tr w:rsidR="007B492D" w:rsidRPr="00082FBF" w14:paraId="2AB5A809" w14:textId="77777777" w:rsidTr="001B1B81">
        <w:trPr>
          <w:trHeight w:val="178"/>
        </w:trPr>
        <w:tc>
          <w:tcPr>
            <w:tcW w:w="1691" w:type="dxa"/>
            <w:vMerge/>
          </w:tcPr>
          <w:p w14:paraId="36276500" w14:textId="77777777" w:rsidR="007B492D" w:rsidRPr="00082FBF" w:rsidRDefault="007B492D" w:rsidP="00115F19">
            <w:pPr>
              <w:pStyle w:val="Tabletext"/>
              <w:rPr>
                <w:rFonts w:asciiTheme="minorHAnsi" w:hAnsiTheme="minorHAnsi"/>
                <w:b/>
                <w:szCs w:val="19"/>
              </w:rPr>
            </w:pPr>
          </w:p>
        </w:tc>
        <w:tc>
          <w:tcPr>
            <w:tcW w:w="2410" w:type="dxa"/>
          </w:tcPr>
          <w:p w14:paraId="205A860C" w14:textId="49567F79" w:rsidR="007B492D" w:rsidRPr="00082FBF" w:rsidRDefault="00BA6992" w:rsidP="00115F19">
            <w:pPr>
              <w:pStyle w:val="Tabletext"/>
              <w:rPr>
                <w:rFonts w:asciiTheme="minorHAnsi" w:hAnsiTheme="minorHAnsi"/>
                <w:szCs w:val="19"/>
              </w:rPr>
            </w:pPr>
            <w:r w:rsidRPr="00082FBF">
              <w:rPr>
                <w:rFonts w:asciiTheme="minorHAnsi" w:hAnsiTheme="minorHAnsi"/>
                <w:szCs w:val="19"/>
              </w:rPr>
              <w:t xml:space="preserve">Co-administration with meningococcal </w:t>
            </w:r>
            <w:r w:rsidR="007B492D" w:rsidRPr="00082FBF">
              <w:rPr>
                <w:rFonts w:asciiTheme="minorHAnsi" w:hAnsiTheme="minorHAnsi"/>
                <w:szCs w:val="19"/>
              </w:rPr>
              <w:t>B vaccine</w:t>
            </w:r>
          </w:p>
        </w:tc>
        <w:tc>
          <w:tcPr>
            <w:tcW w:w="1276" w:type="dxa"/>
          </w:tcPr>
          <w:p w14:paraId="4BD5340E" w14:textId="77777777" w:rsidR="007B492D" w:rsidRPr="00082FBF" w:rsidRDefault="007B492D" w:rsidP="00115F19">
            <w:pPr>
              <w:pStyle w:val="Tabletext"/>
              <w:jc w:val="center"/>
              <w:rPr>
                <w:rFonts w:asciiTheme="minorHAnsi" w:hAnsiTheme="minorHAnsi"/>
                <w:szCs w:val="19"/>
              </w:rPr>
            </w:pPr>
            <w:r w:rsidRPr="00082FBF">
              <w:rPr>
                <w:rFonts w:asciiTheme="minorHAnsi" w:hAnsiTheme="minorHAnsi"/>
                <w:szCs w:val="19"/>
              </w:rPr>
              <w:sym w:font="Wingdings" w:char="F0FC"/>
            </w:r>
          </w:p>
        </w:tc>
        <w:tc>
          <w:tcPr>
            <w:tcW w:w="1134" w:type="dxa"/>
          </w:tcPr>
          <w:p w14:paraId="4D3AD1AE" w14:textId="77777777" w:rsidR="007B492D" w:rsidRPr="00082FBF" w:rsidRDefault="007B492D" w:rsidP="00115F19">
            <w:pPr>
              <w:pStyle w:val="Tabletext"/>
              <w:jc w:val="center"/>
              <w:rPr>
                <w:rFonts w:asciiTheme="minorHAnsi" w:hAnsiTheme="minorHAnsi"/>
                <w:szCs w:val="19"/>
              </w:rPr>
            </w:pPr>
            <w:r w:rsidRPr="00082FBF">
              <w:rPr>
                <w:rFonts w:asciiTheme="minorHAnsi" w:hAnsiTheme="minorHAnsi"/>
                <w:szCs w:val="19"/>
              </w:rPr>
              <w:sym w:font="Wingdings" w:char="F0FC"/>
            </w:r>
            <w:r w:rsidRPr="00082FBF">
              <w:rPr>
                <w:rFonts w:asciiTheme="minorHAnsi" w:hAnsiTheme="minorHAnsi"/>
                <w:szCs w:val="19"/>
              </w:rPr>
              <w:t>*</w:t>
            </w:r>
          </w:p>
        </w:tc>
        <w:tc>
          <w:tcPr>
            <w:tcW w:w="1276" w:type="dxa"/>
          </w:tcPr>
          <w:p w14:paraId="648ADCD2" w14:textId="77777777" w:rsidR="007B492D" w:rsidRPr="00082FBF" w:rsidRDefault="007B492D" w:rsidP="00115F19">
            <w:pPr>
              <w:pStyle w:val="Tabletext"/>
              <w:jc w:val="center"/>
              <w:rPr>
                <w:rFonts w:asciiTheme="minorHAnsi" w:hAnsiTheme="minorHAnsi"/>
                <w:szCs w:val="19"/>
              </w:rPr>
            </w:pPr>
            <w:r w:rsidRPr="00082FBF">
              <w:rPr>
                <w:rFonts w:asciiTheme="minorHAnsi" w:hAnsiTheme="minorHAnsi"/>
                <w:szCs w:val="19"/>
              </w:rPr>
              <w:sym w:font="Wingdings" w:char="F0FC"/>
            </w:r>
          </w:p>
        </w:tc>
        <w:tc>
          <w:tcPr>
            <w:tcW w:w="1134" w:type="dxa"/>
          </w:tcPr>
          <w:p w14:paraId="3E46519C" w14:textId="219C77CB" w:rsidR="007B492D" w:rsidRPr="00082FBF" w:rsidRDefault="00F52013" w:rsidP="00115F19">
            <w:pPr>
              <w:pStyle w:val="Tabletext"/>
              <w:jc w:val="center"/>
              <w:rPr>
                <w:rFonts w:asciiTheme="minorHAnsi" w:hAnsiTheme="minorHAnsi"/>
                <w:szCs w:val="19"/>
              </w:rPr>
            </w:pPr>
            <w:r w:rsidRPr="00082FBF">
              <w:rPr>
                <w:rFonts w:asciiTheme="minorHAnsi" w:hAnsiTheme="minorHAnsi"/>
                <w:szCs w:val="19"/>
              </w:rPr>
              <w:t>-</w:t>
            </w:r>
          </w:p>
        </w:tc>
      </w:tr>
      <w:tr w:rsidR="007B492D" w:rsidRPr="00082FBF" w14:paraId="3376129D" w14:textId="77777777" w:rsidTr="001B1B81">
        <w:trPr>
          <w:trHeight w:val="178"/>
        </w:trPr>
        <w:tc>
          <w:tcPr>
            <w:tcW w:w="1691" w:type="dxa"/>
            <w:vMerge/>
          </w:tcPr>
          <w:p w14:paraId="15FC3D5C" w14:textId="77777777" w:rsidR="007B492D" w:rsidRPr="00082FBF" w:rsidRDefault="007B492D" w:rsidP="00115F19">
            <w:pPr>
              <w:pStyle w:val="Tabletext"/>
              <w:rPr>
                <w:rFonts w:asciiTheme="minorHAnsi" w:hAnsiTheme="minorHAnsi"/>
                <w:b/>
                <w:szCs w:val="19"/>
              </w:rPr>
            </w:pPr>
          </w:p>
        </w:tc>
        <w:tc>
          <w:tcPr>
            <w:tcW w:w="2410" w:type="dxa"/>
          </w:tcPr>
          <w:p w14:paraId="08CAAEF8" w14:textId="77777777" w:rsidR="007B492D" w:rsidRPr="00082FBF" w:rsidRDefault="007B492D" w:rsidP="00115F19">
            <w:pPr>
              <w:pStyle w:val="Tabletext"/>
              <w:rPr>
                <w:rFonts w:asciiTheme="minorHAnsi" w:hAnsiTheme="minorHAnsi"/>
                <w:szCs w:val="19"/>
              </w:rPr>
            </w:pPr>
            <w:r w:rsidRPr="00082FBF">
              <w:rPr>
                <w:rFonts w:asciiTheme="minorHAnsi" w:hAnsiTheme="minorHAnsi"/>
                <w:szCs w:val="19"/>
              </w:rPr>
              <w:t>Use during pregnancy</w:t>
            </w:r>
          </w:p>
        </w:tc>
        <w:tc>
          <w:tcPr>
            <w:tcW w:w="1276" w:type="dxa"/>
          </w:tcPr>
          <w:p w14:paraId="62A70A94" w14:textId="77777777" w:rsidR="007B492D" w:rsidRPr="00082FBF" w:rsidRDefault="007B492D" w:rsidP="00115F19">
            <w:pPr>
              <w:pStyle w:val="Tabletext"/>
              <w:jc w:val="center"/>
              <w:rPr>
                <w:rFonts w:asciiTheme="minorHAnsi" w:hAnsiTheme="minorHAnsi"/>
                <w:szCs w:val="19"/>
              </w:rPr>
            </w:pPr>
            <w:r w:rsidRPr="00082FBF">
              <w:rPr>
                <w:rFonts w:asciiTheme="minorHAnsi" w:hAnsiTheme="minorHAnsi"/>
                <w:szCs w:val="19"/>
              </w:rPr>
              <w:sym w:font="Wingdings" w:char="F0FC"/>
            </w:r>
          </w:p>
        </w:tc>
        <w:tc>
          <w:tcPr>
            <w:tcW w:w="1134" w:type="dxa"/>
          </w:tcPr>
          <w:p w14:paraId="3D4DA93B" w14:textId="77777777" w:rsidR="007B492D" w:rsidRPr="00082FBF" w:rsidRDefault="007B492D" w:rsidP="00115F19">
            <w:pPr>
              <w:pStyle w:val="Tabletext"/>
              <w:jc w:val="center"/>
              <w:rPr>
                <w:rFonts w:asciiTheme="minorHAnsi" w:hAnsiTheme="minorHAnsi"/>
                <w:szCs w:val="19"/>
              </w:rPr>
            </w:pPr>
            <w:r w:rsidRPr="00082FBF">
              <w:rPr>
                <w:rFonts w:asciiTheme="minorHAnsi" w:hAnsiTheme="minorHAnsi"/>
                <w:szCs w:val="19"/>
              </w:rPr>
              <w:sym w:font="Wingdings" w:char="F0FC"/>
            </w:r>
            <w:r w:rsidRPr="00082FBF">
              <w:rPr>
                <w:rFonts w:asciiTheme="minorHAnsi" w:hAnsiTheme="minorHAnsi"/>
                <w:szCs w:val="19"/>
                <w:vertAlign w:val="superscript"/>
              </w:rPr>
              <w:t>#</w:t>
            </w:r>
          </w:p>
        </w:tc>
        <w:tc>
          <w:tcPr>
            <w:tcW w:w="1276" w:type="dxa"/>
          </w:tcPr>
          <w:p w14:paraId="676211A0" w14:textId="77777777" w:rsidR="007B492D" w:rsidRPr="00082FBF" w:rsidRDefault="007B492D" w:rsidP="00115F19">
            <w:pPr>
              <w:pStyle w:val="Tabletext"/>
              <w:jc w:val="center"/>
              <w:rPr>
                <w:rFonts w:asciiTheme="minorHAnsi" w:hAnsiTheme="minorHAnsi"/>
                <w:szCs w:val="19"/>
              </w:rPr>
            </w:pPr>
            <w:r w:rsidRPr="00082FBF">
              <w:rPr>
                <w:rFonts w:asciiTheme="minorHAnsi" w:hAnsiTheme="minorHAnsi"/>
                <w:szCs w:val="19"/>
              </w:rPr>
              <w:sym w:font="Wingdings" w:char="F0FC"/>
            </w:r>
          </w:p>
        </w:tc>
        <w:tc>
          <w:tcPr>
            <w:tcW w:w="1134" w:type="dxa"/>
          </w:tcPr>
          <w:p w14:paraId="384B151F" w14:textId="1CF83386" w:rsidR="007B492D" w:rsidRPr="00082FBF" w:rsidRDefault="00F52013" w:rsidP="00115F19">
            <w:pPr>
              <w:pStyle w:val="Tabletext"/>
              <w:jc w:val="center"/>
              <w:rPr>
                <w:rFonts w:asciiTheme="minorHAnsi" w:hAnsiTheme="minorHAnsi"/>
                <w:szCs w:val="19"/>
              </w:rPr>
            </w:pPr>
            <w:r w:rsidRPr="00082FBF">
              <w:rPr>
                <w:rFonts w:asciiTheme="minorHAnsi" w:hAnsiTheme="minorHAnsi"/>
                <w:szCs w:val="19"/>
              </w:rPr>
              <w:t>-</w:t>
            </w:r>
          </w:p>
        </w:tc>
      </w:tr>
    </w:tbl>
    <w:p w14:paraId="5F2A7EF8" w14:textId="1E122037" w:rsidR="007B492D" w:rsidRPr="00082FBF" w:rsidRDefault="007B492D" w:rsidP="00BA6992">
      <w:pPr>
        <w:pStyle w:val="TableDescription"/>
      </w:pPr>
      <w:r w:rsidRPr="00082FBF">
        <w:t>*Overseas clinical trials</w:t>
      </w:r>
      <w:r w:rsidRPr="00082FBF">
        <w:br/>
      </w:r>
      <w:r w:rsidRPr="00082FBF">
        <w:rPr>
          <w:vertAlign w:val="superscript"/>
        </w:rPr>
        <w:t>#</w:t>
      </w:r>
      <w:r w:rsidRPr="00082FBF">
        <w:t>Pregnancy regi</w:t>
      </w:r>
      <w:r w:rsidR="003F4C5B" w:rsidRPr="00082FBF">
        <w:t>stry</w:t>
      </w:r>
    </w:p>
    <w:p w14:paraId="7C55C79B" w14:textId="1C6B76C9" w:rsidR="007B492D" w:rsidRPr="00082FBF" w:rsidRDefault="007B492D" w:rsidP="00BA6992">
      <w:pPr>
        <w:pStyle w:val="ListBullet"/>
      </w:pPr>
      <w:r w:rsidRPr="00082FBF">
        <w:t>Justifying the absence of important identified risks or important potential risks, the EU</w:t>
      </w:r>
      <w:r w:rsidR="00BA6992" w:rsidRPr="00082FBF">
        <w:t>-</w:t>
      </w:r>
      <w:r w:rsidRPr="00082FBF">
        <w:t xml:space="preserve">RMP states that the summary of safety concerns has been prepared in accordance with </w:t>
      </w:r>
      <w:r w:rsidR="00BA6992" w:rsidRPr="00082FBF">
        <w:t>Good Pharmacovigilance Practices (</w:t>
      </w:r>
      <w:r w:rsidRPr="00082FBF">
        <w:t>GVP</w:t>
      </w:r>
      <w:r w:rsidR="00BA6992" w:rsidRPr="00082FBF">
        <w:t>)</w:t>
      </w:r>
      <w:r w:rsidRPr="00082FBF">
        <w:t xml:space="preserve"> Module V Rev 2. The sponsor states that it will monitor and review several other risks that are relevant for this product and report through </w:t>
      </w:r>
      <w:r w:rsidR="00BA6992" w:rsidRPr="00082FBF">
        <w:t>periodic safety update reports (</w:t>
      </w:r>
      <w:r w:rsidRPr="00082FBF">
        <w:t>PSURs</w:t>
      </w:r>
      <w:r w:rsidR="00BA6992" w:rsidRPr="00082FBF">
        <w:t>)</w:t>
      </w:r>
      <w:r w:rsidRPr="00082FBF">
        <w:t>.</w:t>
      </w:r>
      <w:r w:rsidR="00940E82" w:rsidRPr="00082FBF">
        <w:rPr>
          <w:rStyle w:val="FootnoteReference"/>
        </w:rPr>
        <w:footnoteReference w:id="14"/>
      </w:r>
      <w:r w:rsidRPr="00082FBF">
        <w:t xml:space="preserve"> The summary of safety concerns is acce</w:t>
      </w:r>
      <w:r w:rsidR="003F4C5B" w:rsidRPr="00082FBF">
        <w:t>ptable from an RMP perspective.</w:t>
      </w:r>
    </w:p>
    <w:p w14:paraId="01D78B82" w14:textId="7FB5A516" w:rsidR="007B492D" w:rsidRPr="00082FBF" w:rsidRDefault="007B492D" w:rsidP="00F52013">
      <w:pPr>
        <w:pStyle w:val="ListBullet"/>
      </w:pPr>
      <w:r w:rsidRPr="00082FBF">
        <w:t>Routine and additional pharmacovigilance activities have been proposed to monitor the missing information included in the safety summary. The sponsor states that the findings of these clinical trials are applicable to Australia. The proposed pharmacovigilance plan is acce</w:t>
      </w:r>
      <w:r w:rsidR="003F4C5B" w:rsidRPr="00082FBF">
        <w:t>ptable from an RMP perspective.</w:t>
      </w:r>
    </w:p>
    <w:p w14:paraId="450FB9FE" w14:textId="6201D53A" w:rsidR="007B492D" w:rsidRPr="00082FBF" w:rsidRDefault="007B492D" w:rsidP="00F52013">
      <w:pPr>
        <w:pStyle w:val="ListBullet"/>
      </w:pPr>
      <w:r w:rsidRPr="00082FBF">
        <w:t>Only routine risk minimisation activities have been propose</w:t>
      </w:r>
      <w:r w:rsidR="003F4C5B" w:rsidRPr="00082FBF">
        <w:t>d. This is acceptable.</w:t>
      </w:r>
    </w:p>
    <w:p w14:paraId="5A886825" w14:textId="77777777" w:rsidR="008E7846" w:rsidRPr="00082FBF" w:rsidRDefault="00AA0ED0" w:rsidP="008E7846">
      <w:pPr>
        <w:pStyle w:val="Heading3"/>
      </w:pPr>
      <w:bookmarkStart w:id="66" w:name="_Toc247691531"/>
      <w:bookmarkStart w:id="67" w:name="_Toc314842515"/>
      <w:bookmarkStart w:id="68" w:name="_Toc67390285"/>
      <w:bookmarkStart w:id="69" w:name="_Toc196046505"/>
      <w:bookmarkStart w:id="70" w:name="_Toc196046949"/>
      <w:r w:rsidRPr="00082FBF">
        <w:t>Risk-benefit a</w:t>
      </w:r>
      <w:r w:rsidR="008E7846" w:rsidRPr="00082FBF">
        <w:t>nalysis</w:t>
      </w:r>
      <w:bookmarkEnd w:id="66"/>
      <w:bookmarkEnd w:id="67"/>
      <w:bookmarkEnd w:id="68"/>
    </w:p>
    <w:p w14:paraId="3E103393" w14:textId="77777777" w:rsidR="00D23139" w:rsidRPr="00082FBF" w:rsidRDefault="007D53B6" w:rsidP="00D23139">
      <w:pPr>
        <w:pStyle w:val="Heading4"/>
      </w:pPr>
      <w:r w:rsidRPr="00082FBF">
        <w:t>Delegate’s considerations</w:t>
      </w:r>
    </w:p>
    <w:p w14:paraId="294C05A4" w14:textId="0FF3BF74" w:rsidR="00774D40" w:rsidRPr="00082FBF" w:rsidRDefault="00774D40" w:rsidP="008177AA">
      <w:pPr>
        <w:pStyle w:val="ListBullet"/>
      </w:pPr>
      <w:r w:rsidRPr="00082FBF">
        <w:t xml:space="preserve">The highly virulent bacterium </w:t>
      </w:r>
      <w:r w:rsidRPr="00082FBF">
        <w:rPr>
          <w:i/>
        </w:rPr>
        <w:t>N</w:t>
      </w:r>
      <w:r w:rsidR="00D07A08" w:rsidRPr="00082FBF">
        <w:rPr>
          <w:i/>
        </w:rPr>
        <w:t>.</w:t>
      </w:r>
      <w:r w:rsidRPr="00082FBF">
        <w:rPr>
          <w:i/>
        </w:rPr>
        <w:t xml:space="preserve"> </w:t>
      </w:r>
      <w:r w:rsidR="00D65A89" w:rsidRPr="00082FBF">
        <w:rPr>
          <w:i/>
        </w:rPr>
        <w:t>meningitid</w:t>
      </w:r>
      <w:r w:rsidR="00D65A89">
        <w:rPr>
          <w:i/>
        </w:rPr>
        <w:t>i</w:t>
      </w:r>
      <w:r w:rsidR="00D65A89" w:rsidRPr="00082FBF">
        <w:rPr>
          <w:i/>
        </w:rPr>
        <w:t>s</w:t>
      </w:r>
      <w:r w:rsidR="00D07A08" w:rsidRPr="00082FBF">
        <w:t xml:space="preserve">, an obligate aerobic Gram </w:t>
      </w:r>
      <w:r w:rsidRPr="00082FBF">
        <w:t>negative cocci, is t</w:t>
      </w:r>
      <w:r w:rsidR="00D07A08" w:rsidRPr="00082FBF">
        <w:t>he responsible organism for IMD. That is,</w:t>
      </w:r>
      <w:r w:rsidRPr="00082FBF">
        <w:t xml:space="preserve"> meningitis, septicaemia and disseminated infection which can be rapidly fatal or leave serious sequelae despite timely treatment.</w:t>
      </w:r>
    </w:p>
    <w:p w14:paraId="64812A42" w14:textId="0AE475CD" w:rsidR="00774D40" w:rsidRPr="00082FBF" w:rsidRDefault="00774D40" w:rsidP="00774D40">
      <w:r w:rsidRPr="00082FBF">
        <w:t xml:space="preserve">The epidemiology is well known with prominent spikes </w:t>
      </w:r>
      <w:r w:rsidR="00D07A08" w:rsidRPr="00082FBF">
        <w:t>in incidence in children under five</w:t>
      </w:r>
      <w:r w:rsidRPr="00082FBF">
        <w:t xml:space="preserve"> y</w:t>
      </w:r>
      <w:r w:rsidR="001C0DDF" w:rsidRPr="00082FBF">
        <w:t>ears of age and in adolescents and</w:t>
      </w:r>
      <w:r w:rsidR="00D07A08" w:rsidRPr="00082FBF">
        <w:t xml:space="preserve"> young adults 15 to </w:t>
      </w:r>
      <w:r w:rsidRPr="00082FBF">
        <w:t>19 years of age. However, sporadic disease can occur in all ages. Humans are the only natural host. No other reservoirs or spore forming forms exist. As much as 10% population may be asymptomatic oropharyngeal carriers.</w:t>
      </w:r>
    </w:p>
    <w:p w14:paraId="4A3F2355" w14:textId="77777777" w:rsidR="00774D40" w:rsidRPr="00082FBF" w:rsidRDefault="00774D40" w:rsidP="00774D40">
      <w:r w:rsidRPr="00082FBF">
        <w:t>The capsular polysaccharide vaccines confer exclusively humoral immunity.</w:t>
      </w:r>
    </w:p>
    <w:p w14:paraId="733B494B" w14:textId="48BC421B" w:rsidR="00774D40" w:rsidRPr="00082FBF" w:rsidRDefault="00774D40" w:rsidP="008177AA">
      <w:pPr>
        <w:pStyle w:val="ListBullet"/>
      </w:pPr>
      <w:r w:rsidRPr="00082FBF">
        <w:t>No particular scientific or clinical rationale has been offered for the new vaccine MenQuadfi. It appears to be a standard commercial update so that the vaccine product now has 40 µg total ACYW polysaccharide antigen content (10 µg of each).</w:t>
      </w:r>
    </w:p>
    <w:p w14:paraId="4477C525" w14:textId="2BC4F4C1" w:rsidR="00774D40" w:rsidRPr="00082FBF" w:rsidRDefault="00774D40" w:rsidP="008177AA">
      <w:pPr>
        <w:pStyle w:val="ListBullet"/>
      </w:pPr>
      <w:r w:rsidRPr="00082FBF">
        <w:t>Establishing non-inferiority with the current polysaccharide ACYW conjugated vaccines was the objective of the clinical development program.</w:t>
      </w:r>
    </w:p>
    <w:p w14:paraId="41D302DE" w14:textId="51E0CE73" w:rsidR="00774D40" w:rsidRPr="00082FBF" w:rsidRDefault="00774D40" w:rsidP="00774D40">
      <w:r w:rsidRPr="00082FBF">
        <w:t xml:space="preserve">The comparators included </w:t>
      </w:r>
      <w:r w:rsidR="00492141" w:rsidRPr="00082FBF">
        <w:t xml:space="preserve">Nimenrix </w:t>
      </w:r>
      <w:r w:rsidRPr="00082FBF">
        <w:t xml:space="preserve">in toddlers, </w:t>
      </w:r>
      <w:r w:rsidR="00492141" w:rsidRPr="00082FBF">
        <w:t xml:space="preserve">Menveo </w:t>
      </w:r>
      <w:r w:rsidRPr="00082FBF">
        <w:t>in children and adoles</w:t>
      </w:r>
      <w:r w:rsidR="001C0DDF" w:rsidRPr="00082FBF">
        <w:t xml:space="preserve">cents, </w:t>
      </w:r>
      <w:r w:rsidR="00492141" w:rsidRPr="00082FBF">
        <w:t xml:space="preserve">Menactra </w:t>
      </w:r>
      <w:r w:rsidR="001C0DDF" w:rsidRPr="00082FBF">
        <w:t>in adolescents and</w:t>
      </w:r>
      <w:r w:rsidRPr="00082FBF">
        <w:t xml:space="preserve"> a</w:t>
      </w:r>
      <w:r w:rsidR="001C0DDF" w:rsidRPr="00082FBF">
        <w:t xml:space="preserve">dults, and </w:t>
      </w:r>
      <w:r w:rsidR="00492141" w:rsidRPr="00082FBF">
        <w:t xml:space="preserve">Menomune </w:t>
      </w:r>
      <w:r w:rsidR="001C0DDF" w:rsidRPr="00082FBF">
        <w:t>in elderly and</w:t>
      </w:r>
      <w:r w:rsidRPr="00082FBF">
        <w:t xml:space="preserve"> older adults with objective of demonstrating on-inferiority based on proportion of subjects achieving protective hSBA titres ≥</w:t>
      </w:r>
      <w:r w:rsidR="00D07A08" w:rsidRPr="00082FBF">
        <w:t xml:space="preserve"> </w:t>
      </w:r>
      <w:r w:rsidRPr="00082FBF">
        <w:t>1/8 at 30 days post-vaccination timepoint.</w:t>
      </w:r>
    </w:p>
    <w:p w14:paraId="5721E41A" w14:textId="1D172B52" w:rsidR="00774D40" w:rsidRPr="00082FBF" w:rsidRDefault="00774D40" w:rsidP="008177AA">
      <w:pPr>
        <w:pStyle w:val="ListBullet"/>
      </w:pPr>
      <w:r w:rsidRPr="00082FBF">
        <w:t>The MenQuadfi final formulation, intended for commercialisation, was used in all confirmatory clinical trials. A consistent feature of MenQuadfi, in all trials across all age groups, was extremely high immune response in serogroup C against all comparators. The clinical significance of this formulation effect is unknown.</w:t>
      </w:r>
    </w:p>
    <w:p w14:paraId="4A389109" w14:textId="75CC60A5" w:rsidR="00774D40" w:rsidRPr="00082FBF" w:rsidRDefault="001C0DDF" w:rsidP="008177AA">
      <w:pPr>
        <w:pStyle w:val="ListBullet"/>
      </w:pPr>
      <w:r w:rsidRPr="00082FBF">
        <w:t>Immunogenicity and</w:t>
      </w:r>
      <w:r w:rsidR="00774D40" w:rsidRPr="00082FBF">
        <w:t xml:space="preserve"> reactogenicity data support the use of single dose for primary vaccin</w:t>
      </w:r>
      <w:r w:rsidR="00DB1B82" w:rsidRPr="00082FBF">
        <w:t>ation (implies meningococcal nai</w:t>
      </w:r>
      <w:r w:rsidR="00774D40" w:rsidRPr="00082FBF">
        <w:t xml:space="preserve">ve or not </w:t>
      </w:r>
      <w:r w:rsidR="00D07A08" w:rsidRPr="00082FBF">
        <w:t>primed) from 12 months of age (Study MET51) and above (S</w:t>
      </w:r>
      <w:r w:rsidR="00774D40" w:rsidRPr="00082FBF">
        <w:t>tud</w:t>
      </w:r>
      <w:r w:rsidR="005A2F65" w:rsidRPr="00082FBF">
        <w:t>ies</w:t>
      </w:r>
      <w:r w:rsidR="00774D40" w:rsidRPr="00082FBF">
        <w:t xml:space="preserve"> MET35, MET50, MET43 and MET49).</w:t>
      </w:r>
    </w:p>
    <w:p w14:paraId="7720ED11" w14:textId="0222BD7D" w:rsidR="00774D40" w:rsidRPr="00082FBF" w:rsidRDefault="00774D40" w:rsidP="00774D40">
      <w:r w:rsidRPr="00082FBF">
        <w:t>However, there may be</w:t>
      </w:r>
      <w:r w:rsidR="00DB1B82" w:rsidRPr="00082FBF">
        <w:t xml:space="preserve"> an argument for approval in nai</w:t>
      </w:r>
      <w:r w:rsidRPr="00082FBF">
        <w:t xml:space="preserve">ve population </w:t>
      </w:r>
      <w:r w:rsidR="00D07A08" w:rsidRPr="00082FBF">
        <w:t>from 24 months of age onwards (S</w:t>
      </w:r>
      <w:r w:rsidRPr="00082FBF">
        <w:t>tudy MET35) and consider the toddlers and infant (not part of this submission) data together more comprehensively in a future submission.</w:t>
      </w:r>
    </w:p>
    <w:p w14:paraId="4533AD78" w14:textId="7D02AD81" w:rsidR="00774D40" w:rsidRPr="00082FBF" w:rsidRDefault="00774D40" w:rsidP="00774D40">
      <w:r w:rsidRPr="00082FBF">
        <w:t>Ongoing or futur</w:t>
      </w:r>
      <w:r w:rsidR="00D07A08" w:rsidRPr="00082FBF">
        <w:t>e studies of MenQuadfi include S</w:t>
      </w:r>
      <w:r w:rsidRPr="00082FBF">
        <w:t>tudy MET41 in infants</w:t>
      </w:r>
      <w:r w:rsidR="00D07A08" w:rsidRPr="00082FBF">
        <w:t xml:space="preserve"> or toddlers six</w:t>
      </w:r>
      <w:r w:rsidRPr="00082FBF">
        <w:t xml:space="preserve"> weeks to</w:t>
      </w:r>
      <w:r w:rsidR="00D07A08" w:rsidRPr="00082FBF">
        <w:t xml:space="preserve"> 12 months of age evaluating a four dose series, Study MET42 in infants or toddlers six</w:t>
      </w:r>
      <w:r w:rsidRPr="00082FBF">
        <w:t xml:space="preserve"> weeks to</w:t>
      </w:r>
      <w:r w:rsidR="00D07A08" w:rsidRPr="00082FBF">
        <w:t xml:space="preserve"> 18 months of age evaluating a four dose series and Study MET61 in infants or toddlers six</w:t>
      </w:r>
      <w:r w:rsidRPr="00082FBF">
        <w:t xml:space="preserve"> months to</w:t>
      </w:r>
      <w:r w:rsidR="00D07A08" w:rsidRPr="00082FBF">
        <w:t xml:space="preserve"> 23 months of age evaluating a two</w:t>
      </w:r>
      <w:r w:rsidRPr="00082FBF">
        <w:t xml:space="preserve"> dose series.</w:t>
      </w:r>
    </w:p>
    <w:p w14:paraId="6A92BE04" w14:textId="4E0E4212" w:rsidR="00774D40" w:rsidRPr="00082FBF" w:rsidRDefault="001C0DDF" w:rsidP="008177AA">
      <w:pPr>
        <w:pStyle w:val="ListBullet"/>
      </w:pPr>
      <w:r w:rsidRPr="00082FBF">
        <w:t>Immunogenicity and</w:t>
      </w:r>
      <w:r w:rsidR="00774D40" w:rsidRPr="00082FBF">
        <w:t xml:space="preserve"> reactogenicity data support the use of MenQuadfi as single dose booster (implies mening</w:t>
      </w:r>
      <w:r w:rsidRPr="00082FBF">
        <w:t>ococcal primed) in adolescents and</w:t>
      </w:r>
      <w:r w:rsidR="00774D40" w:rsidRPr="00082FBF">
        <w:t xml:space="preserve"> adults from 15 y</w:t>
      </w:r>
      <w:r w:rsidR="00D07A08" w:rsidRPr="00082FBF">
        <w:t>ears of age and above based on S</w:t>
      </w:r>
      <w:r w:rsidR="00774D40" w:rsidRPr="00082FBF">
        <w:t>tudy MET56.</w:t>
      </w:r>
    </w:p>
    <w:p w14:paraId="1A908F19" w14:textId="3A5A3548" w:rsidR="00774D40" w:rsidRPr="00082FBF" w:rsidRDefault="00774D40" w:rsidP="00774D40">
      <w:r w:rsidRPr="00082FBF">
        <w:t>Booster dosing in primed toddlers from 12 months of age is not supported based on poor re</w:t>
      </w:r>
      <w:r w:rsidR="005A2F65" w:rsidRPr="00082FBF">
        <w:t>sponse in serogroup A noted in S</w:t>
      </w:r>
      <w:r w:rsidRPr="00082FBF">
        <w:t>tudy MET51.</w:t>
      </w:r>
    </w:p>
    <w:p w14:paraId="36CE7E49" w14:textId="5F0EAE23" w:rsidR="00774D40" w:rsidRPr="00082FBF" w:rsidRDefault="00774D40" w:rsidP="00774D40">
      <w:r w:rsidRPr="00082FBF">
        <w:t>The ch</w:t>
      </w:r>
      <w:r w:rsidR="005A2F65" w:rsidRPr="00082FBF">
        <w:t>ildren, adolescents and adults S</w:t>
      </w:r>
      <w:r w:rsidRPr="00082FBF">
        <w:t>tudies MET35, MET50 and MET43 wer</w:t>
      </w:r>
      <w:r w:rsidR="00DB1B82" w:rsidRPr="00082FBF">
        <w:t>e conducted in meningococcal nai</w:t>
      </w:r>
      <w:r w:rsidRPr="00082FBF">
        <w:t xml:space="preserve">ve subjects only. Hence, the confirmatory data on boosting is based on </w:t>
      </w:r>
      <w:r w:rsidR="001D7C35">
        <w:t>S</w:t>
      </w:r>
      <w:r w:rsidRPr="00082FBF">
        <w:t>tudy MET56 in primed subjects ≥</w:t>
      </w:r>
      <w:r w:rsidR="005A2F65" w:rsidRPr="00082FBF">
        <w:t xml:space="preserve"> </w:t>
      </w:r>
      <w:r w:rsidRPr="00082FBF">
        <w:t>15 years of age and above.</w:t>
      </w:r>
    </w:p>
    <w:p w14:paraId="2ACF85F2" w14:textId="7AAB968C" w:rsidR="00774D40" w:rsidRPr="00082FBF" w:rsidRDefault="00774D40" w:rsidP="008177AA">
      <w:pPr>
        <w:pStyle w:val="ListBullet"/>
      </w:pPr>
      <w:r w:rsidRPr="00082FBF">
        <w:t>The safety profile in all the studies were comparable to registered ACWY vaccines. The dataset is too limited to estimate occurrence of rare adverse effects or any long-term suspected adverse effects of regulatory interest. At present, no post-market data are available.</w:t>
      </w:r>
    </w:p>
    <w:p w14:paraId="1323BA82" w14:textId="7C4F581C" w:rsidR="00774D40" w:rsidRPr="00082FBF" w:rsidRDefault="00774D40" w:rsidP="00801657">
      <w:pPr>
        <w:pStyle w:val="ListBullet"/>
      </w:pPr>
      <w:r w:rsidRPr="00082FBF">
        <w:t>A simplified indication and clinical trials evidence based vaccine sche</w:t>
      </w:r>
      <w:r w:rsidR="00411288" w:rsidRPr="00082FBF">
        <w:t>dule by age is proposed by the D</w:t>
      </w:r>
      <w:r w:rsidRPr="00082FBF">
        <w:t xml:space="preserve">elegate below for consideration by the </w:t>
      </w:r>
      <w:r w:rsidR="00801657" w:rsidRPr="00082FBF">
        <w:t>Advisory Committee on Vaccine (</w:t>
      </w:r>
      <w:r w:rsidRPr="00082FBF">
        <w:t>ACV</w:t>
      </w:r>
      <w:r w:rsidR="00801657" w:rsidRPr="00082FBF">
        <w:t>)</w:t>
      </w:r>
      <w:r w:rsidRPr="00082FBF">
        <w:t>.</w:t>
      </w:r>
    </w:p>
    <w:p w14:paraId="61C90138" w14:textId="77777777" w:rsidR="00D23139" w:rsidRPr="00082FBF" w:rsidRDefault="00D23139" w:rsidP="00D23139">
      <w:pPr>
        <w:pStyle w:val="Heading4"/>
      </w:pPr>
      <w:r w:rsidRPr="00082FBF">
        <w:t>Proposed action</w:t>
      </w:r>
    </w:p>
    <w:p w14:paraId="4D594C5F" w14:textId="7EE08B95" w:rsidR="00292C22" w:rsidRPr="00082FBF" w:rsidRDefault="00411288" w:rsidP="00292C22">
      <w:r w:rsidRPr="00082FBF">
        <w:t>The D</w:t>
      </w:r>
      <w:r w:rsidR="00292C22" w:rsidRPr="00082FBF">
        <w:t>elegate proposes indication as follows:</w:t>
      </w:r>
    </w:p>
    <w:p w14:paraId="75D3BEC9" w14:textId="1BB2AAC1" w:rsidR="00292C22" w:rsidRPr="000D5EB2" w:rsidRDefault="00292C22" w:rsidP="000D5EB2">
      <w:pPr>
        <w:ind w:left="720"/>
        <w:rPr>
          <w:i/>
        </w:rPr>
      </w:pPr>
      <w:r w:rsidRPr="000D5EB2">
        <w:rPr>
          <w:i/>
        </w:rPr>
        <w:t xml:space="preserve">MenQuadfi is indicated for active immunisation against invasive meningococcal disease caused by </w:t>
      </w:r>
      <w:r w:rsidRPr="00B80CCA">
        <w:rPr>
          <w:i/>
        </w:rPr>
        <w:t>N</w:t>
      </w:r>
      <w:r w:rsidR="00D26456">
        <w:rPr>
          <w:i/>
        </w:rPr>
        <w:t>e</w:t>
      </w:r>
      <w:r w:rsidRPr="00B80CCA">
        <w:rPr>
          <w:i/>
        </w:rPr>
        <w:t>isseria meningitidis</w:t>
      </w:r>
      <w:r w:rsidRPr="000D5EB2">
        <w:rPr>
          <w:i/>
        </w:rPr>
        <w:t xml:space="preserve"> serogroups A, C, W and Y.</w:t>
      </w:r>
    </w:p>
    <w:p w14:paraId="574B22E6" w14:textId="77777777" w:rsidR="00292C22" w:rsidRPr="00082FBF" w:rsidRDefault="00292C22" w:rsidP="000D5EB2">
      <w:pPr>
        <w:ind w:left="720"/>
      </w:pPr>
      <w:r w:rsidRPr="000D5EB2">
        <w:rPr>
          <w:i/>
        </w:rPr>
        <w:t>The use of MenQuadfi should be in accordance with the official recommendations.</w:t>
      </w:r>
    </w:p>
    <w:p w14:paraId="7886B163" w14:textId="04229E1B" w:rsidR="00292C22" w:rsidRPr="00082FBF" w:rsidRDefault="00411288" w:rsidP="00292C22">
      <w:r w:rsidRPr="00082FBF">
        <w:t>The D</w:t>
      </w:r>
      <w:r w:rsidR="00292C22" w:rsidRPr="00082FBF">
        <w:t>elegate proposed vaccination schedule as follows:</w:t>
      </w:r>
    </w:p>
    <w:p w14:paraId="62500904" w14:textId="77777777" w:rsidR="00292C22" w:rsidRPr="00082FBF" w:rsidRDefault="00292C22" w:rsidP="00292C22">
      <w:r w:rsidRPr="00082FBF">
        <w:t>Primary vaccination</w:t>
      </w:r>
    </w:p>
    <w:p w14:paraId="3376C794" w14:textId="58DC74BF" w:rsidR="00292C22" w:rsidRPr="00082FBF" w:rsidRDefault="00292C22" w:rsidP="000D5EB2">
      <w:pPr>
        <w:pStyle w:val="ListBullet"/>
      </w:pPr>
      <w:r w:rsidRPr="00082FBF">
        <w:t>Individuals 12 months of age and older receive a single dose.</w:t>
      </w:r>
    </w:p>
    <w:p w14:paraId="6ED34C88" w14:textId="77777777" w:rsidR="00292C22" w:rsidRPr="00082FBF" w:rsidRDefault="00292C22" w:rsidP="00292C22">
      <w:r w:rsidRPr="00082FBF">
        <w:t>Booster vaccination</w:t>
      </w:r>
    </w:p>
    <w:p w14:paraId="3B2C0075" w14:textId="40F25716" w:rsidR="00292C22" w:rsidRPr="00082FBF" w:rsidRDefault="00292C22" w:rsidP="000D5EB2">
      <w:pPr>
        <w:pStyle w:val="ListBullet"/>
      </w:pPr>
      <w:r w:rsidRPr="00082FBF">
        <w:t>Individual 15 years of age and older receive a single dose.</w:t>
      </w:r>
    </w:p>
    <w:p w14:paraId="509DAEA8" w14:textId="221A5682" w:rsidR="00292C22" w:rsidRPr="00082FBF" w:rsidRDefault="00292C22" w:rsidP="00292C22">
      <w:r w:rsidRPr="00082FBF">
        <w:t>The use of MenQuadfi should be in accordance with the official recommendations.</w:t>
      </w:r>
    </w:p>
    <w:p w14:paraId="4831A590" w14:textId="77777777" w:rsidR="008E7846" w:rsidRPr="00082FBF" w:rsidRDefault="008E7846" w:rsidP="007D53B6">
      <w:pPr>
        <w:pStyle w:val="Heading4"/>
      </w:pPr>
      <w:r w:rsidRPr="00082FBF">
        <w:t xml:space="preserve">Advisory Committee </w:t>
      </w:r>
      <w:r w:rsidR="007D53B6" w:rsidRPr="00082FBF">
        <w:t>c</w:t>
      </w:r>
      <w:r w:rsidRPr="00082FBF">
        <w:t>onsiderations</w:t>
      </w:r>
      <w:bookmarkStart w:id="71" w:name="_Ref63158014"/>
      <w:r w:rsidR="00456765" w:rsidRPr="00082FBF">
        <w:rPr>
          <w:rStyle w:val="FootnoteReference"/>
        </w:rPr>
        <w:footnoteReference w:id="15"/>
      </w:r>
      <w:bookmarkEnd w:id="71"/>
    </w:p>
    <w:p w14:paraId="33A95988" w14:textId="2203B54C" w:rsidR="00744121" w:rsidRPr="00082FBF" w:rsidRDefault="00744121" w:rsidP="00744121">
      <w:pPr>
        <w:rPr>
          <w:bCs/>
        </w:rPr>
      </w:pPr>
      <w:bookmarkStart w:id="72" w:name="_Toc247691532"/>
      <w:bookmarkStart w:id="73" w:name="_Toc314842516"/>
      <w:bookmarkEnd w:id="30"/>
      <w:bookmarkEnd w:id="69"/>
      <w:bookmarkEnd w:id="70"/>
      <w:r w:rsidRPr="00082FBF">
        <w:rPr>
          <w:bCs/>
        </w:rPr>
        <w:t xml:space="preserve">The </w:t>
      </w:r>
      <w:r w:rsidR="001D7C35">
        <w:rPr>
          <w:bCs/>
        </w:rPr>
        <w:t>Advisory Committee on Vaccines (</w:t>
      </w:r>
      <w:r w:rsidRPr="00082FBF">
        <w:rPr>
          <w:bCs/>
        </w:rPr>
        <w:t>AC</w:t>
      </w:r>
      <w:r w:rsidR="003D55C3" w:rsidRPr="00082FBF">
        <w:rPr>
          <w:bCs/>
        </w:rPr>
        <w:t>V</w:t>
      </w:r>
      <w:r w:rsidR="001D7C35">
        <w:rPr>
          <w:bCs/>
        </w:rPr>
        <w:t>)</w:t>
      </w:r>
      <w:r w:rsidRPr="00082FBF">
        <w:rPr>
          <w:bCs/>
        </w:rPr>
        <w:t xml:space="preserve"> having considered the evaluations and the Delegate’s overview, as well as the sponsor’s response to these documents, advised the following.</w:t>
      </w:r>
    </w:p>
    <w:p w14:paraId="02DC968B" w14:textId="3A595E5C" w:rsidR="00744121" w:rsidRPr="00082FBF" w:rsidRDefault="00744121" w:rsidP="00744121">
      <w:pPr>
        <w:pStyle w:val="Heading5"/>
      </w:pPr>
      <w:r w:rsidRPr="00082FBF">
        <w:t xml:space="preserve">Specific advice to the </w:t>
      </w:r>
      <w:r w:rsidR="008D3CC5">
        <w:t>d</w:t>
      </w:r>
      <w:r w:rsidRPr="00082FBF">
        <w:t>elegate</w:t>
      </w:r>
    </w:p>
    <w:p w14:paraId="52EA1177" w14:textId="7D2A6B1B" w:rsidR="00523EBD" w:rsidRPr="00082FBF" w:rsidRDefault="00523EBD" w:rsidP="00523EBD">
      <w:pPr>
        <w:pStyle w:val="Numberbullet0"/>
        <w:rPr>
          <w:b/>
          <w:i/>
        </w:rPr>
      </w:pPr>
      <w:r w:rsidRPr="00082FBF">
        <w:rPr>
          <w:b/>
          <w:i/>
        </w:rPr>
        <w:t>Immunogenicity and reactogenicity data support the use of single dose for primary vaccin</w:t>
      </w:r>
      <w:r w:rsidR="00DB1B82" w:rsidRPr="00082FBF">
        <w:rPr>
          <w:b/>
          <w:i/>
        </w:rPr>
        <w:t>ation (implies meningococcal nai</w:t>
      </w:r>
      <w:r w:rsidRPr="00082FBF">
        <w:rPr>
          <w:b/>
          <w:i/>
        </w:rPr>
        <w:t>ve) fr</w:t>
      </w:r>
      <w:r w:rsidR="00801657" w:rsidRPr="00082FBF">
        <w:rPr>
          <w:b/>
          <w:i/>
        </w:rPr>
        <w:t>om 12 months of age and above (S</w:t>
      </w:r>
      <w:r w:rsidRPr="00082FBF">
        <w:rPr>
          <w:b/>
          <w:i/>
        </w:rPr>
        <w:t>tudy MET51).</w:t>
      </w:r>
    </w:p>
    <w:p w14:paraId="1B16099E" w14:textId="7C5F3D4D" w:rsidR="00523EBD" w:rsidRPr="00082FBF" w:rsidRDefault="00523EBD" w:rsidP="00523EBD">
      <w:pPr>
        <w:pStyle w:val="Numberbullet0"/>
        <w:numPr>
          <w:ilvl w:val="0"/>
          <w:numId w:val="0"/>
        </w:numPr>
        <w:ind w:left="425"/>
        <w:rPr>
          <w:b/>
          <w:i/>
        </w:rPr>
      </w:pPr>
      <w:r w:rsidRPr="00082FBF">
        <w:rPr>
          <w:b/>
          <w:i/>
        </w:rPr>
        <w:t>However, there may be an argument for approval from 24 months of age</w:t>
      </w:r>
      <w:r w:rsidR="00801657" w:rsidRPr="00082FBF">
        <w:rPr>
          <w:b/>
          <w:i/>
        </w:rPr>
        <w:t xml:space="preserve"> onwards (S</w:t>
      </w:r>
      <w:r w:rsidRPr="00082FBF">
        <w:rPr>
          <w:b/>
          <w:i/>
        </w:rPr>
        <w:t>tudy MET35) and consider the toddlers and infant (not a part of this submission) data together more comprehensively in a future submission. Extremely high response in serogroup C was obtained in na</w:t>
      </w:r>
      <w:r w:rsidR="00DB1B82" w:rsidRPr="00082FBF">
        <w:rPr>
          <w:b/>
          <w:i/>
        </w:rPr>
        <w:t>i</w:t>
      </w:r>
      <w:r w:rsidRPr="00082FBF">
        <w:rPr>
          <w:b/>
          <w:i/>
        </w:rPr>
        <w:t>ve toddlers instead of a more balanced response</w:t>
      </w:r>
      <w:r w:rsidR="00801657" w:rsidRPr="00082FBF">
        <w:rPr>
          <w:b/>
          <w:i/>
        </w:rPr>
        <w:t xml:space="preserve"> for the four</w:t>
      </w:r>
      <w:r w:rsidRPr="00082FBF">
        <w:rPr>
          <w:b/>
          <w:i/>
        </w:rPr>
        <w:t xml:space="preserve"> serogroups. Is this a concern?</w:t>
      </w:r>
    </w:p>
    <w:p w14:paraId="377BB982" w14:textId="1B25B2FB" w:rsidR="00523EBD" w:rsidRPr="00082FBF" w:rsidRDefault="00BD75AD" w:rsidP="00523EBD">
      <w:r w:rsidRPr="00082FBF">
        <w:t>The ACV advised that the immunogenicity and reactogenicity data support the use of single dos</w:t>
      </w:r>
      <w:r w:rsidR="0047275F">
        <w:t>e</w:t>
      </w:r>
      <w:r w:rsidRPr="00082FBF">
        <w:t xml:space="preserve"> for primary vaccination from 12 mo</w:t>
      </w:r>
      <w:r w:rsidR="003F4C5B" w:rsidRPr="00082FBF">
        <w:t>nths of age and above.</w:t>
      </w:r>
    </w:p>
    <w:p w14:paraId="64175390" w14:textId="5484EC99" w:rsidR="00BD75AD" w:rsidRPr="00082FBF" w:rsidRDefault="00CD0AAE" w:rsidP="00523EBD">
      <w:r w:rsidRPr="00082FBF">
        <w:t>No difference</w:t>
      </w:r>
      <w:r w:rsidR="00BD75AD" w:rsidRPr="00082FBF">
        <w:t xml:space="preserve"> in immunogenicity was noted </w:t>
      </w:r>
      <w:r w:rsidR="003F4C5B" w:rsidRPr="00082FBF">
        <w:t>compare</w:t>
      </w:r>
      <w:r w:rsidR="0047275F">
        <w:t>d</w:t>
      </w:r>
      <w:r w:rsidR="003F4C5B" w:rsidRPr="00082FBF">
        <w:t xml:space="preserve"> to other ACWY vaccines.</w:t>
      </w:r>
    </w:p>
    <w:p w14:paraId="11A76FB4" w14:textId="1CC0FAB2" w:rsidR="00BD75AD" w:rsidRPr="00082FBF" w:rsidRDefault="00BD75AD" w:rsidP="00523EBD">
      <w:r w:rsidRPr="00082FBF">
        <w:t>Regarding the high response</w:t>
      </w:r>
      <w:r w:rsidR="00CD0AAE" w:rsidRPr="00082FBF">
        <w:t xml:space="preserve"> to sero</w:t>
      </w:r>
      <w:r w:rsidRPr="00082FBF">
        <w:t xml:space="preserve">group, the ACV advised that there was no concern to date (no increase in injection site or systemic reactions). Understanding of the mode of action of </w:t>
      </w:r>
      <w:r w:rsidR="00CD0AAE" w:rsidRPr="00082FBF">
        <w:t>conjugate</w:t>
      </w:r>
      <w:r w:rsidR="003F4C5B" w:rsidRPr="00082FBF">
        <w:t xml:space="preserve"> vaccine is still developing.</w:t>
      </w:r>
    </w:p>
    <w:p w14:paraId="4D864D0D" w14:textId="2FD7745C" w:rsidR="00BD75AD" w:rsidRPr="00082FBF" w:rsidRDefault="00BD75AD" w:rsidP="00523EBD">
      <w:r w:rsidRPr="00082FBF">
        <w:t>The ACV noted that there are several on</w:t>
      </w:r>
      <w:r w:rsidR="00CD0AAE" w:rsidRPr="00082FBF">
        <w:t>going or planned studies of MenQ</w:t>
      </w:r>
      <w:r w:rsidRPr="00082FBF">
        <w:t>uadfi includin</w:t>
      </w:r>
      <w:r w:rsidR="00801657" w:rsidRPr="00082FBF">
        <w:t>g multi-dose studies in infants or toddlers aged from six</w:t>
      </w:r>
      <w:r w:rsidR="0013388D" w:rsidRPr="00082FBF">
        <w:t xml:space="preserve"> weeks to 23 months of age (MET</w:t>
      </w:r>
      <w:r w:rsidRPr="00082FBF">
        <w:t>41,</w:t>
      </w:r>
      <w:r w:rsidR="00801657" w:rsidRPr="00082FBF">
        <w:t xml:space="preserve"> MET</w:t>
      </w:r>
      <w:r w:rsidRPr="00082FBF">
        <w:t xml:space="preserve">42, </w:t>
      </w:r>
      <w:r w:rsidR="00801657" w:rsidRPr="00082FBF">
        <w:t>MET</w:t>
      </w:r>
      <w:r w:rsidRPr="00082FBF">
        <w:t>61) it was unclear if these studies included an assessment of the immune response after the first dose, which would be needed to support a single</w:t>
      </w:r>
      <w:r w:rsidR="003F4C5B" w:rsidRPr="00082FBF">
        <w:t xml:space="preserve"> dose regimen at any other age.</w:t>
      </w:r>
    </w:p>
    <w:p w14:paraId="43F53D8A" w14:textId="49D59718" w:rsidR="00BD75AD" w:rsidRPr="00082FBF" w:rsidRDefault="00BD75AD" w:rsidP="00523EBD">
      <w:r w:rsidRPr="00082FBF">
        <w:t xml:space="preserve">The ACV noted that 12 months of age is the current schedule point in the </w:t>
      </w:r>
      <w:r w:rsidR="0047275F">
        <w:t>N</w:t>
      </w:r>
      <w:r w:rsidR="00801657" w:rsidRPr="00082FBF">
        <w:t xml:space="preserve">ational </w:t>
      </w:r>
      <w:r w:rsidR="0047275F">
        <w:t>I</w:t>
      </w:r>
      <w:r w:rsidR="00801657" w:rsidRPr="00082FBF">
        <w:t xml:space="preserve">mmunisation </w:t>
      </w:r>
      <w:r w:rsidR="0047275F">
        <w:t>P</w:t>
      </w:r>
      <w:r w:rsidR="00801657" w:rsidRPr="00082FBF">
        <w:t>rogram (</w:t>
      </w:r>
      <w:r w:rsidRPr="00082FBF">
        <w:t>NIP</w:t>
      </w:r>
      <w:r w:rsidR="00801657" w:rsidRPr="00082FBF">
        <w:t>)</w:t>
      </w:r>
      <w:r w:rsidRPr="00082FBF">
        <w:t xml:space="preserve"> for administ</w:t>
      </w:r>
      <w:r w:rsidR="003F4C5B" w:rsidRPr="00082FBF">
        <w:t>ration of ACWY vaccine.</w:t>
      </w:r>
    </w:p>
    <w:p w14:paraId="448D9A91" w14:textId="363DB4C2" w:rsidR="00BD75AD" w:rsidRPr="00082FBF" w:rsidRDefault="00523EBD" w:rsidP="00295210">
      <w:pPr>
        <w:pStyle w:val="Numberbullet0"/>
        <w:rPr>
          <w:b/>
          <w:i/>
        </w:rPr>
      </w:pPr>
      <w:r w:rsidRPr="00082FBF">
        <w:rPr>
          <w:b/>
          <w:i/>
        </w:rPr>
        <w:t>Immunogenicity data support the use of MenQuadfi as a single dose booster (implies meningococcal primed) f</w:t>
      </w:r>
      <w:r w:rsidR="00801657" w:rsidRPr="00082FBF">
        <w:rPr>
          <w:b/>
          <w:i/>
        </w:rPr>
        <w:t>rom 15 years of age and above (S</w:t>
      </w:r>
      <w:r w:rsidRPr="00082FBF">
        <w:rPr>
          <w:b/>
          <w:i/>
        </w:rPr>
        <w:t>tudy MET56) but do not suppor</w:t>
      </w:r>
      <w:r w:rsidR="00801657" w:rsidRPr="00082FBF">
        <w:rPr>
          <w:b/>
          <w:i/>
        </w:rPr>
        <w:t>t such use in primed toddlers (S</w:t>
      </w:r>
      <w:r w:rsidRPr="00082FBF">
        <w:rPr>
          <w:b/>
          <w:i/>
        </w:rPr>
        <w:t>tudy MET51).</w:t>
      </w:r>
    </w:p>
    <w:p w14:paraId="11988C56" w14:textId="640C2FC0" w:rsidR="00295210" w:rsidRPr="00082FBF" w:rsidRDefault="00295210" w:rsidP="00295210">
      <w:pPr>
        <w:pStyle w:val="Numberbullet0"/>
        <w:numPr>
          <w:ilvl w:val="0"/>
          <w:numId w:val="0"/>
        </w:numPr>
      </w:pPr>
      <w:r w:rsidRPr="00082FBF">
        <w:t xml:space="preserve">The ACV advised that the immunogenicity and </w:t>
      </w:r>
      <w:r w:rsidR="00D65A89" w:rsidRPr="00082FBF">
        <w:t>react</w:t>
      </w:r>
      <w:r w:rsidR="00D65A89">
        <w:t>o</w:t>
      </w:r>
      <w:r w:rsidR="00D65A89" w:rsidRPr="00082FBF">
        <w:t>g</w:t>
      </w:r>
      <w:r w:rsidR="00D65A89">
        <w:t>e</w:t>
      </w:r>
      <w:r w:rsidR="00D65A89" w:rsidRPr="00082FBF">
        <w:t xml:space="preserve">nicity </w:t>
      </w:r>
      <w:r w:rsidRPr="00082FBF">
        <w:t>data support the use of sin</w:t>
      </w:r>
      <w:r w:rsidR="003022E5" w:rsidRPr="00082FBF">
        <w:t>gle booster dose in adolescents</w:t>
      </w:r>
      <w:r w:rsidRPr="00082FBF">
        <w:t xml:space="preserve"> and adu</w:t>
      </w:r>
      <w:r w:rsidR="003022E5" w:rsidRPr="00082FBF">
        <w:t xml:space="preserve">lts from 15 years of age and above, based on </w:t>
      </w:r>
      <w:r w:rsidR="0047275F">
        <w:t>S</w:t>
      </w:r>
      <w:r w:rsidR="003022E5" w:rsidRPr="00082FBF">
        <w:t>tudy MET</w:t>
      </w:r>
      <w:r w:rsidR="003F4C5B" w:rsidRPr="00082FBF">
        <w:t>56.</w:t>
      </w:r>
    </w:p>
    <w:p w14:paraId="29918AC3" w14:textId="3C73CA73" w:rsidR="00295210" w:rsidRPr="00082FBF" w:rsidRDefault="00295210" w:rsidP="00295210">
      <w:pPr>
        <w:pStyle w:val="Numberbullet0"/>
        <w:numPr>
          <w:ilvl w:val="0"/>
          <w:numId w:val="0"/>
        </w:numPr>
      </w:pPr>
      <w:r w:rsidRPr="00082FBF">
        <w:t>Booster dosing in primed toddle</w:t>
      </w:r>
      <w:r w:rsidR="003022E5" w:rsidRPr="00082FBF">
        <w:t>rs from 12 months of age resulted in poor response to serogroup A</w:t>
      </w:r>
      <w:r w:rsidRPr="00082FBF">
        <w:t xml:space="preserve"> </w:t>
      </w:r>
      <w:r w:rsidR="003022E5" w:rsidRPr="00082FBF">
        <w:t>(</w:t>
      </w:r>
      <w:r w:rsidRPr="00082FBF">
        <w:t>MET</w:t>
      </w:r>
      <w:r w:rsidR="003022E5" w:rsidRPr="00082FBF">
        <w:t>51). The c</w:t>
      </w:r>
      <w:r w:rsidRPr="00082FBF">
        <w:t>l</w:t>
      </w:r>
      <w:r w:rsidR="003022E5" w:rsidRPr="00082FBF">
        <w:t>inical significant of this poor response in Australia</w:t>
      </w:r>
      <w:r w:rsidR="003F4C5B" w:rsidRPr="00082FBF">
        <w:t xml:space="preserve"> was uncertain.</w:t>
      </w:r>
    </w:p>
    <w:p w14:paraId="53E4C5B1" w14:textId="2B824804" w:rsidR="00295210" w:rsidRPr="00082FBF" w:rsidRDefault="00295210" w:rsidP="00295210">
      <w:pPr>
        <w:pStyle w:val="Numberbullet0"/>
        <w:numPr>
          <w:ilvl w:val="0"/>
          <w:numId w:val="0"/>
        </w:numPr>
      </w:pPr>
      <w:r w:rsidRPr="00082FBF">
        <w:t>The</w:t>
      </w:r>
      <w:r w:rsidR="003022E5" w:rsidRPr="00082FBF">
        <w:t xml:space="preserve"> ACV advised that the use of M</w:t>
      </w:r>
      <w:r w:rsidRPr="00082FBF">
        <w:t>enQu</w:t>
      </w:r>
      <w:r w:rsidR="003022E5" w:rsidRPr="00082FBF">
        <w:t>a</w:t>
      </w:r>
      <w:r w:rsidRPr="00082FBF">
        <w:t>dfi as the booster dose was no</w:t>
      </w:r>
      <w:r w:rsidR="003022E5" w:rsidRPr="00082FBF">
        <w:t>t</w:t>
      </w:r>
      <w:r w:rsidRPr="00082FBF">
        <w:t xml:space="preserve"> rest</w:t>
      </w:r>
      <w:r w:rsidR="003022E5" w:rsidRPr="00082FBF">
        <w:t>ricted by which ACWY vaccine had</w:t>
      </w:r>
      <w:r w:rsidRPr="00082FBF">
        <w:t xml:space="preserve"> been used a</w:t>
      </w:r>
      <w:r w:rsidR="003022E5" w:rsidRPr="00082FBF">
        <w:t>s a primary vaccina</w:t>
      </w:r>
      <w:r w:rsidRPr="00082FBF">
        <w:t>tion</w:t>
      </w:r>
      <w:r w:rsidR="003022E5" w:rsidRPr="00082FBF">
        <w:t>.</w:t>
      </w:r>
    </w:p>
    <w:p w14:paraId="38848829" w14:textId="5AA77628" w:rsidR="00523EBD" w:rsidRPr="00082FBF" w:rsidRDefault="00523EBD" w:rsidP="00523EBD">
      <w:pPr>
        <w:pStyle w:val="Numberbullet0"/>
        <w:rPr>
          <w:b/>
          <w:i/>
        </w:rPr>
      </w:pPr>
      <w:r w:rsidRPr="00082FBF">
        <w:rPr>
          <w:b/>
          <w:i/>
        </w:rPr>
        <w:t>Routine post market surveillance is proposed. Does ACV have any further recommendations in rel</w:t>
      </w:r>
      <w:r w:rsidR="003022E5" w:rsidRPr="00082FBF">
        <w:rPr>
          <w:b/>
          <w:i/>
        </w:rPr>
        <w:t>ation to post-market activities?</w:t>
      </w:r>
    </w:p>
    <w:p w14:paraId="656CC235" w14:textId="257A055E" w:rsidR="003022E5" w:rsidRPr="00082FBF" w:rsidRDefault="003022E5" w:rsidP="003022E5">
      <w:r w:rsidRPr="00082FBF">
        <w:t>The ACV advise that routine pharmacovigilance should</w:t>
      </w:r>
      <w:r w:rsidR="003F4C5B" w:rsidRPr="00082FBF">
        <w:t xml:space="preserve"> be sufficient for the vaccine.</w:t>
      </w:r>
    </w:p>
    <w:p w14:paraId="38132A06" w14:textId="3A7E8D72" w:rsidR="003022E5" w:rsidRPr="00082FBF" w:rsidRDefault="003022E5" w:rsidP="003022E5">
      <w:r w:rsidRPr="00082FBF">
        <w:t>The safety profile of the vaccine was similar to existing register</w:t>
      </w:r>
      <w:r w:rsidR="003F4C5B" w:rsidRPr="00082FBF">
        <w:t>ed ACWY vaccines.</w:t>
      </w:r>
    </w:p>
    <w:p w14:paraId="21A73C9C" w14:textId="7A4D409B" w:rsidR="003022E5" w:rsidRPr="00082FBF" w:rsidRDefault="003022E5" w:rsidP="003022E5">
      <w:r w:rsidRPr="00082FBF">
        <w:t xml:space="preserve">The sponsor has planned a registry in the USA to address use in pregnancy. A study using </w:t>
      </w:r>
      <w:r w:rsidR="00597BDC" w:rsidRPr="00082FBF">
        <w:t xml:space="preserve">the United States </w:t>
      </w:r>
      <w:r w:rsidR="0047275F">
        <w:t>P</w:t>
      </w:r>
      <w:r w:rsidR="00597BDC" w:rsidRPr="00082FBF">
        <w:t xml:space="preserve">ost-licensure </w:t>
      </w:r>
      <w:r w:rsidR="0047275F">
        <w:t>R</w:t>
      </w:r>
      <w:r w:rsidR="00597BDC" w:rsidRPr="00082FBF">
        <w:t xml:space="preserve">apid </w:t>
      </w:r>
      <w:r w:rsidR="0047275F">
        <w:t>I</w:t>
      </w:r>
      <w:r w:rsidR="00597BDC" w:rsidRPr="00082FBF">
        <w:t xml:space="preserve">mmunization </w:t>
      </w:r>
      <w:r w:rsidR="0047275F">
        <w:t>S</w:t>
      </w:r>
      <w:r w:rsidR="00597BDC" w:rsidRPr="00082FBF">
        <w:t xml:space="preserve">afety </w:t>
      </w:r>
      <w:r w:rsidR="0047275F">
        <w:t>M</w:t>
      </w:r>
      <w:r w:rsidR="00597BDC" w:rsidRPr="00082FBF">
        <w:t xml:space="preserve">onitoring system (PRISM) </w:t>
      </w:r>
      <w:r w:rsidR="00492CFE" w:rsidRPr="00082FBF">
        <w:rPr>
          <w:rStyle w:val="FootnoteReference"/>
        </w:rPr>
        <w:footnoteReference w:id="16"/>
      </w:r>
      <w:r w:rsidRPr="00082FBF">
        <w:t xml:space="preserve"> data could provide infor</w:t>
      </w:r>
      <w:r w:rsidR="003F4C5B" w:rsidRPr="00082FBF">
        <w:t>mation that is more meaningful.</w:t>
      </w:r>
    </w:p>
    <w:p w14:paraId="39F21216" w14:textId="308EAAD0" w:rsidR="003022E5" w:rsidRPr="00082FBF" w:rsidRDefault="003022E5" w:rsidP="003022E5">
      <w:r w:rsidRPr="00082FBF">
        <w:t>Whether GBS is a class risk for meningococcal vaccines</w:t>
      </w:r>
      <w:r w:rsidR="00492CFE" w:rsidRPr="00082FBF">
        <w:t xml:space="preserve"> was a</w:t>
      </w:r>
      <w:r w:rsidRPr="00082FBF">
        <w:t xml:space="preserve">n </w:t>
      </w:r>
      <w:r w:rsidR="00492CFE" w:rsidRPr="00082FBF">
        <w:t>unresolved</w:t>
      </w:r>
      <w:r w:rsidRPr="00082FBF">
        <w:t xml:space="preserve"> question</w:t>
      </w:r>
      <w:r w:rsidR="003F4C5B" w:rsidRPr="00082FBF">
        <w:t>.</w:t>
      </w:r>
    </w:p>
    <w:p w14:paraId="2BC3EBA4" w14:textId="3A5093DA" w:rsidR="003022E5" w:rsidRPr="00082FBF" w:rsidRDefault="003022E5" w:rsidP="003022E5">
      <w:r w:rsidRPr="00082FBF">
        <w:t xml:space="preserve">The vaccine has twice the antigen dose of most </w:t>
      </w:r>
      <w:r w:rsidR="00492CFE" w:rsidRPr="00082FBF">
        <w:t>currently</w:t>
      </w:r>
      <w:r w:rsidRPr="00082FBF">
        <w:t xml:space="preserve"> </w:t>
      </w:r>
      <w:r w:rsidR="00492CFE" w:rsidRPr="00082FBF">
        <w:t>registered</w:t>
      </w:r>
      <w:r w:rsidRPr="00082FBF">
        <w:t xml:space="preserve"> </w:t>
      </w:r>
      <w:r w:rsidR="00492CFE" w:rsidRPr="00082FBF">
        <w:t>products</w:t>
      </w:r>
      <w:r w:rsidRPr="00082FBF">
        <w:t xml:space="preserve"> and a </w:t>
      </w:r>
      <w:r w:rsidR="00492CFE" w:rsidRPr="00082FBF">
        <w:t>higher</w:t>
      </w:r>
      <w:r w:rsidRPr="00082FBF">
        <w:t xml:space="preserve"> </w:t>
      </w:r>
      <w:r w:rsidR="00492CFE" w:rsidRPr="00082FBF">
        <w:t>quantity</w:t>
      </w:r>
      <w:r w:rsidRPr="00082FBF">
        <w:t xml:space="preserve"> of carrier protein (55 </w:t>
      </w:r>
      <w:r w:rsidR="000A0627" w:rsidRPr="00082FBF">
        <w:t>µg</w:t>
      </w:r>
      <w:r w:rsidRPr="00082FBF">
        <w:t>)</w:t>
      </w:r>
      <w:r w:rsidR="00492CFE" w:rsidRPr="00082FBF">
        <w:t>. However,</w:t>
      </w:r>
      <w:r w:rsidRPr="00082FBF">
        <w:t xml:space="preserve"> local and systemic reactions were no</w:t>
      </w:r>
      <w:r w:rsidR="00492CFE" w:rsidRPr="00082FBF">
        <w:t xml:space="preserve"> more frequent than for</w:t>
      </w:r>
      <w:r w:rsidR="003F4C5B" w:rsidRPr="00082FBF">
        <w:t xml:space="preserve"> other ACWY vaccines.</w:t>
      </w:r>
    </w:p>
    <w:p w14:paraId="47586045" w14:textId="759A4353" w:rsidR="00523EBD" w:rsidRPr="00082FBF" w:rsidRDefault="00523EBD" w:rsidP="002D2067">
      <w:pPr>
        <w:pStyle w:val="Numberbullet0"/>
        <w:rPr>
          <w:b/>
          <w:i/>
        </w:rPr>
      </w:pPr>
      <w:r w:rsidRPr="00082FBF">
        <w:rPr>
          <w:b/>
          <w:i/>
        </w:rPr>
        <w:t>The Committee is also requested to provide advice on any other issues that it thinks may be relevant to a decision on whether or not to approve this application.</w:t>
      </w:r>
    </w:p>
    <w:p w14:paraId="34B71347" w14:textId="6C2C26F4" w:rsidR="00BD75AD" w:rsidRPr="00082FBF" w:rsidRDefault="002D2067" w:rsidP="002D2067">
      <w:r w:rsidRPr="00082FBF">
        <w:t>The ACV reviewed and acknowledged the pre-ACV response provided by the sponsor.</w:t>
      </w:r>
    </w:p>
    <w:p w14:paraId="749C1027" w14:textId="5D4AB202" w:rsidR="00744121" w:rsidRPr="00082FBF" w:rsidRDefault="00744121" w:rsidP="00744121">
      <w:pPr>
        <w:pStyle w:val="Heading5"/>
      </w:pPr>
      <w:r w:rsidRPr="00082FBF">
        <w:t>Conclusion</w:t>
      </w:r>
    </w:p>
    <w:p w14:paraId="39586674" w14:textId="7E816EAE" w:rsidR="00044E0C" w:rsidRPr="00082FBF" w:rsidRDefault="00044E0C" w:rsidP="00044E0C">
      <w:r w:rsidRPr="00082FBF">
        <w:t>The ACV considered this vaccine to have an overall positive benef</w:t>
      </w:r>
      <w:r w:rsidR="00597BDC" w:rsidRPr="00082FBF">
        <w:t xml:space="preserve">it </w:t>
      </w:r>
      <w:r w:rsidRPr="00082FBF">
        <w:t>risk profile for the indication:</w:t>
      </w:r>
    </w:p>
    <w:p w14:paraId="0F5F3800" w14:textId="77777777" w:rsidR="00044E0C" w:rsidRPr="00082FBF" w:rsidRDefault="00044E0C" w:rsidP="00044E0C">
      <w:pPr>
        <w:ind w:left="720"/>
        <w:rPr>
          <w:i/>
        </w:rPr>
      </w:pPr>
      <w:r w:rsidRPr="00082FBF">
        <w:rPr>
          <w:i/>
        </w:rPr>
        <w:t>MenQuadfi is indicated for active immunisation against invasive meningococcal disease caused by Neisseria meningitidis serogroups A, C, W and Y. The use of MenQuadfi should be in accordance with the official recommendations.</w:t>
      </w:r>
    </w:p>
    <w:p w14:paraId="52F412E5" w14:textId="77777777" w:rsidR="00044E0C" w:rsidRPr="00082FBF" w:rsidRDefault="00044E0C" w:rsidP="00044E0C">
      <w:r w:rsidRPr="00082FBF">
        <w:t>and for the vaccination schedule:</w:t>
      </w:r>
    </w:p>
    <w:p w14:paraId="7885AC30" w14:textId="77777777" w:rsidR="00044E0C" w:rsidRPr="00082FBF" w:rsidRDefault="00044E0C" w:rsidP="00597BDC">
      <w:r w:rsidRPr="00082FBF">
        <w:t>Primary vaccination</w:t>
      </w:r>
    </w:p>
    <w:p w14:paraId="3B2B94D7" w14:textId="5E526E88" w:rsidR="00044E0C" w:rsidRPr="00082FBF" w:rsidRDefault="00044E0C" w:rsidP="00597BDC">
      <w:pPr>
        <w:pStyle w:val="ListBullet"/>
      </w:pPr>
      <w:r w:rsidRPr="00082FBF">
        <w:t>Individuals 12 months of age and older receive a single dose.</w:t>
      </w:r>
    </w:p>
    <w:p w14:paraId="11F9C90F" w14:textId="77777777" w:rsidR="00044E0C" w:rsidRPr="00082FBF" w:rsidRDefault="00044E0C" w:rsidP="00597BDC">
      <w:r w:rsidRPr="00082FBF">
        <w:t>Booster vaccination</w:t>
      </w:r>
    </w:p>
    <w:p w14:paraId="75293E60" w14:textId="6924EAE3" w:rsidR="00044E0C" w:rsidRPr="00082FBF" w:rsidRDefault="00044E0C" w:rsidP="00597BDC">
      <w:pPr>
        <w:pStyle w:val="ListBullet"/>
      </w:pPr>
      <w:r w:rsidRPr="00082FBF">
        <w:t xml:space="preserve">Adolescents (15 years of age and </w:t>
      </w:r>
      <w:r w:rsidR="00ED3030" w:rsidRPr="00082FBF">
        <w:t xml:space="preserve">above) and adults who have been </w:t>
      </w:r>
      <w:r w:rsidRPr="00082FBF">
        <w:t>previously</w:t>
      </w:r>
      <w:r w:rsidR="00ED3030" w:rsidRPr="00082FBF">
        <w:t xml:space="preserve"> </w:t>
      </w:r>
      <w:r w:rsidRPr="00082FBF">
        <w:t>primed with a</w:t>
      </w:r>
      <w:r w:rsidR="00597BDC" w:rsidRPr="00082FBF">
        <w:t>n</w:t>
      </w:r>
      <w:r w:rsidRPr="00082FBF">
        <w:t xml:space="preserve"> ACWY meningococcal vaccine may receive a single booster dose.</w:t>
      </w:r>
    </w:p>
    <w:p w14:paraId="74648756" w14:textId="7B4119C5" w:rsidR="008E7846" w:rsidRPr="00082FBF" w:rsidRDefault="008E7846" w:rsidP="008E7846">
      <w:pPr>
        <w:pStyle w:val="Heading3"/>
      </w:pPr>
      <w:bookmarkStart w:id="74" w:name="_Toc67390286"/>
      <w:r w:rsidRPr="00082FBF">
        <w:t>Outcome</w:t>
      </w:r>
      <w:bookmarkEnd w:id="72"/>
      <w:bookmarkEnd w:id="73"/>
      <w:bookmarkEnd w:id="74"/>
    </w:p>
    <w:p w14:paraId="4FA8F27D" w14:textId="3D169BD0" w:rsidR="00744121" w:rsidRPr="00082FBF" w:rsidRDefault="00744121" w:rsidP="00744121">
      <w:bookmarkStart w:id="75" w:name="_Toc247691533"/>
      <w:bookmarkStart w:id="76" w:name="_Toc314842517"/>
      <w:r w:rsidRPr="00082FBF">
        <w:t xml:space="preserve">Based on a review of quality, safety and efficacy, the TGA approved the registration of </w:t>
      </w:r>
      <w:r w:rsidR="00446977" w:rsidRPr="00082FBF">
        <w:t>MenQuadfi (meningococcal polysaccharide group A) 10 µg/dose, (meningococcal polysaccharide group C) 10 µg/dose, (meningococcal polysaccharide group Y) 10 µg/dose and (meningococcal polysaccharide group W135) 10 µg/dose, solution for injection, vial</w:t>
      </w:r>
      <w:r w:rsidRPr="00082FBF">
        <w:t>, indicated for:</w:t>
      </w:r>
    </w:p>
    <w:p w14:paraId="34183631" w14:textId="4603D735" w:rsidR="005907B2" w:rsidRPr="00082FBF" w:rsidRDefault="005907B2" w:rsidP="005907B2">
      <w:pPr>
        <w:ind w:left="720"/>
        <w:rPr>
          <w:i/>
        </w:rPr>
      </w:pPr>
      <w:r w:rsidRPr="00082FBF">
        <w:rPr>
          <w:i/>
        </w:rPr>
        <w:t>MenQuadfi is indicated for active immunisation for the prevention of invasive meningococcal disease caused by Neisseria meningi</w:t>
      </w:r>
      <w:r w:rsidR="003F4C5B" w:rsidRPr="00082FBF">
        <w:rPr>
          <w:i/>
        </w:rPr>
        <w:t xml:space="preserve">tidis serogroups A, C, W and Y. </w:t>
      </w:r>
      <w:r w:rsidRPr="00082FBF">
        <w:rPr>
          <w:i/>
        </w:rPr>
        <w:t>The use of MenQuadfi should be in accordance with official recommendations.</w:t>
      </w:r>
    </w:p>
    <w:p w14:paraId="1B562685" w14:textId="77777777" w:rsidR="00D23139" w:rsidRPr="00082FBF" w:rsidRDefault="00D23139" w:rsidP="00D23139">
      <w:pPr>
        <w:pStyle w:val="Heading4"/>
      </w:pPr>
      <w:r w:rsidRPr="00082FBF">
        <w:t>Specific conditions of registration applying to these goods</w:t>
      </w:r>
    </w:p>
    <w:p w14:paraId="3872C36C" w14:textId="4A36FEDD" w:rsidR="004B5D66" w:rsidRPr="00082FBF" w:rsidRDefault="00D13BB4" w:rsidP="00597BDC">
      <w:pPr>
        <w:pStyle w:val="ListBullet"/>
      </w:pPr>
      <w:r w:rsidRPr="00082FBF">
        <w:t>MenQuadfi (</w:t>
      </w:r>
      <w:r w:rsidR="00597BDC" w:rsidRPr="00082FBF">
        <w:t>meningococcal (g</w:t>
      </w:r>
      <w:r w:rsidR="004B5D66" w:rsidRPr="00082FBF">
        <w:t>roups A,</w:t>
      </w:r>
      <w:r w:rsidR="00597BDC" w:rsidRPr="00082FBF">
        <w:t xml:space="preserve"> </w:t>
      </w:r>
      <w:r w:rsidR="004B5D66" w:rsidRPr="00082FBF">
        <w:t>C,</w:t>
      </w:r>
      <w:r w:rsidR="00597BDC" w:rsidRPr="00082FBF">
        <w:t xml:space="preserve"> </w:t>
      </w:r>
      <w:r w:rsidR="004B5D66" w:rsidRPr="00082FBF">
        <w:t>Y,</w:t>
      </w:r>
      <w:r w:rsidR="00597BDC" w:rsidRPr="00082FBF">
        <w:t xml:space="preserve"> W) polysaccharide tetanus toxoid conjugate vaccine) </w:t>
      </w:r>
      <w:r w:rsidR="004B5D66" w:rsidRPr="00082FBF">
        <w:t xml:space="preserve">is to be included in the </w:t>
      </w:r>
      <w:r w:rsidR="008C3A1D" w:rsidRPr="00082FBF">
        <w:t>Black Triangle Scheme</w:t>
      </w:r>
      <w:r w:rsidR="004B5D66" w:rsidRPr="00082FBF">
        <w:t xml:space="preserve">. The PI and </w:t>
      </w:r>
      <w:r w:rsidR="00597BDC" w:rsidRPr="00082FBF">
        <w:t>Consumer Medicines Information (</w:t>
      </w:r>
      <w:r w:rsidR="004B5D66" w:rsidRPr="00082FBF">
        <w:t>CMI</w:t>
      </w:r>
      <w:r w:rsidR="00597BDC" w:rsidRPr="00082FBF">
        <w:t>)</w:t>
      </w:r>
      <w:r w:rsidR="004B5D66" w:rsidRPr="00082FBF">
        <w:t xml:space="preserve"> for MenQuadfi must include the </w:t>
      </w:r>
      <w:r w:rsidR="008C3A1D" w:rsidRPr="00082FBF">
        <w:t>Black Triangle</w:t>
      </w:r>
      <w:r w:rsidR="004B5D66" w:rsidRPr="00082FBF">
        <w:t xml:space="preserve"> symbol and mandatory accompanying text for five years, which starts from the date that the sponsor notifies the TGA of supply of the product.</w:t>
      </w:r>
    </w:p>
    <w:p w14:paraId="020A144F" w14:textId="7D82F308" w:rsidR="004B5D66" w:rsidRPr="00082FBF" w:rsidRDefault="004B5D66" w:rsidP="004B5D66">
      <w:pPr>
        <w:pStyle w:val="ListBullet"/>
      </w:pPr>
      <w:r w:rsidRPr="00082FBF">
        <w:t>The MenQuadfi EU-RMP (version 0.2, date</w:t>
      </w:r>
      <w:r w:rsidR="00597BDC" w:rsidRPr="00082FBF">
        <w:t>d</w:t>
      </w:r>
      <w:r w:rsidRPr="00082FBF">
        <w:t xml:space="preserve"> 6 May 2020; DLP 15 June 2019), with Australian Specific Annex (version 1.1, dated 30 June 2020), included with submission PM-2019-04826-1-2, and any subsequent revisions, as agreed with the TGA will be implemented in Australia.</w:t>
      </w:r>
    </w:p>
    <w:p w14:paraId="34979463" w14:textId="1F8B79FE" w:rsidR="004B5D66" w:rsidRPr="00082FBF" w:rsidRDefault="004B5D66" w:rsidP="00064DBB">
      <w:pPr>
        <w:pStyle w:val="ListBullet"/>
        <w:numPr>
          <w:ilvl w:val="0"/>
          <w:numId w:val="0"/>
        </w:numPr>
        <w:ind w:left="360"/>
      </w:pPr>
      <w:r w:rsidRPr="00082FBF">
        <w:t>An obligatory component of risk management plans is routine pharmacovigilance.</w:t>
      </w:r>
      <w:r w:rsidR="003F4C5B" w:rsidRPr="00082FBF">
        <w:t xml:space="preserve"> </w:t>
      </w:r>
      <w:r w:rsidRPr="00082FBF">
        <w:t>Routine pharmacovigilance includes the submi</w:t>
      </w:r>
      <w:r w:rsidR="00064DBB" w:rsidRPr="00082FBF">
        <w:t xml:space="preserve">ssion of </w:t>
      </w:r>
      <w:r w:rsidRPr="00082FBF">
        <w:t>PSURs.</w:t>
      </w:r>
    </w:p>
    <w:p w14:paraId="2E979A6D" w14:textId="32A61629" w:rsidR="004B5D66" w:rsidRPr="00082FBF" w:rsidRDefault="004B5D66" w:rsidP="00064DBB">
      <w:pPr>
        <w:pStyle w:val="ListBullet"/>
        <w:numPr>
          <w:ilvl w:val="0"/>
          <w:numId w:val="0"/>
        </w:numPr>
        <w:ind w:left="360"/>
      </w:pPr>
      <w:r w:rsidRPr="00082FBF">
        <w:t>Unless agreed separately between the supplier who i</w:t>
      </w:r>
      <w:r w:rsidR="00064DBB" w:rsidRPr="00082FBF">
        <w:t xml:space="preserve">s the recipient of the approval </w:t>
      </w:r>
      <w:r w:rsidRPr="00082FBF">
        <w:t>and the TGA, the first report must be submitted t</w:t>
      </w:r>
      <w:r w:rsidR="00064DBB" w:rsidRPr="00082FBF">
        <w:t xml:space="preserve">o TGA no later than 15 calendar </w:t>
      </w:r>
      <w:r w:rsidRPr="00082FBF">
        <w:t>months after the date of this approval letter.</w:t>
      </w:r>
      <w:r w:rsidR="00064DBB" w:rsidRPr="00082FBF">
        <w:t xml:space="preserve"> The subsequent reports must be </w:t>
      </w:r>
      <w:r w:rsidRPr="00082FBF">
        <w:t xml:space="preserve">submitted no less frequently than annually from </w:t>
      </w:r>
      <w:r w:rsidR="00064DBB" w:rsidRPr="00082FBF">
        <w:t xml:space="preserve">the date of the first submitted </w:t>
      </w:r>
      <w:r w:rsidRPr="00082FBF">
        <w:t>report until the period covered by such reports is not</w:t>
      </w:r>
      <w:r w:rsidR="00064DBB" w:rsidRPr="00082FBF">
        <w:t xml:space="preserve"> less than three years from the </w:t>
      </w:r>
      <w:r w:rsidRPr="00082FBF">
        <w:t>date of this approval letter. The annual submiss</w:t>
      </w:r>
      <w:r w:rsidR="00064DBB" w:rsidRPr="00082FBF">
        <w:t xml:space="preserve">ion may be made up of two PSURs </w:t>
      </w:r>
      <w:r w:rsidRPr="00082FBF">
        <w:t>each covering six months. If the sponsor wishes,</w:t>
      </w:r>
      <w:r w:rsidR="00064DBB" w:rsidRPr="00082FBF">
        <w:t xml:space="preserve"> the six monthly reports may be </w:t>
      </w:r>
      <w:r w:rsidRPr="00082FBF">
        <w:t>submitted separately as they become available.</w:t>
      </w:r>
    </w:p>
    <w:p w14:paraId="4C8F9C35" w14:textId="0A5AEFDC" w:rsidR="004B5D66" w:rsidRPr="00082FBF" w:rsidRDefault="004B5D66" w:rsidP="00064DBB">
      <w:pPr>
        <w:pStyle w:val="ListBullet"/>
        <w:numPr>
          <w:ilvl w:val="0"/>
          <w:numId w:val="0"/>
        </w:numPr>
        <w:ind w:left="360"/>
      </w:pPr>
      <w:r w:rsidRPr="00082FBF">
        <w:t>If the product is approved in the EU during the three years period, reports can be</w:t>
      </w:r>
      <w:r w:rsidR="00064DBB" w:rsidRPr="00082FBF">
        <w:t xml:space="preserve"> </w:t>
      </w:r>
      <w:r w:rsidRPr="00082FBF">
        <w:t>provided in line with the published list of EU referenc</w:t>
      </w:r>
      <w:r w:rsidR="00064DBB" w:rsidRPr="00082FBF">
        <w:t xml:space="preserve">e dates no less frequently than </w:t>
      </w:r>
      <w:r w:rsidRPr="00082FBF">
        <w:t>annually from the date of the first submitted report u</w:t>
      </w:r>
      <w:r w:rsidR="00064DBB" w:rsidRPr="00082FBF">
        <w:t xml:space="preserve">ntil the period covered by such </w:t>
      </w:r>
      <w:r w:rsidRPr="00082FBF">
        <w:t>reports is not less than three years from the date of this approval letter.</w:t>
      </w:r>
    </w:p>
    <w:p w14:paraId="7117195C" w14:textId="4EDF8251" w:rsidR="004B5D66" w:rsidRPr="00082FBF" w:rsidRDefault="004B5D66" w:rsidP="00064DBB">
      <w:pPr>
        <w:pStyle w:val="ListBullet"/>
        <w:numPr>
          <w:ilvl w:val="0"/>
          <w:numId w:val="0"/>
        </w:numPr>
        <w:ind w:left="360"/>
      </w:pPr>
      <w:r w:rsidRPr="00082FBF">
        <w:t>The reports are to at least meet the requirements for PSURs as described in the</w:t>
      </w:r>
      <w:r w:rsidR="00064DBB" w:rsidRPr="00082FBF">
        <w:t xml:space="preserve"> </w:t>
      </w:r>
      <w:r w:rsidRPr="00082FBF">
        <w:t>European Medicin</w:t>
      </w:r>
      <w:r w:rsidR="00BA6992" w:rsidRPr="00082FBF">
        <w:t xml:space="preserve">es Agency’s Guideline on </w:t>
      </w:r>
      <w:r w:rsidR="00064DBB" w:rsidRPr="00082FBF">
        <w:t xml:space="preserve">GVP </w:t>
      </w:r>
      <w:r w:rsidRPr="00082FBF">
        <w:t xml:space="preserve">Module VII-periodic safety update report (Rev 1), Part </w:t>
      </w:r>
      <w:r w:rsidR="00064DBB" w:rsidRPr="00082FBF">
        <w:t xml:space="preserve">VII.B Structures and processes. </w:t>
      </w:r>
      <w:r w:rsidRPr="00082FBF">
        <w:t>Note that submission of a PSUR does not consti</w:t>
      </w:r>
      <w:r w:rsidR="00064DBB" w:rsidRPr="00082FBF">
        <w:t xml:space="preserve">tute an application to vary the </w:t>
      </w:r>
      <w:r w:rsidRPr="00082FBF">
        <w:t>registration. Each report must have been prepared wit</w:t>
      </w:r>
      <w:r w:rsidR="00064DBB" w:rsidRPr="00082FBF">
        <w:t xml:space="preserve">hin ninety calendar days of the </w:t>
      </w:r>
      <w:r w:rsidR="00597BDC" w:rsidRPr="00082FBF">
        <w:t>DLP</w:t>
      </w:r>
      <w:r w:rsidRPr="00082FBF">
        <w:t xml:space="preserve"> for that report</w:t>
      </w:r>
    </w:p>
    <w:p w14:paraId="246EA907" w14:textId="30E011FB" w:rsidR="004B5D66" w:rsidRPr="00082FBF" w:rsidRDefault="004B5D66" w:rsidP="00064DBB">
      <w:pPr>
        <w:pStyle w:val="ListBullet"/>
      </w:pPr>
      <w:r w:rsidRPr="00082FBF">
        <w:t>It is a condition of registration that all independen</w:t>
      </w:r>
      <w:r w:rsidR="00064DBB" w:rsidRPr="00082FBF">
        <w:t xml:space="preserve">t batches of Menquadfi imported </w:t>
      </w:r>
      <w:r w:rsidRPr="00082FBF">
        <w:t>into Australia are not released for sale until samples</w:t>
      </w:r>
      <w:r w:rsidR="00064DBB" w:rsidRPr="00082FBF">
        <w:t xml:space="preserve"> and the manufacturer’s release </w:t>
      </w:r>
      <w:r w:rsidRPr="00082FBF">
        <w:t>data have been assessed and</w:t>
      </w:r>
      <w:r w:rsidR="000D5EB2">
        <w:t xml:space="preserve"> </w:t>
      </w:r>
      <w:r w:rsidR="006005A7">
        <w:t>sponsor</w:t>
      </w:r>
      <w:r w:rsidRPr="00082FBF">
        <w:t xml:space="preserve"> ha</w:t>
      </w:r>
      <w:r w:rsidR="006005A7">
        <w:t>s</w:t>
      </w:r>
      <w:r w:rsidRPr="00082FBF">
        <w:t xml:space="preserve"> received not</w:t>
      </w:r>
      <w:r w:rsidR="00064DBB" w:rsidRPr="00082FBF">
        <w:t xml:space="preserve">ification acknowledging release </w:t>
      </w:r>
      <w:r w:rsidRPr="00082FBF">
        <w:t>from the Laboratories Branch, TGA.</w:t>
      </w:r>
    </w:p>
    <w:p w14:paraId="411FB9CF" w14:textId="35C9F8AC" w:rsidR="004B5D66" w:rsidRPr="00082FBF" w:rsidRDefault="004B5D66" w:rsidP="00064DBB">
      <w:pPr>
        <w:pStyle w:val="ListBullet"/>
        <w:numPr>
          <w:ilvl w:val="0"/>
          <w:numId w:val="0"/>
        </w:numPr>
        <w:ind w:left="360"/>
      </w:pPr>
      <w:r w:rsidRPr="00082FBF">
        <w:t>All batches of Men</w:t>
      </w:r>
      <w:r w:rsidR="00D26456">
        <w:t>Q</w:t>
      </w:r>
      <w:r w:rsidRPr="00082FBF">
        <w:t>uadfi supplied in Australia must comply with the product details</w:t>
      </w:r>
      <w:r w:rsidR="00064DBB" w:rsidRPr="00082FBF">
        <w:t xml:space="preserve"> </w:t>
      </w:r>
      <w:r w:rsidRPr="00082FBF">
        <w:t>and specifications approved during evaluation and de</w:t>
      </w:r>
      <w:r w:rsidR="00064DBB" w:rsidRPr="00082FBF">
        <w:t xml:space="preserve">tailed in the </w:t>
      </w:r>
      <w:r w:rsidR="00597BDC" w:rsidRPr="00082FBF">
        <w:t>certified product details</w:t>
      </w:r>
      <w:r w:rsidRPr="00082FBF">
        <w:t xml:space="preserve"> (CPD).</w:t>
      </w:r>
    </w:p>
    <w:p w14:paraId="32CAEDF5" w14:textId="398FA234" w:rsidR="004B5D66" w:rsidRPr="00082FBF" w:rsidRDefault="00533AD9" w:rsidP="00064DBB">
      <w:pPr>
        <w:pStyle w:val="ListBullet"/>
        <w:numPr>
          <w:ilvl w:val="0"/>
          <w:numId w:val="0"/>
        </w:numPr>
        <w:ind w:left="360"/>
      </w:pPr>
      <w:r>
        <w:t>When requested by the TGA, the s</w:t>
      </w:r>
      <w:r w:rsidR="004B5D66" w:rsidRPr="00082FBF">
        <w:t>ponsor should be prepared to provide p</w:t>
      </w:r>
      <w:r w:rsidR="00064DBB" w:rsidRPr="00082FBF">
        <w:t xml:space="preserve">roduct </w:t>
      </w:r>
      <w:r w:rsidR="004B5D66" w:rsidRPr="00082FBF">
        <w:t>samples, specified reference materials and documentar</w:t>
      </w:r>
      <w:r w:rsidR="00064DBB" w:rsidRPr="00082FBF">
        <w:t xml:space="preserve">y evidence to enable the TGA to </w:t>
      </w:r>
      <w:r w:rsidR="004B5D66" w:rsidRPr="00082FBF">
        <w:t xml:space="preserve">conduct laboratory testing on the </w:t>
      </w:r>
      <w:r w:rsidR="00025F60" w:rsidRPr="00082FBF">
        <w:t>product</w:t>
      </w:r>
      <w:r w:rsidR="004B5D66" w:rsidRPr="00082FBF">
        <w:t>. Out</w:t>
      </w:r>
      <w:r w:rsidR="00064DBB" w:rsidRPr="00082FBF">
        <w:t xml:space="preserve">comes of laboratory testing are </w:t>
      </w:r>
      <w:r w:rsidR="004B5D66" w:rsidRPr="00082FBF">
        <w:t>published biannually in the TGA Databas</w:t>
      </w:r>
      <w:r w:rsidR="00064DBB" w:rsidRPr="00082FBF">
        <w:t xml:space="preserve">e of Laboratory Testing Results </w:t>
      </w:r>
      <w:r w:rsidR="004B5D66" w:rsidRPr="00082FBF">
        <w:t>http://www.tga.gov.au/ws-labs-index and periodicall</w:t>
      </w:r>
      <w:r w:rsidR="00064DBB" w:rsidRPr="00082FBF">
        <w:t xml:space="preserve">y in testing reports on the TGA </w:t>
      </w:r>
      <w:r w:rsidR="004B5D66" w:rsidRPr="00082FBF">
        <w:t>website.</w:t>
      </w:r>
    </w:p>
    <w:p w14:paraId="59663CF9" w14:textId="18A61F14" w:rsidR="004B5D66" w:rsidRPr="00082FBF" w:rsidRDefault="004B5D66" w:rsidP="00064DBB">
      <w:pPr>
        <w:pStyle w:val="ListBullet"/>
        <w:numPr>
          <w:ilvl w:val="0"/>
          <w:numId w:val="0"/>
        </w:numPr>
        <w:ind w:left="360"/>
      </w:pPr>
      <w:r w:rsidRPr="00082FBF">
        <w:t>For each independent batch of the product imported i</w:t>
      </w:r>
      <w:r w:rsidR="00025F60" w:rsidRPr="00082FBF">
        <w:t>nto Australia, the s</w:t>
      </w:r>
      <w:r w:rsidR="00064DBB" w:rsidRPr="00082FBF">
        <w:t xml:space="preserve">ponsor must </w:t>
      </w:r>
      <w:r w:rsidRPr="00082FBF">
        <w:t>supply the following:</w:t>
      </w:r>
    </w:p>
    <w:p w14:paraId="423DF925" w14:textId="4EE9ED32" w:rsidR="004B5D66" w:rsidRPr="00082FBF" w:rsidRDefault="004B5D66" w:rsidP="00064DBB">
      <w:pPr>
        <w:pStyle w:val="ListBullet2"/>
      </w:pPr>
      <w:r w:rsidRPr="00082FBF">
        <w:t xml:space="preserve">A completed </w:t>
      </w:r>
      <w:r w:rsidR="00025F60" w:rsidRPr="00082FBF">
        <w:t>request for release form</w:t>
      </w:r>
      <w:r w:rsidRPr="00082FBF">
        <w:t>, ava</w:t>
      </w:r>
      <w:r w:rsidR="00025F60" w:rsidRPr="00082FBF">
        <w:t>ilable from v</w:t>
      </w:r>
      <w:r w:rsidRPr="00082FBF">
        <w:t>accines@health.gov.au.</w:t>
      </w:r>
    </w:p>
    <w:p w14:paraId="3478C264" w14:textId="01065446" w:rsidR="004B5D66" w:rsidRPr="00082FBF" w:rsidRDefault="004B5D66" w:rsidP="00064DBB">
      <w:pPr>
        <w:pStyle w:val="ListBullet2"/>
      </w:pPr>
      <w:r w:rsidRPr="00082FBF">
        <w:t>Complete summary protocols for manufacture</w:t>
      </w:r>
      <w:r w:rsidR="00064DBB" w:rsidRPr="00082FBF">
        <w:t xml:space="preserve"> and </w:t>
      </w:r>
      <w:r w:rsidR="00B0467F">
        <w:t>quality control</w:t>
      </w:r>
      <w:r w:rsidR="00064DBB" w:rsidRPr="00082FBF">
        <w:t xml:space="preserve">, including all steps in </w:t>
      </w:r>
      <w:r w:rsidRPr="00082FBF">
        <w:t>production.</w:t>
      </w:r>
    </w:p>
    <w:p w14:paraId="468E5B89" w14:textId="4DFD29F0" w:rsidR="004B5D66" w:rsidRPr="00082FBF" w:rsidRDefault="00025F60" w:rsidP="00064DBB">
      <w:pPr>
        <w:pStyle w:val="ListBullet2"/>
      </w:pPr>
      <w:r w:rsidRPr="00082FBF">
        <w:t>At least five doses (number to be confirmed)</w:t>
      </w:r>
      <w:r w:rsidR="004B5D66" w:rsidRPr="00082FBF">
        <w:t xml:space="preserve"> of each first consignment of </w:t>
      </w:r>
      <w:r w:rsidR="00064DBB" w:rsidRPr="00082FBF">
        <w:t xml:space="preserve">product lot with the Australian </w:t>
      </w:r>
      <w:r w:rsidR="004B5D66" w:rsidRPr="00082FBF">
        <w:t>approved labels</w:t>
      </w:r>
      <w:r w:rsidRPr="00082FBF">
        <w:t>, PI and packaging. Three doses (number to be confirmed)</w:t>
      </w:r>
      <w:r w:rsidR="004B5D66" w:rsidRPr="00082FBF">
        <w:t xml:space="preserve"> of any further con</w:t>
      </w:r>
      <w:r w:rsidR="00064DBB" w:rsidRPr="00082FBF">
        <w:t xml:space="preserve">signment of </w:t>
      </w:r>
      <w:r w:rsidR="004B5D66" w:rsidRPr="00082FBF">
        <w:t>already released product (including diluents) with the</w:t>
      </w:r>
      <w:r w:rsidR="00064DBB" w:rsidRPr="00082FBF">
        <w:t xml:space="preserve"> Australian approved labels, PI </w:t>
      </w:r>
      <w:r w:rsidR="004B5D66" w:rsidRPr="00082FBF">
        <w:t>and packaging.</w:t>
      </w:r>
    </w:p>
    <w:p w14:paraId="5D8111D9" w14:textId="7012C1E8" w:rsidR="004B5D66" w:rsidRPr="00082FBF" w:rsidRDefault="004B5D66" w:rsidP="00064DBB">
      <w:pPr>
        <w:pStyle w:val="ListBullet2"/>
      </w:pPr>
      <w:r w:rsidRPr="00082FBF">
        <w:t xml:space="preserve">Certificate </w:t>
      </w:r>
      <w:r w:rsidR="00025F60" w:rsidRPr="00082FBF">
        <w:t xml:space="preserve">of release from </w:t>
      </w:r>
      <w:r w:rsidRPr="00082FBF">
        <w:t>any jurisdiction, for example</w:t>
      </w:r>
      <w:r w:rsidR="00064DBB" w:rsidRPr="00082FBF">
        <w:t xml:space="preserve"> from the country of origin, an </w:t>
      </w:r>
      <w:r w:rsidR="00025F60" w:rsidRPr="00082FBF">
        <w:t xml:space="preserve">official medicine control laboratory or equivalent </w:t>
      </w:r>
      <w:r w:rsidRPr="00082FBF">
        <w:t>(if available).</w:t>
      </w:r>
    </w:p>
    <w:p w14:paraId="1E0DE265" w14:textId="3C87B2E9" w:rsidR="004B5D66" w:rsidRPr="00082FBF" w:rsidRDefault="004B5D66" w:rsidP="00064DBB">
      <w:pPr>
        <w:pStyle w:val="ListBullet2"/>
      </w:pPr>
      <w:r w:rsidRPr="00082FBF">
        <w:t>Any reagents, reference material and standards re</w:t>
      </w:r>
      <w:r w:rsidR="00064DBB" w:rsidRPr="00082FBF">
        <w:t xml:space="preserve">quired to undertake testing, as </w:t>
      </w:r>
      <w:r w:rsidRPr="00082FBF">
        <w:t xml:space="preserve">requested by </w:t>
      </w:r>
      <w:r w:rsidR="00025F60" w:rsidRPr="00082FBF">
        <w:t>laboratories branch</w:t>
      </w:r>
      <w:r w:rsidRPr="00082FBF">
        <w:t>, TGA.</w:t>
      </w:r>
    </w:p>
    <w:p w14:paraId="04AE1D79" w14:textId="3EA7E66B" w:rsidR="004B5D66" w:rsidRPr="00082FBF" w:rsidRDefault="004B5D66" w:rsidP="008D3CC5">
      <w:pPr>
        <w:pStyle w:val="ListBullet"/>
        <w:ind w:right="-1"/>
      </w:pPr>
      <w:r w:rsidRPr="00082FBF">
        <w:t>An electronic copy of the CPD</w:t>
      </w:r>
      <w:r w:rsidR="00025F60" w:rsidRPr="00082FBF">
        <w:t xml:space="preserve"> as described in g</w:t>
      </w:r>
      <w:r w:rsidRPr="00082FBF">
        <w:t>uidance 7:</w:t>
      </w:r>
      <w:r w:rsidR="00064DBB" w:rsidRPr="00082FBF">
        <w:t xml:space="preserve"> </w:t>
      </w:r>
      <w:r w:rsidR="00025F60" w:rsidRPr="00082FBF">
        <w:t xml:space="preserve">certified product details of the Australian regulatory guidelines for prescription medicines </w:t>
      </w:r>
      <w:r w:rsidRPr="00082FBF">
        <w:t xml:space="preserve">(ARGPM) </w:t>
      </w:r>
      <w:hyperlink r:id="rId47" w:history="1">
        <w:r w:rsidR="00064DBB" w:rsidRPr="00082FBF">
          <w:rPr>
            <w:rStyle w:val="Hyperlink"/>
          </w:rPr>
          <w:t>https://www.tga.gov.au/guidance-7-certified-product-details</w:t>
        </w:r>
      </w:hyperlink>
      <w:r w:rsidR="00064DBB" w:rsidRPr="00082FBF">
        <w:t xml:space="preserve"> </w:t>
      </w:r>
      <w:r w:rsidRPr="00082FBF">
        <w:t>should be provided upon registration of the therapeutic good. In addition, an updated</w:t>
      </w:r>
      <w:r w:rsidR="00064DBB" w:rsidRPr="00082FBF">
        <w:t xml:space="preserve"> </w:t>
      </w:r>
      <w:r w:rsidRPr="00082FBF">
        <w:t>CPD, for the above products incorporating the approved changes is to be provided</w:t>
      </w:r>
      <w:r w:rsidR="00064DBB" w:rsidRPr="00082FBF">
        <w:t xml:space="preserve"> </w:t>
      </w:r>
      <w:r w:rsidRPr="00082FBF">
        <w:t>within one month of the date of approval letter. A template for preparation of CPD for</w:t>
      </w:r>
      <w:r w:rsidR="00064DBB" w:rsidRPr="00082FBF">
        <w:t xml:space="preserve"> </w:t>
      </w:r>
      <w:r w:rsidRPr="00082FBF">
        <w:t>biological prescription medicin</w:t>
      </w:r>
      <w:r w:rsidR="00025F60" w:rsidRPr="00082FBF">
        <w:t>es and v</w:t>
      </w:r>
      <w:r w:rsidRPr="00082FBF">
        <w:t>accines can be obtained from the TGA website</w:t>
      </w:r>
      <w:r w:rsidR="00064DBB" w:rsidRPr="00082FBF">
        <w:t xml:space="preserve"> </w:t>
      </w:r>
      <w:hyperlink r:id="rId48" w:history="1">
        <w:r w:rsidR="00064DBB" w:rsidRPr="00082FBF">
          <w:rPr>
            <w:rStyle w:val="Hyperlink"/>
          </w:rPr>
          <w:t>https://www.tga.gov.au/form/certified-product-details-cpd-biological-prescriptionmedicines</w:t>
        </w:r>
      </w:hyperlink>
      <w:r w:rsidRPr="00082FBF">
        <w:t>.</w:t>
      </w:r>
      <w:r w:rsidR="00064DBB" w:rsidRPr="00082FBF">
        <w:t xml:space="preserve"> </w:t>
      </w:r>
      <w:r w:rsidRPr="00082FBF">
        <w:t>The CPD should be sent as a single bookmarked PDF document to</w:t>
      </w:r>
      <w:r w:rsidR="00064DBB" w:rsidRPr="00082FBF">
        <w:t xml:space="preserve"> </w:t>
      </w:r>
      <w:r w:rsidR="00025F60" w:rsidRPr="00082FBF">
        <w:t>v</w:t>
      </w:r>
      <w:r w:rsidRPr="00082FBF">
        <w:t>accines@health.gov.au as soon as possible after registration/approval of the product</w:t>
      </w:r>
      <w:r w:rsidR="00064DBB" w:rsidRPr="00082FBF">
        <w:t xml:space="preserve"> </w:t>
      </w:r>
      <w:r w:rsidRPr="00082FBF">
        <w:t>or any subsequent changes as indicated above.</w:t>
      </w:r>
    </w:p>
    <w:p w14:paraId="50B6CCB4" w14:textId="1B1AA725" w:rsidR="00D13BB4" w:rsidRPr="00082FBF" w:rsidRDefault="00D13BB4" w:rsidP="00D13BB4">
      <w:pPr>
        <w:pStyle w:val="ListBullet"/>
      </w:pPr>
      <w:r w:rsidRPr="00082FBF">
        <w:t xml:space="preserve">For all injectable products the </w:t>
      </w:r>
      <w:r w:rsidR="00457018" w:rsidRPr="00082FBF">
        <w:t>PI</w:t>
      </w:r>
      <w:r w:rsidRPr="00082FBF">
        <w:t xml:space="preserve"> must be included with the product as a package insert.</w:t>
      </w:r>
    </w:p>
    <w:p w14:paraId="7A07A5B5" w14:textId="77777777" w:rsidR="008E7846" w:rsidRPr="00082FBF" w:rsidRDefault="00A80B5B" w:rsidP="00D23139">
      <w:pPr>
        <w:pStyle w:val="Heading2"/>
      </w:pPr>
      <w:bookmarkStart w:id="77" w:name="_Toc67390287"/>
      <w:r w:rsidRPr="00082FBF">
        <w:t xml:space="preserve">Attachment 1. </w:t>
      </w:r>
      <w:r w:rsidR="008E7846" w:rsidRPr="00082FBF">
        <w:t xml:space="preserve">Product </w:t>
      </w:r>
      <w:r w:rsidR="00AA0ED0" w:rsidRPr="00082FBF">
        <w:t>I</w:t>
      </w:r>
      <w:r w:rsidR="008E7846" w:rsidRPr="00082FBF">
        <w:t>nformation</w:t>
      </w:r>
      <w:bookmarkEnd w:id="75"/>
      <w:bookmarkEnd w:id="76"/>
      <w:bookmarkEnd w:id="77"/>
    </w:p>
    <w:p w14:paraId="126D09B1" w14:textId="7AD1E48B" w:rsidR="00C80137" w:rsidRPr="00082FBF" w:rsidRDefault="006136D7" w:rsidP="00C80137">
      <w:pPr>
        <w:rPr>
          <w:color w:val="000000"/>
          <w:lang w:eastAsia="en-AU"/>
        </w:rPr>
      </w:pPr>
      <w:r w:rsidRPr="00082FBF">
        <w:t xml:space="preserve">The PI for </w:t>
      </w:r>
      <w:r w:rsidR="00B80CCA">
        <w:t>Men</w:t>
      </w:r>
      <w:r w:rsidR="00D26456">
        <w:t>Q</w:t>
      </w:r>
      <w:r w:rsidR="00B80CCA">
        <w:t>uadfi</w:t>
      </w:r>
      <w:r w:rsidR="00571D8B">
        <w:t xml:space="preserve"> </w:t>
      </w:r>
      <w:r w:rsidRPr="00082FBF">
        <w:t xml:space="preserve">approved with the submission which is described in this AusPAR is at Attachment 1. For the most recent PI, please refer to the TGA website at </w:t>
      </w:r>
      <w:r w:rsidR="007C6B9B" w:rsidRPr="00082FBF">
        <w:t>&lt;</w:t>
      </w:r>
      <w:hyperlink r:id="rId49" w:history="1">
        <w:r w:rsidR="007C6B9B" w:rsidRPr="00082FBF">
          <w:rPr>
            <w:rStyle w:val="Hyperlink"/>
          </w:rPr>
          <w:t>https://www.tga.gov.au/product-information-pi</w:t>
        </w:r>
      </w:hyperlink>
      <w:r w:rsidR="003F4C5B" w:rsidRPr="00082FBF">
        <w:t>&gt;.</w:t>
      </w:r>
    </w:p>
    <w:p w14:paraId="2DD59D36" w14:textId="0327A8D3" w:rsidR="00C80137" w:rsidRPr="00082FBF" w:rsidRDefault="008E7846" w:rsidP="00D4672D">
      <w:pPr>
        <w:autoSpaceDE w:val="0"/>
        <w:autoSpaceDN w:val="0"/>
        <w:adjustRightInd w:val="0"/>
        <w:spacing w:after="0"/>
        <w:sectPr w:rsidR="00C80137" w:rsidRPr="00082FBF" w:rsidSect="00B452CE">
          <w:headerReference w:type="even" r:id="rId50"/>
          <w:headerReference w:type="default" r:id="rId51"/>
          <w:headerReference w:type="first" r:id="rId52"/>
          <w:footerReference w:type="first" r:id="rId53"/>
          <w:pgSz w:w="11906" w:h="16838" w:code="9"/>
          <w:pgMar w:top="834" w:right="1701" w:bottom="1191" w:left="1701" w:header="907" w:footer="216" w:gutter="0"/>
          <w:cols w:space="708"/>
          <w:docGrid w:linePitch="360"/>
        </w:sectPr>
      </w:pPr>
      <w:r w:rsidRPr="00082FBF">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082FBF" w14:paraId="5FA308E2" w14:textId="77777777" w:rsidTr="00A05FA4">
        <w:trPr>
          <w:trHeight w:hRule="exact" w:val="704"/>
        </w:trPr>
        <w:tc>
          <w:tcPr>
            <w:tcW w:w="9175" w:type="dxa"/>
          </w:tcPr>
          <w:p w14:paraId="76FCE9D2" w14:textId="77777777" w:rsidR="001C32CD" w:rsidRPr="00082FBF" w:rsidRDefault="001C32CD" w:rsidP="00A05FA4">
            <w:pPr>
              <w:pStyle w:val="TGASignoff"/>
            </w:pPr>
            <w:r w:rsidRPr="00082FBF">
              <w:t>Therapeutic Goods Administration</w:t>
            </w:r>
          </w:p>
        </w:tc>
      </w:tr>
      <w:tr w:rsidR="001C32CD" w:rsidRPr="00415FD3" w14:paraId="7555BA17" w14:textId="77777777" w:rsidTr="00A05FA4">
        <w:trPr>
          <w:trHeight w:val="1221"/>
        </w:trPr>
        <w:tc>
          <w:tcPr>
            <w:tcW w:w="9175" w:type="dxa"/>
            <w:tcMar>
              <w:top w:w="28" w:type="dxa"/>
            </w:tcMar>
          </w:tcPr>
          <w:p w14:paraId="0C98C003" w14:textId="77777777" w:rsidR="001C32CD" w:rsidRPr="00082FBF" w:rsidRDefault="001C32CD" w:rsidP="00A05FA4">
            <w:pPr>
              <w:pStyle w:val="Address"/>
            </w:pPr>
            <w:r w:rsidRPr="00082FBF">
              <w:t>PO Box 100 Woden ACT 2606 Australia</w:t>
            </w:r>
          </w:p>
          <w:p w14:paraId="5B0AFADF" w14:textId="613992D1" w:rsidR="001C32CD" w:rsidRPr="00415FD3" w:rsidRDefault="001C32CD" w:rsidP="00A05FA4">
            <w:pPr>
              <w:pStyle w:val="Address"/>
              <w:rPr>
                <w:lang w:val="fr-FR"/>
              </w:rPr>
            </w:pPr>
            <w:r w:rsidRPr="00415FD3">
              <w:rPr>
                <w:lang w:val="fr-FR"/>
              </w:rPr>
              <w:t xml:space="preserve">Email: </w:t>
            </w:r>
            <w:hyperlink r:id="rId54" w:history="1">
              <w:r w:rsidRPr="00415FD3">
                <w:rPr>
                  <w:rStyle w:val="Hyperlink"/>
                  <w:lang w:val="fr-FR"/>
                </w:rPr>
                <w:t>info@tga.gov.au</w:t>
              </w:r>
            </w:hyperlink>
            <w:r w:rsidRPr="00415FD3">
              <w:rPr>
                <w:lang w:val="fr-FR"/>
              </w:rPr>
              <w:t xml:space="preserve">  Phone: 1800 020 653  Fax: 02 6232 8605</w:t>
            </w:r>
          </w:p>
          <w:p w14:paraId="4F47174D" w14:textId="78C25289" w:rsidR="001C32CD" w:rsidRPr="00415FD3" w:rsidRDefault="005778CE" w:rsidP="00A05FA4">
            <w:pPr>
              <w:pStyle w:val="Address"/>
              <w:spacing w:line="260" w:lineRule="atLeast"/>
              <w:rPr>
                <w:b/>
                <w:color w:val="0000FF"/>
                <w:u w:val="single"/>
                <w:lang w:val="fr-FR"/>
              </w:rPr>
            </w:pPr>
            <w:hyperlink r:id="rId55" w:history="1">
              <w:r w:rsidR="007C6B9B" w:rsidRPr="00415FD3">
                <w:rPr>
                  <w:rStyle w:val="Hyperlink"/>
                  <w:b/>
                  <w:lang w:val="fr-FR"/>
                </w:rPr>
                <w:t>https://www.tga.gov.au</w:t>
              </w:r>
            </w:hyperlink>
          </w:p>
        </w:tc>
      </w:tr>
    </w:tbl>
    <w:p w14:paraId="74D0EB61" w14:textId="77777777" w:rsidR="00774E1D" w:rsidRPr="00415FD3" w:rsidRDefault="00774E1D" w:rsidP="004C239D">
      <w:pPr>
        <w:rPr>
          <w:lang w:val="fr-FR"/>
        </w:rPr>
      </w:pPr>
    </w:p>
    <w:sectPr w:rsidR="00774E1D" w:rsidRPr="00415FD3" w:rsidSect="001C32CD">
      <w:headerReference w:type="even" r:id="rId56"/>
      <w:headerReference w:type="default" r:id="rId57"/>
      <w:footerReference w:type="default" r:id="rId58"/>
      <w:headerReference w:type="first" r:id="rId59"/>
      <w:footerReference w:type="first" r:id="rId60"/>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6EB4E50" w16cid:durableId="23EA23BA"/>
  <w16cid:commentId w16cid:paraId="4A9CA643" w16cid:durableId="23EA23B4"/>
  <w16cid:commentId w16cid:paraId="419919D9" w16cid:durableId="23EA241A"/>
  <w16cid:commentId w16cid:paraId="32DF45A1" w16cid:durableId="23EA23A2"/>
  <w16cid:commentId w16cid:paraId="7F111F8F" w16cid:durableId="23EA2472"/>
  <w16cid:commentId w16cid:paraId="360C3F97" w16cid:durableId="23EA24BB"/>
  <w16cid:commentId w16cid:paraId="388FAF42" w16cid:durableId="23E8833C"/>
  <w16cid:commentId w16cid:paraId="702A7ED7" w16cid:durableId="23E88273"/>
  <w16cid:commentId w16cid:paraId="4860DB7C" w16cid:durableId="23E88252"/>
  <w16cid:commentId w16cid:paraId="278CBDBF" w16cid:durableId="23E87FBD"/>
  <w16cid:commentId w16cid:paraId="44F7901C" w16cid:durableId="23E880E1"/>
  <w16cid:commentId w16cid:paraId="395BF98E" w16cid:durableId="23E881B9"/>
  <w16cid:commentId w16cid:paraId="1A610DF2" w16cid:durableId="23E88409"/>
  <w16cid:commentId w16cid:paraId="48B6D087" w16cid:durableId="23E88455"/>
  <w16cid:commentId w16cid:paraId="45B5A9B4" w16cid:durableId="23E884B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DAB91" w14:textId="77777777" w:rsidR="005778CE" w:rsidRDefault="005778CE" w:rsidP="00C40A36">
      <w:pPr>
        <w:spacing w:after="0"/>
      </w:pPr>
      <w:r>
        <w:separator/>
      </w:r>
    </w:p>
  </w:endnote>
  <w:endnote w:type="continuationSeparator" w:id="0">
    <w:p w14:paraId="2343CB0C" w14:textId="77777777" w:rsidR="005778CE" w:rsidRDefault="005778C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TimesNewRomanPSMT">
    <w:altName w:val="MS Gothic"/>
    <w:panose1 w:val="00000000000000000000"/>
    <w:charset w:val="00"/>
    <w:family w:val="roman"/>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358A6" w14:textId="77777777" w:rsidR="005778CE" w:rsidRDefault="00577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778CE" w:rsidRPr="00487162" w14:paraId="04361489" w14:textId="77777777" w:rsidTr="00DB750B">
      <w:trPr>
        <w:trHeight w:val="269"/>
      </w:trPr>
      <w:tc>
        <w:tcPr>
          <w:tcW w:w="7371" w:type="dxa"/>
          <w:tcMar>
            <w:top w:w="142" w:type="dxa"/>
            <w:bottom w:w="0" w:type="dxa"/>
          </w:tcMar>
        </w:tcPr>
        <w:p w14:paraId="7FB85CE4" w14:textId="29995D18" w:rsidR="005778CE" w:rsidRPr="00487162" w:rsidRDefault="005778CE" w:rsidP="00223B4D">
          <w:pPr>
            <w:pStyle w:val="Footer"/>
          </w:pPr>
          <w:r w:rsidRPr="00487162">
            <w:t>AusPA</w:t>
          </w:r>
          <w:r>
            <w:t xml:space="preserve">R - </w:t>
          </w:r>
          <w:r w:rsidRPr="00776587">
            <w:t xml:space="preserve">MenQuadfi </w:t>
          </w:r>
          <w:r>
            <w:t>-</w:t>
          </w:r>
          <w:r w:rsidRPr="00460036">
            <w:t xml:space="preserve"> </w:t>
          </w:r>
          <w:r>
            <w:t>meningococcal (g</w:t>
          </w:r>
          <w:r w:rsidRPr="005F4D35">
            <w:t>roups A, C, Y, W) polysaccharide tetanus toxoid conjugate vaccine</w:t>
          </w:r>
          <w:r w:rsidRPr="00223B4D">
            <w:t xml:space="preserve"> </w:t>
          </w:r>
          <w:r>
            <w:t xml:space="preserve">- </w:t>
          </w:r>
          <w:r w:rsidRPr="00776587">
            <w:t>Sanofi-Aventis Australia Pty Ltd</w:t>
          </w:r>
          <w:r>
            <w:t xml:space="preserve"> - </w:t>
          </w:r>
          <w:r w:rsidRPr="00776587">
            <w:t>PM-2019-04826-1-2</w:t>
          </w:r>
          <w:r>
            <w:br/>
            <w:t>FINAL 17 March 2021</w:t>
          </w:r>
        </w:p>
      </w:tc>
      <w:tc>
        <w:tcPr>
          <w:tcW w:w="1490" w:type="dxa"/>
          <w:tcMar>
            <w:top w:w="142" w:type="dxa"/>
            <w:bottom w:w="0" w:type="dxa"/>
          </w:tcMar>
        </w:tcPr>
        <w:p w14:paraId="5ED09D79" w14:textId="63FDC6C5" w:rsidR="005778CE" w:rsidRPr="00487162" w:rsidRDefault="005778CE" w:rsidP="00DB750B">
          <w:pPr>
            <w:pStyle w:val="Footer"/>
            <w:jc w:val="right"/>
          </w:pPr>
          <w:r w:rsidRPr="00487162">
            <w:t xml:space="preserve">Page </w:t>
          </w:r>
          <w:r>
            <w:fldChar w:fldCharType="begin"/>
          </w:r>
          <w:r>
            <w:instrText xml:space="preserve"> PAGE  \* Arabic </w:instrText>
          </w:r>
          <w:r>
            <w:fldChar w:fldCharType="separate"/>
          </w:r>
          <w:r w:rsidR="00992546">
            <w:rPr>
              <w:noProof/>
            </w:rPr>
            <w:t>33</w:t>
          </w:r>
          <w:r>
            <w:fldChar w:fldCharType="end"/>
          </w:r>
          <w:r w:rsidRPr="00487162">
            <w:t xml:space="preserve"> of </w:t>
          </w:r>
          <w:fldSimple w:instr=" NUMPAGES  \* Arabic ">
            <w:r w:rsidR="00992546">
              <w:rPr>
                <w:noProof/>
              </w:rPr>
              <w:t>34</w:t>
            </w:r>
          </w:fldSimple>
        </w:p>
      </w:tc>
    </w:tr>
  </w:tbl>
  <w:p w14:paraId="29BE7CA0" w14:textId="77777777" w:rsidR="005778CE" w:rsidRDefault="005778CE"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AB078" w14:textId="77777777" w:rsidR="005778CE" w:rsidRDefault="005778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778CE" w:rsidRPr="00487162" w14:paraId="2E002102" w14:textId="77777777" w:rsidTr="00E45619">
      <w:trPr>
        <w:trHeight w:val="269"/>
      </w:trPr>
      <w:tc>
        <w:tcPr>
          <w:tcW w:w="4519" w:type="dxa"/>
          <w:tcBorders>
            <w:top w:val="single" w:sz="4" w:space="0" w:color="auto"/>
          </w:tcBorders>
          <w:tcMar>
            <w:top w:w="142" w:type="dxa"/>
            <w:bottom w:w="0" w:type="dxa"/>
          </w:tcMar>
        </w:tcPr>
        <w:p w14:paraId="69D790AB" w14:textId="77777777" w:rsidR="005778CE" w:rsidRPr="00487162" w:rsidRDefault="005778CE" w:rsidP="00FE1DEE">
          <w:pPr>
            <w:pStyle w:val="Footer"/>
          </w:pPr>
          <w:r w:rsidRPr="00487162">
            <w:t>Document title, Part #, Section # - Section title</w:t>
          </w:r>
        </w:p>
        <w:p w14:paraId="0DD5E563" w14:textId="77777777" w:rsidR="005778CE" w:rsidRPr="00487162" w:rsidRDefault="005778CE" w:rsidP="00FE1DEE">
          <w:pPr>
            <w:pStyle w:val="Footer"/>
          </w:pPr>
          <w:r w:rsidRPr="00487162">
            <w:t>V1.0 October 2010</w:t>
          </w:r>
        </w:p>
      </w:tc>
      <w:tc>
        <w:tcPr>
          <w:tcW w:w="4342" w:type="dxa"/>
          <w:tcBorders>
            <w:top w:val="single" w:sz="4" w:space="0" w:color="auto"/>
          </w:tcBorders>
          <w:tcMar>
            <w:top w:w="142" w:type="dxa"/>
            <w:bottom w:w="0" w:type="dxa"/>
          </w:tcMar>
        </w:tcPr>
        <w:p w14:paraId="61CDC4B4" w14:textId="77777777" w:rsidR="005778CE" w:rsidRPr="00487162" w:rsidRDefault="005778C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w:t>
            </w:r>
          </w:fldSimple>
        </w:p>
      </w:tc>
    </w:tr>
  </w:tbl>
  <w:p w14:paraId="55FF079E" w14:textId="77777777" w:rsidR="005778CE" w:rsidRDefault="005778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C57CC" w14:textId="77777777" w:rsidR="005778CE" w:rsidRPr="001C32CD" w:rsidRDefault="005778CE"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778CE" w14:paraId="295E5A80" w14:textId="77777777" w:rsidTr="0010601F">
      <w:trPr>
        <w:trHeight w:val="108"/>
      </w:trPr>
      <w:tc>
        <w:tcPr>
          <w:tcW w:w="8875" w:type="dxa"/>
          <w:gridSpan w:val="2"/>
          <w:tcBorders>
            <w:bottom w:val="single" w:sz="4" w:space="0" w:color="auto"/>
          </w:tcBorders>
          <w:tcMar>
            <w:right w:w="284" w:type="dxa"/>
          </w:tcMar>
        </w:tcPr>
        <w:p w14:paraId="1CC2EEF8" w14:textId="77777777" w:rsidR="005778CE" w:rsidRDefault="005778CE" w:rsidP="006E08B3">
          <w:pPr>
            <w:pStyle w:val="Heading3"/>
          </w:pPr>
          <w:r>
            <w:t>Copyright</w:t>
          </w:r>
        </w:p>
        <w:p w14:paraId="7D5664F3" w14:textId="77777777" w:rsidR="005778CE" w:rsidRDefault="005778CE" w:rsidP="006E08B3">
          <w:r>
            <w:rPr>
              <w:rFonts w:cs="Arial"/>
            </w:rPr>
            <w:t>©</w:t>
          </w:r>
          <w:r>
            <w:t xml:space="preserve"> Commonwealth of Australia [add year]</w:t>
          </w:r>
        </w:p>
        <w:p w14:paraId="766BBBB4" w14:textId="77777777" w:rsidR="005778CE" w:rsidRDefault="005778CE" w:rsidP="006E08B3"/>
        <w:p w14:paraId="1E0CEB4B" w14:textId="77777777" w:rsidR="005778CE" w:rsidRDefault="005778C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0AB5C4F" w14:textId="77777777" w:rsidR="005778CE" w:rsidRDefault="005778CE" w:rsidP="006E08B3"/>
        <w:p w14:paraId="79012826" w14:textId="77777777" w:rsidR="005778CE" w:rsidRDefault="005778CE" w:rsidP="006E08B3">
          <w:pPr>
            <w:pStyle w:val="Heading3"/>
          </w:pPr>
          <w:r>
            <w:t>Confidentiality</w:t>
          </w:r>
        </w:p>
        <w:p w14:paraId="3C6E37E9" w14:textId="77777777" w:rsidR="005778CE" w:rsidRDefault="005778C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B63B418" w14:textId="77777777" w:rsidR="005778CE" w:rsidRDefault="005778CE" w:rsidP="006E08B3"/>
        <w:p w14:paraId="6B00DD60" w14:textId="77777777" w:rsidR="005778CE" w:rsidRDefault="005778CE" w:rsidP="006E08B3">
          <w:r>
            <w:t>For submission made by individuals, all personal details, other than your name, will be removed from your submission before it is published on the TGA’s Internet site.</w:t>
          </w:r>
        </w:p>
        <w:p w14:paraId="1B399201" w14:textId="77777777" w:rsidR="005778CE" w:rsidRDefault="005778CE" w:rsidP="006E08B3"/>
        <w:p w14:paraId="0AA2FA05" w14:textId="77777777" w:rsidR="005778CE" w:rsidRDefault="005778CE" w:rsidP="006E08B3">
          <w:r>
            <w:t>In addition, a list of parties making submissions will be published. If you do not wish to be identified with your submission you must specifically request this in the space provided ib the submission coversheet.</w:t>
          </w:r>
        </w:p>
      </w:tc>
    </w:tr>
    <w:tr w:rsidR="005778CE" w14:paraId="7EDA236D" w14:textId="77777777" w:rsidTr="0010601F">
      <w:trPr>
        <w:trHeight w:val="417"/>
      </w:trPr>
      <w:tc>
        <w:tcPr>
          <w:tcW w:w="4519" w:type="dxa"/>
          <w:tcBorders>
            <w:top w:val="single" w:sz="4" w:space="0" w:color="auto"/>
          </w:tcBorders>
          <w:tcMar>
            <w:top w:w="142" w:type="dxa"/>
            <w:bottom w:w="0" w:type="dxa"/>
          </w:tcMar>
        </w:tcPr>
        <w:p w14:paraId="23C29B52" w14:textId="77777777" w:rsidR="005778CE" w:rsidRDefault="005778CE" w:rsidP="006E08B3">
          <w:r>
            <w:t>Document title, Part #, Section # - Section title</w:t>
          </w:r>
        </w:p>
        <w:p w14:paraId="7BCD62D1" w14:textId="77777777" w:rsidR="005778CE" w:rsidRDefault="005778CE" w:rsidP="006E08B3">
          <w:r>
            <w:t>V1.0 October 2010</w:t>
          </w:r>
        </w:p>
      </w:tc>
      <w:tc>
        <w:tcPr>
          <w:tcW w:w="4356" w:type="dxa"/>
          <w:tcBorders>
            <w:top w:val="single" w:sz="4" w:space="0" w:color="auto"/>
          </w:tcBorders>
          <w:tcMar>
            <w:top w:w="142" w:type="dxa"/>
            <w:bottom w:w="0" w:type="dxa"/>
          </w:tcMar>
        </w:tcPr>
        <w:p w14:paraId="1154D773" w14:textId="185C611C" w:rsidR="005778CE" w:rsidRDefault="005778CE" w:rsidP="006E08B3">
          <w:pPr>
            <w:jc w:val="right"/>
          </w:pPr>
          <w:r>
            <w:t xml:space="preserve">Page </w:t>
          </w:r>
          <w:r>
            <w:fldChar w:fldCharType="begin"/>
          </w:r>
          <w:r>
            <w:instrText xml:space="preserve"> PAGE   \* MERGEFORMAT </w:instrText>
          </w:r>
          <w:r>
            <w:fldChar w:fldCharType="separate"/>
          </w:r>
          <w:r>
            <w:rPr>
              <w:noProof/>
            </w:rPr>
            <w:t>i</w:t>
          </w:r>
          <w:r>
            <w:rPr>
              <w:noProof/>
            </w:rPr>
            <w:fldChar w:fldCharType="end"/>
          </w:r>
          <w:r>
            <w:t xml:space="preserve"> of </w:t>
          </w:r>
          <w:fldSimple w:instr=" NUMPAGES  \* Arabic ">
            <w:r>
              <w:rPr>
                <w:noProof/>
              </w:rPr>
              <w:t>34</w:t>
            </w:r>
          </w:fldSimple>
          <w:r>
            <w:t xml:space="preserve">  </w:t>
          </w:r>
        </w:p>
      </w:tc>
    </w:tr>
  </w:tbl>
  <w:p w14:paraId="118E05D6" w14:textId="77777777" w:rsidR="005778CE" w:rsidRDefault="005778C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E15A9" w14:textId="77777777" w:rsidR="005778CE" w:rsidRDefault="005778CE" w:rsidP="00C40A36">
      <w:pPr>
        <w:spacing w:after="0"/>
      </w:pPr>
      <w:r>
        <w:separator/>
      </w:r>
    </w:p>
  </w:footnote>
  <w:footnote w:type="continuationSeparator" w:id="0">
    <w:p w14:paraId="44EA874C" w14:textId="77777777" w:rsidR="005778CE" w:rsidRDefault="005778CE" w:rsidP="00C40A36">
      <w:pPr>
        <w:spacing w:after="0"/>
      </w:pPr>
      <w:r>
        <w:continuationSeparator/>
      </w:r>
    </w:p>
  </w:footnote>
  <w:footnote w:id="1">
    <w:p w14:paraId="6FB89B2C" w14:textId="77777777" w:rsidR="005778CE" w:rsidRDefault="005778CE">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38F8995C" w14:textId="26F8B4D0" w:rsidR="005778CE" w:rsidRDefault="005778CE" w:rsidP="00FD241F">
      <w:pPr>
        <w:pStyle w:val="FootnoteText"/>
      </w:pPr>
      <w:r>
        <w:rPr>
          <w:rStyle w:val="FootnoteReference"/>
        </w:rPr>
        <w:footnoteRef/>
      </w:r>
      <w:r w:rsidRPr="00415FD3">
        <w:rPr>
          <w:lang w:val="fr-FR"/>
        </w:rPr>
        <w:t xml:space="preserve"> Cohn, A. C. et al. </w:t>
      </w:r>
      <w:r>
        <w:t xml:space="preserve">Changes In </w:t>
      </w:r>
      <w:r w:rsidRPr="00343B02">
        <w:rPr>
          <w:i/>
        </w:rPr>
        <w:t>Neisseria Meningitidis</w:t>
      </w:r>
      <w:r>
        <w:t xml:space="preserve"> Disease Epidemiology in the United States, 1998-2007: Implications for Prevention of Meningococcal Disease, </w:t>
      </w:r>
      <w:r>
        <w:rPr>
          <w:i/>
        </w:rPr>
        <w:t xml:space="preserve">Clin Infect Dis, </w:t>
      </w:r>
      <w:r>
        <w:t>2010; 50: 184-191.</w:t>
      </w:r>
    </w:p>
  </w:footnote>
  <w:footnote w:id="3">
    <w:p w14:paraId="28CE5984" w14:textId="7D257D94" w:rsidR="005778CE" w:rsidRDefault="005778CE" w:rsidP="00BB0944">
      <w:pPr>
        <w:pStyle w:val="FootnoteText"/>
      </w:pPr>
      <w:r>
        <w:rPr>
          <w:rStyle w:val="FootnoteReference"/>
        </w:rPr>
        <w:footnoteRef/>
      </w:r>
      <w:r w:rsidRPr="00415FD3">
        <w:rPr>
          <w:lang w:val="fr-FR"/>
        </w:rPr>
        <w:t xml:space="preserve"> Harrison, L. H. et al. </w:t>
      </w:r>
      <w:r>
        <w:t xml:space="preserve">Meningococcal Capsular Group A, C, W and Y Conjugate Vaccines in: Vaccines. 7th ed. Philadelphia: Plotkin, S. A. et al. (editors), </w:t>
      </w:r>
      <w:r w:rsidRPr="00393AE7">
        <w:rPr>
          <w:i/>
        </w:rPr>
        <w:t>Elsevier</w:t>
      </w:r>
      <w:r>
        <w:t>; 2018: 619-643.</w:t>
      </w:r>
    </w:p>
  </w:footnote>
  <w:footnote w:id="4">
    <w:p w14:paraId="6F596DF9" w14:textId="40CCC617" w:rsidR="005778CE" w:rsidRDefault="005778CE" w:rsidP="00BB0944">
      <w:pPr>
        <w:pStyle w:val="FootnoteText"/>
      </w:pPr>
      <w:r>
        <w:rPr>
          <w:rStyle w:val="FootnoteReference"/>
        </w:rPr>
        <w:footnoteRef/>
      </w:r>
      <w:r w:rsidRPr="00415FD3">
        <w:rPr>
          <w:lang w:val="fr-FR"/>
        </w:rPr>
        <w:t xml:space="preserve"> Harrison, O. B. et al. </w:t>
      </w:r>
      <w:r>
        <w:t xml:space="preserve">Description and Nomenclature of </w:t>
      </w:r>
      <w:r w:rsidRPr="00343B02">
        <w:rPr>
          <w:i/>
        </w:rPr>
        <w:t>Neisseria</w:t>
      </w:r>
      <w:r>
        <w:t xml:space="preserve"> </w:t>
      </w:r>
      <w:r w:rsidRPr="00343B02">
        <w:rPr>
          <w:i/>
        </w:rPr>
        <w:t>Meningitidis</w:t>
      </w:r>
      <w:r>
        <w:t xml:space="preserve"> Capsule Locus, </w:t>
      </w:r>
      <w:r w:rsidRPr="00393AE7">
        <w:rPr>
          <w:i/>
        </w:rPr>
        <w:t>Emerg Infect Dis</w:t>
      </w:r>
      <w:r>
        <w:t>, 2013; 19(4): 566-573.</w:t>
      </w:r>
    </w:p>
  </w:footnote>
  <w:footnote w:id="5">
    <w:p w14:paraId="6359E93E" w14:textId="55ECD91C" w:rsidR="005778CE" w:rsidRDefault="005778CE" w:rsidP="00BB0944">
      <w:pPr>
        <w:pStyle w:val="FootnoteText"/>
      </w:pPr>
      <w:r>
        <w:rPr>
          <w:rStyle w:val="FootnoteReference"/>
        </w:rPr>
        <w:footnoteRef/>
      </w:r>
      <w:r>
        <w:t xml:space="preserve"> Stephens, D. S. Conquering the Meningococcus, </w:t>
      </w:r>
      <w:r w:rsidRPr="00393AE7">
        <w:rPr>
          <w:i/>
        </w:rPr>
        <w:t>FEMS Microbiol Rev</w:t>
      </w:r>
      <w:r>
        <w:rPr>
          <w:i/>
        </w:rPr>
        <w:t>,</w:t>
      </w:r>
      <w:r>
        <w:t xml:space="preserve"> 2007; 31(1): 3-14.</w:t>
      </w:r>
    </w:p>
  </w:footnote>
  <w:footnote w:id="6">
    <w:p w14:paraId="70E3E4BA" w14:textId="1C777471" w:rsidR="005778CE" w:rsidRDefault="005778CE" w:rsidP="00BB0944">
      <w:pPr>
        <w:pStyle w:val="FootnoteText"/>
      </w:pPr>
      <w:r>
        <w:rPr>
          <w:rStyle w:val="FootnoteReference"/>
        </w:rPr>
        <w:footnoteRef/>
      </w:r>
      <w:r>
        <w:t xml:space="preserve"> Centres for Disease Control and Prevention (CDC) Meningococcal Disease: Meningococcal Disease in Other Countries, 2017 (Accessed 23 January 2019). Available from the CDC website.</w:t>
      </w:r>
    </w:p>
  </w:footnote>
  <w:footnote w:id="7">
    <w:p w14:paraId="5C1704F8" w14:textId="144EC860" w:rsidR="005778CE" w:rsidRDefault="005778CE">
      <w:pPr>
        <w:pStyle w:val="FootnoteText"/>
      </w:pPr>
      <w:r>
        <w:rPr>
          <w:rStyle w:val="FootnoteReference"/>
        </w:rPr>
        <w:footnoteRef/>
      </w:r>
      <w:r>
        <w:t xml:space="preserve"> </w:t>
      </w:r>
      <w:r w:rsidRPr="00082FBF">
        <w:t>Menactra</w:t>
      </w:r>
      <w:r w:rsidRPr="00095F9D">
        <w:t xml:space="preserve"> was first registered on the ARTG on </w:t>
      </w:r>
      <w:r>
        <w:t xml:space="preserve">26 July </w:t>
      </w:r>
      <w:r w:rsidRPr="00095F9D">
        <w:t>2011 (ARTG number: 168403).</w:t>
      </w:r>
    </w:p>
  </w:footnote>
  <w:footnote w:id="8">
    <w:p w14:paraId="54C9095F" w14:textId="501DE16B" w:rsidR="005778CE" w:rsidRDefault="005778CE">
      <w:pPr>
        <w:pStyle w:val="FootnoteText"/>
      </w:pPr>
      <w:r>
        <w:rPr>
          <w:rStyle w:val="FootnoteReference"/>
        </w:rPr>
        <w:footnoteRef/>
      </w:r>
      <w:r>
        <w:t xml:space="preserve"> </w:t>
      </w:r>
      <w:r w:rsidRPr="0024682E">
        <w:t>Menveo</w:t>
      </w:r>
      <w:r>
        <w:t xml:space="preserve"> </w:t>
      </w:r>
      <w:r w:rsidRPr="00095F9D">
        <w:t xml:space="preserve">was first registered on the ARTG on </w:t>
      </w:r>
      <w:r w:rsidRPr="0098505B">
        <w:t>6</w:t>
      </w:r>
      <w:r>
        <w:t xml:space="preserve"> August </w:t>
      </w:r>
      <w:r w:rsidRPr="0098505B">
        <w:t xml:space="preserve">2010 </w:t>
      </w:r>
      <w:r w:rsidRPr="00095F9D">
        <w:t xml:space="preserve">(ARTG number: </w:t>
      </w:r>
      <w:r w:rsidRPr="0024682E">
        <w:t>158477</w:t>
      </w:r>
      <w:r w:rsidRPr="00095F9D">
        <w:t>).</w:t>
      </w:r>
    </w:p>
  </w:footnote>
  <w:footnote w:id="9">
    <w:p w14:paraId="5987FA12" w14:textId="77777777" w:rsidR="005778CE" w:rsidRDefault="005778CE" w:rsidP="00095F9D">
      <w:pPr>
        <w:pStyle w:val="FootnoteText"/>
      </w:pPr>
      <w:r>
        <w:rPr>
          <w:rStyle w:val="FootnoteReference"/>
        </w:rPr>
        <w:footnoteRef/>
      </w:r>
      <w:r>
        <w:t xml:space="preserve"> </w:t>
      </w:r>
      <w:r w:rsidRPr="00082FBF">
        <w:t>Nimenrix</w:t>
      </w:r>
      <w:r>
        <w:t xml:space="preserve"> </w:t>
      </w:r>
      <w:r w:rsidRPr="00095F9D">
        <w:t xml:space="preserve">was first registered on the ARTG on </w:t>
      </w:r>
      <w:r>
        <w:t>29 August 2</w:t>
      </w:r>
      <w:r w:rsidRPr="00095F9D">
        <w:t xml:space="preserve">013 (ARTG number: 199741 </w:t>
      </w:r>
      <w:r>
        <w:t xml:space="preserve">and </w:t>
      </w:r>
      <w:r w:rsidRPr="00095F9D">
        <w:t>199742).</w:t>
      </w:r>
    </w:p>
  </w:footnote>
  <w:footnote w:id="10">
    <w:p w14:paraId="29848400" w14:textId="577896A3" w:rsidR="005778CE" w:rsidRDefault="005778CE">
      <w:pPr>
        <w:pStyle w:val="FootnoteText"/>
      </w:pPr>
      <w:r>
        <w:rPr>
          <w:rStyle w:val="FootnoteReference"/>
        </w:rPr>
        <w:footnoteRef/>
      </w:r>
      <w:r>
        <w:t xml:space="preserve"> CDC online reports</w:t>
      </w:r>
    </w:p>
  </w:footnote>
  <w:footnote w:id="11">
    <w:p w14:paraId="3566A961" w14:textId="77777777" w:rsidR="005778CE" w:rsidRDefault="005778CE" w:rsidP="00872F55">
      <w:pPr>
        <w:pStyle w:val="FootnoteText"/>
      </w:pPr>
      <w:r>
        <w:rPr>
          <w:rStyle w:val="FootnoteReference"/>
        </w:rPr>
        <w:footnoteRef/>
      </w:r>
      <w:r>
        <w:t xml:space="preserve"> </w:t>
      </w:r>
      <w:r w:rsidRPr="000736B1">
        <w:rPr>
          <w:b/>
        </w:rPr>
        <w:t>Pregnancy category B1</w:t>
      </w:r>
      <w:r>
        <w:t>: Drugs which have been taken by only a limited number of pregnant women and women of childbearing age, without an increase in the frequency of malformation or other direct or indirect harmful effects on the human fetus having been observed.</w:t>
      </w:r>
    </w:p>
    <w:p w14:paraId="1F3863BF" w14:textId="1EB8DF99" w:rsidR="005778CE" w:rsidRDefault="005778CE" w:rsidP="00872F55">
      <w:pPr>
        <w:pStyle w:val="FootnoteText"/>
      </w:pPr>
      <w:r>
        <w:t>Studies in animals have not shown evidence of an increased occurrence of fetal damage.</w:t>
      </w:r>
    </w:p>
  </w:footnote>
  <w:footnote w:id="12">
    <w:p w14:paraId="1A1E7242" w14:textId="77777777" w:rsidR="005778CE" w:rsidRDefault="005778CE" w:rsidP="000736B1">
      <w:pPr>
        <w:pStyle w:val="FootnoteText"/>
      </w:pPr>
      <w:r>
        <w:rPr>
          <w:rStyle w:val="FootnoteReference"/>
        </w:rPr>
        <w:footnoteRef/>
      </w:r>
      <w:r>
        <w:t xml:space="preserve"> </w:t>
      </w:r>
      <w:r w:rsidRPr="00940E82">
        <w:t xml:space="preserve">The </w:t>
      </w:r>
      <w:r w:rsidRPr="000736B1">
        <w:rPr>
          <w:b/>
        </w:rPr>
        <w:t>per-protocol analysis</w:t>
      </w:r>
      <w:r w:rsidRPr="00940E82">
        <w:t xml:space="preserve"> is restricted to the participants who strictly adhered to the protocol. Also known as ‘on-treatment’ analysis.</w:t>
      </w:r>
    </w:p>
  </w:footnote>
  <w:footnote w:id="13">
    <w:p w14:paraId="33A31C3D" w14:textId="77777777" w:rsidR="005778CE" w:rsidRDefault="005778CE" w:rsidP="00DE600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137F0F54" w14:textId="77777777" w:rsidR="005778CE" w:rsidRDefault="005778CE" w:rsidP="00DE6006">
      <w:pPr>
        <w:pStyle w:val="FootnoteText"/>
      </w:pPr>
      <w:r w:rsidRPr="007D53B6">
        <w:rPr>
          <w:i/>
        </w:rPr>
        <w:t>Routine pharmacovigilance</w:t>
      </w:r>
      <w:r>
        <w:t xml:space="preserve"> practices involve the following activities:</w:t>
      </w:r>
    </w:p>
    <w:p w14:paraId="0C7BC1B7" w14:textId="77777777" w:rsidR="005778CE" w:rsidRDefault="005778CE" w:rsidP="00DE6006">
      <w:pPr>
        <w:pStyle w:val="FootnoteText"/>
        <w:numPr>
          <w:ilvl w:val="0"/>
          <w:numId w:val="32"/>
        </w:numPr>
        <w:ind w:left="284" w:hanging="284"/>
      </w:pPr>
      <w:r>
        <w:t>All suspected adverse reactions that are reported to the personnel of the company are collected and collated in an accessible manner;</w:t>
      </w:r>
    </w:p>
    <w:p w14:paraId="02C345CD" w14:textId="77777777" w:rsidR="005778CE" w:rsidRDefault="005778CE" w:rsidP="00DE6006">
      <w:pPr>
        <w:pStyle w:val="FootnoteText"/>
        <w:numPr>
          <w:ilvl w:val="0"/>
          <w:numId w:val="32"/>
        </w:numPr>
        <w:ind w:left="284" w:hanging="284"/>
      </w:pPr>
      <w:r>
        <w:t>Reporting to regulatory authorities;</w:t>
      </w:r>
    </w:p>
    <w:p w14:paraId="1859856B" w14:textId="77777777" w:rsidR="005778CE" w:rsidRDefault="005778CE" w:rsidP="00DE6006">
      <w:pPr>
        <w:pStyle w:val="FootnoteText"/>
        <w:numPr>
          <w:ilvl w:val="0"/>
          <w:numId w:val="32"/>
        </w:numPr>
        <w:ind w:left="284" w:hanging="284"/>
      </w:pPr>
      <w:r>
        <w:t>Continuous monitoring of the safety profiles of approved products including signal detection and updating of labelling;</w:t>
      </w:r>
    </w:p>
    <w:p w14:paraId="3F911708" w14:textId="77777777" w:rsidR="005778CE" w:rsidRDefault="005778CE" w:rsidP="00DE6006">
      <w:pPr>
        <w:pStyle w:val="FootnoteText"/>
        <w:numPr>
          <w:ilvl w:val="0"/>
          <w:numId w:val="32"/>
        </w:numPr>
        <w:ind w:left="284" w:hanging="284"/>
      </w:pPr>
      <w:r>
        <w:t>Submission of PSURs;</w:t>
      </w:r>
    </w:p>
    <w:p w14:paraId="01E80D73" w14:textId="02A64426" w:rsidR="005778CE" w:rsidRDefault="005778CE" w:rsidP="00DE6006">
      <w:pPr>
        <w:pStyle w:val="FootnoteText"/>
        <w:numPr>
          <w:ilvl w:val="0"/>
          <w:numId w:val="32"/>
        </w:numPr>
        <w:ind w:left="284" w:hanging="284"/>
      </w:pPr>
      <w:r>
        <w:t>Meeting other local regulatory agency requirements.</w:t>
      </w:r>
    </w:p>
  </w:footnote>
  <w:footnote w:id="14">
    <w:p w14:paraId="61B8BA9C" w14:textId="4B8A0753" w:rsidR="005778CE" w:rsidRDefault="005778CE">
      <w:pPr>
        <w:pStyle w:val="FootnoteText"/>
      </w:pPr>
      <w:r>
        <w:rPr>
          <w:rStyle w:val="FootnoteReference"/>
        </w:rPr>
        <w:footnoteRef/>
      </w:r>
      <w:r>
        <w:t xml:space="preserve"> </w:t>
      </w:r>
      <w:r w:rsidRPr="00940E82">
        <w:t xml:space="preserve">A </w:t>
      </w:r>
      <w:r w:rsidRPr="000736B1">
        <w:rPr>
          <w:b/>
        </w:rPr>
        <w:t>periodic safety update report (PSUR)</w:t>
      </w:r>
      <w:r w:rsidRPr="00940E82">
        <w:t xml:space="preserve"> is a systematic review of the global safety data of an approved medicine that becomes available during a defined time period. PSURs are also </w:t>
      </w:r>
      <w:r>
        <w:t xml:space="preserve">referred to as periodic benefit </w:t>
      </w:r>
      <w:r w:rsidRPr="00940E82">
        <w:t>risk evaluation reports (PBRERs).</w:t>
      </w:r>
    </w:p>
  </w:footnote>
  <w:footnote w:id="15">
    <w:p w14:paraId="4E0F8DAA" w14:textId="5142AF90" w:rsidR="005778CE" w:rsidRPr="003D55C3" w:rsidRDefault="005778CE" w:rsidP="003D55C3">
      <w:pPr>
        <w:pStyle w:val="FootnoteText"/>
      </w:pPr>
      <w:r>
        <w:rPr>
          <w:rStyle w:val="FootnoteReference"/>
        </w:rPr>
        <w:footnoteRef/>
      </w:r>
      <w:r>
        <w:t xml:space="preserve"> </w:t>
      </w:r>
      <w:r w:rsidRPr="003D55C3">
        <w:t xml:space="preserve">The </w:t>
      </w:r>
      <w:r w:rsidRPr="003D55C3">
        <w:rPr>
          <w:b/>
        </w:rPr>
        <w:t>Advisory Committee on Vaccines (ACV)</w:t>
      </w:r>
      <w:r w:rsidRPr="003D55C3">
        <w:t xml:space="preserve"> provides independent medical and scientific advice to the Minister for Health and the TGA on issues relating to the safety, quality and efficacy of vaccines supplied in Australia including issues relating to pre-market assessment, post-market monitoring and safe use in national immunisation programs.</w:t>
      </w:r>
    </w:p>
    <w:p w14:paraId="45BA8421" w14:textId="77777777" w:rsidR="005778CE" w:rsidRPr="003D55C3" w:rsidRDefault="005778CE" w:rsidP="003D55C3">
      <w:pPr>
        <w:pStyle w:val="FootnoteText"/>
      </w:pPr>
    </w:p>
    <w:p w14:paraId="1F6BC9DF" w14:textId="77777777" w:rsidR="005778CE" w:rsidRPr="003D55C3" w:rsidRDefault="005778CE" w:rsidP="003D55C3">
      <w:pPr>
        <w:pStyle w:val="FootnoteText"/>
      </w:pPr>
      <w:r w:rsidRPr="003D55C3">
        <w:t>The Committee is established under Regulation 39F of the Therapeutic Goods Regulations 1990 and the members are appointed by the Minister for Health.</w:t>
      </w:r>
    </w:p>
    <w:p w14:paraId="052C285D" w14:textId="77777777" w:rsidR="005778CE" w:rsidRPr="003D55C3" w:rsidRDefault="005778CE" w:rsidP="003D55C3">
      <w:pPr>
        <w:pStyle w:val="FootnoteText"/>
      </w:pPr>
    </w:p>
    <w:p w14:paraId="0A151BAE" w14:textId="1CC79DD0" w:rsidR="005778CE" w:rsidRPr="003D55C3" w:rsidRDefault="005778CE" w:rsidP="003D55C3">
      <w:pPr>
        <w:pStyle w:val="FootnoteText"/>
      </w:pPr>
      <w:r w:rsidRPr="003D55C3">
        <w:t>The ACV was established in January 2017, following consolidation of previous functions of the Advisory Committee on the Safety of Vaccines and the pre-market functions for vaccines of the Advisory Comm</w:t>
      </w:r>
      <w:r>
        <w:t>ittee on Prescription Medicines</w:t>
      </w:r>
      <w:r w:rsidRPr="003D55C3">
        <w:t>.</w:t>
      </w:r>
    </w:p>
    <w:p w14:paraId="66D395E9" w14:textId="77777777" w:rsidR="005778CE" w:rsidRPr="003D55C3" w:rsidRDefault="005778CE" w:rsidP="003D55C3">
      <w:pPr>
        <w:pStyle w:val="FootnoteText"/>
      </w:pPr>
    </w:p>
    <w:p w14:paraId="17111E56" w14:textId="28AB70D6" w:rsidR="005778CE" w:rsidRPr="00456765" w:rsidRDefault="005778CE" w:rsidP="003D55C3">
      <w:pPr>
        <w:pStyle w:val="FootnoteText"/>
        <w:rPr>
          <w:lang w:val="en-US"/>
        </w:rPr>
      </w:pPr>
      <w:r w:rsidRPr="003D55C3">
        <w:t>Membership comprises professionals with expertise in specific scientific, medical or clinical fields, or consumer health issues.</w:t>
      </w:r>
    </w:p>
  </w:footnote>
  <w:footnote w:id="16">
    <w:p w14:paraId="29DCB6F5" w14:textId="4A2A3A10" w:rsidR="005778CE" w:rsidRDefault="005778CE">
      <w:pPr>
        <w:pStyle w:val="FootnoteText"/>
      </w:pPr>
      <w:r>
        <w:rPr>
          <w:rStyle w:val="FootnoteReference"/>
        </w:rPr>
        <w:footnoteRef/>
      </w:r>
      <w:r>
        <w:t xml:space="preserve"> The United States post-licensure rapid immunization safety monitoring system (US PRISM), part of Food and Drug Administration (FDA)’s national system for monitoring medical products once licensed for use. ‘PRISM focuses on vaccine safety - it uses a database of health insurance claims to identify and evaluate possible safety issues for licensed vaccines.’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8A8D1" w14:textId="77777777" w:rsidR="005778CE" w:rsidRDefault="005778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C1AAC" w14:textId="77777777" w:rsidR="005778CE" w:rsidRDefault="005778CE"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87E2A" w14:textId="77777777" w:rsidR="005778CE" w:rsidRDefault="005778CE">
    <w:pPr>
      <w:rPr>
        <w:noProof/>
        <w:lang w:eastAsia="en-AU"/>
      </w:rPr>
    </w:pPr>
    <w:r w:rsidRPr="00347824">
      <w:rPr>
        <w:noProof/>
        <w:lang w:eastAsia="en-AU"/>
      </w:rPr>
      <w:drawing>
        <wp:anchor distT="0" distB="0" distL="114300" distR="114300" simplePos="0" relativeHeight="251659264" behindDoc="1" locked="0" layoutInCell="1" allowOverlap="1" wp14:anchorId="7ABE5486" wp14:editId="72BDA039">
          <wp:simplePos x="0" y="0"/>
          <wp:positionH relativeFrom="column">
            <wp:posOffset>-1089660</wp:posOffset>
          </wp:positionH>
          <wp:positionV relativeFrom="paragraph">
            <wp:posOffset>-585470</wp:posOffset>
          </wp:positionV>
          <wp:extent cx="7572375" cy="10706100"/>
          <wp:effectExtent l="19050" t="0" r="0" b="0"/>
          <wp:wrapNone/>
          <wp:docPr id="1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BCCF8BB" w14:textId="77777777" w:rsidR="005778CE" w:rsidRDefault="005778CE"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0E09A" w14:textId="77777777" w:rsidR="005778CE" w:rsidRDefault="005778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06A6B" w14:textId="77777777" w:rsidR="005778CE" w:rsidRDefault="005778CE">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4D495" w14:textId="77777777" w:rsidR="005778CE" w:rsidRDefault="005778CE">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03D80" w14:textId="77777777" w:rsidR="005778CE" w:rsidRDefault="005778C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5E271" w14:textId="77777777" w:rsidR="005778CE" w:rsidRDefault="005778CE"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0A807" w14:textId="77777777" w:rsidR="005778CE" w:rsidRDefault="005778CE" w:rsidP="006E08B3">
    <w:r>
      <w:t>Therapeutic Goods Administration</w:t>
    </w:r>
  </w:p>
  <w:p w14:paraId="668ADD25" w14:textId="77777777" w:rsidR="005778CE" w:rsidRDefault="005778CE"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23A8A2E"/>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211C9FA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BD9E072E"/>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A53CC5"/>
    <w:multiLevelType w:val="hybridMultilevel"/>
    <w:tmpl w:val="C5EA2520"/>
    <w:lvl w:ilvl="0" w:tplc="425E5A2C">
      <w:start w:val="9"/>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C4D31A1"/>
    <w:multiLevelType w:val="hybridMultilevel"/>
    <w:tmpl w:val="BA5AAA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4"/>
  </w:num>
  <w:num w:numId="29">
    <w:abstractNumId w:val="7"/>
  </w:num>
  <w:num w:numId="30">
    <w:abstractNumId w:val="9"/>
  </w:num>
  <w:num w:numId="31">
    <w:abstractNumId w:val="4"/>
  </w:num>
  <w:num w:numId="32">
    <w:abstractNumId w:val="12"/>
  </w:num>
  <w:num w:numId="33">
    <w:abstractNumId w:val="10"/>
  </w:num>
  <w:num w:numId="34">
    <w:abstractNumId w:val="5"/>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hyphenationZone w:val="425"/>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8A0"/>
    <w:rsid w:val="00002031"/>
    <w:rsid w:val="0000334F"/>
    <w:rsid w:val="00004734"/>
    <w:rsid w:val="00004742"/>
    <w:rsid w:val="00004979"/>
    <w:rsid w:val="00006B22"/>
    <w:rsid w:val="00006FAB"/>
    <w:rsid w:val="0001276A"/>
    <w:rsid w:val="0001559C"/>
    <w:rsid w:val="000171EC"/>
    <w:rsid w:val="00022BCB"/>
    <w:rsid w:val="000246AE"/>
    <w:rsid w:val="00025C67"/>
    <w:rsid w:val="00025F60"/>
    <w:rsid w:val="000370C6"/>
    <w:rsid w:val="00044772"/>
    <w:rsid w:val="00044E0C"/>
    <w:rsid w:val="0004541C"/>
    <w:rsid w:val="00050DDB"/>
    <w:rsid w:val="0005559E"/>
    <w:rsid w:val="000604D6"/>
    <w:rsid w:val="00064DBB"/>
    <w:rsid w:val="000734D8"/>
    <w:rsid w:val="000736B1"/>
    <w:rsid w:val="00077775"/>
    <w:rsid w:val="00082FBF"/>
    <w:rsid w:val="00090471"/>
    <w:rsid w:val="00090C92"/>
    <w:rsid w:val="00095F9D"/>
    <w:rsid w:val="00096AA7"/>
    <w:rsid w:val="000A0627"/>
    <w:rsid w:val="000A11AB"/>
    <w:rsid w:val="000A17E0"/>
    <w:rsid w:val="000A3AED"/>
    <w:rsid w:val="000B3532"/>
    <w:rsid w:val="000B3A75"/>
    <w:rsid w:val="000C00C2"/>
    <w:rsid w:val="000C4071"/>
    <w:rsid w:val="000C690F"/>
    <w:rsid w:val="000D1295"/>
    <w:rsid w:val="000D391B"/>
    <w:rsid w:val="000D3D6D"/>
    <w:rsid w:val="000D4FC7"/>
    <w:rsid w:val="000D5EB2"/>
    <w:rsid w:val="000D6F30"/>
    <w:rsid w:val="000E402F"/>
    <w:rsid w:val="000E5AC7"/>
    <w:rsid w:val="000E6196"/>
    <w:rsid w:val="000E719C"/>
    <w:rsid w:val="000F1B1A"/>
    <w:rsid w:val="000F4869"/>
    <w:rsid w:val="000F5B42"/>
    <w:rsid w:val="000F6E6F"/>
    <w:rsid w:val="0010601F"/>
    <w:rsid w:val="0010788A"/>
    <w:rsid w:val="00107A31"/>
    <w:rsid w:val="00107B19"/>
    <w:rsid w:val="00110EA5"/>
    <w:rsid w:val="00112F56"/>
    <w:rsid w:val="00114368"/>
    <w:rsid w:val="00115F19"/>
    <w:rsid w:val="00117697"/>
    <w:rsid w:val="00122C2E"/>
    <w:rsid w:val="00124ACD"/>
    <w:rsid w:val="00125318"/>
    <w:rsid w:val="001305A2"/>
    <w:rsid w:val="00133238"/>
    <w:rsid w:val="0013388D"/>
    <w:rsid w:val="00133A1B"/>
    <w:rsid w:val="00134177"/>
    <w:rsid w:val="001355C1"/>
    <w:rsid w:val="0014197B"/>
    <w:rsid w:val="001447CD"/>
    <w:rsid w:val="00146B11"/>
    <w:rsid w:val="00147B35"/>
    <w:rsid w:val="001516B1"/>
    <w:rsid w:val="00154EBB"/>
    <w:rsid w:val="00156316"/>
    <w:rsid w:val="00161181"/>
    <w:rsid w:val="00162D14"/>
    <w:rsid w:val="00163780"/>
    <w:rsid w:val="00165389"/>
    <w:rsid w:val="00175478"/>
    <w:rsid w:val="0017693F"/>
    <w:rsid w:val="0018110E"/>
    <w:rsid w:val="00181684"/>
    <w:rsid w:val="001843C6"/>
    <w:rsid w:val="001850E0"/>
    <w:rsid w:val="00187420"/>
    <w:rsid w:val="0019608B"/>
    <w:rsid w:val="001A03AF"/>
    <w:rsid w:val="001A0E21"/>
    <w:rsid w:val="001A2158"/>
    <w:rsid w:val="001A392C"/>
    <w:rsid w:val="001A525F"/>
    <w:rsid w:val="001B09F9"/>
    <w:rsid w:val="001B1B81"/>
    <w:rsid w:val="001B5C90"/>
    <w:rsid w:val="001B6448"/>
    <w:rsid w:val="001C087F"/>
    <w:rsid w:val="001C0DDF"/>
    <w:rsid w:val="001C32CD"/>
    <w:rsid w:val="001C7E33"/>
    <w:rsid w:val="001D2369"/>
    <w:rsid w:val="001D2984"/>
    <w:rsid w:val="001D7C35"/>
    <w:rsid w:val="001E07CF"/>
    <w:rsid w:val="001E59F1"/>
    <w:rsid w:val="001F2CEE"/>
    <w:rsid w:val="001F49EB"/>
    <w:rsid w:val="001F6CBA"/>
    <w:rsid w:val="001F6FC8"/>
    <w:rsid w:val="00201D4E"/>
    <w:rsid w:val="002076C9"/>
    <w:rsid w:val="00216541"/>
    <w:rsid w:val="00220B8A"/>
    <w:rsid w:val="00222CE5"/>
    <w:rsid w:val="00223B4D"/>
    <w:rsid w:val="002257F3"/>
    <w:rsid w:val="00227CA3"/>
    <w:rsid w:val="00233456"/>
    <w:rsid w:val="0023399B"/>
    <w:rsid w:val="002339A5"/>
    <w:rsid w:val="00234A22"/>
    <w:rsid w:val="00234A6E"/>
    <w:rsid w:val="002419F5"/>
    <w:rsid w:val="00245104"/>
    <w:rsid w:val="0024682E"/>
    <w:rsid w:val="00250271"/>
    <w:rsid w:val="00254DCF"/>
    <w:rsid w:val="00254DF9"/>
    <w:rsid w:val="00255921"/>
    <w:rsid w:val="00256006"/>
    <w:rsid w:val="00257848"/>
    <w:rsid w:val="002578E8"/>
    <w:rsid w:val="0026034F"/>
    <w:rsid w:val="0027084A"/>
    <w:rsid w:val="00272759"/>
    <w:rsid w:val="002752B1"/>
    <w:rsid w:val="00280265"/>
    <w:rsid w:val="00286434"/>
    <w:rsid w:val="00286C59"/>
    <w:rsid w:val="00291957"/>
    <w:rsid w:val="00291CC8"/>
    <w:rsid w:val="00292C22"/>
    <w:rsid w:val="002942D1"/>
    <w:rsid w:val="0029501A"/>
    <w:rsid w:val="00295210"/>
    <w:rsid w:val="002967B8"/>
    <w:rsid w:val="00297146"/>
    <w:rsid w:val="002A25C8"/>
    <w:rsid w:val="002A3721"/>
    <w:rsid w:val="002B0C98"/>
    <w:rsid w:val="002B1638"/>
    <w:rsid w:val="002B2649"/>
    <w:rsid w:val="002B3624"/>
    <w:rsid w:val="002C1035"/>
    <w:rsid w:val="002C3351"/>
    <w:rsid w:val="002D0952"/>
    <w:rsid w:val="002D2067"/>
    <w:rsid w:val="002E40B3"/>
    <w:rsid w:val="002E416D"/>
    <w:rsid w:val="002E43DB"/>
    <w:rsid w:val="002E4C9A"/>
    <w:rsid w:val="002F0D65"/>
    <w:rsid w:val="002F11F8"/>
    <w:rsid w:val="002F3D34"/>
    <w:rsid w:val="002F3F56"/>
    <w:rsid w:val="002F44B5"/>
    <w:rsid w:val="002F5122"/>
    <w:rsid w:val="002F5248"/>
    <w:rsid w:val="003022E5"/>
    <w:rsid w:val="00302400"/>
    <w:rsid w:val="00304A69"/>
    <w:rsid w:val="003109E6"/>
    <w:rsid w:val="00311AC0"/>
    <w:rsid w:val="00314028"/>
    <w:rsid w:val="00317613"/>
    <w:rsid w:val="003176FC"/>
    <w:rsid w:val="00324E45"/>
    <w:rsid w:val="0032583B"/>
    <w:rsid w:val="00327883"/>
    <w:rsid w:val="00331037"/>
    <w:rsid w:val="00335504"/>
    <w:rsid w:val="00340C18"/>
    <w:rsid w:val="00343B02"/>
    <w:rsid w:val="003442FD"/>
    <w:rsid w:val="00347824"/>
    <w:rsid w:val="00350567"/>
    <w:rsid w:val="003521E8"/>
    <w:rsid w:val="00354B35"/>
    <w:rsid w:val="00355475"/>
    <w:rsid w:val="00363D07"/>
    <w:rsid w:val="00364F82"/>
    <w:rsid w:val="003674DC"/>
    <w:rsid w:val="00367798"/>
    <w:rsid w:val="00370CE3"/>
    <w:rsid w:val="00370F3D"/>
    <w:rsid w:val="00372819"/>
    <w:rsid w:val="003728F3"/>
    <w:rsid w:val="003735BC"/>
    <w:rsid w:val="0037496E"/>
    <w:rsid w:val="0037671E"/>
    <w:rsid w:val="00380C43"/>
    <w:rsid w:val="00383221"/>
    <w:rsid w:val="00386150"/>
    <w:rsid w:val="003874CE"/>
    <w:rsid w:val="00390900"/>
    <w:rsid w:val="00393AE7"/>
    <w:rsid w:val="00397FC1"/>
    <w:rsid w:val="003A49B5"/>
    <w:rsid w:val="003A7A5C"/>
    <w:rsid w:val="003A7F6C"/>
    <w:rsid w:val="003B4D60"/>
    <w:rsid w:val="003B601A"/>
    <w:rsid w:val="003B7E39"/>
    <w:rsid w:val="003C46CF"/>
    <w:rsid w:val="003C58DC"/>
    <w:rsid w:val="003C5A33"/>
    <w:rsid w:val="003D1E62"/>
    <w:rsid w:val="003D4FB6"/>
    <w:rsid w:val="003D55C3"/>
    <w:rsid w:val="003D7DC2"/>
    <w:rsid w:val="003E0B99"/>
    <w:rsid w:val="003E2486"/>
    <w:rsid w:val="003E3208"/>
    <w:rsid w:val="003F0B04"/>
    <w:rsid w:val="003F4C5B"/>
    <w:rsid w:val="003F5866"/>
    <w:rsid w:val="0040134E"/>
    <w:rsid w:val="00403A91"/>
    <w:rsid w:val="00411288"/>
    <w:rsid w:val="00415FD3"/>
    <w:rsid w:val="004334C7"/>
    <w:rsid w:val="00440A2D"/>
    <w:rsid w:val="00441C3F"/>
    <w:rsid w:val="00444D1A"/>
    <w:rsid w:val="00446977"/>
    <w:rsid w:val="004511E9"/>
    <w:rsid w:val="0045186A"/>
    <w:rsid w:val="004564A7"/>
    <w:rsid w:val="00456765"/>
    <w:rsid w:val="00457018"/>
    <w:rsid w:val="00460036"/>
    <w:rsid w:val="004617BF"/>
    <w:rsid w:val="004618CD"/>
    <w:rsid w:val="00463658"/>
    <w:rsid w:val="004637A0"/>
    <w:rsid w:val="00464C28"/>
    <w:rsid w:val="00466C3D"/>
    <w:rsid w:val="004722CC"/>
    <w:rsid w:val="0047275F"/>
    <w:rsid w:val="00475ECF"/>
    <w:rsid w:val="00487C68"/>
    <w:rsid w:val="00490483"/>
    <w:rsid w:val="0049199D"/>
    <w:rsid w:val="00492141"/>
    <w:rsid w:val="00492CFE"/>
    <w:rsid w:val="004936E4"/>
    <w:rsid w:val="00494E60"/>
    <w:rsid w:val="00497487"/>
    <w:rsid w:val="004A2771"/>
    <w:rsid w:val="004A2CFB"/>
    <w:rsid w:val="004A6189"/>
    <w:rsid w:val="004A7390"/>
    <w:rsid w:val="004B5D66"/>
    <w:rsid w:val="004B7B76"/>
    <w:rsid w:val="004C239D"/>
    <w:rsid w:val="004C2DCA"/>
    <w:rsid w:val="004C4FBE"/>
    <w:rsid w:val="004C61D2"/>
    <w:rsid w:val="004D42EE"/>
    <w:rsid w:val="004F060B"/>
    <w:rsid w:val="004F0C4A"/>
    <w:rsid w:val="004F0F38"/>
    <w:rsid w:val="004F47D6"/>
    <w:rsid w:val="00500337"/>
    <w:rsid w:val="00501921"/>
    <w:rsid w:val="00502715"/>
    <w:rsid w:val="00523EBD"/>
    <w:rsid w:val="00524408"/>
    <w:rsid w:val="00530354"/>
    <w:rsid w:val="005308FD"/>
    <w:rsid w:val="005322AD"/>
    <w:rsid w:val="00533AD9"/>
    <w:rsid w:val="0053625B"/>
    <w:rsid w:val="005366C1"/>
    <w:rsid w:val="005434C6"/>
    <w:rsid w:val="00543B39"/>
    <w:rsid w:val="00545F40"/>
    <w:rsid w:val="00546154"/>
    <w:rsid w:val="00550096"/>
    <w:rsid w:val="00555280"/>
    <w:rsid w:val="00557AC8"/>
    <w:rsid w:val="00557FF9"/>
    <w:rsid w:val="00562327"/>
    <w:rsid w:val="005711D5"/>
    <w:rsid w:val="00571D8B"/>
    <w:rsid w:val="00572A96"/>
    <w:rsid w:val="00574D01"/>
    <w:rsid w:val="00576378"/>
    <w:rsid w:val="00577130"/>
    <w:rsid w:val="005778CE"/>
    <w:rsid w:val="00577945"/>
    <w:rsid w:val="00577E38"/>
    <w:rsid w:val="00580EE9"/>
    <w:rsid w:val="0058524F"/>
    <w:rsid w:val="00585322"/>
    <w:rsid w:val="005854A0"/>
    <w:rsid w:val="005857C6"/>
    <w:rsid w:val="005907B2"/>
    <w:rsid w:val="00592F6E"/>
    <w:rsid w:val="00593AD1"/>
    <w:rsid w:val="00597BDC"/>
    <w:rsid w:val="005A07FB"/>
    <w:rsid w:val="005A2F65"/>
    <w:rsid w:val="005A68B6"/>
    <w:rsid w:val="005C34C4"/>
    <w:rsid w:val="005C5570"/>
    <w:rsid w:val="005C5B66"/>
    <w:rsid w:val="005C79A4"/>
    <w:rsid w:val="005D0109"/>
    <w:rsid w:val="005D3B4B"/>
    <w:rsid w:val="005D3D12"/>
    <w:rsid w:val="005D5442"/>
    <w:rsid w:val="005E19FA"/>
    <w:rsid w:val="005E2341"/>
    <w:rsid w:val="005E32BC"/>
    <w:rsid w:val="005E7740"/>
    <w:rsid w:val="005F1EE6"/>
    <w:rsid w:val="005F31B2"/>
    <w:rsid w:val="005F3CB2"/>
    <w:rsid w:val="005F4D35"/>
    <w:rsid w:val="006005A7"/>
    <w:rsid w:val="00603F32"/>
    <w:rsid w:val="00605AD4"/>
    <w:rsid w:val="00611E53"/>
    <w:rsid w:val="006136D7"/>
    <w:rsid w:val="00616FDD"/>
    <w:rsid w:val="00625A6E"/>
    <w:rsid w:val="00632398"/>
    <w:rsid w:val="0063556B"/>
    <w:rsid w:val="00640FC3"/>
    <w:rsid w:val="00642020"/>
    <w:rsid w:val="006430EE"/>
    <w:rsid w:val="0065337B"/>
    <w:rsid w:val="0065419D"/>
    <w:rsid w:val="006603BC"/>
    <w:rsid w:val="006604D8"/>
    <w:rsid w:val="00664A5B"/>
    <w:rsid w:val="0066735C"/>
    <w:rsid w:val="0067428D"/>
    <w:rsid w:val="006763D2"/>
    <w:rsid w:val="00680C08"/>
    <w:rsid w:val="00681AA4"/>
    <w:rsid w:val="006916A0"/>
    <w:rsid w:val="006929B5"/>
    <w:rsid w:val="006931B1"/>
    <w:rsid w:val="006952DF"/>
    <w:rsid w:val="006A117F"/>
    <w:rsid w:val="006A15C0"/>
    <w:rsid w:val="006A58A8"/>
    <w:rsid w:val="006A7E42"/>
    <w:rsid w:val="006C3E2A"/>
    <w:rsid w:val="006C472E"/>
    <w:rsid w:val="006C58DF"/>
    <w:rsid w:val="006C642F"/>
    <w:rsid w:val="006D03E5"/>
    <w:rsid w:val="006D0D20"/>
    <w:rsid w:val="006D239C"/>
    <w:rsid w:val="006D4697"/>
    <w:rsid w:val="006D5D3E"/>
    <w:rsid w:val="006E05A7"/>
    <w:rsid w:val="006E08B3"/>
    <w:rsid w:val="006E4D7A"/>
    <w:rsid w:val="006F17AC"/>
    <w:rsid w:val="006F25B8"/>
    <w:rsid w:val="006F572E"/>
    <w:rsid w:val="006F7900"/>
    <w:rsid w:val="007046D6"/>
    <w:rsid w:val="00705DB0"/>
    <w:rsid w:val="00716F3F"/>
    <w:rsid w:val="007176F6"/>
    <w:rsid w:val="00722B57"/>
    <w:rsid w:val="00725E29"/>
    <w:rsid w:val="00730F8A"/>
    <w:rsid w:val="00732037"/>
    <w:rsid w:val="007350FC"/>
    <w:rsid w:val="00735A8C"/>
    <w:rsid w:val="00741EF7"/>
    <w:rsid w:val="0074253D"/>
    <w:rsid w:val="00744121"/>
    <w:rsid w:val="0074429B"/>
    <w:rsid w:val="007615BC"/>
    <w:rsid w:val="00762F05"/>
    <w:rsid w:val="007652FF"/>
    <w:rsid w:val="007709E6"/>
    <w:rsid w:val="00770AF8"/>
    <w:rsid w:val="00770CAC"/>
    <w:rsid w:val="00770EF1"/>
    <w:rsid w:val="007714C3"/>
    <w:rsid w:val="00773EF7"/>
    <w:rsid w:val="00774D40"/>
    <w:rsid w:val="00774E1D"/>
    <w:rsid w:val="00776587"/>
    <w:rsid w:val="007765D8"/>
    <w:rsid w:val="0077675A"/>
    <w:rsid w:val="00776E33"/>
    <w:rsid w:val="00780355"/>
    <w:rsid w:val="007819FD"/>
    <w:rsid w:val="00785717"/>
    <w:rsid w:val="00785721"/>
    <w:rsid w:val="00790071"/>
    <w:rsid w:val="00791BB1"/>
    <w:rsid w:val="00793A59"/>
    <w:rsid w:val="00793CE9"/>
    <w:rsid w:val="00795C9E"/>
    <w:rsid w:val="007A01E0"/>
    <w:rsid w:val="007A024A"/>
    <w:rsid w:val="007A3F2C"/>
    <w:rsid w:val="007A46F5"/>
    <w:rsid w:val="007A6505"/>
    <w:rsid w:val="007B492D"/>
    <w:rsid w:val="007B5123"/>
    <w:rsid w:val="007B6132"/>
    <w:rsid w:val="007B6E9F"/>
    <w:rsid w:val="007B7524"/>
    <w:rsid w:val="007C1216"/>
    <w:rsid w:val="007C1AF7"/>
    <w:rsid w:val="007C6B9B"/>
    <w:rsid w:val="007C73A5"/>
    <w:rsid w:val="007D4B73"/>
    <w:rsid w:val="007D53B6"/>
    <w:rsid w:val="007E41C3"/>
    <w:rsid w:val="007F18A6"/>
    <w:rsid w:val="007F52A9"/>
    <w:rsid w:val="00801657"/>
    <w:rsid w:val="00805D27"/>
    <w:rsid w:val="00806DCB"/>
    <w:rsid w:val="0081188A"/>
    <w:rsid w:val="008145DB"/>
    <w:rsid w:val="00814655"/>
    <w:rsid w:val="008177AA"/>
    <w:rsid w:val="00821776"/>
    <w:rsid w:val="008321F5"/>
    <w:rsid w:val="00832369"/>
    <w:rsid w:val="008328A0"/>
    <w:rsid w:val="00834660"/>
    <w:rsid w:val="00834FC8"/>
    <w:rsid w:val="00836BC2"/>
    <w:rsid w:val="0085156D"/>
    <w:rsid w:val="00852B28"/>
    <w:rsid w:val="00852B7B"/>
    <w:rsid w:val="00856270"/>
    <w:rsid w:val="0085641B"/>
    <w:rsid w:val="00857136"/>
    <w:rsid w:val="00872F55"/>
    <w:rsid w:val="00874698"/>
    <w:rsid w:val="00875A6B"/>
    <w:rsid w:val="008777D8"/>
    <w:rsid w:val="00885B11"/>
    <w:rsid w:val="00886D15"/>
    <w:rsid w:val="00887DD8"/>
    <w:rsid w:val="00891BA9"/>
    <w:rsid w:val="008925E1"/>
    <w:rsid w:val="00896018"/>
    <w:rsid w:val="008960DD"/>
    <w:rsid w:val="0089635C"/>
    <w:rsid w:val="008A08C4"/>
    <w:rsid w:val="008A2B9D"/>
    <w:rsid w:val="008A3D9F"/>
    <w:rsid w:val="008A5E0B"/>
    <w:rsid w:val="008A6D59"/>
    <w:rsid w:val="008B0776"/>
    <w:rsid w:val="008B1985"/>
    <w:rsid w:val="008B3964"/>
    <w:rsid w:val="008B4B03"/>
    <w:rsid w:val="008B596F"/>
    <w:rsid w:val="008C159F"/>
    <w:rsid w:val="008C1623"/>
    <w:rsid w:val="008C1850"/>
    <w:rsid w:val="008C3A1D"/>
    <w:rsid w:val="008C51A9"/>
    <w:rsid w:val="008C636F"/>
    <w:rsid w:val="008D3CC5"/>
    <w:rsid w:val="008D5D45"/>
    <w:rsid w:val="008D762E"/>
    <w:rsid w:val="008E32C5"/>
    <w:rsid w:val="008E5223"/>
    <w:rsid w:val="008E7846"/>
    <w:rsid w:val="008F02E5"/>
    <w:rsid w:val="008F1CCC"/>
    <w:rsid w:val="008F2967"/>
    <w:rsid w:val="008F340A"/>
    <w:rsid w:val="008F58BE"/>
    <w:rsid w:val="008F6943"/>
    <w:rsid w:val="00902A21"/>
    <w:rsid w:val="0091523F"/>
    <w:rsid w:val="00920330"/>
    <w:rsid w:val="009207CB"/>
    <w:rsid w:val="009219D7"/>
    <w:rsid w:val="00922D53"/>
    <w:rsid w:val="009234BB"/>
    <w:rsid w:val="00923B70"/>
    <w:rsid w:val="00924482"/>
    <w:rsid w:val="00930237"/>
    <w:rsid w:val="0093798E"/>
    <w:rsid w:val="00937C17"/>
    <w:rsid w:val="00940A89"/>
    <w:rsid w:val="00940E82"/>
    <w:rsid w:val="00941F77"/>
    <w:rsid w:val="00945563"/>
    <w:rsid w:val="00946EA5"/>
    <w:rsid w:val="009512DB"/>
    <w:rsid w:val="00960520"/>
    <w:rsid w:val="009639AA"/>
    <w:rsid w:val="00963C08"/>
    <w:rsid w:val="009752A5"/>
    <w:rsid w:val="00982C88"/>
    <w:rsid w:val="00984CCF"/>
    <w:rsid w:val="0098505B"/>
    <w:rsid w:val="0098585A"/>
    <w:rsid w:val="00992546"/>
    <w:rsid w:val="00993F4B"/>
    <w:rsid w:val="009A4CED"/>
    <w:rsid w:val="009A690D"/>
    <w:rsid w:val="009B1D12"/>
    <w:rsid w:val="009B416B"/>
    <w:rsid w:val="009C4BD5"/>
    <w:rsid w:val="009C5711"/>
    <w:rsid w:val="009C59CB"/>
    <w:rsid w:val="009D7B77"/>
    <w:rsid w:val="009E0BB0"/>
    <w:rsid w:val="009E3FBB"/>
    <w:rsid w:val="009E48EA"/>
    <w:rsid w:val="009F0E92"/>
    <w:rsid w:val="009F7353"/>
    <w:rsid w:val="00A03567"/>
    <w:rsid w:val="00A04F85"/>
    <w:rsid w:val="00A05272"/>
    <w:rsid w:val="00A05FA4"/>
    <w:rsid w:val="00A06298"/>
    <w:rsid w:val="00A102E4"/>
    <w:rsid w:val="00A1219C"/>
    <w:rsid w:val="00A12C42"/>
    <w:rsid w:val="00A14DF7"/>
    <w:rsid w:val="00A225A7"/>
    <w:rsid w:val="00A22D57"/>
    <w:rsid w:val="00A3246D"/>
    <w:rsid w:val="00A33182"/>
    <w:rsid w:val="00A36FA7"/>
    <w:rsid w:val="00A44DDB"/>
    <w:rsid w:val="00A475B7"/>
    <w:rsid w:val="00A47AF7"/>
    <w:rsid w:val="00A47C3E"/>
    <w:rsid w:val="00A50226"/>
    <w:rsid w:val="00A50585"/>
    <w:rsid w:val="00A55F17"/>
    <w:rsid w:val="00A60BAD"/>
    <w:rsid w:val="00A6224E"/>
    <w:rsid w:val="00A62722"/>
    <w:rsid w:val="00A73410"/>
    <w:rsid w:val="00A763DB"/>
    <w:rsid w:val="00A77F87"/>
    <w:rsid w:val="00A80B5B"/>
    <w:rsid w:val="00A82622"/>
    <w:rsid w:val="00A84E36"/>
    <w:rsid w:val="00A866EF"/>
    <w:rsid w:val="00A964D1"/>
    <w:rsid w:val="00AA0ED0"/>
    <w:rsid w:val="00AB5CD6"/>
    <w:rsid w:val="00AB651B"/>
    <w:rsid w:val="00AC2556"/>
    <w:rsid w:val="00AC27F0"/>
    <w:rsid w:val="00AC2B40"/>
    <w:rsid w:val="00AC2BB2"/>
    <w:rsid w:val="00AC2C3C"/>
    <w:rsid w:val="00AC512D"/>
    <w:rsid w:val="00AD0083"/>
    <w:rsid w:val="00AD12BD"/>
    <w:rsid w:val="00AD3935"/>
    <w:rsid w:val="00AD478D"/>
    <w:rsid w:val="00AE65EB"/>
    <w:rsid w:val="00AE67A7"/>
    <w:rsid w:val="00AF02A7"/>
    <w:rsid w:val="00AF0B2D"/>
    <w:rsid w:val="00AF1D94"/>
    <w:rsid w:val="00AF6036"/>
    <w:rsid w:val="00AF60C5"/>
    <w:rsid w:val="00B007B9"/>
    <w:rsid w:val="00B009C6"/>
    <w:rsid w:val="00B01548"/>
    <w:rsid w:val="00B02D95"/>
    <w:rsid w:val="00B03299"/>
    <w:rsid w:val="00B0359B"/>
    <w:rsid w:val="00B04038"/>
    <w:rsid w:val="00B0467F"/>
    <w:rsid w:val="00B075AD"/>
    <w:rsid w:val="00B07B64"/>
    <w:rsid w:val="00B130C5"/>
    <w:rsid w:val="00B13EBD"/>
    <w:rsid w:val="00B151B4"/>
    <w:rsid w:val="00B21D29"/>
    <w:rsid w:val="00B25034"/>
    <w:rsid w:val="00B30252"/>
    <w:rsid w:val="00B33588"/>
    <w:rsid w:val="00B33863"/>
    <w:rsid w:val="00B33E92"/>
    <w:rsid w:val="00B37D17"/>
    <w:rsid w:val="00B4175E"/>
    <w:rsid w:val="00B41C85"/>
    <w:rsid w:val="00B452CE"/>
    <w:rsid w:val="00B53CCE"/>
    <w:rsid w:val="00B54C25"/>
    <w:rsid w:val="00B609A9"/>
    <w:rsid w:val="00B72199"/>
    <w:rsid w:val="00B736AC"/>
    <w:rsid w:val="00B76B91"/>
    <w:rsid w:val="00B77EB1"/>
    <w:rsid w:val="00B80CCA"/>
    <w:rsid w:val="00B811C6"/>
    <w:rsid w:val="00B855B0"/>
    <w:rsid w:val="00B92E08"/>
    <w:rsid w:val="00BA3126"/>
    <w:rsid w:val="00BA6992"/>
    <w:rsid w:val="00BB0944"/>
    <w:rsid w:val="00BB7D23"/>
    <w:rsid w:val="00BC57BE"/>
    <w:rsid w:val="00BC622A"/>
    <w:rsid w:val="00BD75AD"/>
    <w:rsid w:val="00BE0A78"/>
    <w:rsid w:val="00BE3589"/>
    <w:rsid w:val="00BE79F0"/>
    <w:rsid w:val="00BF046D"/>
    <w:rsid w:val="00BF1190"/>
    <w:rsid w:val="00BF3774"/>
    <w:rsid w:val="00BF5D04"/>
    <w:rsid w:val="00C009AA"/>
    <w:rsid w:val="00C05678"/>
    <w:rsid w:val="00C1164D"/>
    <w:rsid w:val="00C16861"/>
    <w:rsid w:val="00C346AB"/>
    <w:rsid w:val="00C404A6"/>
    <w:rsid w:val="00C40A36"/>
    <w:rsid w:val="00C44419"/>
    <w:rsid w:val="00C45E7B"/>
    <w:rsid w:val="00C471B1"/>
    <w:rsid w:val="00C51256"/>
    <w:rsid w:val="00C52318"/>
    <w:rsid w:val="00C525A2"/>
    <w:rsid w:val="00C52E24"/>
    <w:rsid w:val="00C62E9C"/>
    <w:rsid w:val="00C6316B"/>
    <w:rsid w:val="00C634A9"/>
    <w:rsid w:val="00C64586"/>
    <w:rsid w:val="00C70A36"/>
    <w:rsid w:val="00C70D53"/>
    <w:rsid w:val="00C7339D"/>
    <w:rsid w:val="00C73D0B"/>
    <w:rsid w:val="00C74F5C"/>
    <w:rsid w:val="00C772FF"/>
    <w:rsid w:val="00C80137"/>
    <w:rsid w:val="00C801AF"/>
    <w:rsid w:val="00C80256"/>
    <w:rsid w:val="00C80F12"/>
    <w:rsid w:val="00C8723A"/>
    <w:rsid w:val="00C94CD4"/>
    <w:rsid w:val="00C9747E"/>
    <w:rsid w:val="00CA37BC"/>
    <w:rsid w:val="00CA4049"/>
    <w:rsid w:val="00CB6BC0"/>
    <w:rsid w:val="00CC0BCB"/>
    <w:rsid w:val="00CC1B7C"/>
    <w:rsid w:val="00CC34EF"/>
    <w:rsid w:val="00CC727F"/>
    <w:rsid w:val="00CC74D6"/>
    <w:rsid w:val="00CD01EC"/>
    <w:rsid w:val="00CD0AAE"/>
    <w:rsid w:val="00CD4C75"/>
    <w:rsid w:val="00CE30FD"/>
    <w:rsid w:val="00CF15C3"/>
    <w:rsid w:val="00CF2B6F"/>
    <w:rsid w:val="00CF2F3E"/>
    <w:rsid w:val="00CF58B6"/>
    <w:rsid w:val="00CF5DAD"/>
    <w:rsid w:val="00D0062D"/>
    <w:rsid w:val="00D017ED"/>
    <w:rsid w:val="00D031A0"/>
    <w:rsid w:val="00D0376D"/>
    <w:rsid w:val="00D040D3"/>
    <w:rsid w:val="00D041DD"/>
    <w:rsid w:val="00D04C65"/>
    <w:rsid w:val="00D07A08"/>
    <w:rsid w:val="00D13BB4"/>
    <w:rsid w:val="00D153D8"/>
    <w:rsid w:val="00D201D2"/>
    <w:rsid w:val="00D21CEC"/>
    <w:rsid w:val="00D21FBE"/>
    <w:rsid w:val="00D224FE"/>
    <w:rsid w:val="00D228A2"/>
    <w:rsid w:val="00D23139"/>
    <w:rsid w:val="00D25FDC"/>
    <w:rsid w:val="00D26456"/>
    <w:rsid w:val="00D41095"/>
    <w:rsid w:val="00D425BB"/>
    <w:rsid w:val="00D453FA"/>
    <w:rsid w:val="00D4672D"/>
    <w:rsid w:val="00D57E51"/>
    <w:rsid w:val="00D621BD"/>
    <w:rsid w:val="00D6493E"/>
    <w:rsid w:val="00D65A89"/>
    <w:rsid w:val="00D7195D"/>
    <w:rsid w:val="00D7301E"/>
    <w:rsid w:val="00D83AE1"/>
    <w:rsid w:val="00D855D4"/>
    <w:rsid w:val="00D902C9"/>
    <w:rsid w:val="00D93466"/>
    <w:rsid w:val="00DA1124"/>
    <w:rsid w:val="00DA64CB"/>
    <w:rsid w:val="00DB06B8"/>
    <w:rsid w:val="00DB1B82"/>
    <w:rsid w:val="00DB441D"/>
    <w:rsid w:val="00DB5FA1"/>
    <w:rsid w:val="00DB6124"/>
    <w:rsid w:val="00DB750B"/>
    <w:rsid w:val="00DB75B7"/>
    <w:rsid w:val="00DC0A2F"/>
    <w:rsid w:val="00DC1948"/>
    <w:rsid w:val="00DC1D23"/>
    <w:rsid w:val="00DC6E02"/>
    <w:rsid w:val="00DC734F"/>
    <w:rsid w:val="00DD28CD"/>
    <w:rsid w:val="00DD365D"/>
    <w:rsid w:val="00DE02AE"/>
    <w:rsid w:val="00DE39D1"/>
    <w:rsid w:val="00DE5526"/>
    <w:rsid w:val="00DE6006"/>
    <w:rsid w:val="00DF1D7F"/>
    <w:rsid w:val="00DF4BE4"/>
    <w:rsid w:val="00E02206"/>
    <w:rsid w:val="00E02382"/>
    <w:rsid w:val="00E02FB4"/>
    <w:rsid w:val="00E04643"/>
    <w:rsid w:val="00E06941"/>
    <w:rsid w:val="00E108E2"/>
    <w:rsid w:val="00E13C8E"/>
    <w:rsid w:val="00E13D1D"/>
    <w:rsid w:val="00E13FC7"/>
    <w:rsid w:val="00E15274"/>
    <w:rsid w:val="00E20571"/>
    <w:rsid w:val="00E235F7"/>
    <w:rsid w:val="00E23659"/>
    <w:rsid w:val="00E239D4"/>
    <w:rsid w:val="00E26130"/>
    <w:rsid w:val="00E32747"/>
    <w:rsid w:val="00E33D42"/>
    <w:rsid w:val="00E378A3"/>
    <w:rsid w:val="00E40B22"/>
    <w:rsid w:val="00E44ED1"/>
    <w:rsid w:val="00E45619"/>
    <w:rsid w:val="00E4588F"/>
    <w:rsid w:val="00E46DA3"/>
    <w:rsid w:val="00E51BB1"/>
    <w:rsid w:val="00E52402"/>
    <w:rsid w:val="00E52C9B"/>
    <w:rsid w:val="00E55CB0"/>
    <w:rsid w:val="00E624A5"/>
    <w:rsid w:val="00E64BA4"/>
    <w:rsid w:val="00E67351"/>
    <w:rsid w:val="00E7344E"/>
    <w:rsid w:val="00E82665"/>
    <w:rsid w:val="00E83CA4"/>
    <w:rsid w:val="00E85DFD"/>
    <w:rsid w:val="00EB0798"/>
    <w:rsid w:val="00EB1267"/>
    <w:rsid w:val="00EB40AD"/>
    <w:rsid w:val="00EB586E"/>
    <w:rsid w:val="00EB5FC8"/>
    <w:rsid w:val="00EC21FF"/>
    <w:rsid w:val="00EC463D"/>
    <w:rsid w:val="00EC7A85"/>
    <w:rsid w:val="00ED2922"/>
    <w:rsid w:val="00ED3030"/>
    <w:rsid w:val="00ED39E8"/>
    <w:rsid w:val="00ED3CAD"/>
    <w:rsid w:val="00ED5A41"/>
    <w:rsid w:val="00ED64F6"/>
    <w:rsid w:val="00ED73A1"/>
    <w:rsid w:val="00EE1434"/>
    <w:rsid w:val="00EE1DE8"/>
    <w:rsid w:val="00EE27C2"/>
    <w:rsid w:val="00EE3A4F"/>
    <w:rsid w:val="00EF34E5"/>
    <w:rsid w:val="00EF4BAD"/>
    <w:rsid w:val="00EF59DC"/>
    <w:rsid w:val="00F033EC"/>
    <w:rsid w:val="00F04F68"/>
    <w:rsid w:val="00F12670"/>
    <w:rsid w:val="00F14B27"/>
    <w:rsid w:val="00F3148D"/>
    <w:rsid w:val="00F325C5"/>
    <w:rsid w:val="00F32FE0"/>
    <w:rsid w:val="00F3364B"/>
    <w:rsid w:val="00F33835"/>
    <w:rsid w:val="00F35298"/>
    <w:rsid w:val="00F47333"/>
    <w:rsid w:val="00F47E37"/>
    <w:rsid w:val="00F52013"/>
    <w:rsid w:val="00F53C07"/>
    <w:rsid w:val="00F54B65"/>
    <w:rsid w:val="00F557F9"/>
    <w:rsid w:val="00F559DF"/>
    <w:rsid w:val="00F63DBF"/>
    <w:rsid w:val="00F640B6"/>
    <w:rsid w:val="00F66DF2"/>
    <w:rsid w:val="00F77F82"/>
    <w:rsid w:val="00F80E05"/>
    <w:rsid w:val="00F80E40"/>
    <w:rsid w:val="00F83081"/>
    <w:rsid w:val="00F848D9"/>
    <w:rsid w:val="00F92F0A"/>
    <w:rsid w:val="00FA104F"/>
    <w:rsid w:val="00FA5069"/>
    <w:rsid w:val="00FA5B82"/>
    <w:rsid w:val="00FA5D2B"/>
    <w:rsid w:val="00FA639E"/>
    <w:rsid w:val="00FB2D19"/>
    <w:rsid w:val="00FB6A87"/>
    <w:rsid w:val="00FC1FCA"/>
    <w:rsid w:val="00FC25E4"/>
    <w:rsid w:val="00FC4EF7"/>
    <w:rsid w:val="00FC76EA"/>
    <w:rsid w:val="00FD0436"/>
    <w:rsid w:val="00FD0824"/>
    <w:rsid w:val="00FD119B"/>
    <w:rsid w:val="00FD1EDC"/>
    <w:rsid w:val="00FD241F"/>
    <w:rsid w:val="00FD5A8A"/>
    <w:rsid w:val="00FE0705"/>
    <w:rsid w:val="00FE1DEE"/>
    <w:rsid w:val="00FF0691"/>
    <w:rsid w:val="00FF2126"/>
    <w:rsid w:val="00FF3CB6"/>
    <w:rsid w:val="00FF5755"/>
    <w:rsid w:val="00FF60D9"/>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03751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67428D"/>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A225A7"/>
    <w:pPr>
      <w:adjustRightInd w:val="0"/>
      <w:snapToGrid w:val="0"/>
      <w:spacing w:before="180" w:after="180"/>
      <w:ind w:left="720"/>
      <w:contextualSpacing/>
    </w:pPr>
    <w:rPr>
      <w:rFonts w:eastAsia="MS Mincho"/>
      <w:szCs w:val="20"/>
      <w:lang w:eastAsia="ja-JP"/>
    </w:rPr>
  </w:style>
  <w:style w:type="paragraph" w:customStyle="1" w:styleId="Standard">
    <w:name w:val="Standard"/>
    <w:basedOn w:val="Normal"/>
    <w:link w:val="StandardChar"/>
    <w:qFormat/>
    <w:rsid w:val="007B492D"/>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7B492D"/>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7B492D"/>
    <w:pPr>
      <w:numPr>
        <w:numId w:val="34"/>
      </w:numPr>
      <w:spacing w:after="180"/>
      <w:ind w:left="426" w:hanging="284"/>
    </w:pPr>
    <w:rPr>
      <w:kern w:val="2"/>
    </w:rPr>
  </w:style>
  <w:style w:type="character" w:customStyle="1" w:styleId="TabletextChar">
    <w:name w:val="Table text Char"/>
    <w:basedOn w:val="StandardChar"/>
    <w:link w:val="Tabletext"/>
    <w:rsid w:val="007B492D"/>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7B492D"/>
    <w:rPr>
      <w:rFonts w:ascii="Cambria" w:eastAsia="Times New Roman" w:hAnsi="Cambria" w:cs="Times New Roman"/>
      <w:snapToGrid w:val="0"/>
      <w:kern w:val="2"/>
      <w:sz w:val="23"/>
      <w:szCs w:val="24"/>
    </w:rPr>
  </w:style>
  <w:style w:type="paragraph" w:customStyle="1" w:styleId="GuidanceText-Bulleted">
    <w:name w:val="Guidance Text-Bulleted"/>
    <w:basedOn w:val="Normal"/>
    <w:rsid w:val="008F340A"/>
    <w:pPr>
      <w:autoSpaceDE w:val="0"/>
      <w:autoSpaceDN w:val="0"/>
      <w:adjustRightInd w:val="0"/>
      <w:spacing w:before="0" w:after="0" w:line="240" w:lineRule="auto"/>
    </w:pPr>
    <w:rPr>
      <w:rFonts w:asciiTheme="minorHAnsi" w:eastAsia="Times New Roman" w:hAnsiTheme="minorHAnsi" w:cstheme="majorHAnsi"/>
      <w:lang w:eastAsia="en-AU"/>
    </w:rPr>
  </w:style>
  <w:style w:type="paragraph" w:customStyle="1" w:styleId="Default">
    <w:name w:val="Default"/>
    <w:rsid w:val="008D762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00-Paragraph">
    <w:name w:val="00-Paragraph"/>
    <w:basedOn w:val="Normal"/>
    <w:qFormat/>
    <w:rsid w:val="008D762E"/>
    <w:pPr>
      <w:spacing w:line="240" w:lineRule="auto"/>
    </w:pPr>
    <w:rPr>
      <w:rFonts w:ascii="Times New Roman" w:eastAsia="MS Mincho" w:hAnsi="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5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www.tga.gov.au/guidance-7-certified-product-details" TargetMode="External"/><Relationship Id="rId50" Type="http://schemas.openxmlformats.org/officeDocument/2006/relationships/header" Target="header4.xml"/><Relationship Id="rId55" Type="http://schemas.openxmlformats.org/officeDocument/2006/relationships/hyperlink" Target="https://www.tg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yperlink" Target="mailto:info@tga.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4.xml"/><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www.tga.gov.au/product-information-pi" TargetMode="External"/><Relationship Id="rId57" Type="http://schemas.openxmlformats.org/officeDocument/2006/relationships/header" Target="header8.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6.xml"/><Relationship Id="rId60" Type="http://schemas.openxmlformats.org/officeDocument/2006/relationships/footer" Target="footer6.xml"/><Relationship Id="rId65"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tga.gov.au/form/certified-product-details-cpd-biological-prescriptionmedicines" TargetMode="External"/><Relationship Id="rId56" Type="http://schemas.openxmlformats.org/officeDocument/2006/relationships/header" Target="header7.xml"/><Relationship Id="rId8" Type="http://schemas.openxmlformats.org/officeDocument/2006/relationships/hyperlink" Target="https://www.tga.gov.au" TargetMode="Externa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9.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A2F7E-E64E-404E-B69A-2F0915AC4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8458</Words>
  <Characters>48045</Characters>
  <Application>Microsoft Office Word</Application>
  <DocSecurity>0</DocSecurity>
  <Lines>2001</Lines>
  <Paragraphs>1661</Paragraphs>
  <ScaleCrop>false</ScaleCrop>
  <HeadingPairs>
    <vt:vector size="2" baseType="variant">
      <vt:variant>
        <vt:lpstr>Title</vt:lpstr>
      </vt:variant>
      <vt:variant>
        <vt:i4>1</vt:i4>
      </vt:variant>
    </vt:vector>
  </HeadingPairs>
  <TitlesOfParts>
    <vt:vector size="1" baseType="lpstr">
      <vt:lpstr>Australian Public Assessment Report for Meningococcal Groups A, C, Y, W Polysaccharide Tetanus Toxoid Conjugate Vaccine</vt:lpstr>
    </vt:vector>
  </TitlesOfParts>
  <Manager/>
  <Company/>
  <LinksUpToDate>false</LinksUpToDate>
  <CharactersWithSpaces>54842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Meningococcal Groups A, C, Y, W Polysaccharide Tetanus Toxoid Conjugate Vaccine</dc:title>
  <dc:subject>prescription medicines</dc:subject>
  <dc:creator/>
  <cp:keywords/>
  <cp:lastModifiedBy/>
  <dcterms:created xsi:type="dcterms:W3CDTF">2021-03-22T23:18:00Z</dcterms:created>
  <dcterms:modified xsi:type="dcterms:W3CDTF">2021-03-23T01:00:00Z</dcterms:modified>
  <cp:category/>
</cp:coreProperties>
</file>