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F35" w:rsidRPr="008939FC" w:rsidRDefault="00314F35" w:rsidP="00A87E43">
      <w:pPr>
        <w:ind w:left="0" w:firstLine="0"/>
        <w:rPr>
          <w:rFonts w:ascii="Times New Roman Bold" w:hAnsi="Times New Roman Bold"/>
          <w:b/>
          <w:caps/>
          <w:sz w:val="30"/>
          <w:szCs w:val="24"/>
          <w:u w:val="single"/>
        </w:rPr>
      </w:pPr>
      <w:r w:rsidRPr="008939FC">
        <w:rPr>
          <w:rFonts w:ascii="Times New Roman Bold" w:hAnsi="Times New Roman Bold"/>
          <w:b/>
          <w:caps/>
          <w:sz w:val="30"/>
          <w:szCs w:val="24"/>
          <w:u w:val="single"/>
        </w:rPr>
        <w:t>Name of the medicine</w:t>
      </w:r>
    </w:p>
    <w:p w:rsidR="00314F35" w:rsidRPr="008939FC" w:rsidRDefault="00314F35" w:rsidP="00307BFD">
      <w:pPr>
        <w:widowControl w:val="0"/>
        <w:autoSpaceDE w:val="0"/>
        <w:autoSpaceDN w:val="0"/>
        <w:adjustRightInd w:val="0"/>
        <w:spacing w:after="0"/>
        <w:ind w:left="0" w:firstLine="0"/>
        <w:jc w:val="both"/>
        <w:rPr>
          <w:rFonts w:cs="TimesNewRoman"/>
          <w:szCs w:val="22"/>
        </w:rPr>
      </w:pPr>
      <w:r w:rsidRPr="008939FC">
        <w:rPr>
          <w:rFonts w:cs="TimesNewRoman"/>
          <w:szCs w:val="22"/>
        </w:rPr>
        <w:t>BEXSERO</w:t>
      </w:r>
      <w:r w:rsidRPr="008939FC">
        <w:rPr>
          <w:rFonts w:cs="TimesNewRoman"/>
          <w:szCs w:val="22"/>
          <w:vertAlign w:val="superscript"/>
        </w:rPr>
        <w:t>®</w:t>
      </w:r>
      <w:r w:rsidRPr="008939FC">
        <w:rPr>
          <w:rFonts w:cs="TimesNewRoman"/>
          <w:szCs w:val="22"/>
        </w:rPr>
        <w:t xml:space="preserve"> suspension for injection</w:t>
      </w:r>
    </w:p>
    <w:p w:rsidR="00314F35" w:rsidRPr="008939FC" w:rsidRDefault="00314F35" w:rsidP="00307BFD">
      <w:pPr>
        <w:pStyle w:val="BodyText"/>
        <w:spacing w:after="0"/>
        <w:jc w:val="both"/>
        <w:rPr>
          <w:rFonts w:cs="TimesNewRoman"/>
          <w:szCs w:val="22"/>
        </w:rPr>
      </w:pPr>
      <w:proofErr w:type="spellStart"/>
      <w:r w:rsidRPr="008939FC">
        <w:rPr>
          <w:rFonts w:cs="TimesNewRoman"/>
          <w:szCs w:val="22"/>
        </w:rPr>
        <w:t>Multicomponent</w:t>
      </w:r>
      <w:proofErr w:type="spellEnd"/>
      <w:r w:rsidRPr="008939FC">
        <w:rPr>
          <w:rFonts w:cs="TimesNewRoman"/>
          <w:szCs w:val="22"/>
        </w:rPr>
        <w:t xml:space="preserve"> Meningococcal group B Vaccine (recombinant, adsorbed)</w:t>
      </w:r>
    </w:p>
    <w:p w:rsidR="00C36817" w:rsidRPr="00441701" w:rsidRDefault="00314F35" w:rsidP="00307BFD">
      <w:pPr>
        <w:pStyle w:val="BodyText"/>
        <w:spacing w:after="0"/>
        <w:jc w:val="both"/>
      </w:pPr>
      <w:proofErr w:type="spellStart"/>
      <w:r w:rsidRPr="008939FC">
        <w:t>Pharmacotherapeutic</w:t>
      </w:r>
      <w:proofErr w:type="spellEnd"/>
      <w:r w:rsidRPr="008939FC">
        <w:t xml:space="preserve"> group: Meningococcal vaccines, ATC code: J</w:t>
      </w:r>
      <w:r w:rsidR="001D2AD7" w:rsidRPr="008939FC">
        <w:t>0</w:t>
      </w:r>
      <w:r w:rsidRPr="00441701">
        <w:t>7AH09.</w:t>
      </w:r>
    </w:p>
    <w:p w:rsidR="00F1793E" w:rsidRPr="00561954" w:rsidRDefault="00F1793E" w:rsidP="00C36817">
      <w:pPr>
        <w:pStyle w:val="BodyText"/>
        <w:spacing w:after="0"/>
        <w:jc w:val="both"/>
      </w:pPr>
    </w:p>
    <w:p w:rsidR="00314F35" w:rsidRPr="00561954" w:rsidRDefault="00314F35" w:rsidP="00307BFD">
      <w:pPr>
        <w:ind w:left="0" w:firstLine="0"/>
        <w:jc w:val="both"/>
        <w:rPr>
          <w:rFonts w:ascii="Times New Roman Bold" w:hAnsi="Times New Roman Bold"/>
          <w:b/>
          <w:caps/>
          <w:sz w:val="30"/>
          <w:szCs w:val="24"/>
          <w:u w:val="single"/>
        </w:rPr>
      </w:pPr>
      <w:r w:rsidRPr="00561954">
        <w:rPr>
          <w:rFonts w:ascii="Times New Roman Bold" w:hAnsi="Times New Roman Bold"/>
          <w:b/>
          <w:caps/>
          <w:sz w:val="30"/>
          <w:szCs w:val="24"/>
          <w:u w:val="single"/>
        </w:rPr>
        <w:t>Description</w:t>
      </w:r>
    </w:p>
    <w:p w:rsidR="00314F35" w:rsidRPr="00561954" w:rsidRDefault="00314F35" w:rsidP="00307BFD">
      <w:pPr>
        <w:widowControl w:val="0"/>
        <w:autoSpaceDE w:val="0"/>
        <w:autoSpaceDN w:val="0"/>
        <w:adjustRightInd w:val="0"/>
        <w:spacing w:after="0"/>
        <w:ind w:left="0" w:firstLine="0"/>
        <w:jc w:val="both"/>
        <w:rPr>
          <w:lang w:val="en-GB"/>
        </w:rPr>
      </w:pPr>
      <w:r w:rsidRPr="00561954">
        <w:t xml:space="preserve">BEXSERO is a </w:t>
      </w:r>
      <w:proofErr w:type="spellStart"/>
      <w:r w:rsidRPr="00561954">
        <w:t>m</w:t>
      </w:r>
      <w:r w:rsidRPr="00561954">
        <w:rPr>
          <w:szCs w:val="24"/>
        </w:rPr>
        <w:t>ulticomponent</w:t>
      </w:r>
      <w:proofErr w:type="spellEnd"/>
      <w:r w:rsidRPr="00561954">
        <w:rPr>
          <w:szCs w:val="24"/>
        </w:rPr>
        <w:t xml:space="preserve"> Meningococcal group B vaccine presented as a suspension for injection in a pre-filled syringe </w:t>
      </w:r>
      <w:r w:rsidRPr="00561954">
        <w:t xml:space="preserve">containing purified </w:t>
      </w:r>
      <w:r w:rsidRPr="00561954">
        <w:rPr>
          <w:snapToGrid w:val="0"/>
          <w:sz w:val="22"/>
          <w:szCs w:val="22"/>
          <w:lang w:eastAsia="it-IT"/>
        </w:rPr>
        <w:t xml:space="preserve">recombinant meningococcal protein antigens </w:t>
      </w:r>
      <w:r w:rsidRPr="00561954">
        <w:rPr>
          <w:snapToGrid w:val="0"/>
          <w:sz w:val="22"/>
          <w:szCs w:val="22"/>
        </w:rPr>
        <w:t xml:space="preserve">expressed in </w:t>
      </w:r>
      <w:r w:rsidRPr="00561954">
        <w:rPr>
          <w:i/>
          <w:iCs/>
          <w:snapToGrid w:val="0"/>
          <w:sz w:val="22"/>
          <w:szCs w:val="22"/>
        </w:rPr>
        <w:t>E. coli</w:t>
      </w:r>
      <w:r w:rsidRPr="00561954">
        <w:t xml:space="preserve"> and outer membrane vesicles (OMV) derived from </w:t>
      </w:r>
      <w:r w:rsidRPr="00561954">
        <w:rPr>
          <w:i/>
          <w:iCs/>
        </w:rPr>
        <w:t xml:space="preserve">N. </w:t>
      </w:r>
      <w:proofErr w:type="spellStart"/>
      <w:r w:rsidRPr="00561954">
        <w:rPr>
          <w:i/>
          <w:iCs/>
        </w:rPr>
        <w:t>meningitidis</w:t>
      </w:r>
      <w:proofErr w:type="spellEnd"/>
      <w:r w:rsidRPr="00561954">
        <w:rPr>
          <w:i/>
          <w:iCs/>
        </w:rPr>
        <w:t xml:space="preserve"> </w:t>
      </w:r>
      <w:r w:rsidRPr="00561954">
        <w:t>group B.  Bactericidal antibodies directed against components of the bacterium protect against Invasive Meningococcal Disease (IMD).</w:t>
      </w:r>
    </w:p>
    <w:p w:rsidR="00314F35" w:rsidRPr="00561954" w:rsidRDefault="00314F35" w:rsidP="00314F35">
      <w:pPr>
        <w:pStyle w:val="BodyText"/>
        <w:spacing w:after="0"/>
        <w:rPr>
          <w:lang w:val="en-GB"/>
        </w:rPr>
      </w:pPr>
    </w:p>
    <w:p w:rsidR="00314F35" w:rsidRPr="00561954" w:rsidRDefault="00314F35" w:rsidP="00314F35">
      <w:pPr>
        <w:widowControl w:val="0"/>
        <w:autoSpaceDE w:val="0"/>
        <w:autoSpaceDN w:val="0"/>
        <w:adjustRightInd w:val="0"/>
        <w:spacing w:after="0"/>
        <w:ind w:left="0" w:firstLine="0"/>
        <w:rPr>
          <w:rFonts w:cs="TimesNewRoman"/>
          <w:szCs w:val="22"/>
        </w:rPr>
      </w:pPr>
      <w:r w:rsidRPr="00561954">
        <w:rPr>
          <w:rFonts w:cs="TimesNewRoman"/>
          <w:szCs w:val="22"/>
        </w:rPr>
        <w:t xml:space="preserve">1 dose (0.5 </w:t>
      </w:r>
      <w:proofErr w:type="spellStart"/>
      <w:r w:rsidRPr="00561954">
        <w:rPr>
          <w:rFonts w:cs="TimesNewRoman"/>
          <w:szCs w:val="22"/>
        </w:rPr>
        <w:t>m</w:t>
      </w:r>
      <w:r w:rsidR="00017C8C" w:rsidRPr="00561954">
        <w:rPr>
          <w:rFonts w:cs="TimesNewRoman"/>
          <w:szCs w:val="22"/>
        </w:rPr>
        <w:t>L</w:t>
      </w:r>
      <w:proofErr w:type="spellEnd"/>
      <w:r w:rsidRPr="00561954">
        <w:rPr>
          <w:rFonts w:cs="TimesNewRoman"/>
          <w:szCs w:val="22"/>
        </w:rPr>
        <w:t>) of BEXSERO contains:</w:t>
      </w:r>
    </w:p>
    <w:p w:rsidR="00314F35" w:rsidRPr="00561954" w:rsidRDefault="00314F35" w:rsidP="00314F35">
      <w:pPr>
        <w:widowControl w:val="0"/>
        <w:autoSpaceDE w:val="0"/>
        <w:autoSpaceDN w:val="0"/>
        <w:adjustRightInd w:val="0"/>
        <w:spacing w:after="0"/>
        <w:ind w:left="0" w:firstLine="0"/>
        <w:rPr>
          <w:rFonts w:cs="TimesNewRoman"/>
          <w:szCs w:val="22"/>
        </w:rPr>
      </w:pPr>
    </w:p>
    <w:tbl>
      <w:tblPr>
        <w:tblW w:w="8795" w:type="dxa"/>
        <w:tblLook w:val="00BF"/>
      </w:tblPr>
      <w:tblGrid>
        <w:gridCol w:w="6771"/>
        <w:gridCol w:w="2024"/>
      </w:tblGrid>
      <w:tr w:rsidR="00314F35" w:rsidRPr="00561954" w:rsidTr="00482DA3">
        <w:trPr>
          <w:trHeight w:val="567"/>
        </w:trPr>
        <w:tc>
          <w:tcPr>
            <w:tcW w:w="6771" w:type="dxa"/>
          </w:tcPr>
          <w:p w:rsidR="00314F35" w:rsidRPr="00561954" w:rsidRDefault="00314F35" w:rsidP="00307BFD">
            <w:pPr>
              <w:pStyle w:val="BodyText"/>
              <w:spacing w:after="0"/>
              <w:rPr>
                <w:lang w:val="de-DE"/>
              </w:rPr>
            </w:pPr>
            <w:r w:rsidRPr="00561954">
              <w:rPr>
                <w:rFonts w:cs="TimesNewRoman"/>
                <w:i/>
                <w:iCs/>
                <w:szCs w:val="22"/>
                <w:lang w:val="de-DE"/>
              </w:rPr>
              <w:t xml:space="preserve">Neisseria meningitidis </w:t>
            </w:r>
            <w:r w:rsidR="00952926" w:rsidRPr="00561954">
              <w:rPr>
                <w:rFonts w:cs="TimesNewRoman"/>
                <w:szCs w:val="22"/>
                <w:lang w:val="de-DE"/>
              </w:rPr>
              <w:t>G</w:t>
            </w:r>
            <w:r w:rsidRPr="00561954">
              <w:rPr>
                <w:rFonts w:cs="TimesNewRoman"/>
                <w:szCs w:val="22"/>
                <w:lang w:val="de-DE"/>
              </w:rPr>
              <w:t>roup B N</w:t>
            </w:r>
            <w:r w:rsidR="00EA02F0" w:rsidRPr="00561954">
              <w:rPr>
                <w:rFonts w:cs="TimesNewRoman"/>
                <w:szCs w:val="22"/>
                <w:lang w:val="de-DE"/>
              </w:rPr>
              <w:t xml:space="preserve">eisseria </w:t>
            </w:r>
            <w:r w:rsidRPr="00561954">
              <w:rPr>
                <w:rFonts w:cs="TimesNewRoman"/>
                <w:szCs w:val="22"/>
                <w:lang w:val="de-DE"/>
              </w:rPr>
              <w:t>H</w:t>
            </w:r>
            <w:r w:rsidR="00EA02F0" w:rsidRPr="00561954">
              <w:rPr>
                <w:rFonts w:cs="TimesNewRoman"/>
                <w:szCs w:val="22"/>
                <w:lang w:val="de-DE"/>
              </w:rPr>
              <w:t xml:space="preserve">eparin </w:t>
            </w:r>
            <w:r w:rsidRPr="00561954">
              <w:rPr>
                <w:rFonts w:cs="TimesNewRoman"/>
                <w:szCs w:val="22"/>
                <w:lang w:val="de-DE"/>
              </w:rPr>
              <w:t>B</w:t>
            </w:r>
            <w:r w:rsidR="00EA02F0" w:rsidRPr="00561954">
              <w:rPr>
                <w:rFonts w:cs="TimesNewRoman"/>
                <w:szCs w:val="22"/>
                <w:lang w:val="de-DE"/>
              </w:rPr>
              <w:t xml:space="preserve">inding </w:t>
            </w:r>
            <w:r w:rsidRPr="00561954">
              <w:rPr>
                <w:rFonts w:cs="TimesNewRoman"/>
                <w:szCs w:val="22"/>
                <w:lang w:val="de-DE"/>
              </w:rPr>
              <w:t>A</w:t>
            </w:r>
            <w:r w:rsidR="00EA02F0" w:rsidRPr="00561954">
              <w:rPr>
                <w:rFonts w:cs="TimesNewRoman"/>
                <w:szCs w:val="22"/>
                <w:lang w:val="de-DE"/>
              </w:rPr>
              <w:t>ntigen</w:t>
            </w:r>
            <w:r w:rsidRPr="00561954">
              <w:rPr>
                <w:rFonts w:cs="TimesNewRoman"/>
                <w:szCs w:val="22"/>
                <w:lang w:val="de-DE"/>
              </w:rPr>
              <w:t xml:space="preserve"> fusion protein</w:t>
            </w:r>
            <w:r w:rsidRPr="00561954">
              <w:rPr>
                <w:rFonts w:cs="TimesNewRoman"/>
                <w:szCs w:val="22"/>
                <w:vertAlign w:val="superscript"/>
                <w:lang w:val="de-DE"/>
              </w:rPr>
              <w:t>1,2</w:t>
            </w:r>
            <w:r w:rsidRPr="00561954">
              <w:rPr>
                <w:rFonts w:cs="TimesNewRoman"/>
                <w:szCs w:val="14"/>
                <w:lang w:val="de-DE"/>
              </w:rPr>
              <w:t xml:space="preserve"> </w:t>
            </w:r>
            <w:r w:rsidR="00017C8C" w:rsidRPr="00561954">
              <w:rPr>
                <w:sz w:val="22"/>
                <w:lang w:val="de-DE"/>
              </w:rPr>
              <w:t>(rbe)</w:t>
            </w:r>
          </w:p>
        </w:tc>
        <w:tc>
          <w:tcPr>
            <w:tcW w:w="2024" w:type="dxa"/>
          </w:tcPr>
          <w:p w:rsidR="00314F35" w:rsidRPr="00561954" w:rsidRDefault="00314F35" w:rsidP="00307BFD">
            <w:pPr>
              <w:widowControl w:val="0"/>
              <w:autoSpaceDE w:val="0"/>
              <w:autoSpaceDN w:val="0"/>
              <w:adjustRightInd w:val="0"/>
              <w:spacing w:after="0"/>
              <w:ind w:left="0" w:firstLine="0"/>
              <w:rPr>
                <w:rFonts w:cs="TimesNewRoman"/>
                <w:szCs w:val="22"/>
              </w:rPr>
            </w:pPr>
            <w:r w:rsidRPr="00561954">
              <w:rPr>
                <w:rFonts w:cs="TimesNewRoman"/>
                <w:szCs w:val="22"/>
              </w:rPr>
              <w:t>- 50 micrograms</w:t>
            </w:r>
          </w:p>
        </w:tc>
      </w:tr>
      <w:tr w:rsidR="00314F35" w:rsidRPr="00561954" w:rsidTr="00482DA3">
        <w:trPr>
          <w:trHeight w:val="277"/>
        </w:trPr>
        <w:tc>
          <w:tcPr>
            <w:tcW w:w="6771" w:type="dxa"/>
          </w:tcPr>
          <w:p w:rsidR="00314F35" w:rsidRPr="00561954" w:rsidRDefault="00314F35" w:rsidP="00307BFD">
            <w:pPr>
              <w:pStyle w:val="BodyText"/>
              <w:spacing w:after="0"/>
              <w:rPr>
                <w:b/>
                <w:lang w:val="it-IT"/>
              </w:rPr>
            </w:pPr>
            <w:r w:rsidRPr="00561954">
              <w:rPr>
                <w:rFonts w:cs="TimesNewRoman"/>
                <w:i/>
                <w:iCs/>
                <w:szCs w:val="22"/>
                <w:lang w:val="it-IT"/>
              </w:rPr>
              <w:t xml:space="preserve">Neisseria meningitidis </w:t>
            </w:r>
            <w:r w:rsidR="00952926" w:rsidRPr="00561954">
              <w:rPr>
                <w:rFonts w:cs="TimesNewRoman"/>
                <w:szCs w:val="22"/>
                <w:lang w:val="it-IT"/>
              </w:rPr>
              <w:t>G</w:t>
            </w:r>
            <w:r w:rsidRPr="00561954">
              <w:rPr>
                <w:rFonts w:cs="TimesNewRoman"/>
                <w:szCs w:val="22"/>
                <w:lang w:val="it-IT"/>
              </w:rPr>
              <w:t>roup B N</w:t>
            </w:r>
            <w:r w:rsidR="00EA02F0" w:rsidRPr="00561954">
              <w:rPr>
                <w:rFonts w:cs="TimesNewRoman"/>
                <w:szCs w:val="22"/>
                <w:lang w:val="it-IT"/>
              </w:rPr>
              <w:t>eisseria A</w:t>
            </w:r>
            <w:r w:rsidRPr="00561954">
              <w:rPr>
                <w:rFonts w:cs="TimesNewRoman"/>
                <w:szCs w:val="22"/>
                <w:lang w:val="it-IT"/>
              </w:rPr>
              <w:t>d</w:t>
            </w:r>
            <w:r w:rsidR="00EA02F0" w:rsidRPr="00561954">
              <w:rPr>
                <w:rFonts w:cs="TimesNewRoman"/>
                <w:szCs w:val="22"/>
                <w:lang w:val="it-IT"/>
              </w:rPr>
              <w:t xml:space="preserve">hesin </w:t>
            </w:r>
            <w:r w:rsidRPr="00561954">
              <w:rPr>
                <w:rFonts w:cs="TimesNewRoman"/>
                <w:szCs w:val="22"/>
                <w:lang w:val="it-IT"/>
              </w:rPr>
              <w:t>A protein</w:t>
            </w:r>
            <w:r w:rsidRPr="00561954">
              <w:rPr>
                <w:rFonts w:cs="TimesNewRoman"/>
                <w:szCs w:val="22"/>
                <w:vertAlign w:val="superscript"/>
                <w:lang w:val="it-IT"/>
              </w:rPr>
              <w:t>1,2</w:t>
            </w:r>
            <w:r w:rsidR="00017C8C" w:rsidRPr="00561954">
              <w:rPr>
                <w:rFonts w:cs="TimesNewRoman"/>
                <w:b/>
                <w:szCs w:val="14"/>
                <w:lang w:val="it-IT"/>
              </w:rPr>
              <w:t xml:space="preserve"> </w:t>
            </w:r>
            <w:r w:rsidR="00017C8C" w:rsidRPr="00561954">
              <w:rPr>
                <w:sz w:val="22"/>
                <w:lang w:val="it-IT"/>
              </w:rPr>
              <w:t>(rbe)</w:t>
            </w:r>
          </w:p>
        </w:tc>
        <w:tc>
          <w:tcPr>
            <w:tcW w:w="2024" w:type="dxa"/>
          </w:tcPr>
          <w:p w:rsidR="00314F35" w:rsidRPr="00561954" w:rsidRDefault="00314F35" w:rsidP="00307BFD">
            <w:pPr>
              <w:widowControl w:val="0"/>
              <w:autoSpaceDE w:val="0"/>
              <w:autoSpaceDN w:val="0"/>
              <w:adjustRightInd w:val="0"/>
              <w:spacing w:after="0"/>
              <w:ind w:left="0" w:firstLine="0"/>
              <w:rPr>
                <w:rFonts w:cs="TimesNewRoman"/>
                <w:szCs w:val="22"/>
              </w:rPr>
            </w:pPr>
            <w:r w:rsidRPr="00561954">
              <w:rPr>
                <w:rFonts w:cs="TimesNewRoman"/>
                <w:szCs w:val="22"/>
              </w:rPr>
              <w:t>- 50 micrograms</w:t>
            </w:r>
          </w:p>
        </w:tc>
      </w:tr>
      <w:tr w:rsidR="00314F35" w:rsidRPr="00561954" w:rsidTr="00482DA3">
        <w:trPr>
          <w:trHeight w:val="567"/>
        </w:trPr>
        <w:tc>
          <w:tcPr>
            <w:tcW w:w="6771" w:type="dxa"/>
          </w:tcPr>
          <w:p w:rsidR="00314F35" w:rsidRPr="00561954" w:rsidRDefault="00314F35" w:rsidP="00307BFD">
            <w:pPr>
              <w:pStyle w:val="BodyText"/>
              <w:spacing w:after="0"/>
            </w:pPr>
            <w:proofErr w:type="spellStart"/>
            <w:r w:rsidRPr="00561954">
              <w:rPr>
                <w:rFonts w:cs="TimesNewRoman"/>
                <w:i/>
                <w:iCs/>
                <w:szCs w:val="22"/>
              </w:rPr>
              <w:t>Neisseria</w:t>
            </w:r>
            <w:proofErr w:type="spellEnd"/>
            <w:r w:rsidRPr="00561954">
              <w:rPr>
                <w:rFonts w:cs="TimesNewRoman"/>
                <w:i/>
                <w:iCs/>
                <w:szCs w:val="22"/>
              </w:rPr>
              <w:t xml:space="preserve"> </w:t>
            </w:r>
            <w:proofErr w:type="spellStart"/>
            <w:r w:rsidRPr="00561954">
              <w:rPr>
                <w:rFonts w:cs="TimesNewRoman"/>
                <w:i/>
                <w:iCs/>
                <w:szCs w:val="22"/>
              </w:rPr>
              <w:t>meningitidis</w:t>
            </w:r>
            <w:proofErr w:type="spellEnd"/>
            <w:r w:rsidRPr="00561954">
              <w:rPr>
                <w:rFonts w:cs="TimesNewRoman"/>
                <w:i/>
                <w:iCs/>
                <w:szCs w:val="22"/>
              </w:rPr>
              <w:t xml:space="preserve"> </w:t>
            </w:r>
            <w:r w:rsidR="00952926" w:rsidRPr="00561954">
              <w:rPr>
                <w:rFonts w:cs="TimesNewRoman"/>
                <w:szCs w:val="22"/>
              </w:rPr>
              <w:t>G</w:t>
            </w:r>
            <w:r w:rsidRPr="00561954">
              <w:rPr>
                <w:rFonts w:cs="TimesNewRoman"/>
                <w:szCs w:val="22"/>
              </w:rPr>
              <w:t xml:space="preserve">roup B </w:t>
            </w:r>
            <w:r w:rsidR="00EA02F0" w:rsidRPr="00561954">
              <w:rPr>
                <w:rFonts w:cs="TimesNewRoman"/>
                <w:szCs w:val="22"/>
              </w:rPr>
              <w:t xml:space="preserve">Factor </w:t>
            </w:r>
            <w:r w:rsidRPr="00561954">
              <w:rPr>
                <w:rFonts w:cs="TimesNewRoman"/>
                <w:szCs w:val="22"/>
              </w:rPr>
              <w:t>H</w:t>
            </w:r>
            <w:r w:rsidR="00EA02F0" w:rsidRPr="00561954">
              <w:rPr>
                <w:rFonts w:cs="TimesNewRoman"/>
                <w:szCs w:val="22"/>
              </w:rPr>
              <w:t xml:space="preserve"> </w:t>
            </w:r>
            <w:r w:rsidRPr="00561954">
              <w:rPr>
                <w:rFonts w:cs="TimesNewRoman"/>
                <w:szCs w:val="22"/>
              </w:rPr>
              <w:t>B</w:t>
            </w:r>
            <w:r w:rsidR="00EA02F0" w:rsidRPr="00561954">
              <w:rPr>
                <w:rFonts w:cs="TimesNewRoman"/>
                <w:szCs w:val="22"/>
              </w:rPr>
              <w:t xml:space="preserve">inding </w:t>
            </w:r>
            <w:r w:rsidRPr="00561954">
              <w:rPr>
                <w:rFonts w:cs="TimesNewRoman"/>
                <w:szCs w:val="22"/>
              </w:rPr>
              <w:t>P</w:t>
            </w:r>
            <w:r w:rsidR="00EA02F0" w:rsidRPr="00561954">
              <w:rPr>
                <w:rFonts w:cs="TimesNewRoman"/>
                <w:szCs w:val="22"/>
              </w:rPr>
              <w:t>rotein</w:t>
            </w:r>
            <w:r w:rsidRPr="00561954">
              <w:rPr>
                <w:rFonts w:cs="TimesNewRoman"/>
                <w:szCs w:val="22"/>
              </w:rPr>
              <w:t xml:space="preserve"> fusion protein</w:t>
            </w:r>
            <w:r w:rsidRPr="00561954">
              <w:rPr>
                <w:rFonts w:cs="TimesNewRoman"/>
                <w:szCs w:val="22"/>
                <w:vertAlign w:val="superscript"/>
              </w:rPr>
              <w:t>1,2</w:t>
            </w:r>
            <w:r w:rsidR="00017C8C" w:rsidRPr="00561954">
              <w:rPr>
                <w:rFonts w:cs="TimesNewRoman"/>
                <w:szCs w:val="22"/>
                <w:vertAlign w:val="superscript"/>
              </w:rPr>
              <w:t xml:space="preserve">  </w:t>
            </w:r>
            <w:r w:rsidR="00017C8C" w:rsidRPr="00561954">
              <w:rPr>
                <w:sz w:val="22"/>
                <w:lang w:val="en-GB"/>
              </w:rPr>
              <w:t>(</w:t>
            </w:r>
            <w:proofErr w:type="spellStart"/>
            <w:r w:rsidR="00017C8C" w:rsidRPr="00561954">
              <w:rPr>
                <w:sz w:val="22"/>
                <w:lang w:val="en-GB"/>
              </w:rPr>
              <w:t>rbe</w:t>
            </w:r>
            <w:proofErr w:type="spellEnd"/>
            <w:r w:rsidR="00017C8C" w:rsidRPr="00561954">
              <w:rPr>
                <w:sz w:val="22"/>
                <w:lang w:val="en-GB"/>
              </w:rPr>
              <w:t>)</w:t>
            </w:r>
          </w:p>
        </w:tc>
        <w:tc>
          <w:tcPr>
            <w:tcW w:w="2024" w:type="dxa"/>
          </w:tcPr>
          <w:p w:rsidR="00314F35" w:rsidRPr="00561954" w:rsidRDefault="00314F35" w:rsidP="00307BFD">
            <w:pPr>
              <w:pStyle w:val="BodyText"/>
              <w:spacing w:after="0"/>
            </w:pPr>
            <w:r w:rsidRPr="00561954">
              <w:rPr>
                <w:rFonts w:cs="TimesNewRoman"/>
                <w:szCs w:val="22"/>
              </w:rPr>
              <w:t>- 50 micrograms</w:t>
            </w:r>
          </w:p>
        </w:tc>
      </w:tr>
      <w:tr w:rsidR="00314F35" w:rsidRPr="00561954" w:rsidTr="00482DA3">
        <w:trPr>
          <w:trHeight w:val="830"/>
        </w:trPr>
        <w:tc>
          <w:tcPr>
            <w:tcW w:w="6771" w:type="dxa"/>
          </w:tcPr>
          <w:p w:rsidR="00314F35" w:rsidRPr="00561954" w:rsidRDefault="00314F35" w:rsidP="00307BFD">
            <w:pPr>
              <w:widowControl w:val="0"/>
              <w:autoSpaceDE w:val="0"/>
              <w:autoSpaceDN w:val="0"/>
              <w:adjustRightInd w:val="0"/>
              <w:spacing w:after="0"/>
              <w:ind w:left="0" w:firstLine="0"/>
            </w:pPr>
            <w:r w:rsidRPr="00561954">
              <w:rPr>
                <w:rFonts w:cs="TimesNewRoman"/>
                <w:szCs w:val="22"/>
              </w:rPr>
              <w:t xml:space="preserve">Outer membrane vesicles (OMV) from </w:t>
            </w:r>
            <w:proofErr w:type="spellStart"/>
            <w:r w:rsidRPr="00561954">
              <w:rPr>
                <w:rFonts w:cs="TimesNewRoman"/>
                <w:i/>
                <w:iCs/>
                <w:szCs w:val="22"/>
              </w:rPr>
              <w:t>Neisseria</w:t>
            </w:r>
            <w:proofErr w:type="spellEnd"/>
            <w:r w:rsidRPr="00561954">
              <w:rPr>
                <w:rFonts w:cs="TimesNewRoman"/>
                <w:i/>
                <w:iCs/>
                <w:szCs w:val="22"/>
              </w:rPr>
              <w:t xml:space="preserve"> </w:t>
            </w:r>
            <w:proofErr w:type="spellStart"/>
            <w:r w:rsidRPr="00561954">
              <w:rPr>
                <w:rFonts w:cs="TimesNewRoman"/>
                <w:i/>
                <w:iCs/>
                <w:szCs w:val="22"/>
              </w:rPr>
              <w:t>meningitidis</w:t>
            </w:r>
            <w:proofErr w:type="spellEnd"/>
            <w:r w:rsidRPr="00561954">
              <w:rPr>
                <w:rFonts w:cs="TimesNewRoman"/>
                <w:i/>
                <w:iCs/>
                <w:szCs w:val="22"/>
              </w:rPr>
              <w:t xml:space="preserve"> </w:t>
            </w:r>
            <w:r w:rsidRPr="00561954">
              <w:rPr>
                <w:rFonts w:cs="TimesNewRoman"/>
                <w:szCs w:val="22"/>
              </w:rPr>
              <w:t xml:space="preserve">group B strain NZ98/254 measured as amount of total protein containing the </w:t>
            </w:r>
            <w:proofErr w:type="spellStart"/>
            <w:r w:rsidRPr="00561954">
              <w:rPr>
                <w:rFonts w:cs="TimesNewRoman"/>
                <w:szCs w:val="22"/>
              </w:rPr>
              <w:t>PorA</w:t>
            </w:r>
            <w:proofErr w:type="spellEnd"/>
            <w:r w:rsidRPr="00561954">
              <w:rPr>
                <w:rFonts w:cs="TimesNewRoman"/>
                <w:szCs w:val="22"/>
              </w:rPr>
              <w:t xml:space="preserve"> P1.4</w:t>
            </w:r>
            <w:r w:rsidRPr="00561954">
              <w:rPr>
                <w:rFonts w:cs="TimesNewRoman"/>
                <w:szCs w:val="22"/>
                <w:vertAlign w:val="superscript"/>
              </w:rPr>
              <w:t>2</w:t>
            </w:r>
          </w:p>
        </w:tc>
        <w:tc>
          <w:tcPr>
            <w:tcW w:w="2024" w:type="dxa"/>
          </w:tcPr>
          <w:p w:rsidR="00314F35" w:rsidRPr="00561954" w:rsidRDefault="00314F35" w:rsidP="00307BFD">
            <w:pPr>
              <w:pStyle w:val="BodyText"/>
              <w:spacing w:after="0"/>
            </w:pPr>
            <w:r w:rsidRPr="00561954">
              <w:rPr>
                <w:rFonts w:cs="TimesNewRoman"/>
                <w:szCs w:val="22"/>
              </w:rPr>
              <w:t>- 25 micrograms</w:t>
            </w:r>
          </w:p>
        </w:tc>
      </w:tr>
    </w:tbl>
    <w:p w:rsidR="00314F35" w:rsidRPr="00561954" w:rsidRDefault="00314F35" w:rsidP="00314F35">
      <w:pPr>
        <w:pStyle w:val="BodyText"/>
        <w:spacing w:after="0"/>
        <w:rPr>
          <w:vertAlign w:val="superscript"/>
        </w:rPr>
      </w:pPr>
    </w:p>
    <w:p w:rsidR="00314F35" w:rsidRPr="00561954" w:rsidRDefault="00314F35" w:rsidP="00314F35">
      <w:pPr>
        <w:autoSpaceDE w:val="0"/>
        <w:autoSpaceDN w:val="0"/>
        <w:adjustRightInd w:val="0"/>
        <w:spacing w:after="200" w:line="276" w:lineRule="auto"/>
        <w:ind w:left="0" w:firstLine="0"/>
        <w:jc w:val="both"/>
        <w:rPr>
          <w:snapToGrid w:val="0"/>
          <w:sz w:val="22"/>
          <w:szCs w:val="22"/>
          <w:lang w:val="pt-BR" w:eastAsia="it-IT"/>
        </w:rPr>
      </w:pPr>
      <w:r w:rsidRPr="00561954">
        <w:rPr>
          <w:snapToGrid w:val="0"/>
          <w:sz w:val="22"/>
          <w:szCs w:val="22"/>
          <w:vertAlign w:val="superscript"/>
          <w:lang w:val="pt-BR" w:eastAsia="it-IT"/>
        </w:rPr>
        <w:t>1</w:t>
      </w:r>
      <w:r w:rsidRPr="00561954">
        <w:rPr>
          <w:snapToGrid w:val="0"/>
          <w:sz w:val="22"/>
          <w:szCs w:val="22"/>
          <w:lang w:val="pt-BR" w:eastAsia="it-IT"/>
        </w:rPr>
        <w:t xml:space="preserve">Produced in </w:t>
      </w:r>
      <w:r w:rsidRPr="00561954">
        <w:rPr>
          <w:i/>
          <w:snapToGrid w:val="0"/>
          <w:sz w:val="22"/>
          <w:szCs w:val="22"/>
          <w:lang w:val="pt-BR" w:eastAsia="it-IT"/>
        </w:rPr>
        <w:t>E. coli</w:t>
      </w:r>
      <w:r w:rsidRPr="00561954">
        <w:rPr>
          <w:snapToGrid w:val="0"/>
          <w:sz w:val="22"/>
          <w:szCs w:val="22"/>
          <w:lang w:val="pt-BR" w:eastAsia="it-IT"/>
        </w:rPr>
        <w:t xml:space="preserve"> cells by recombinant DNA technology. The NHBA (Neisseria Heparin Binding Antigen) is derived from strain NZ98/254 and is fused with accessory protein 953, derived from strain 2996; NadA (Neisseria adhesin A) is derived from strain 2996; fHBP (factor H Binding Protein) is derived from strain MC58 and is fused with accessory protein 936, derived from strain 2996.  </w:t>
      </w:r>
    </w:p>
    <w:p w:rsidR="00314F35" w:rsidRPr="00561954" w:rsidRDefault="00314F35" w:rsidP="00314F35">
      <w:pPr>
        <w:widowControl w:val="0"/>
        <w:autoSpaceDE w:val="0"/>
        <w:autoSpaceDN w:val="0"/>
        <w:adjustRightInd w:val="0"/>
        <w:spacing w:after="0"/>
        <w:ind w:left="0" w:firstLine="0"/>
        <w:rPr>
          <w:rFonts w:cs="TimesNewRoman"/>
          <w:sz w:val="20"/>
          <w:szCs w:val="22"/>
        </w:rPr>
      </w:pPr>
      <w:r w:rsidRPr="00561954">
        <w:rPr>
          <w:rFonts w:cs="TimesNewRoman"/>
          <w:sz w:val="20"/>
          <w:szCs w:val="22"/>
          <w:vertAlign w:val="superscript"/>
        </w:rPr>
        <w:t>2</w:t>
      </w:r>
      <w:r w:rsidRPr="00561954">
        <w:rPr>
          <w:rFonts w:cs="TimesNewRoman"/>
          <w:sz w:val="20"/>
          <w:szCs w:val="22"/>
        </w:rPr>
        <w:t xml:space="preserve">Adsorbed on </w:t>
      </w:r>
      <w:proofErr w:type="spellStart"/>
      <w:r w:rsidRPr="00561954">
        <w:rPr>
          <w:rFonts w:cs="TimesNewRoman"/>
          <w:sz w:val="20"/>
          <w:szCs w:val="22"/>
        </w:rPr>
        <w:t>aluminium</w:t>
      </w:r>
      <w:proofErr w:type="spellEnd"/>
      <w:r w:rsidRPr="00561954">
        <w:rPr>
          <w:rFonts w:cs="TimesNewRoman"/>
          <w:sz w:val="20"/>
          <w:szCs w:val="22"/>
        </w:rPr>
        <w:t xml:space="preserve"> hydroxide (0.5 mg Al</w:t>
      </w:r>
      <w:r w:rsidRPr="00561954">
        <w:rPr>
          <w:rFonts w:cs="TimesNewRoman"/>
          <w:sz w:val="20"/>
          <w:szCs w:val="22"/>
          <w:vertAlign w:val="superscript"/>
        </w:rPr>
        <w:t>3+</w:t>
      </w:r>
      <w:r w:rsidRPr="00561954">
        <w:rPr>
          <w:rFonts w:cs="TimesNewRoman"/>
          <w:sz w:val="20"/>
          <w:szCs w:val="22"/>
        </w:rPr>
        <w:t>).</w:t>
      </w:r>
    </w:p>
    <w:p w:rsidR="00314F35" w:rsidRPr="00561954" w:rsidRDefault="00314F35" w:rsidP="00314F35">
      <w:pPr>
        <w:pStyle w:val="BodyText"/>
        <w:spacing w:after="0"/>
        <w:rPr>
          <w:rFonts w:cs="TimesNewRoman"/>
          <w:szCs w:val="22"/>
        </w:rPr>
      </w:pPr>
    </w:p>
    <w:p w:rsidR="00314F35" w:rsidRPr="00561954" w:rsidRDefault="00314F35" w:rsidP="00314F35">
      <w:pPr>
        <w:pStyle w:val="Text"/>
      </w:pPr>
      <w:r w:rsidRPr="00561954">
        <w:rPr>
          <w:szCs w:val="22"/>
        </w:rPr>
        <w:t xml:space="preserve">BEXSERO contains the </w:t>
      </w:r>
      <w:proofErr w:type="spellStart"/>
      <w:r w:rsidRPr="00561954">
        <w:rPr>
          <w:szCs w:val="22"/>
        </w:rPr>
        <w:t>excipients</w:t>
      </w:r>
      <w:proofErr w:type="spellEnd"/>
      <w:r w:rsidRPr="00561954">
        <w:rPr>
          <w:szCs w:val="22"/>
        </w:rPr>
        <w:t xml:space="preserve"> </w:t>
      </w:r>
      <w:r w:rsidRPr="00561954">
        <w:t xml:space="preserve">sodium chloride, </w:t>
      </w:r>
      <w:proofErr w:type="spellStart"/>
      <w:r w:rsidRPr="00561954">
        <w:t>histidine</w:t>
      </w:r>
      <w:proofErr w:type="spellEnd"/>
      <w:r w:rsidRPr="00561954">
        <w:t>, sucrose, and water for injections.</w:t>
      </w:r>
    </w:p>
    <w:p w:rsidR="00872724" w:rsidRPr="00561954" w:rsidRDefault="00872724" w:rsidP="00314F35">
      <w:pPr>
        <w:pStyle w:val="Text"/>
        <w:rPr>
          <w:lang w:val="en-AU"/>
        </w:rPr>
      </w:pPr>
    </w:p>
    <w:p w:rsidR="00872724" w:rsidRPr="00561954" w:rsidRDefault="00872724" w:rsidP="00872724">
      <w:pPr>
        <w:pStyle w:val="BodyText"/>
        <w:rPr>
          <w:b/>
          <w:u w:val="single"/>
          <w:lang w:eastAsia="it-IT"/>
        </w:rPr>
      </w:pPr>
      <w:r w:rsidRPr="00561954">
        <w:rPr>
          <w:b/>
          <w:u w:val="single"/>
          <w:lang w:eastAsia="it-IT"/>
        </w:rPr>
        <w:t>Appearance</w:t>
      </w:r>
    </w:p>
    <w:p w:rsidR="00872724" w:rsidRPr="00561954" w:rsidRDefault="00872724" w:rsidP="00872724">
      <w:pPr>
        <w:pStyle w:val="BodyText"/>
        <w:rPr>
          <w:lang w:eastAsia="it-IT"/>
        </w:rPr>
      </w:pPr>
      <w:r w:rsidRPr="00561954">
        <w:rPr>
          <w:lang w:eastAsia="it-IT"/>
        </w:rPr>
        <w:t>White opalescent liquid suspension.</w:t>
      </w:r>
    </w:p>
    <w:p w:rsidR="00C36817" w:rsidRDefault="00314F35" w:rsidP="00C36817">
      <w:pPr>
        <w:widowControl w:val="0"/>
        <w:autoSpaceDE w:val="0"/>
        <w:autoSpaceDN w:val="0"/>
        <w:adjustRightInd w:val="0"/>
        <w:spacing w:after="0"/>
        <w:ind w:left="0" w:firstLine="0"/>
        <w:jc w:val="both"/>
        <w:rPr>
          <w:snapToGrid w:val="0"/>
          <w:szCs w:val="24"/>
          <w:lang w:eastAsia="it-IT"/>
        </w:rPr>
      </w:pPr>
      <w:r w:rsidRPr="00561954">
        <w:lastRenderedPageBreak/>
        <w:t xml:space="preserve">BEXSERO is supplied in a 1.0 </w:t>
      </w:r>
      <w:proofErr w:type="spellStart"/>
      <w:r w:rsidRPr="00561954">
        <w:t>m</w:t>
      </w:r>
      <w:r w:rsidR="00017C8C" w:rsidRPr="00561954">
        <w:t>L</w:t>
      </w:r>
      <w:proofErr w:type="spellEnd"/>
      <w:r w:rsidRPr="00561954">
        <w:t xml:space="preserve"> (Type I glass) pre-filled syringe. Syringes are sealed with a </w:t>
      </w:r>
      <w:r w:rsidR="00872724" w:rsidRPr="00561954">
        <w:t xml:space="preserve">plunger stopper </w:t>
      </w:r>
      <w:r w:rsidRPr="00561954">
        <w:rPr>
          <w:snapToGrid w:val="0"/>
          <w:szCs w:val="24"/>
          <w:lang w:eastAsia="it-IT"/>
        </w:rPr>
        <w:t xml:space="preserve">(Type I </w:t>
      </w:r>
      <w:proofErr w:type="spellStart"/>
      <w:r w:rsidRPr="00561954">
        <w:rPr>
          <w:snapToGrid w:val="0"/>
          <w:szCs w:val="24"/>
          <w:lang w:eastAsia="it-IT"/>
        </w:rPr>
        <w:t>bromobutyl</w:t>
      </w:r>
      <w:proofErr w:type="spellEnd"/>
      <w:r w:rsidRPr="00561954">
        <w:rPr>
          <w:snapToGrid w:val="0"/>
          <w:szCs w:val="24"/>
          <w:lang w:eastAsia="it-IT"/>
        </w:rPr>
        <w:t xml:space="preserve"> rubber) and with a protective tip cap (Type I or Type II rubber).</w:t>
      </w:r>
    </w:p>
    <w:p w:rsidR="008E072F" w:rsidRPr="008E072F" w:rsidRDefault="008E072F" w:rsidP="008E072F">
      <w:pPr>
        <w:pStyle w:val="BodyText"/>
        <w:rPr>
          <w:lang w:eastAsia="it-IT"/>
        </w:rPr>
      </w:pPr>
    </w:p>
    <w:p w:rsidR="00314F35" w:rsidRPr="00561954" w:rsidRDefault="00314F35" w:rsidP="00A87E43">
      <w:pPr>
        <w:ind w:left="0" w:firstLine="0"/>
        <w:rPr>
          <w:rFonts w:ascii="Times New Roman Bold" w:hAnsi="Times New Roman Bold"/>
          <w:b/>
          <w:caps/>
          <w:sz w:val="30"/>
          <w:szCs w:val="24"/>
          <w:u w:val="single"/>
        </w:rPr>
      </w:pPr>
      <w:r w:rsidRPr="00561954">
        <w:rPr>
          <w:rFonts w:ascii="Times New Roman Bold" w:hAnsi="Times New Roman Bold"/>
          <w:b/>
          <w:caps/>
          <w:sz w:val="30"/>
          <w:szCs w:val="24"/>
          <w:u w:val="single"/>
        </w:rPr>
        <w:t>Pharmacology</w:t>
      </w:r>
    </w:p>
    <w:p w:rsidR="00314F35" w:rsidRPr="00561954" w:rsidRDefault="00314F35" w:rsidP="00314F35">
      <w:pPr>
        <w:pStyle w:val="BodyText"/>
        <w:spacing w:after="0"/>
        <w:rPr>
          <w:b/>
          <w:u w:val="single"/>
        </w:rPr>
      </w:pPr>
      <w:r w:rsidRPr="00561954">
        <w:rPr>
          <w:b/>
          <w:u w:val="single"/>
        </w:rPr>
        <w:t>Mechanism of Action</w:t>
      </w:r>
    </w:p>
    <w:p w:rsidR="00314F35" w:rsidRPr="00561954" w:rsidRDefault="00314F35" w:rsidP="00314F35">
      <w:pPr>
        <w:pStyle w:val="BodyText"/>
        <w:spacing w:after="0"/>
      </w:pPr>
    </w:p>
    <w:p w:rsidR="00314F35" w:rsidRPr="00561954" w:rsidRDefault="00314F35" w:rsidP="00314F35">
      <w:pPr>
        <w:tabs>
          <w:tab w:val="left" w:pos="9356"/>
        </w:tabs>
        <w:autoSpaceDE w:val="0"/>
        <w:autoSpaceDN w:val="0"/>
        <w:adjustRightInd w:val="0"/>
        <w:ind w:left="0" w:firstLine="0"/>
        <w:jc w:val="both"/>
        <w:rPr>
          <w:snapToGrid w:val="0"/>
          <w:szCs w:val="24"/>
          <w:lang w:eastAsia="it-IT"/>
        </w:rPr>
      </w:pPr>
      <w:proofErr w:type="spellStart"/>
      <w:r w:rsidRPr="00561954">
        <w:rPr>
          <w:rFonts w:cs="TimesNewRoman"/>
          <w:szCs w:val="24"/>
        </w:rPr>
        <w:t>Immuni</w:t>
      </w:r>
      <w:r w:rsidR="00307BFD" w:rsidRPr="00561954">
        <w:rPr>
          <w:rFonts w:cs="TimesNewRoman"/>
          <w:szCs w:val="24"/>
        </w:rPr>
        <w:t>s</w:t>
      </w:r>
      <w:r w:rsidRPr="00561954">
        <w:rPr>
          <w:rFonts w:cs="TimesNewRoman"/>
          <w:szCs w:val="24"/>
        </w:rPr>
        <w:t>ation</w:t>
      </w:r>
      <w:proofErr w:type="spellEnd"/>
      <w:r w:rsidRPr="00561954">
        <w:rPr>
          <w:rFonts w:cs="TimesNewRoman"/>
          <w:szCs w:val="24"/>
        </w:rPr>
        <w:t xml:space="preserve"> </w:t>
      </w:r>
      <w:r w:rsidRPr="00561954">
        <w:rPr>
          <w:snapToGrid w:val="0"/>
          <w:szCs w:val="24"/>
          <w:lang w:eastAsia="it-IT"/>
        </w:rPr>
        <w:t xml:space="preserve">with BEXSERO is intended to stimulate the production of bactericidal antibodies that recognize the vaccine antigens NHBA, </w:t>
      </w:r>
      <w:proofErr w:type="spellStart"/>
      <w:r w:rsidRPr="00561954">
        <w:rPr>
          <w:snapToGrid w:val="0"/>
          <w:szCs w:val="24"/>
          <w:lang w:eastAsia="it-IT"/>
        </w:rPr>
        <w:t>NadA</w:t>
      </w:r>
      <w:proofErr w:type="spellEnd"/>
      <w:r w:rsidRPr="00561954">
        <w:rPr>
          <w:snapToGrid w:val="0"/>
          <w:szCs w:val="24"/>
          <w:lang w:eastAsia="it-IT"/>
        </w:rPr>
        <w:t xml:space="preserve">, </w:t>
      </w:r>
      <w:proofErr w:type="spellStart"/>
      <w:r w:rsidRPr="00561954">
        <w:rPr>
          <w:snapToGrid w:val="0"/>
          <w:szCs w:val="24"/>
          <w:lang w:eastAsia="it-IT"/>
        </w:rPr>
        <w:t>fHBP</w:t>
      </w:r>
      <w:proofErr w:type="spellEnd"/>
      <w:r w:rsidRPr="00561954">
        <w:rPr>
          <w:snapToGrid w:val="0"/>
          <w:szCs w:val="24"/>
          <w:lang w:eastAsia="it-IT"/>
        </w:rPr>
        <w:t xml:space="preserve">, and </w:t>
      </w:r>
      <w:proofErr w:type="spellStart"/>
      <w:r w:rsidRPr="00561954">
        <w:rPr>
          <w:snapToGrid w:val="0"/>
          <w:szCs w:val="24"/>
          <w:lang w:eastAsia="it-IT"/>
        </w:rPr>
        <w:t>PorA</w:t>
      </w:r>
      <w:proofErr w:type="spellEnd"/>
      <w:r w:rsidRPr="00561954">
        <w:rPr>
          <w:snapToGrid w:val="0"/>
          <w:szCs w:val="24"/>
          <w:lang w:eastAsia="it-IT"/>
        </w:rPr>
        <w:t xml:space="preserve"> P1.4 (the </w:t>
      </w:r>
      <w:proofErr w:type="spellStart"/>
      <w:r w:rsidRPr="00561954">
        <w:rPr>
          <w:snapToGrid w:val="0"/>
          <w:szCs w:val="24"/>
          <w:lang w:eastAsia="it-IT"/>
        </w:rPr>
        <w:t>immunodominant</w:t>
      </w:r>
      <w:proofErr w:type="spellEnd"/>
      <w:r w:rsidRPr="00561954">
        <w:rPr>
          <w:snapToGrid w:val="0"/>
          <w:szCs w:val="24"/>
          <w:lang w:eastAsia="it-IT"/>
        </w:rPr>
        <w:t xml:space="preserve"> antigen present in the OMV component) and is protective against </w:t>
      </w:r>
      <w:r w:rsidR="009C3F2F" w:rsidRPr="00561954">
        <w:rPr>
          <w:snapToGrid w:val="0"/>
          <w:szCs w:val="24"/>
          <w:lang w:eastAsia="it-IT"/>
        </w:rPr>
        <w:t>Invasive Meningococcal Disease (</w:t>
      </w:r>
      <w:r w:rsidRPr="00561954">
        <w:rPr>
          <w:snapToGrid w:val="0"/>
          <w:szCs w:val="24"/>
          <w:lang w:eastAsia="it-IT"/>
        </w:rPr>
        <w:t>IMD</w:t>
      </w:r>
      <w:r w:rsidR="009C3F2F" w:rsidRPr="00561954">
        <w:rPr>
          <w:snapToGrid w:val="0"/>
          <w:szCs w:val="24"/>
          <w:lang w:eastAsia="it-IT"/>
        </w:rPr>
        <w:t>)</w:t>
      </w:r>
      <w:r w:rsidRPr="00561954">
        <w:rPr>
          <w:snapToGrid w:val="0"/>
          <w:szCs w:val="24"/>
          <w:lang w:eastAsia="it-IT"/>
        </w:rPr>
        <w:t xml:space="preserve">. </w:t>
      </w:r>
      <w:proofErr w:type="spellStart"/>
      <w:r w:rsidRPr="00561954">
        <w:rPr>
          <w:snapToGrid w:val="0"/>
          <w:szCs w:val="24"/>
          <w:lang w:eastAsia="it-IT"/>
        </w:rPr>
        <w:t>Meningococci</w:t>
      </w:r>
      <w:proofErr w:type="spellEnd"/>
      <w:r w:rsidRPr="00561954">
        <w:rPr>
          <w:snapToGrid w:val="0"/>
          <w:szCs w:val="24"/>
          <w:lang w:eastAsia="it-IT"/>
        </w:rPr>
        <w:t xml:space="preserve"> that express these antigens</w:t>
      </w:r>
      <w:r w:rsidRPr="00561954">
        <w:rPr>
          <w:snapToGrid w:val="0"/>
          <w:szCs w:val="24"/>
        </w:rPr>
        <w:t xml:space="preserve"> </w:t>
      </w:r>
      <w:r w:rsidRPr="00561954">
        <w:rPr>
          <w:rFonts w:cs="TimesNewRoman"/>
          <w:szCs w:val="24"/>
        </w:rPr>
        <w:t xml:space="preserve">at sufficient levels </w:t>
      </w:r>
      <w:r w:rsidRPr="00561954">
        <w:rPr>
          <w:snapToGrid w:val="0"/>
          <w:szCs w:val="24"/>
          <w:lang w:eastAsia="it-IT"/>
        </w:rPr>
        <w:t xml:space="preserve">are susceptible to killing by vaccine-elicited antibodies. </w:t>
      </w:r>
    </w:p>
    <w:p w:rsidR="00314F35" w:rsidRPr="00561954" w:rsidRDefault="00314F35" w:rsidP="00314F35">
      <w:pPr>
        <w:tabs>
          <w:tab w:val="left" w:pos="9356"/>
        </w:tabs>
        <w:ind w:left="0" w:firstLine="0"/>
        <w:jc w:val="both"/>
        <w:rPr>
          <w:snapToGrid w:val="0"/>
          <w:szCs w:val="24"/>
          <w:lang w:eastAsia="it-IT"/>
        </w:rPr>
      </w:pPr>
      <w:r w:rsidRPr="00561954">
        <w:rPr>
          <w:snapToGrid w:val="0"/>
          <w:szCs w:val="24"/>
          <w:lang w:eastAsia="it-IT"/>
        </w:rPr>
        <w:t xml:space="preserve">The vaccine antigens present in BEXSERO are also expressed by strains belonging to meningococcal groups other than group B. However, data on protection against IMD caused by other groups are limited. </w:t>
      </w:r>
    </w:p>
    <w:p w:rsidR="00314F35" w:rsidRPr="00561954" w:rsidRDefault="00314F35" w:rsidP="00314F35">
      <w:pPr>
        <w:spacing w:after="0"/>
        <w:ind w:left="0" w:firstLine="0"/>
        <w:jc w:val="both"/>
        <w:rPr>
          <w:b/>
          <w:snapToGrid w:val="0"/>
          <w:szCs w:val="24"/>
          <w:u w:val="single"/>
          <w:lang w:eastAsia="it-IT"/>
        </w:rPr>
      </w:pPr>
      <w:r w:rsidRPr="00561954">
        <w:rPr>
          <w:b/>
          <w:snapToGrid w:val="0"/>
          <w:szCs w:val="24"/>
          <w:u w:val="single"/>
          <w:lang w:eastAsia="it-IT"/>
        </w:rPr>
        <w:t xml:space="preserve">Epidemiological Data </w:t>
      </w:r>
    </w:p>
    <w:p w:rsidR="00314F35" w:rsidRPr="00561954" w:rsidRDefault="00314F35" w:rsidP="00314F35">
      <w:pPr>
        <w:pStyle w:val="BodyText"/>
        <w:spacing w:after="0"/>
        <w:rPr>
          <w:lang w:eastAsia="it-IT"/>
        </w:rPr>
      </w:pPr>
    </w:p>
    <w:p w:rsidR="00314F35" w:rsidRPr="00561954" w:rsidRDefault="00314F35" w:rsidP="00314F35">
      <w:pPr>
        <w:tabs>
          <w:tab w:val="left" w:pos="5103"/>
        </w:tabs>
        <w:ind w:left="0" w:hanging="4"/>
        <w:jc w:val="both"/>
        <w:rPr>
          <w:snapToGrid w:val="0"/>
        </w:rPr>
      </w:pPr>
      <w:r w:rsidRPr="00561954">
        <w:rPr>
          <w:snapToGrid w:val="0"/>
        </w:rPr>
        <w:t xml:space="preserve">Invasive meningococcal disease (IMD) is an important cause of meningitis and septicemia, which can lead to mortality (8.1% in Europe), or permanent </w:t>
      </w:r>
      <w:proofErr w:type="spellStart"/>
      <w:r w:rsidRPr="00561954">
        <w:rPr>
          <w:snapToGrid w:val="0"/>
        </w:rPr>
        <w:t>sequelae</w:t>
      </w:r>
      <w:proofErr w:type="spellEnd"/>
      <w:r w:rsidRPr="00561954">
        <w:rPr>
          <w:snapToGrid w:val="0"/>
        </w:rPr>
        <w:t xml:space="preserve"> (11-19%). According to the National </w:t>
      </w:r>
      <w:proofErr w:type="spellStart"/>
      <w:r w:rsidRPr="00561954">
        <w:rPr>
          <w:snapToGrid w:val="0"/>
        </w:rPr>
        <w:t>Notifiable</w:t>
      </w:r>
      <w:proofErr w:type="spellEnd"/>
      <w:r w:rsidRPr="00561954">
        <w:rPr>
          <w:snapToGrid w:val="0"/>
        </w:rPr>
        <w:t xml:space="preserve"> Diseases Surveillance System, the majority of IMD in Australia is caused by group B (88% in 2009). The highest incidence of group B disease occurs in children under 4 years of age (</w:t>
      </w:r>
      <w:r w:rsidRPr="00561954">
        <w:rPr>
          <w:rStyle w:val="CommentReference"/>
          <w:sz w:val="24"/>
          <w:szCs w:val="24"/>
        </w:rPr>
        <w:t>5</w:t>
      </w:r>
      <w:r w:rsidRPr="00561954">
        <w:rPr>
          <w:snapToGrid w:val="0"/>
        </w:rPr>
        <w:t xml:space="preserve"> notifications per 100,000 population), followed by a peak in children from 15 to 19 years of age (2 notifications per 100,000 population).</w:t>
      </w:r>
    </w:p>
    <w:p w:rsidR="00314F35" w:rsidRPr="00561954" w:rsidRDefault="00314F35" w:rsidP="00314F35">
      <w:pPr>
        <w:ind w:left="0" w:hanging="4"/>
        <w:jc w:val="both"/>
        <w:rPr>
          <w:snapToGrid w:val="0"/>
        </w:rPr>
      </w:pPr>
      <w:r w:rsidRPr="00561954">
        <w:rPr>
          <w:rStyle w:val="CommentReference"/>
        </w:rPr>
        <w:t> </w:t>
      </w:r>
      <w:r w:rsidRPr="00561954">
        <w:rPr>
          <w:snapToGrid w:val="0"/>
        </w:rPr>
        <w:t xml:space="preserve">Group B has caused prolonged outbreaks due to </w:t>
      </w:r>
      <w:proofErr w:type="spellStart"/>
      <w:r w:rsidRPr="00561954">
        <w:rPr>
          <w:snapToGrid w:val="0"/>
        </w:rPr>
        <w:t>hypervirulent</w:t>
      </w:r>
      <w:proofErr w:type="spellEnd"/>
      <w:r w:rsidRPr="00561954">
        <w:rPr>
          <w:snapToGrid w:val="0"/>
        </w:rPr>
        <w:t xml:space="preserve"> strains in New Zealand, with high incidences in infants (</w:t>
      </w:r>
      <w:r w:rsidRPr="00561954">
        <w:rPr>
          <w:rStyle w:val="CommentReference"/>
          <w:sz w:val="24"/>
          <w:szCs w:val="24"/>
          <w:lang w:val="en-GB"/>
        </w:rPr>
        <w:t>less than</w:t>
      </w:r>
      <w:r w:rsidRPr="00561954">
        <w:rPr>
          <w:rStyle w:val="CommentReference"/>
        </w:rPr>
        <w:t> </w:t>
      </w:r>
      <w:r w:rsidRPr="00561954">
        <w:rPr>
          <w:snapToGrid w:val="0"/>
        </w:rPr>
        <w:t xml:space="preserve"> 1 year: 124 cases per 100,000), and children (1 to 4 years: 60 cases per 100,000). </w:t>
      </w:r>
    </w:p>
    <w:p w:rsidR="00314F35" w:rsidRPr="00561954" w:rsidRDefault="00314F35" w:rsidP="00307BFD">
      <w:pPr>
        <w:pStyle w:val="BodyText"/>
        <w:jc w:val="both"/>
      </w:pPr>
      <w:r w:rsidRPr="00561954">
        <w:t xml:space="preserve">Protection from meningococcal disease correlates with the presence of serum antibodies able to kill the bacteria in the presence of human complement. The potential of BEXSERO to induce antibodies able to kill diverse strains of invasive meningococcal group B bacteria was studied using a novel typing method, the Meningococcal Antigen Typing System (MATS). MATS was developed to relate vaccine antigen content and expression among different strains of meningococcal </w:t>
      </w:r>
      <w:r w:rsidRPr="00561954">
        <w:rPr>
          <w:rStyle w:val="CommentReference"/>
        </w:rPr>
        <w:t> </w:t>
      </w:r>
      <w:r w:rsidRPr="00561954">
        <w:t>group B bacteria to killing of the strains in the serum bactericidal assay with human complement (</w:t>
      </w:r>
      <w:proofErr w:type="spellStart"/>
      <w:r w:rsidRPr="00561954">
        <w:t>hSBA</w:t>
      </w:r>
      <w:proofErr w:type="spellEnd"/>
      <w:r w:rsidRPr="00561954">
        <w:t xml:space="preserve">) by pooled serum from 13 month old infants immunized at 2, 4 and 6 months of age with a booster at 12 </w:t>
      </w:r>
      <w:r w:rsidRPr="00561954">
        <w:lastRenderedPageBreak/>
        <w:t xml:space="preserve">months of age. A survey of </w:t>
      </w:r>
      <w:r w:rsidR="009B472B" w:rsidRPr="00561954">
        <w:t xml:space="preserve">373 </w:t>
      </w:r>
      <w:r w:rsidRPr="00561954">
        <w:t xml:space="preserve">invasive meningococcal </w:t>
      </w:r>
      <w:r w:rsidRPr="00561954">
        <w:rPr>
          <w:rStyle w:val="CommentReference"/>
        </w:rPr>
        <w:t> </w:t>
      </w:r>
      <w:r w:rsidRPr="00561954">
        <w:t xml:space="preserve">group B isolates collected between </w:t>
      </w:r>
      <w:r w:rsidR="0025403F" w:rsidRPr="00561954">
        <w:t xml:space="preserve">January </w:t>
      </w:r>
      <w:r w:rsidR="009B472B" w:rsidRPr="00561954">
        <w:t xml:space="preserve">2007 </w:t>
      </w:r>
      <w:r w:rsidRPr="00561954">
        <w:t xml:space="preserve">and </w:t>
      </w:r>
      <w:r w:rsidR="0025403F" w:rsidRPr="00561954">
        <w:t xml:space="preserve">December </w:t>
      </w:r>
      <w:r w:rsidRPr="00561954">
        <w:t>2011 from</w:t>
      </w:r>
      <w:r w:rsidRPr="00561954">
        <w:rPr>
          <w:b/>
          <w:bCs/>
        </w:rPr>
        <w:t xml:space="preserve"> </w:t>
      </w:r>
      <w:r w:rsidR="0025403F" w:rsidRPr="00561954">
        <w:t>five</w:t>
      </w:r>
      <w:r w:rsidR="00392C1F" w:rsidRPr="00561954">
        <w:t xml:space="preserve"> </w:t>
      </w:r>
      <w:r w:rsidRPr="00561954">
        <w:t xml:space="preserve">Australian states and </w:t>
      </w:r>
      <w:r w:rsidR="0025403F" w:rsidRPr="00561954">
        <w:t xml:space="preserve">two </w:t>
      </w:r>
      <w:r w:rsidR="00646EB3" w:rsidRPr="00561954">
        <w:t>Territories</w:t>
      </w:r>
      <w:r w:rsidRPr="00561954">
        <w:t xml:space="preserve"> showed that </w:t>
      </w:r>
      <w:r w:rsidR="00F31455" w:rsidRPr="00561954">
        <w:t>76</w:t>
      </w:r>
      <w:r w:rsidRPr="00561954">
        <w:t xml:space="preserve">% </w:t>
      </w:r>
      <w:r w:rsidRPr="00561954">
        <w:rPr>
          <w:lang w:val="en-GB"/>
        </w:rPr>
        <w:t xml:space="preserve">(95% Confidence Interval: </w:t>
      </w:r>
      <w:r w:rsidR="00F514C4" w:rsidRPr="00561954">
        <w:rPr>
          <w:lang w:val="en-GB"/>
        </w:rPr>
        <w:t>63</w:t>
      </w:r>
      <w:r w:rsidRPr="00561954">
        <w:rPr>
          <w:lang w:val="en-GB"/>
        </w:rPr>
        <w:t>%-</w:t>
      </w:r>
      <w:r w:rsidR="00F31455" w:rsidRPr="00561954">
        <w:rPr>
          <w:lang w:val="en-GB"/>
        </w:rPr>
        <w:t>87</w:t>
      </w:r>
      <w:r w:rsidRPr="00561954">
        <w:rPr>
          <w:lang w:val="en-GB"/>
        </w:rPr>
        <w:t>%) o</w:t>
      </w:r>
      <w:r w:rsidRPr="00561954">
        <w:t xml:space="preserve">f meningococcal group B isolates were predicted to be killed in </w:t>
      </w:r>
      <w:proofErr w:type="spellStart"/>
      <w:r w:rsidRPr="00561954">
        <w:t>hSBA</w:t>
      </w:r>
      <w:proofErr w:type="spellEnd"/>
      <w:r w:rsidRPr="00561954">
        <w:t xml:space="preserve"> based on their MATS vaccine antigen type.</w:t>
      </w:r>
    </w:p>
    <w:p w:rsidR="00FD42C2" w:rsidRPr="00561954" w:rsidRDefault="00FD42C2" w:rsidP="006F11F0">
      <w:pPr>
        <w:pStyle w:val="BodyText"/>
        <w:tabs>
          <w:tab w:val="left" w:pos="5842"/>
        </w:tabs>
      </w:pPr>
    </w:p>
    <w:p w:rsidR="00314F35" w:rsidRPr="00561954" w:rsidRDefault="00314F35" w:rsidP="00F1793E">
      <w:pPr>
        <w:ind w:left="0" w:firstLine="0"/>
        <w:rPr>
          <w:rFonts w:ascii="Times New Roman Bold" w:hAnsi="Times New Roman Bold"/>
          <w:b/>
          <w:caps/>
          <w:sz w:val="30"/>
          <w:szCs w:val="24"/>
          <w:u w:val="single"/>
        </w:rPr>
      </w:pPr>
      <w:r w:rsidRPr="00561954">
        <w:rPr>
          <w:rFonts w:ascii="Times New Roman Bold" w:hAnsi="Times New Roman Bold"/>
          <w:b/>
          <w:caps/>
          <w:sz w:val="30"/>
          <w:szCs w:val="24"/>
          <w:u w:val="single"/>
        </w:rPr>
        <w:t>Clinical Trials</w:t>
      </w:r>
    </w:p>
    <w:p w:rsidR="00314F35" w:rsidRPr="00561954" w:rsidRDefault="00314F35" w:rsidP="00307BFD">
      <w:pPr>
        <w:widowControl w:val="0"/>
        <w:autoSpaceDE w:val="0"/>
        <w:autoSpaceDN w:val="0"/>
        <w:adjustRightInd w:val="0"/>
        <w:spacing w:after="0"/>
        <w:ind w:left="0" w:firstLine="0"/>
        <w:jc w:val="both"/>
      </w:pPr>
      <w:r w:rsidRPr="00561954">
        <w:t xml:space="preserve">The efficacy of BEXSERO has been inferred by measuring bactericidal antibody responses to each of the vaccine antigens </w:t>
      </w:r>
      <w:proofErr w:type="spellStart"/>
      <w:r w:rsidRPr="00561954">
        <w:t>NadA</w:t>
      </w:r>
      <w:proofErr w:type="spellEnd"/>
      <w:r w:rsidRPr="00561954">
        <w:t xml:space="preserve">, </w:t>
      </w:r>
      <w:proofErr w:type="spellStart"/>
      <w:r w:rsidRPr="00561954">
        <w:t>fHBP</w:t>
      </w:r>
      <w:proofErr w:type="spellEnd"/>
      <w:r w:rsidRPr="00561954">
        <w:t xml:space="preserve">, NHBA and </w:t>
      </w:r>
      <w:proofErr w:type="spellStart"/>
      <w:r w:rsidRPr="00561954">
        <w:t>PorA</w:t>
      </w:r>
      <w:proofErr w:type="spellEnd"/>
      <w:r w:rsidRPr="00561954">
        <w:t xml:space="preserve"> P1.4, using a set of four meningococcal group B reference strains (5/99, 44/76, M10713 and NZ98/254). Bactericidal antibodies against these strains were measured by the Serum Bactericidal Assay using human serum as the source of complement (</w:t>
      </w:r>
      <w:proofErr w:type="spellStart"/>
      <w:r w:rsidRPr="00561954">
        <w:t>hSBA</w:t>
      </w:r>
      <w:proofErr w:type="spellEnd"/>
      <w:r w:rsidRPr="00561954">
        <w:t xml:space="preserve">). Strain 44/76 measured bactericidal antibody directed against </w:t>
      </w:r>
      <w:proofErr w:type="spellStart"/>
      <w:r w:rsidRPr="00561954">
        <w:t>fHBP</w:t>
      </w:r>
      <w:proofErr w:type="spellEnd"/>
      <w:r w:rsidRPr="00561954">
        <w:t xml:space="preserve">; strain 5/99 measured bactericidal antibody directed against </w:t>
      </w:r>
      <w:proofErr w:type="spellStart"/>
      <w:r w:rsidRPr="00561954">
        <w:t>NadA</w:t>
      </w:r>
      <w:proofErr w:type="spellEnd"/>
      <w:r w:rsidRPr="00561954">
        <w:t xml:space="preserve">; strain M10713 measured bactericidal antibody directed against NHBA; and strain NZ98/254 measured bactericidal antibody directed against </w:t>
      </w:r>
      <w:proofErr w:type="spellStart"/>
      <w:r w:rsidRPr="00561954">
        <w:t>PorA</w:t>
      </w:r>
      <w:proofErr w:type="spellEnd"/>
      <w:r w:rsidRPr="00561954">
        <w:t xml:space="preserve"> P1.4 in the OMV vaccine component. Data are not available from all vaccine schedules using strain M10713.</w:t>
      </w:r>
    </w:p>
    <w:p w:rsidR="00314F35" w:rsidRPr="00561954" w:rsidRDefault="00314F35" w:rsidP="00314F35">
      <w:pPr>
        <w:pStyle w:val="BodyText"/>
        <w:spacing w:after="0"/>
      </w:pPr>
    </w:p>
    <w:p w:rsidR="00314F35" w:rsidRPr="00561954" w:rsidRDefault="00314F35" w:rsidP="00314F35">
      <w:pPr>
        <w:widowControl w:val="0"/>
        <w:autoSpaceDE w:val="0"/>
        <w:autoSpaceDN w:val="0"/>
        <w:adjustRightInd w:val="0"/>
        <w:spacing w:after="0"/>
        <w:ind w:left="0" w:firstLine="0"/>
        <w:rPr>
          <w:rFonts w:cs="TimesNewRoman"/>
          <w:b/>
          <w:bCs/>
          <w:iCs/>
          <w:szCs w:val="24"/>
        </w:rPr>
      </w:pPr>
      <w:r w:rsidRPr="00561954">
        <w:rPr>
          <w:rFonts w:cs="TimesNewRoman"/>
          <w:b/>
          <w:bCs/>
          <w:iCs/>
          <w:szCs w:val="24"/>
        </w:rPr>
        <w:t>Immunogenicity</w:t>
      </w:r>
    </w:p>
    <w:p w:rsidR="00314F35" w:rsidRPr="00561954" w:rsidRDefault="00314F35" w:rsidP="00314F35">
      <w:pPr>
        <w:widowControl w:val="0"/>
        <w:autoSpaceDE w:val="0"/>
        <w:autoSpaceDN w:val="0"/>
        <w:adjustRightInd w:val="0"/>
        <w:spacing w:after="0"/>
        <w:ind w:left="0" w:firstLine="0"/>
        <w:rPr>
          <w:rFonts w:cs="TimesNewRoman"/>
          <w:sz w:val="22"/>
          <w:szCs w:val="22"/>
        </w:rPr>
      </w:pPr>
    </w:p>
    <w:p w:rsidR="00314F35" w:rsidRPr="00561954" w:rsidRDefault="00314F35" w:rsidP="00314F35">
      <w:pPr>
        <w:tabs>
          <w:tab w:val="left" w:pos="9356"/>
        </w:tabs>
        <w:ind w:left="0" w:firstLine="0"/>
        <w:jc w:val="both"/>
        <w:rPr>
          <w:b/>
          <w:bCs/>
          <w:snapToGrid w:val="0"/>
          <w:szCs w:val="24"/>
          <w:lang w:eastAsia="it-IT"/>
        </w:rPr>
      </w:pPr>
      <w:r w:rsidRPr="00561954">
        <w:rPr>
          <w:snapToGrid w:val="0"/>
          <w:szCs w:val="24"/>
          <w:lang w:eastAsia="it-IT"/>
        </w:rPr>
        <w:t xml:space="preserve">The primary immunogenicity endpoint was measured as the proportion of subjects with </w:t>
      </w:r>
      <w:proofErr w:type="spellStart"/>
      <w:r w:rsidRPr="00561954">
        <w:rPr>
          <w:snapToGrid w:val="0"/>
          <w:szCs w:val="24"/>
          <w:lang w:eastAsia="it-IT"/>
        </w:rPr>
        <w:t>hSBA</w:t>
      </w:r>
      <w:proofErr w:type="spellEnd"/>
      <w:r w:rsidRPr="00561954">
        <w:rPr>
          <w:snapToGrid w:val="0"/>
          <w:szCs w:val="24"/>
          <w:lang w:eastAsia="it-IT"/>
        </w:rPr>
        <w:t xml:space="preserve"> equal to or above the threshold of 1:4 against each of the meningococcal group B reference strains. This threshold, used in early-stage clinical studies (V72P6, V72P9, V72P4, V72P5 and V72P10), is an accepted correlate of protection. A threshold of 1:5 was then set after further </w:t>
      </w:r>
      <w:proofErr w:type="spellStart"/>
      <w:r w:rsidRPr="00561954">
        <w:rPr>
          <w:snapToGrid w:val="0"/>
          <w:szCs w:val="24"/>
          <w:lang w:eastAsia="it-IT"/>
        </w:rPr>
        <w:t>hSBA</w:t>
      </w:r>
      <w:proofErr w:type="spellEnd"/>
      <w:r w:rsidRPr="00561954">
        <w:rPr>
          <w:snapToGrid w:val="0"/>
          <w:szCs w:val="24"/>
          <w:lang w:eastAsia="it-IT"/>
        </w:rPr>
        <w:t xml:space="preserve"> assay validation to ensure, based on the intermediate precision of the assay, 95% certainty of a true response of 1:4, this cutoff was used to define </w:t>
      </w:r>
      <w:proofErr w:type="spellStart"/>
      <w:r w:rsidRPr="00561954">
        <w:rPr>
          <w:snapToGrid w:val="0"/>
          <w:szCs w:val="24"/>
          <w:lang w:eastAsia="it-IT"/>
        </w:rPr>
        <w:t>seropositive</w:t>
      </w:r>
      <w:proofErr w:type="spellEnd"/>
      <w:r w:rsidRPr="00561954">
        <w:rPr>
          <w:snapToGrid w:val="0"/>
          <w:szCs w:val="24"/>
          <w:lang w:eastAsia="it-IT"/>
        </w:rPr>
        <w:t xml:space="preserve"> responses in late-stage clinical studies in infants (V72P13, V72P12 and V72P13E1).</w:t>
      </w:r>
    </w:p>
    <w:p w:rsidR="00314F35" w:rsidRPr="008939FC"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 xml:space="preserve">Immunogenicity was evaluated in </w:t>
      </w:r>
      <w:proofErr w:type="spellStart"/>
      <w:r w:rsidR="00044C8D" w:rsidRPr="008939FC">
        <w:rPr>
          <w:rFonts w:cs="TimesNewRoman"/>
          <w:szCs w:val="22"/>
        </w:rPr>
        <w:t>randomised</w:t>
      </w:r>
      <w:proofErr w:type="spellEnd"/>
      <w:r w:rsidRPr="008939FC">
        <w:rPr>
          <w:rFonts w:cs="TimesNewRoman"/>
          <w:szCs w:val="22"/>
        </w:rPr>
        <w:t xml:space="preserve">, </w:t>
      </w:r>
      <w:r w:rsidR="00044C8D" w:rsidRPr="008939FC">
        <w:rPr>
          <w:rFonts w:cs="TimesNewRoman"/>
          <w:szCs w:val="22"/>
        </w:rPr>
        <w:t>multicentre</w:t>
      </w:r>
      <w:r w:rsidRPr="008939FC">
        <w:rPr>
          <w:rFonts w:cs="TimesNewRoman"/>
          <w:szCs w:val="22"/>
        </w:rPr>
        <w:t>, clinical trials that enrolled infants, adolescents and adults.</w:t>
      </w:r>
    </w:p>
    <w:p w:rsidR="00314F35" w:rsidRPr="00441701" w:rsidRDefault="00314F35" w:rsidP="00314F35">
      <w:pPr>
        <w:widowControl w:val="0"/>
        <w:autoSpaceDE w:val="0"/>
        <w:autoSpaceDN w:val="0"/>
        <w:adjustRightInd w:val="0"/>
        <w:spacing w:after="0"/>
        <w:ind w:left="0" w:firstLine="0"/>
        <w:rPr>
          <w:rFonts w:cs="TimesNewRoman"/>
          <w:szCs w:val="22"/>
        </w:rPr>
      </w:pPr>
    </w:p>
    <w:p w:rsidR="00314F35" w:rsidRPr="00561954" w:rsidRDefault="00314F35" w:rsidP="00314F35">
      <w:pPr>
        <w:widowControl w:val="0"/>
        <w:autoSpaceDE w:val="0"/>
        <w:autoSpaceDN w:val="0"/>
        <w:adjustRightInd w:val="0"/>
        <w:spacing w:after="0"/>
        <w:ind w:left="0" w:firstLine="0"/>
        <w:rPr>
          <w:rFonts w:cs="TimesNewRoman"/>
          <w:i/>
          <w:iCs/>
          <w:szCs w:val="22"/>
          <w:u w:val="single"/>
        </w:rPr>
      </w:pPr>
      <w:r w:rsidRPr="00561954">
        <w:rPr>
          <w:rFonts w:cs="TimesNewRoman"/>
          <w:i/>
          <w:iCs/>
          <w:szCs w:val="22"/>
          <w:u w:val="single"/>
        </w:rPr>
        <w:t>Immunogenicity in infants</w:t>
      </w:r>
    </w:p>
    <w:p w:rsidR="00314F35" w:rsidRPr="008939FC" w:rsidRDefault="00314F35" w:rsidP="00314F35">
      <w:pPr>
        <w:tabs>
          <w:tab w:val="left" w:pos="9356"/>
        </w:tabs>
        <w:ind w:left="0" w:firstLine="0"/>
        <w:jc w:val="both"/>
        <w:rPr>
          <w:szCs w:val="24"/>
          <w:lang w:bidi="en-US"/>
        </w:rPr>
      </w:pPr>
      <w:r w:rsidRPr="00561954">
        <w:rPr>
          <w:szCs w:val="24"/>
          <w:lang w:bidi="en-US"/>
        </w:rPr>
        <w:t>In infant study V72P13, participants received three doses of BEXSERO at 2, 4 and 6 months of age</w:t>
      </w:r>
      <w:r w:rsidR="00116940" w:rsidRPr="00561954">
        <w:rPr>
          <w:szCs w:val="24"/>
          <w:lang w:bidi="en-US"/>
        </w:rPr>
        <w:t xml:space="preserve"> </w:t>
      </w:r>
      <w:r w:rsidR="00116940" w:rsidRPr="008939FC">
        <w:rPr>
          <w:szCs w:val="24"/>
          <w:lang w:bidi="en-US"/>
        </w:rPr>
        <w:t>with concomitant routine vaccines</w:t>
      </w:r>
      <w:r w:rsidRPr="008939FC">
        <w:rPr>
          <w:szCs w:val="24"/>
          <w:lang w:bidi="en-US"/>
        </w:rPr>
        <w:t>. In infant study V72P12, participants received three doses of BEXSERO at either 2, 4 and 6 or 2, 3, and 4 months of age. Sera were obt</w:t>
      </w:r>
      <w:r w:rsidRPr="00441701">
        <w:rPr>
          <w:szCs w:val="24"/>
          <w:lang w:bidi="en-US"/>
        </w:rPr>
        <w:t>ai</w:t>
      </w:r>
      <w:r w:rsidRPr="00561954">
        <w:rPr>
          <w:szCs w:val="24"/>
          <w:lang w:bidi="en-US"/>
        </w:rPr>
        <w:t xml:space="preserve">ned both before vaccination and one month after the third vaccination (see Table 1 below). In the extension study of V72P13 (V72P13E1), participants who received three doses of BEXSERO at 2, 4 and 6 months of age received a booster dose at 12 </w:t>
      </w:r>
      <w:r w:rsidRPr="00561954">
        <w:rPr>
          <w:szCs w:val="24"/>
          <w:lang w:bidi="en-US"/>
        </w:rPr>
        <w:lastRenderedPageBreak/>
        <w:t>months of age (see Table 2 below), whereas previously unvaccinated toddlers received two doses in the second year of life (see Table 3 below). The immunogenicity after two doses of BEXSERO has been also documented in another study in infants (V72P9) aged 6 months to 8 months at enro</w:t>
      </w:r>
      <w:r w:rsidRPr="008939FC">
        <w:rPr>
          <w:szCs w:val="24"/>
          <w:lang w:bidi="en-US"/>
        </w:rPr>
        <w:t>lment (see Table 3 below).</w:t>
      </w:r>
    </w:p>
    <w:p w:rsidR="00314F35" w:rsidRPr="00561954" w:rsidRDefault="00314F35" w:rsidP="00314F35">
      <w:pPr>
        <w:tabs>
          <w:tab w:val="left" w:pos="9356"/>
        </w:tabs>
        <w:ind w:left="0" w:firstLine="0"/>
        <w:jc w:val="both"/>
        <w:rPr>
          <w:szCs w:val="24"/>
          <w:lang w:bidi="en-US"/>
        </w:rPr>
      </w:pPr>
      <w:r w:rsidRPr="00441701">
        <w:rPr>
          <w:szCs w:val="24"/>
          <w:lang w:bidi="en-US"/>
        </w:rPr>
        <w:t xml:space="preserve">Immunogenicity results at one month after three doses of BEXSERO administered at 2, 3, 4 and 2, 4, 6 months of age are </w:t>
      </w:r>
      <w:proofErr w:type="spellStart"/>
      <w:r w:rsidR="00307BFD" w:rsidRPr="00561954">
        <w:rPr>
          <w:szCs w:val="24"/>
          <w:lang w:bidi="en-US"/>
        </w:rPr>
        <w:t>summarised</w:t>
      </w:r>
      <w:proofErr w:type="spellEnd"/>
      <w:r w:rsidR="00307BFD" w:rsidRPr="00561954">
        <w:rPr>
          <w:szCs w:val="24"/>
          <w:lang w:bidi="en-US"/>
        </w:rPr>
        <w:t xml:space="preserve"> </w:t>
      </w:r>
      <w:r w:rsidRPr="00561954">
        <w:rPr>
          <w:szCs w:val="24"/>
          <w:lang w:bidi="en-US"/>
        </w:rPr>
        <w:t>in Table 1.</w:t>
      </w:r>
    </w:p>
    <w:p w:rsidR="00314F35" w:rsidRPr="00561954" w:rsidRDefault="00314F35" w:rsidP="0099026E">
      <w:pPr>
        <w:widowControl w:val="0"/>
        <w:autoSpaceDE w:val="0"/>
        <w:autoSpaceDN w:val="0"/>
        <w:adjustRightInd w:val="0"/>
        <w:ind w:left="0" w:firstLine="0"/>
        <w:rPr>
          <w:b/>
          <w:sz w:val="22"/>
          <w:szCs w:val="22"/>
        </w:rPr>
      </w:pPr>
      <w:r w:rsidRPr="00561954">
        <w:rPr>
          <w:b/>
          <w:sz w:val="22"/>
          <w:szCs w:val="22"/>
        </w:rPr>
        <w:t xml:space="preserve">Table 1. Serum bactericidal antibody responses </w:t>
      </w:r>
      <w:r w:rsidRPr="00561954">
        <w:rPr>
          <w:b/>
          <w:bCs/>
          <w:sz w:val="22"/>
          <w:szCs w:val="22"/>
        </w:rPr>
        <w:t xml:space="preserve">1 month </w:t>
      </w:r>
      <w:r w:rsidRPr="00561954">
        <w:rPr>
          <w:b/>
          <w:sz w:val="22"/>
          <w:szCs w:val="22"/>
        </w:rPr>
        <w:t>following BEXSERO vaccination at 2, 3, 4 (Study V72P12) and 2, 4, 6 (Study V72P13) months of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50"/>
        <w:gridCol w:w="3488"/>
        <w:gridCol w:w="2033"/>
        <w:gridCol w:w="1842"/>
      </w:tblGrid>
      <w:tr w:rsidR="00314F35" w:rsidRPr="00561954">
        <w:tc>
          <w:tcPr>
            <w:tcW w:w="1250"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rPr>
                <w:rFonts w:cs="TimesNewRoman"/>
                <w:sz w:val="20"/>
                <w:szCs w:val="22"/>
              </w:rPr>
            </w:pPr>
            <w:r w:rsidRPr="00561954">
              <w:rPr>
                <w:rFonts w:cs="TimesNewRoman"/>
                <w:b/>
                <w:bCs/>
                <w:sz w:val="20"/>
                <w:szCs w:val="22"/>
              </w:rPr>
              <w:t>Antigen*</w:t>
            </w:r>
          </w:p>
        </w:tc>
        <w:tc>
          <w:tcPr>
            <w:tcW w:w="3488"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jc w:val="center"/>
              <w:rPr>
                <w:rFonts w:cs="TimesNewRoman"/>
                <w:sz w:val="20"/>
                <w:szCs w:val="22"/>
              </w:rPr>
            </w:pPr>
          </w:p>
        </w:tc>
        <w:tc>
          <w:tcPr>
            <w:tcW w:w="2033"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jc w:val="center"/>
              <w:rPr>
                <w:rFonts w:cs="TimesNewRoman"/>
                <w:sz w:val="20"/>
                <w:szCs w:val="22"/>
              </w:rPr>
            </w:pPr>
            <w:r w:rsidRPr="00561954">
              <w:rPr>
                <w:rFonts w:cs="TimesNewRoman"/>
                <w:b/>
                <w:bCs/>
                <w:sz w:val="20"/>
                <w:szCs w:val="22"/>
              </w:rPr>
              <w:t>V72P12</w:t>
            </w:r>
          </w:p>
        </w:tc>
        <w:tc>
          <w:tcPr>
            <w:tcW w:w="1842" w:type="dxa"/>
            <w:tcBorders>
              <w:top w:val="single" w:sz="4" w:space="0" w:color="auto"/>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jc w:val="center"/>
              <w:rPr>
                <w:rFonts w:cs="TimesNewRoman"/>
                <w:sz w:val="20"/>
                <w:szCs w:val="22"/>
              </w:rPr>
            </w:pPr>
            <w:r w:rsidRPr="00561954">
              <w:rPr>
                <w:rFonts w:cs="TimesNewRoman"/>
                <w:b/>
                <w:bCs/>
                <w:sz w:val="20"/>
                <w:szCs w:val="22"/>
              </w:rPr>
              <w:t>V72P13</w:t>
            </w:r>
          </w:p>
        </w:tc>
      </w:tr>
      <w:tr w:rsidR="00314F35" w:rsidRPr="00561954">
        <w:tc>
          <w:tcPr>
            <w:tcW w:w="1250"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rPr>
                <w:rFonts w:cs="TimesNewRoman"/>
                <w:sz w:val="20"/>
                <w:szCs w:val="22"/>
              </w:rPr>
            </w:pPr>
          </w:p>
        </w:tc>
        <w:tc>
          <w:tcPr>
            <w:tcW w:w="3488"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p>
        </w:tc>
        <w:tc>
          <w:tcPr>
            <w:tcW w:w="2033"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N=273</w:t>
            </w:r>
          </w:p>
        </w:tc>
        <w:tc>
          <w:tcPr>
            <w:tcW w:w="1842"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N=1149</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rPr>
                <w:rFonts w:cs="TimesNewRoman"/>
                <w:sz w:val="20"/>
                <w:szCs w:val="22"/>
              </w:rPr>
            </w:pPr>
            <w:proofErr w:type="spellStart"/>
            <w:r w:rsidRPr="00561954">
              <w:rPr>
                <w:rFonts w:cs="TimesNewRoman"/>
                <w:b/>
                <w:bCs/>
                <w:sz w:val="20"/>
                <w:szCs w:val="22"/>
              </w:rPr>
              <w:t>fHBP</w:t>
            </w:r>
            <w:proofErr w:type="spellEnd"/>
          </w:p>
        </w:tc>
        <w:tc>
          <w:tcPr>
            <w:tcW w:w="34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seropositive</w:t>
            </w:r>
            <w:proofErr w:type="spellEnd"/>
            <w:r w:rsidRPr="00561954">
              <w:rPr>
                <w:rFonts w:cs="TimesNewRoman"/>
                <w:sz w:val="20"/>
                <w:szCs w:val="22"/>
              </w:rPr>
              <w:t>** (95% CI)</w:t>
            </w:r>
          </w:p>
        </w:tc>
        <w:tc>
          <w:tcPr>
            <w:tcW w:w="2033"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99% (97-100)</w:t>
            </w:r>
          </w:p>
        </w:tc>
        <w:tc>
          <w:tcPr>
            <w:tcW w:w="1842"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100% (99-100)</w:t>
            </w:r>
          </w:p>
        </w:tc>
      </w:tr>
      <w:tr w:rsidR="00314F35" w:rsidRPr="00561954">
        <w:tc>
          <w:tcPr>
            <w:tcW w:w="1250"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rPr>
                <w:rFonts w:cs="TimesNewRoman"/>
                <w:sz w:val="20"/>
                <w:szCs w:val="22"/>
              </w:rPr>
            </w:pPr>
          </w:p>
        </w:tc>
        <w:tc>
          <w:tcPr>
            <w:tcW w:w="3488" w:type="dxa"/>
            <w:tcBorders>
              <w:top w:val="single" w:sz="4" w:space="0" w:color="auto"/>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proofErr w:type="spellStart"/>
            <w:r w:rsidRPr="00561954">
              <w:rPr>
                <w:rFonts w:cs="TimesNewRoman"/>
                <w:sz w:val="20"/>
                <w:szCs w:val="22"/>
              </w:rPr>
              <w:t>hSBA</w:t>
            </w:r>
            <w:proofErr w:type="spellEnd"/>
            <w:r w:rsidRPr="00561954">
              <w:rPr>
                <w:rFonts w:cs="TimesNewRoman"/>
                <w:sz w:val="20"/>
                <w:szCs w:val="22"/>
              </w:rPr>
              <w:t xml:space="preserve"> GMTs*** (95% CI)</w:t>
            </w:r>
          </w:p>
        </w:tc>
        <w:tc>
          <w:tcPr>
            <w:tcW w:w="2033" w:type="dxa"/>
            <w:tcBorders>
              <w:top w:val="single" w:sz="4" w:space="0" w:color="auto"/>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82 (75-91)</w:t>
            </w:r>
          </w:p>
        </w:tc>
        <w:tc>
          <w:tcPr>
            <w:tcW w:w="1842" w:type="dxa"/>
            <w:tcBorders>
              <w:top w:val="single" w:sz="4" w:space="0" w:color="auto"/>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91 (87-95)</w:t>
            </w:r>
          </w:p>
        </w:tc>
      </w:tr>
      <w:tr w:rsidR="00314F35" w:rsidRPr="00561954">
        <w:tc>
          <w:tcPr>
            <w:tcW w:w="1250"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rPr>
                <w:rFonts w:cs="TimesNewRoman"/>
                <w:b/>
                <w:bCs/>
                <w:sz w:val="20"/>
                <w:szCs w:val="22"/>
              </w:rPr>
            </w:pPr>
          </w:p>
        </w:tc>
        <w:tc>
          <w:tcPr>
            <w:tcW w:w="3488"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jc w:val="center"/>
              <w:rPr>
                <w:rFonts w:cs="TimesNewRoman"/>
                <w:sz w:val="20"/>
                <w:szCs w:val="22"/>
              </w:rPr>
            </w:pPr>
          </w:p>
        </w:tc>
        <w:tc>
          <w:tcPr>
            <w:tcW w:w="2033"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jc w:val="center"/>
              <w:rPr>
                <w:rFonts w:cs="TimesNewRoman"/>
                <w:sz w:val="20"/>
                <w:szCs w:val="22"/>
              </w:rPr>
            </w:pPr>
            <w:r w:rsidRPr="00561954">
              <w:rPr>
                <w:rFonts w:cs="TimesNewRoman"/>
                <w:sz w:val="20"/>
                <w:szCs w:val="22"/>
              </w:rPr>
              <w:t>N=275</w:t>
            </w:r>
          </w:p>
        </w:tc>
        <w:tc>
          <w:tcPr>
            <w:tcW w:w="1842"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jc w:val="center"/>
              <w:rPr>
                <w:rFonts w:cs="TimesNewRoman"/>
                <w:sz w:val="20"/>
                <w:szCs w:val="22"/>
              </w:rPr>
            </w:pPr>
            <w:r w:rsidRPr="00561954">
              <w:rPr>
                <w:rFonts w:cs="TimesNewRoman"/>
                <w:sz w:val="20"/>
                <w:szCs w:val="22"/>
              </w:rPr>
              <w:t>N=1152</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40" w:after="40"/>
              <w:rPr>
                <w:rFonts w:cs="TimesNewRoman"/>
                <w:sz w:val="20"/>
                <w:szCs w:val="22"/>
              </w:rPr>
            </w:pPr>
            <w:proofErr w:type="spellStart"/>
            <w:r w:rsidRPr="00561954">
              <w:rPr>
                <w:rFonts w:cs="TimesNewRoman"/>
                <w:b/>
                <w:bCs/>
                <w:sz w:val="20"/>
                <w:szCs w:val="22"/>
              </w:rPr>
              <w:t>NadA</w:t>
            </w:r>
            <w:proofErr w:type="spellEnd"/>
          </w:p>
        </w:tc>
        <w:tc>
          <w:tcPr>
            <w:tcW w:w="34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seropositive</w:t>
            </w:r>
            <w:proofErr w:type="spellEnd"/>
            <w:r w:rsidRPr="00561954">
              <w:rPr>
                <w:rFonts w:cs="TimesNewRoman"/>
                <w:sz w:val="20"/>
                <w:szCs w:val="22"/>
              </w:rPr>
              <w:t xml:space="preserve"> (95% CI)</w:t>
            </w:r>
          </w:p>
        </w:tc>
        <w:tc>
          <w:tcPr>
            <w:tcW w:w="2033"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100% (99-100)</w:t>
            </w:r>
          </w:p>
        </w:tc>
        <w:tc>
          <w:tcPr>
            <w:tcW w:w="1842"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100% (99-100)</w:t>
            </w:r>
          </w:p>
        </w:tc>
      </w:tr>
      <w:tr w:rsidR="00314F35" w:rsidRPr="00561954">
        <w:tc>
          <w:tcPr>
            <w:tcW w:w="1250"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rPr>
                <w:rFonts w:cs="TimesNewRoman"/>
                <w:sz w:val="20"/>
                <w:szCs w:val="22"/>
              </w:rPr>
            </w:pPr>
          </w:p>
        </w:tc>
        <w:tc>
          <w:tcPr>
            <w:tcW w:w="3488"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hSBA</w:t>
            </w:r>
            <w:proofErr w:type="spellEnd"/>
            <w:r w:rsidRPr="00561954">
              <w:rPr>
                <w:rFonts w:cs="TimesNewRoman"/>
                <w:sz w:val="20"/>
                <w:szCs w:val="22"/>
              </w:rPr>
              <w:t xml:space="preserve"> GMTs (95% CI)</w:t>
            </w:r>
          </w:p>
        </w:tc>
        <w:tc>
          <w:tcPr>
            <w:tcW w:w="2033"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325 (292-362)</w:t>
            </w:r>
          </w:p>
        </w:tc>
        <w:tc>
          <w:tcPr>
            <w:tcW w:w="1842"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635 (606-665)</w:t>
            </w:r>
          </w:p>
        </w:tc>
      </w:tr>
      <w:tr w:rsidR="00314F35" w:rsidRPr="00561954">
        <w:tc>
          <w:tcPr>
            <w:tcW w:w="1250"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40" w:after="40"/>
              <w:rPr>
                <w:rFonts w:cs="TimesNewRoman"/>
                <w:b/>
                <w:bCs/>
                <w:sz w:val="20"/>
                <w:szCs w:val="22"/>
              </w:rPr>
            </w:pPr>
          </w:p>
        </w:tc>
        <w:tc>
          <w:tcPr>
            <w:tcW w:w="3488"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p>
        </w:tc>
        <w:tc>
          <w:tcPr>
            <w:tcW w:w="2033"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N=274</w:t>
            </w:r>
          </w:p>
        </w:tc>
        <w:tc>
          <w:tcPr>
            <w:tcW w:w="1842"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N=1152</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40" w:after="40"/>
              <w:rPr>
                <w:rFonts w:cs="TimesNewRoman"/>
                <w:sz w:val="20"/>
                <w:szCs w:val="22"/>
              </w:rPr>
            </w:pPr>
            <w:proofErr w:type="spellStart"/>
            <w:r w:rsidRPr="00561954">
              <w:rPr>
                <w:rFonts w:cs="TimesNewRoman"/>
                <w:b/>
                <w:bCs/>
                <w:sz w:val="20"/>
                <w:szCs w:val="22"/>
              </w:rPr>
              <w:t>PorA</w:t>
            </w:r>
            <w:proofErr w:type="spellEnd"/>
            <w:r w:rsidRPr="00561954">
              <w:rPr>
                <w:rFonts w:cs="TimesNewRoman"/>
                <w:b/>
                <w:bCs/>
                <w:sz w:val="20"/>
                <w:szCs w:val="22"/>
              </w:rPr>
              <w:t xml:space="preserve"> P1.4</w:t>
            </w:r>
          </w:p>
        </w:tc>
        <w:tc>
          <w:tcPr>
            <w:tcW w:w="34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seropositive</w:t>
            </w:r>
            <w:proofErr w:type="spellEnd"/>
            <w:r w:rsidRPr="00561954">
              <w:rPr>
                <w:rFonts w:cs="TimesNewRoman"/>
                <w:sz w:val="20"/>
                <w:szCs w:val="22"/>
              </w:rPr>
              <w:t xml:space="preserve"> (95% CI)</w:t>
            </w:r>
          </w:p>
        </w:tc>
        <w:tc>
          <w:tcPr>
            <w:tcW w:w="2033"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81% (76-86)</w:t>
            </w:r>
          </w:p>
        </w:tc>
        <w:tc>
          <w:tcPr>
            <w:tcW w:w="1842"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84% (82-86)</w:t>
            </w:r>
          </w:p>
        </w:tc>
      </w:tr>
      <w:tr w:rsidR="00314F35" w:rsidRPr="00561954">
        <w:tc>
          <w:tcPr>
            <w:tcW w:w="1250"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rPr>
                <w:rFonts w:cs="TimesNewRoman"/>
                <w:sz w:val="20"/>
                <w:szCs w:val="22"/>
              </w:rPr>
            </w:pPr>
          </w:p>
        </w:tc>
        <w:tc>
          <w:tcPr>
            <w:tcW w:w="3488"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proofErr w:type="spellStart"/>
            <w:r w:rsidRPr="00561954">
              <w:rPr>
                <w:rFonts w:cs="TimesNewRoman"/>
                <w:sz w:val="20"/>
                <w:szCs w:val="22"/>
              </w:rPr>
              <w:t>hSBA</w:t>
            </w:r>
            <w:proofErr w:type="spellEnd"/>
            <w:r w:rsidRPr="00561954">
              <w:rPr>
                <w:rFonts w:cs="TimesNewRoman"/>
                <w:sz w:val="20"/>
                <w:szCs w:val="22"/>
              </w:rPr>
              <w:t xml:space="preserve"> GMTs (95% CI)</w:t>
            </w:r>
          </w:p>
        </w:tc>
        <w:tc>
          <w:tcPr>
            <w:tcW w:w="2033"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11 (9.14-12)</w:t>
            </w:r>
          </w:p>
        </w:tc>
        <w:tc>
          <w:tcPr>
            <w:tcW w:w="1842"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14 (13-15)</w:t>
            </w:r>
          </w:p>
        </w:tc>
      </w:tr>
      <w:tr w:rsidR="00314F35" w:rsidRPr="00561954">
        <w:tc>
          <w:tcPr>
            <w:tcW w:w="1250"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40" w:after="40"/>
              <w:rPr>
                <w:rFonts w:cs="TimesNewRoman"/>
                <w:b/>
                <w:bCs/>
                <w:sz w:val="20"/>
                <w:szCs w:val="22"/>
              </w:rPr>
            </w:pPr>
          </w:p>
        </w:tc>
        <w:tc>
          <w:tcPr>
            <w:tcW w:w="3488"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p>
        </w:tc>
        <w:tc>
          <w:tcPr>
            <w:tcW w:w="2033"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p>
        </w:tc>
        <w:tc>
          <w:tcPr>
            <w:tcW w:w="1842"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N=100</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40" w:after="40"/>
              <w:rPr>
                <w:rFonts w:cs="TimesNewRoman"/>
                <w:sz w:val="20"/>
                <w:szCs w:val="22"/>
              </w:rPr>
            </w:pPr>
            <w:r w:rsidRPr="00561954">
              <w:rPr>
                <w:rFonts w:cs="TimesNewRoman"/>
                <w:b/>
                <w:bCs/>
                <w:sz w:val="20"/>
                <w:szCs w:val="22"/>
              </w:rPr>
              <w:t>NHBA</w:t>
            </w:r>
          </w:p>
        </w:tc>
        <w:tc>
          <w:tcPr>
            <w:tcW w:w="34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seropositive</w:t>
            </w:r>
            <w:proofErr w:type="spellEnd"/>
            <w:r w:rsidRPr="00561954">
              <w:rPr>
                <w:rFonts w:cs="TimesNewRoman"/>
                <w:sz w:val="20"/>
                <w:szCs w:val="22"/>
              </w:rPr>
              <w:t xml:space="preserve"> (95% CI)</w:t>
            </w:r>
          </w:p>
        </w:tc>
        <w:tc>
          <w:tcPr>
            <w:tcW w:w="2033"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Not Done</w:t>
            </w:r>
          </w:p>
        </w:tc>
        <w:tc>
          <w:tcPr>
            <w:tcW w:w="1842"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84% (75-91)</w:t>
            </w:r>
          </w:p>
        </w:tc>
      </w:tr>
      <w:tr w:rsidR="00314F35" w:rsidRPr="00561954">
        <w:tc>
          <w:tcPr>
            <w:tcW w:w="1250" w:type="dxa"/>
            <w:tcBorders>
              <w:top w:val="nil"/>
              <w:left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rPr>
                <w:rFonts w:cs="TimesNewRoman"/>
                <w:sz w:val="20"/>
                <w:szCs w:val="22"/>
              </w:rPr>
            </w:pPr>
          </w:p>
        </w:tc>
        <w:tc>
          <w:tcPr>
            <w:tcW w:w="3488"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hSBA</w:t>
            </w:r>
            <w:proofErr w:type="spellEnd"/>
            <w:r w:rsidRPr="00561954">
              <w:rPr>
                <w:rFonts w:cs="TimesNewRoman"/>
                <w:sz w:val="20"/>
                <w:szCs w:val="22"/>
              </w:rPr>
              <w:t xml:space="preserve"> GMTs (95% CI)</w:t>
            </w:r>
          </w:p>
        </w:tc>
        <w:tc>
          <w:tcPr>
            <w:tcW w:w="2033"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Not Done</w:t>
            </w:r>
          </w:p>
        </w:tc>
        <w:tc>
          <w:tcPr>
            <w:tcW w:w="1842" w:type="dxa"/>
            <w:tcBorders>
              <w:top w:val="single" w:sz="4" w:space="0" w:color="auto"/>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40" w:after="40"/>
              <w:jc w:val="center"/>
              <w:rPr>
                <w:rFonts w:cs="TimesNewRoman"/>
                <w:sz w:val="20"/>
                <w:szCs w:val="22"/>
              </w:rPr>
            </w:pPr>
            <w:r w:rsidRPr="00561954">
              <w:rPr>
                <w:rFonts w:cs="TimesNewRoman"/>
                <w:sz w:val="20"/>
                <w:szCs w:val="22"/>
              </w:rPr>
              <w:t>16 (13-21)</w:t>
            </w:r>
          </w:p>
        </w:tc>
      </w:tr>
    </w:tbl>
    <w:p w:rsidR="00314F35" w:rsidRPr="00561954" w:rsidRDefault="00314F35" w:rsidP="00314F35">
      <w:pPr>
        <w:widowControl w:val="0"/>
        <w:autoSpaceDE w:val="0"/>
        <w:autoSpaceDN w:val="0"/>
        <w:adjustRightInd w:val="0"/>
        <w:spacing w:after="0"/>
        <w:ind w:left="0" w:firstLine="0"/>
        <w:rPr>
          <w:rFonts w:cs="TimesNewRoman"/>
          <w:sz w:val="20"/>
          <w:szCs w:val="22"/>
        </w:rPr>
      </w:pPr>
    </w:p>
    <w:p w:rsidR="00314F35" w:rsidRPr="00561954" w:rsidRDefault="00314F35" w:rsidP="002C59B7">
      <w:pPr>
        <w:widowControl w:val="0"/>
        <w:autoSpaceDE w:val="0"/>
        <w:autoSpaceDN w:val="0"/>
        <w:adjustRightInd w:val="0"/>
        <w:spacing w:after="0"/>
        <w:rPr>
          <w:rFonts w:cs="TimesNewRoman"/>
          <w:sz w:val="20"/>
          <w:szCs w:val="22"/>
        </w:rPr>
      </w:pPr>
      <w:r w:rsidRPr="00561954">
        <w:rPr>
          <w:rFonts w:cs="TimesNewRoman"/>
          <w:sz w:val="20"/>
          <w:szCs w:val="22"/>
        </w:rPr>
        <w:t xml:space="preserve">* The following strains of group B </w:t>
      </w:r>
      <w:proofErr w:type="spellStart"/>
      <w:r w:rsidRPr="00561954">
        <w:rPr>
          <w:rFonts w:cs="TimesNewRoman"/>
          <w:sz w:val="20"/>
          <w:szCs w:val="22"/>
        </w:rPr>
        <w:t>meningococci</w:t>
      </w:r>
      <w:proofErr w:type="spellEnd"/>
      <w:r w:rsidRPr="00561954">
        <w:rPr>
          <w:rFonts w:cs="TimesNewRoman"/>
          <w:sz w:val="20"/>
          <w:szCs w:val="22"/>
        </w:rPr>
        <w:t xml:space="preserve">, which were isolated from cases of invasive disease, were used to assess functional immunogenicity against each of the vaccine antigens by </w:t>
      </w:r>
      <w:proofErr w:type="spellStart"/>
      <w:r w:rsidRPr="00561954">
        <w:rPr>
          <w:rFonts w:cs="TimesNewRoman"/>
          <w:sz w:val="20"/>
          <w:szCs w:val="22"/>
        </w:rPr>
        <w:t>hSBA</w:t>
      </w:r>
      <w:proofErr w:type="spellEnd"/>
      <w:r w:rsidRPr="00561954">
        <w:rPr>
          <w:rFonts w:cs="TimesNewRoman"/>
          <w:sz w:val="20"/>
          <w:szCs w:val="22"/>
        </w:rPr>
        <w:t>:</w:t>
      </w:r>
    </w:p>
    <w:p w:rsidR="00314F35" w:rsidRPr="00561954" w:rsidRDefault="00314F35" w:rsidP="00314F35">
      <w:pPr>
        <w:widowControl w:val="0"/>
        <w:numPr>
          <w:ilvl w:val="0"/>
          <w:numId w:val="30"/>
        </w:numPr>
        <w:autoSpaceDE w:val="0"/>
        <w:autoSpaceDN w:val="0"/>
        <w:adjustRightInd w:val="0"/>
        <w:spacing w:after="0"/>
        <w:ind w:left="426" w:hanging="142"/>
        <w:rPr>
          <w:rFonts w:cs="TimesNewRoman"/>
          <w:sz w:val="20"/>
          <w:szCs w:val="22"/>
        </w:rPr>
      </w:pPr>
      <w:proofErr w:type="spellStart"/>
      <w:r w:rsidRPr="00561954">
        <w:rPr>
          <w:rFonts w:cs="TimesNewRoman"/>
          <w:sz w:val="20"/>
          <w:szCs w:val="22"/>
        </w:rPr>
        <w:t>fHBP</w:t>
      </w:r>
      <w:proofErr w:type="spellEnd"/>
      <w:r w:rsidRPr="00561954">
        <w:rPr>
          <w:rFonts w:cs="TimesNewRoman"/>
          <w:sz w:val="20"/>
          <w:szCs w:val="22"/>
        </w:rPr>
        <w:t xml:space="preserve"> antigen: strain 44/76</w:t>
      </w:r>
    </w:p>
    <w:p w:rsidR="00314F35" w:rsidRPr="00561954" w:rsidRDefault="00314F35" w:rsidP="00314F35">
      <w:pPr>
        <w:widowControl w:val="0"/>
        <w:numPr>
          <w:ilvl w:val="0"/>
          <w:numId w:val="30"/>
        </w:numPr>
        <w:autoSpaceDE w:val="0"/>
        <w:autoSpaceDN w:val="0"/>
        <w:adjustRightInd w:val="0"/>
        <w:spacing w:after="0"/>
        <w:ind w:left="426" w:hanging="142"/>
        <w:rPr>
          <w:rFonts w:cs="TimesNewRoman"/>
          <w:sz w:val="20"/>
          <w:szCs w:val="22"/>
        </w:rPr>
      </w:pPr>
      <w:proofErr w:type="spellStart"/>
      <w:r w:rsidRPr="00561954">
        <w:rPr>
          <w:rFonts w:cs="TimesNewRoman"/>
          <w:sz w:val="20"/>
          <w:szCs w:val="22"/>
        </w:rPr>
        <w:t>NadA</w:t>
      </w:r>
      <w:proofErr w:type="spellEnd"/>
      <w:r w:rsidRPr="00561954">
        <w:rPr>
          <w:rFonts w:cs="TimesNewRoman"/>
          <w:sz w:val="20"/>
          <w:szCs w:val="22"/>
        </w:rPr>
        <w:t xml:space="preserve"> antigen: strain 5/99</w:t>
      </w:r>
    </w:p>
    <w:p w:rsidR="00314F35" w:rsidRPr="00561954" w:rsidRDefault="00314F35" w:rsidP="00314F35">
      <w:pPr>
        <w:widowControl w:val="0"/>
        <w:numPr>
          <w:ilvl w:val="0"/>
          <w:numId w:val="30"/>
        </w:numPr>
        <w:autoSpaceDE w:val="0"/>
        <w:autoSpaceDN w:val="0"/>
        <w:adjustRightInd w:val="0"/>
        <w:spacing w:after="0"/>
        <w:ind w:left="426" w:hanging="142"/>
        <w:rPr>
          <w:rFonts w:cs="TimesNewRoman"/>
          <w:sz w:val="20"/>
          <w:szCs w:val="22"/>
        </w:rPr>
      </w:pPr>
      <w:proofErr w:type="spellStart"/>
      <w:r w:rsidRPr="00561954">
        <w:rPr>
          <w:rFonts w:cs="TimesNewRoman"/>
          <w:sz w:val="20"/>
          <w:szCs w:val="22"/>
        </w:rPr>
        <w:t>immunodominant</w:t>
      </w:r>
      <w:proofErr w:type="spellEnd"/>
      <w:r w:rsidRPr="00561954">
        <w:rPr>
          <w:rFonts w:cs="TimesNewRoman"/>
          <w:sz w:val="20"/>
          <w:szCs w:val="22"/>
        </w:rPr>
        <w:t xml:space="preserve"> </w:t>
      </w:r>
      <w:proofErr w:type="spellStart"/>
      <w:r w:rsidRPr="00561954">
        <w:rPr>
          <w:rFonts w:cs="TimesNewRoman"/>
          <w:sz w:val="20"/>
          <w:szCs w:val="22"/>
        </w:rPr>
        <w:t>PorA</w:t>
      </w:r>
      <w:proofErr w:type="spellEnd"/>
      <w:r w:rsidRPr="00561954">
        <w:rPr>
          <w:rFonts w:cs="TimesNewRoman"/>
          <w:sz w:val="20"/>
          <w:szCs w:val="22"/>
        </w:rPr>
        <w:t xml:space="preserve"> P1.4 component of OMV: strain NZ98/254</w:t>
      </w:r>
    </w:p>
    <w:p w:rsidR="00314F35" w:rsidRPr="00561954" w:rsidRDefault="00314F35" w:rsidP="00314F35">
      <w:pPr>
        <w:widowControl w:val="0"/>
        <w:numPr>
          <w:ilvl w:val="0"/>
          <w:numId w:val="30"/>
        </w:numPr>
        <w:autoSpaceDE w:val="0"/>
        <w:autoSpaceDN w:val="0"/>
        <w:adjustRightInd w:val="0"/>
        <w:spacing w:after="0"/>
        <w:ind w:left="426" w:hanging="142"/>
        <w:rPr>
          <w:rFonts w:cs="TimesNewRoman"/>
          <w:sz w:val="20"/>
          <w:szCs w:val="22"/>
        </w:rPr>
      </w:pPr>
      <w:r w:rsidRPr="00561954">
        <w:rPr>
          <w:rFonts w:cs="TimesNewRoman"/>
          <w:sz w:val="20"/>
          <w:szCs w:val="22"/>
        </w:rPr>
        <w:t>NHBA antigen: strain M10713</w:t>
      </w:r>
    </w:p>
    <w:p w:rsidR="00314F35" w:rsidRPr="00561954" w:rsidRDefault="00314F35" w:rsidP="00314F35">
      <w:pPr>
        <w:pStyle w:val="BodyText"/>
        <w:spacing w:after="0"/>
        <w:rPr>
          <w:sz w:val="20"/>
        </w:rPr>
      </w:pPr>
      <w:r w:rsidRPr="00561954">
        <w:rPr>
          <w:sz w:val="20"/>
        </w:rPr>
        <w:t xml:space="preserve">** % </w:t>
      </w:r>
      <w:proofErr w:type="spellStart"/>
      <w:r w:rsidRPr="00561954">
        <w:rPr>
          <w:sz w:val="20"/>
        </w:rPr>
        <w:t>seropositive</w:t>
      </w:r>
      <w:proofErr w:type="spellEnd"/>
      <w:r w:rsidRPr="00561954">
        <w:rPr>
          <w:sz w:val="20"/>
        </w:rPr>
        <w:t xml:space="preserve"> = the percentage of subjects who achieved an </w:t>
      </w:r>
      <w:proofErr w:type="spellStart"/>
      <w:r w:rsidRPr="00561954">
        <w:rPr>
          <w:sz w:val="20"/>
        </w:rPr>
        <w:t>hSBA</w:t>
      </w:r>
      <w:proofErr w:type="spellEnd"/>
      <w:r w:rsidRPr="00561954">
        <w:rPr>
          <w:sz w:val="20"/>
        </w:rPr>
        <w:t xml:space="preserve"> ≥ 1:5.</w:t>
      </w:r>
    </w:p>
    <w:p w:rsidR="00314F35" w:rsidRPr="00561954" w:rsidRDefault="00314F35" w:rsidP="00314F35">
      <w:pPr>
        <w:pStyle w:val="BodyText"/>
        <w:spacing w:after="0"/>
        <w:rPr>
          <w:sz w:val="20"/>
        </w:rPr>
      </w:pPr>
      <w:r w:rsidRPr="00561954">
        <w:rPr>
          <w:sz w:val="20"/>
        </w:rPr>
        <w:t xml:space="preserve">***GMTs = geometric mean titers.  </w:t>
      </w:r>
    </w:p>
    <w:p w:rsidR="00314F35" w:rsidRPr="00561954" w:rsidRDefault="00314F35" w:rsidP="00314F35">
      <w:pPr>
        <w:widowControl w:val="0"/>
        <w:autoSpaceDE w:val="0"/>
        <w:autoSpaceDN w:val="0"/>
        <w:adjustRightInd w:val="0"/>
        <w:spacing w:after="0"/>
        <w:ind w:left="0" w:firstLine="0"/>
        <w:rPr>
          <w:rFonts w:cs="TimesNewRoman"/>
          <w:szCs w:val="22"/>
        </w:rPr>
      </w:pPr>
    </w:p>
    <w:p w:rsidR="00314F35" w:rsidRPr="00561954" w:rsidRDefault="00314F35" w:rsidP="00314F35">
      <w:pPr>
        <w:tabs>
          <w:tab w:val="left" w:pos="9356"/>
        </w:tabs>
        <w:ind w:left="0" w:firstLine="0"/>
        <w:jc w:val="both"/>
        <w:rPr>
          <w:snapToGrid w:val="0"/>
          <w:szCs w:val="24"/>
          <w:lang w:eastAsia="it-IT" w:bidi="en-US"/>
        </w:rPr>
      </w:pPr>
      <w:r w:rsidRPr="00561954">
        <w:rPr>
          <w:snapToGrid w:val="0"/>
          <w:szCs w:val="24"/>
          <w:lang w:eastAsia="it-IT" w:bidi="en-US"/>
        </w:rPr>
        <w:t xml:space="preserve">Baseline geometric mean titers (GMTs) were uniformly low against all four reference strains in the BEXSERO (ranging from 1.05 to </w:t>
      </w:r>
      <w:r w:rsidRPr="00561954">
        <w:rPr>
          <w:rFonts w:cs="TimesNewRoman"/>
          <w:szCs w:val="22"/>
        </w:rPr>
        <w:t>3.15</w:t>
      </w:r>
      <w:r w:rsidRPr="00561954">
        <w:rPr>
          <w:snapToGrid w:val="0"/>
          <w:szCs w:val="24"/>
          <w:lang w:eastAsia="it-IT" w:bidi="en-US"/>
        </w:rPr>
        <w:t xml:space="preserve">) and the control groups (ranging from 1.01 to 1.28) in both studies. The bactericidal responses one month after the third vaccination against meningococcal reference strains were high against the </w:t>
      </w:r>
      <w:proofErr w:type="spellStart"/>
      <w:r w:rsidRPr="00561954">
        <w:rPr>
          <w:snapToGrid w:val="0"/>
          <w:szCs w:val="24"/>
          <w:lang w:eastAsia="it-IT" w:bidi="en-US"/>
        </w:rPr>
        <w:t>fHPB</w:t>
      </w:r>
      <w:proofErr w:type="spellEnd"/>
      <w:r w:rsidRPr="00561954">
        <w:rPr>
          <w:snapToGrid w:val="0"/>
          <w:szCs w:val="24"/>
          <w:lang w:eastAsia="it-IT" w:bidi="en-US"/>
        </w:rPr>
        <w:t xml:space="preserve">, </w:t>
      </w:r>
      <w:proofErr w:type="spellStart"/>
      <w:r w:rsidRPr="00561954">
        <w:rPr>
          <w:snapToGrid w:val="0"/>
          <w:szCs w:val="24"/>
          <w:lang w:eastAsia="it-IT" w:bidi="en-US"/>
        </w:rPr>
        <w:t>NadA</w:t>
      </w:r>
      <w:proofErr w:type="spellEnd"/>
      <w:r w:rsidRPr="00561954">
        <w:rPr>
          <w:snapToGrid w:val="0"/>
          <w:szCs w:val="24"/>
          <w:lang w:eastAsia="it-IT" w:bidi="en-US"/>
        </w:rPr>
        <w:t xml:space="preserve">, </w:t>
      </w:r>
      <w:proofErr w:type="spellStart"/>
      <w:r w:rsidRPr="00561954">
        <w:rPr>
          <w:snapToGrid w:val="0"/>
          <w:szCs w:val="24"/>
          <w:lang w:eastAsia="it-IT" w:bidi="en-US"/>
        </w:rPr>
        <w:lastRenderedPageBreak/>
        <w:t>PorA</w:t>
      </w:r>
      <w:proofErr w:type="spellEnd"/>
      <w:r w:rsidRPr="00561954">
        <w:rPr>
          <w:snapToGrid w:val="0"/>
          <w:szCs w:val="24"/>
          <w:lang w:eastAsia="it-IT" w:bidi="en-US"/>
        </w:rPr>
        <w:t xml:space="preserve"> P1.4 </w:t>
      </w:r>
      <w:r w:rsidRPr="00561954">
        <w:rPr>
          <w:rFonts w:cs="TimesNewRoman"/>
          <w:szCs w:val="22"/>
        </w:rPr>
        <w:t xml:space="preserve">and NHBA </w:t>
      </w:r>
      <w:r w:rsidRPr="00561954">
        <w:rPr>
          <w:snapToGrid w:val="0"/>
          <w:szCs w:val="24"/>
          <w:lang w:eastAsia="it-IT" w:bidi="en-US"/>
        </w:rPr>
        <w:t xml:space="preserve">antigens </w:t>
      </w:r>
      <w:r w:rsidRPr="00561954">
        <w:rPr>
          <w:rFonts w:cs="TimesNewRoman"/>
          <w:szCs w:val="22"/>
        </w:rPr>
        <w:t xml:space="preserve">at both schedules </w:t>
      </w:r>
      <w:r w:rsidRPr="00561954">
        <w:rPr>
          <w:snapToGrid w:val="0"/>
          <w:szCs w:val="24"/>
          <w:lang w:eastAsia="it-IT" w:bidi="en-US"/>
        </w:rPr>
        <w:t xml:space="preserve">in the BEXSERO groups (see Table 1 above). In contrast, the mean </w:t>
      </w:r>
      <w:proofErr w:type="spellStart"/>
      <w:r w:rsidRPr="00561954">
        <w:rPr>
          <w:snapToGrid w:val="0"/>
          <w:szCs w:val="24"/>
          <w:lang w:eastAsia="it-IT" w:bidi="en-US"/>
        </w:rPr>
        <w:t>hSBA</w:t>
      </w:r>
      <w:proofErr w:type="spellEnd"/>
      <w:r w:rsidRPr="00561954">
        <w:rPr>
          <w:snapToGrid w:val="0"/>
          <w:szCs w:val="24"/>
          <w:lang w:eastAsia="it-IT" w:bidi="en-US"/>
        </w:rPr>
        <w:t xml:space="preserve"> GMTs </w:t>
      </w:r>
      <w:r w:rsidRPr="00561954">
        <w:rPr>
          <w:rFonts w:cs="TimesNewRoman"/>
          <w:szCs w:val="22"/>
        </w:rPr>
        <w:t xml:space="preserve">following routine vaccination alone </w:t>
      </w:r>
      <w:r w:rsidRPr="00561954">
        <w:rPr>
          <w:snapToGrid w:val="0"/>
          <w:szCs w:val="24"/>
          <w:lang w:eastAsia="it-IT" w:bidi="en-US"/>
        </w:rPr>
        <w:t>remained low and similar with respect to the baseline in the control groups (ranging from 1.04 to 1.25).</w:t>
      </w:r>
    </w:p>
    <w:p w:rsidR="00314F35" w:rsidRPr="00561954" w:rsidRDefault="00314F35" w:rsidP="00307BFD">
      <w:pPr>
        <w:widowControl w:val="0"/>
        <w:autoSpaceDE w:val="0"/>
        <w:autoSpaceDN w:val="0"/>
        <w:adjustRightInd w:val="0"/>
        <w:spacing w:after="0"/>
        <w:ind w:left="0" w:firstLine="0"/>
        <w:jc w:val="both"/>
      </w:pPr>
      <w:r w:rsidRPr="00561954">
        <w:t xml:space="preserve">Data on bactericidal antibody responses to a booster (fourth) dose of BEXSERO at 12 months of age following vaccinations at 2, 4 and 6 months of age (V72P13E1) are </w:t>
      </w:r>
      <w:proofErr w:type="spellStart"/>
      <w:r w:rsidRPr="00561954">
        <w:t>summarised</w:t>
      </w:r>
      <w:proofErr w:type="spellEnd"/>
      <w:r w:rsidRPr="00561954">
        <w:t xml:space="preserve"> in Table 2 below. The immune responses one month after the vaccination were high and indicative of a booster response. The results also show that bactericidal antibodies persisted at 6 months after the three-dose infant primary series, at the pre</w:t>
      </w:r>
      <w:r w:rsidR="00635C4B" w:rsidRPr="00561954">
        <w:t>-</w:t>
      </w:r>
      <w:r w:rsidRPr="00561954">
        <w:t xml:space="preserve">booster time point (V72P13E1), and one year after the booster dose (V72P13E2). </w:t>
      </w:r>
    </w:p>
    <w:p w:rsidR="00314F35" w:rsidRPr="00561954" w:rsidRDefault="00314F35" w:rsidP="00307BFD">
      <w:pPr>
        <w:pStyle w:val="BodyText"/>
        <w:jc w:val="both"/>
        <w:rPr>
          <w:b/>
          <w:sz w:val="22"/>
          <w:szCs w:val="22"/>
        </w:rPr>
      </w:pPr>
      <w:r w:rsidRPr="00561954">
        <w:t xml:space="preserve">Data on antibody persistence one year after the booster are </w:t>
      </w:r>
      <w:proofErr w:type="spellStart"/>
      <w:r w:rsidR="00872724" w:rsidRPr="00561954">
        <w:t>summarised</w:t>
      </w:r>
      <w:proofErr w:type="spellEnd"/>
      <w:r w:rsidR="00872724" w:rsidRPr="00561954">
        <w:t xml:space="preserve"> </w:t>
      </w:r>
      <w:r w:rsidRPr="00561954">
        <w:t>in Table 2.</w:t>
      </w:r>
    </w:p>
    <w:p w:rsidR="00153703" w:rsidRDefault="00153703">
      <w:pPr>
        <w:spacing w:after="0"/>
        <w:ind w:left="0" w:firstLine="0"/>
        <w:rPr>
          <w:b/>
          <w:sz w:val="22"/>
          <w:szCs w:val="22"/>
        </w:rPr>
      </w:pPr>
      <w:r>
        <w:rPr>
          <w:b/>
          <w:sz w:val="22"/>
          <w:szCs w:val="22"/>
        </w:rPr>
        <w:br w:type="page"/>
      </w:r>
    </w:p>
    <w:p w:rsidR="00314F35" w:rsidRPr="00561954" w:rsidRDefault="00314F35" w:rsidP="0099026E">
      <w:pPr>
        <w:widowControl w:val="0"/>
        <w:autoSpaceDE w:val="0"/>
        <w:autoSpaceDN w:val="0"/>
        <w:adjustRightInd w:val="0"/>
        <w:ind w:left="0" w:firstLine="0"/>
        <w:rPr>
          <w:b/>
          <w:sz w:val="22"/>
          <w:szCs w:val="22"/>
        </w:rPr>
      </w:pPr>
      <w:r w:rsidRPr="00561954">
        <w:rPr>
          <w:b/>
          <w:sz w:val="22"/>
          <w:szCs w:val="22"/>
        </w:rPr>
        <w:lastRenderedPageBreak/>
        <w:t xml:space="preserve">Table 2. Serum bactericidal antibody responses following a booster at 12 months </w:t>
      </w:r>
      <w:r w:rsidR="00717715" w:rsidRPr="00561954">
        <w:rPr>
          <w:b/>
          <w:sz w:val="22"/>
          <w:szCs w:val="22"/>
        </w:rPr>
        <w:t xml:space="preserve">of age </w:t>
      </w:r>
      <w:r w:rsidRPr="00561954">
        <w:rPr>
          <w:b/>
          <w:sz w:val="22"/>
          <w:szCs w:val="22"/>
        </w:rPr>
        <w:t>after a primary series administered at 2, 4 and 6 months (Study V72P13E1) and persistence of bactericidal antibody one year after the booster (Study V72P13E2)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50"/>
        <w:gridCol w:w="3253"/>
        <w:gridCol w:w="1984"/>
        <w:gridCol w:w="1985"/>
      </w:tblGrid>
      <w:tr w:rsidR="00314F35" w:rsidRPr="00561954">
        <w:tc>
          <w:tcPr>
            <w:tcW w:w="1250" w:type="dxa"/>
            <w:tcBorders>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60" w:after="60"/>
              <w:rPr>
                <w:rFonts w:cs="TimesNewRoman"/>
                <w:sz w:val="20"/>
                <w:szCs w:val="22"/>
              </w:rPr>
            </w:pPr>
            <w:r w:rsidRPr="00561954">
              <w:rPr>
                <w:rFonts w:cs="TimesNewRoman"/>
                <w:b/>
                <w:bCs/>
                <w:sz w:val="20"/>
                <w:szCs w:val="22"/>
              </w:rPr>
              <w:t>Antigen*</w:t>
            </w:r>
          </w:p>
        </w:tc>
        <w:tc>
          <w:tcPr>
            <w:tcW w:w="3253" w:type="dxa"/>
            <w:tcBorders>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60" w:after="60"/>
              <w:jc w:val="center"/>
              <w:rPr>
                <w:rFonts w:cs="TimesNewRoman"/>
                <w:sz w:val="20"/>
                <w:szCs w:val="22"/>
              </w:rPr>
            </w:pPr>
          </w:p>
        </w:tc>
        <w:tc>
          <w:tcPr>
            <w:tcW w:w="1984" w:type="dxa"/>
            <w:tcBorders>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60" w:after="60"/>
              <w:jc w:val="center"/>
              <w:rPr>
                <w:rFonts w:cs="TimesNewRoman"/>
                <w:sz w:val="20"/>
                <w:szCs w:val="22"/>
              </w:rPr>
            </w:pPr>
            <w:proofErr w:type="spellStart"/>
            <w:r w:rsidRPr="00561954">
              <w:rPr>
                <w:rFonts w:cs="TimesNewRoman"/>
                <w:b/>
                <w:bCs/>
                <w:sz w:val="20"/>
                <w:szCs w:val="22"/>
              </w:rPr>
              <w:t>hSBA</w:t>
            </w:r>
            <w:proofErr w:type="spellEnd"/>
            <w:r w:rsidRPr="00561954">
              <w:rPr>
                <w:rFonts w:cs="TimesNewRoman"/>
                <w:b/>
                <w:bCs/>
                <w:sz w:val="20"/>
                <w:szCs w:val="22"/>
              </w:rPr>
              <w:t xml:space="preserve"> GMTs***</w:t>
            </w:r>
          </w:p>
        </w:tc>
        <w:tc>
          <w:tcPr>
            <w:tcW w:w="1985" w:type="dxa"/>
            <w:tcBorders>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60" w:after="60"/>
              <w:jc w:val="center"/>
              <w:rPr>
                <w:rFonts w:cs="TimesNewRoman"/>
                <w:sz w:val="20"/>
                <w:szCs w:val="22"/>
              </w:rPr>
            </w:pPr>
            <w:r w:rsidRPr="00561954">
              <w:rPr>
                <w:rFonts w:cs="TimesNewRoman"/>
                <w:b/>
                <w:bCs/>
                <w:sz w:val="20"/>
                <w:szCs w:val="22"/>
              </w:rPr>
              <w:t xml:space="preserve">% </w:t>
            </w:r>
            <w:proofErr w:type="spellStart"/>
            <w:r w:rsidRPr="00561954">
              <w:rPr>
                <w:rFonts w:cs="TimesNewRoman"/>
                <w:b/>
                <w:bCs/>
                <w:sz w:val="20"/>
                <w:szCs w:val="22"/>
              </w:rPr>
              <w:t>Seropositive</w:t>
            </w:r>
            <w:proofErr w:type="spellEnd"/>
            <w:r w:rsidRPr="00561954">
              <w:rPr>
                <w:rFonts w:cs="TimesNewRoman"/>
                <w:b/>
                <w:bCs/>
                <w:sz w:val="20"/>
                <w:szCs w:val="22"/>
              </w:rPr>
              <w:t>**</w:t>
            </w:r>
          </w:p>
        </w:tc>
      </w:tr>
      <w:tr w:rsidR="00314F35" w:rsidRPr="00561954">
        <w:tc>
          <w:tcPr>
            <w:tcW w:w="1250" w:type="dxa"/>
            <w:tcBorders>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p>
        </w:tc>
        <w:tc>
          <w:tcPr>
            <w:tcW w:w="1984" w:type="dxa"/>
            <w:tcBorders>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N=426</w:t>
            </w:r>
          </w:p>
        </w:tc>
        <w:tc>
          <w:tcPr>
            <w:tcW w:w="1985" w:type="dxa"/>
            <w:tcBorders>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N=426</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roofErr w:type="spellStart"/>
            <w:r w:rsidRPr="00561954">
              <w:rPr>
                <w:rFonts w:cs="TimesNewRoman"/>
                <w:b/>
                <w:bCs/>
                <w:sz w:val="20"/>
                <w:szCs w:val="22"/>
              </w:rPr>
              <w:t>fHBP</w:t>
            </w:r>
            <w:proofErr w:type="spellEnd"/>
          </w:p>
        </w:tc>
        <w:tc>
          <w:tcPr>
            <w:tcW w:w="3253"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Pre</w:t>
            </w:r>
            <w:r w:rsidR="008F196E" w:rsidRPr="00561954">
              <w:rPr>
                <w:rFonts w:cs="TimesNewRoman"/>
                <w:sz w:val="20"/>
                <w:szCs w:val="22"/>
              </w:rPr>
              <w:t>-</w:t>
            </w:r>
            <w:r w:rsidRPr="00561954">
              <w:rPr>
                <w:rFonts w:cs="TimesNewRoman"/>
                <w:sz w:val="20"/>
                <w:szCs w:val="22"/>
              </w:rPr>
              <w:t>Booster (95% CI)</w:t>
            </w:r>
          </w:p>
        </w:tc>
        <w:tc>
          <w:tcPr>
            <w:tcW w:w="1984"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10 (9.55-12)</w:t>
            </w:r>
          </w:p>
        </w:tc>
        <w:tc>
          <w:tcPr>
            <w:tcW w:w="1985"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82% (78-85)</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1984"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N=422</w:t>
            </w:r>
          </w:p>
        </w:tc>
        <w:tc>
          <w:tcPr>
            <w:tcW w:w="1985"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N=422</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r w:rsidRPr="00561954">
              <w:rPr>
                <w:rFonts w:cs="TimesNewRoman"/>
                <w:sz w:val="20"/>
                <w:szCs w:val="22"/>
              </w:rPr>
              <w:t>1 Month After Booster (95% CI)</w:t>
            </w:r>
          </w:p>
        </w:tc>
        <w:tc>
          <w:tcPr>
            <w:tcW w:w="1984"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128 (118-139)</w:t>
            </w:r>
          </w:p>
        </w:tc>
        <w:tc>
          <w:tcPr>
            <w:tcW w:w="1985"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100% (99-100)</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1984"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N=299</w:t>
            </w:r>
          </w:p>
        </w:tc>
        <w:tc>
          <w:tcPr>
            <w:tcW w:w="1985"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N=299</w:t>
            </w:r>
          </w:p>
        </w:tc>
      </w:tr>
      <w:tr w:rsidR="00314F35" w:rsidRPr="00561954">
        <w:tc>
          <w:tcPr>
            <w:tcW w:w="1250"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r w:rsidRPr="00561954">
              <w:rPr>
                <w:rFonts w:cs="TimesNewRoman"/>
                <w:sz w:val="20"/>
                <w:szCs w:val="22"/>
              </w:rPr>
              <w:t>12 months after Booster (95% CI)</w:t>
            </w:r>
          </w:p>
        </w:tc>
        <w:tc>
          <w:tcPr>
            <w:tcW w:w="1984"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6.5 (5.63-7.5)</w:t>
            </w:r>
          </w:p>
        </w:tc>
        <w:tc>
          <w:tcPr>
            <w:tcW w:w="1985"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62% (56-67)</w:t>
            </w:r>
          </w:p>
        </w:tc>
      </w:tr>
      <w:tr w:rsidR="00314F35" w:rsidRPr="00561954">
        <w:tc>
          <w:tcPr>
            <w:tcW w:w="1250"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b/>
                <w:bCs/>
                <w:sz w:val="20"/>
                <w:szCs w:val="22"/>
              </w:rPr>
            </w:pPr>
          </w:p>
        </w:tc>
        <w:tc>
          <w:tcPr>
            <w:tcW w:w="3253"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p>
        </w:tc>
        <w:tc>
          <w:tcPr>
            <w:tcW w:w="1984" w:type="dxa"/>
            <w:tcBorders>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N=423</w:t>
            </w:r>
          </w:p>
        </w:tc>
        <w:tc>
          <w:tcPr>
            <w:tcW w:w="1985" w:type="dxa"/>
            <w:tcBorders>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N=423</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roofErr w:type="spellStart"/>
            <w:r w:rsidRPr="00561954">
              <w:rPr>
                <w:rFonts w:cs="TimesNewRoman"/>
                <w:b/>
                <w:bCs/>
                <w:sz w:val="20"/>
                <w:szCs w:val="22"/>
              </w:rPr>
              <w:t>NadA</w:t>
            </w:r>
            <w:proofErr w:type="spellEnd"/>
          </w:p>
        </w:tc>
        <w:tc>
          <w:tcPr>
            <w:tcW w:w="3253"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Pre</w:t>
            </w:r>
            <w:r w:rsidR="008F196E" w:rsidRPr="00561954">
              <w:rPr>
                <w:rFonts w:cs="TimesNewRoman"/>
                <w:sz w:val="20"/>
                <w:szCs w:val="22"/>
              </w:rPr>
              <w:t>-</w:t>
            </w:r>
            <w:r w:rsidRPr="00561954">
              <w:rPr>
                <w:rFonts w:cs="TimesNewRoman"/>
                <w:sz w:val="20"/>
                <w:szCs w:val="22"/>
              </w:rPr>
              <w:t>Booster (95% CI)</w:t>
            </w:r>
          </w:p>
        </w:tc>
        <w:tc>
          <w:tcPr>
            <w:tcW w:w="1984"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81 (74-89)</w:t>
            </w:r>
          </w:p>
        </w:tc>
        <w:tc>
          <w:tcPr>
            <w:tcW w:w="1985"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99% (97-100)</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1984"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N=421</w:t>
            </w:r>
          </w:p>
        </w:tc>
        <w:tc>
          <w:tcPr>
            <w:tcW w:w="1985"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N=421</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r w:rsidRPr="00561954">
              <w:rPr>
                <w:rFonts w:cs="TimesNewRoman"/>
                <w:sz w:val="20"/>
                <w:szCs w:val="22"/>
              </w:rPr>
              <w:t>1 Month After Booster (95% CI)</w:t>
            </w:r>
          </w:p>
        </w:tc>
        <w:tc>
          <w:tcPr>
            <w:tcW w:w="1984"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1465 (1350-1590)</w:t>
            </w:r>
          </w:p>
        </w:tc>
        <w:tc>
          <w:tcPr>
            <w:tcW w:w="1985"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100% (99-100)</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1984"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N=298</w:t>
            </w:r>
          </w:p>
        </w:tc>
        <w:tc>
          <w:tcPr>
            <w:tcW w:w="1985"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N=298</w:t>
            </w:r>
          </w:p>
        </w:tc>
      </w:tr>
      <w:tr w:rsidR="00314F35" w:rsidRPr="00561954">
        <w:tc>
          <w:tcPr>
            <w:tcW w:w="1250"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r w:rsidRPr="00561954">
              <w:rPr>
                <w:rFonts w:cs="TimesNewRoman"/>
                <w:sz w:val="20"/>
                <w:szCs w:val="22"/>
              </w:rPr>
              <w:t>12 months after Booster (95% CI)</w:t>
            </w:r>
          </w:p>
        </w:tc>
        <w:tc>
          <w:tcPr>
            <w:tcW w:w="1984" w:type="dxa"/>
            <w:tcBorders>
              <w:top w:val="nil"/>
              <w:left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81 (71-94)</w:t>
            </w:r>
          </w:p>
        </w:tc>
        <w:tc>
          <w:tcPr>
            <w:tcW w:w="1985" w:type="dxa"/>
            <w:tcBorders>
              <w:top w:val="nil"/>
              <w:left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97% (95-99)</w:t>
            </w:r>
          </w:p>
        </w:tc>
      </w:tr>
      <w:tr w:rsidR="00314F35" w:rsidRPr="00561954">
        <w:tc>
          <w:tcPr>
            <w:tcW w:w="1250"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b/>
                <w:bCs/>
                <w:sz w:val="20"/>
                <w:szCs w:val="22"/>
              </w:rPr>
            </w:pPr>
          </w:p>
        </w:tc>
        <w:tc>
          <w:tcPr>
            <w:tcW w:w="3253"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p>
        </w:tc>
        <w:tc>
          <w:tcPr>
            <w:tcW w:w="1984" w:type="dxa"/>
            <w:tcBorders>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N=426</w:t>
            </w:r>
          </w:p>
        </w:tc>
        <w:tc>
          <w:tcPr>
            <w:tcW w:w="1985" w:type="dxa"/>
            <w:tcBorders>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N=426</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roofErr w:type="spellStart"/>
            <w:r w:rsidRPr="00561954">
              <w:rPr>
                <w:rFonts w:cs="TimesNewRoman"/>
                <w:b/>
                <w:bCs/>
                <w:sz w:val="20"/>
                <w:szCs w:val="22"/>
              </w:rPr>
              <w:t>PorA</w:t>
            </w:r>
            <w:proofErr w:type="spellEnd"/>
            <w:r w:rsidRPr="00561954">
              <w:rPr>
                <w:rFonts w:cs="TimesNewRoman"/>
                <w:b/>
                <w:bCs/>
                <w:sz w:val="20"/>
                <w:szCs w:val="22"/>
              </w:rPr>
              <w:t xml:space="preserve"> P1.4</w:t>
            </w:r>
          </w:p>
        </w:tc>
        <w:tc>
          <w:tcPr>
            <w:tcW w:w="3253"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Pre</w:t>
            </w:r>
            <w:r w:rsidR="008F196E" w:rsidRPr="00561954">
              <w:rPr>
                <w:rFonts w:cs="TimesNewRoman"/>
                <w:sz w:val="20"/>
                <w:szCs w:val="22"/>
              </w:rPr>
              <w:t>-</w:t>
            </w:r>
            <w:r w:rsidRPr="00561954">
              <w:rPr>
                <w:rFonts w:cs="TimesNewRoman"/>
                <w:sz w:val="20"/>
                <w:szCs w:val="22"/>
              </w:rPr>
              <w:t>Booster (95% CI)</w:t>
            </w:r>
          </w:p>
        </w:tc>
        <w:tc>
          <w:tcPr>
            <w:tcW w:w="1984"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2.14 (1.94-2.36)</w:t>
            </w:r>
          </w:p>
        </w:tc>
        <w:tc>
          <w:tcPr>
            <w:tcW w:w="1985"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22% (18-26)</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1984"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N=424</w:t>
            </w:r>
          </w:p>
        </w:tc>
        <w:tc>
          <w:tcPr>
            <w:tcW w:w="1985"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N=424</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r w:rsidRPr="00561954">
              <w:rPr>
                <w:rFonts w:cs="TimesNewRoman"/>
                <w:sz w:val="20"/>
                <w:szCs w:val="22"/>
              </w:rPr>
              <w:t>1 Month After Booster (95% CI)</w:t>
            </w:r>
          </w:p>
        </w:tc>
        <w:tc>
          <w:tcPr>
            <w:tcW w:w="1984"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35 (31-39)</w:t>
            </w:r>
          </w:p>
        </w:tc>
        <w:tc>
          <w:tcPr>
            <w:tcW w:w="1985"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95% (93-97)</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1984"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N=300</w:t>
            </w:r>
          </w:p>
        </w:tc>
        <w:tc>
          <w:tcPr>
            <w:tcW w:w="1985"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N=300</w:t>
            </w:r>
          </w:p>
        </w:tc>
      </w:tr>
      <w:tr w:rsidR="00314F35" w:rsidRPr="00561954">
        <w:tc>
          <w:tcPr>
            <w:tcW w:w="1250"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r w:rsidRPr="00561954">
              <w:rPr>
                <w:rFonts w:cs="TimesNewRoman"/>
                <w:sz w:val="20"/>
                <w:szCs w:val="22"/>
              </w:rPr>
              <w:t>12 months after Booster (95% CI)</w:t>
            </w:r>
          </w:p>
        </w:tc>
        <w:tc>
          <w:tcPr>
            <w:tcW w:w="1984" w:type="dxa"/>
            <w:tcBorders>
              <w:top w:val="nil"/>
              <w:left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1.91 (1.7-2.15)</w:t>
            </w:r>
          </w:p>
        </w:tc>
        <w:tc>
          <w:tcPr>
            <w:tcW w:w="1985" w:type="dxa"/>
            <w:tcBorders>
              <w:top w:val="nil"/>
              <w:left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17% (13-22)</w:t>
            </w:r>
          </w:p>
        </w:tc>
      </w:tr>
      <w:tr w:rsidR="00314F35" w:rsidRPr="00561954">
        <w:tc>
          <w:tcPr>
            <w:tcW w:w="1250"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b/>
                <w:bCs/>
                <w:sz w:val="20"/>
                <w:szCs w:val="22"/>
              </w:rPr>
            </w:pPr>
          </w:p>
        </w:tc>
        <w:tc>
          <w:tcPr>
            <w:tcW w:w="3253"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p>
        </w:tc>
        <w:tc>
          <w:tcPr>
            <w:tcW w:w="1984" w:type="dxa"/>
            <w:tcBorders>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N=100</w:t>
            </w:r>
          </w:p>
        </w:tc>
        <w:tc>
          <w:tcPr>
            <w:tcW w:w="1985" w:type="dxa"/>
            <w:tcBorders>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N=100</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r w:rsidRPr="00561954">
              <w:rPr>
                <w:rFonts w:cs="TimesNewRoman"/>
                <w:b/>
                <w:bCs/>
                <w:sz w:val="20"/>
                <w:szCs w:val="22"/>
              </w:rPr>
              <w:t>NHBA</w:t>
            </w:r>
          </w:p>
        </w:tc>
        <w:tc>
          <w:tcPr>
            <w:tcW w:w="3253"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Pre</w:t>
            </w:r>
            <w:r w:rsidR="008F196E" w:rsidRPr="00561954">
              <w:rPr>
                <w:rFonts w:cs="TimesNewRoman"/>
                <w:sz w:val="20"/>
                <w:szCs w:val="22"/>
              </w:rPr>
              <w:t>-</w:t>
            </w:r>
            <w:r w:rsidRPr="00561954">
              <w:rPr>
                <w:rFonts w:cs="TimesNewRoman"/>
                <w:sz w:val="20"/>
                <w:szCs w:val="22"/>
              </w:rPr>
              <w:t>Booster (95% CI)</w:t>
            </w:r>
          </w:p>
        </w:tc>
        <w:tc>
          <w:tcPr>
            <w:tcW w:w="1984"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8.4 (6.4-11)</w:t>
            </w:r>
          </w:p>
        </w:tc>
        <w:tc>
          <w:tcPr>
            <w:tcW w:w="1985"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61% (51-71)</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1984"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N=100</w:t>
            </w:r>
          </w:p>
        </w:tc>
        <w:tc>
          <w:tcPr>
            <w:tcW w:w="1985"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N=100</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r w:rsidRPr="00561954">
              <w:rPr>
                <w:rFonts w:cs="TimesNewRoman"/>
                <w:sz w:val="20"/>
                <w:szCs w:val="22"/>
              </w:rPr>
              <w:t>1 Month After Booster (95% CI)</w:t>
            </w:r>
          </w:p>
        </w:tc>
        <w:tc>
          <w:tcPr>
            <w:tcW w:w="1984"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42 (36-50)</w:t>
            </w:r>
          </w:p>
        </w:tc>
        <w:tc>
          <w:tcPr>
            <w:tcW w:w="1985" w:type="dxa"/>
            <w:tcBorders>
              <w:top w:val="nil"/>
              <w:left w:val="single" w:sz="4" w:space="0" w:color="auto"/>
              <w:bottom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98% (93-100)</w:t>
            </w:r>
          </w:p>
        </w:tc>
      </w:tr>
      <w:tr w:rsidR="00314F35" w:rsidRPr="00561954">
        <w:trPr>
          <w:trHeight w:val="233"/>
        </w:trPr>
        <w:tc>
          <w:tcPr>
            <w:tcW w:w="1250" w:type="dxa"/>
            <w:vMerge w:val="restart"/>
            <w:tcBorders>
              <w:top w:val="nil"/>
              <w:left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3253" w:type="dxa"/>
            <w:tcBorders>
              <w:top w:val="single" w:sz="4" w:space="0" w:color="auto"/>
              <w:left w:val="single" w:sz="4" w:space="0" w:color="auto"/>
              <w:bottom w:val="nil"/>
              <w:right w:val="single" w:sz="4" w:space="0" w:color="auto"/>
            </w:tcBorders>
          </w:tcPr>
          <w:p w:rsidR="00314F35" w:rsidRPr="00561954" w:rsidRDefault="00314F35" w:rsidP="00314F35">
            <w:pPr>
              <w:keepNext/>
              <w:widowControl w:val="0"/>
              <w:autoSpaceDE w:val="0"/>
              <w:autoSpaceDN w:val="0"/>
              <w:adjustRightInd w:val="0"/>
              <w:spacing w:before="20" w:after="20"/>
              <w:rPr>
                <w:rFonts w:cs="TimesNewRoman"/>
                <w:sz w:val="20"/>
                <w:szCs w:val="22"/>
              </w:rPr>
            </w:pPr>
          </w:p>
        </w:tc>
        <w:tc>
          <w:tcPr>
            <w:tcW w:w="1984" w:type="dxa"/>
            <w:vMerge w:val="restart"/>
            <w:tcBorders>
              <w:top w:val="single" w:sz="4" w:space="0" w:color="auto"/>
              <w:left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N=291</w:t>
            </w:r>
            <w:r w:rsidRPr="00561954">
              <w:rPr>
                <w:rFonts w:cs="TimesNewRoman"/>
                <w:sz w:val="20"/>
                <w:szCs w:val="22"/>
              </w:rPr>
              <w:br/>
              <w:t>3.35 (2.88-3.9)</w:t>
            </w:r>
          </w:p>
        </w:tc>
        <w:tc>
          <w:tcPr>
            <w:tcW w:w="1985" w:type="dxa"/>
            <w:vMerge w:val="restart"/>
            <w:tcBorders>
              <w:top w:val="single" w:sz="4" w:space="0" w:color="auto"/>
              <w:left w:val="single" w:sz="4" w:space="0" w:color="auto"/>
              <w:right w:val="single" w:sz="4" w:space="0" w:color="auto"/>
            </w:tcBorders>
          </w:tcPr>
          <w:p w:rsidR="00314F35" w:rsidRPr="00561954" w:rsidRDefault="00314F35" w:rsidP="00314F35">
            <w:pPr>
              <w:keepNext/>
              <w:widowControl w:val="0"/>
              <w:autoSpaceDE w:val="0"/>
              <w:autoSpaceDN w:val="0"/>
              <w:adjustRightInd w:val="0"/>
              <w:spacing w:before="20" w:after="20"/>
              <w:jc w:val="center"/>
              <w:rPr>
                <w:rFonts w:cs="TimesNewRoman"/>
                <w:sz w:val="20"/>
                <w:szCs w:val="22"/>
              </w:rPr>
            </w:pPr>
            <w:r w:rsidRPr="00561954">
              <w:rPr>
                <w:rFonts w:cs="TimesNewRoman"/>
                <w:sz w:val="20"/>
                <w:szCs w:val="22"/>
              </w:rPr>
              <w:t>N=291</w:t>
            </w:r>
            <w:r w:rsidRPr="00561954">
              <w:rPr>
                <w:rFonts w:cs="TimesNewRoman"/>
                <w:sz w:val="20"/>
                <w:szCs w:val="22"/>
              </w:rPr>
              <w:br/>
              <w:t>36% (31-42%)</w:t>
            </w:r>
          </w:p>
        </w:tc>
      </w:tr>
      <w:tr w:rsidR="00314F35" w:rsidRPr="00561954">
        <w:trPr>
          <w:trHeight w:val="232"/>
        </w:trPr>
        <w:tc>
          <w:tcPr>
            <w:tcW w:w="1250" w:type="dxa"/>
            <w:vMerge/>
            <w:tcBorders>
              <w:left w:val="single" w:sz="4" w:space="0" w:color="auto"/>
              <w:right w:val="single" w:sz="4" w:space="0" w:color="auto"/>
            </w:tcBorders>
          </w:tcPr>
          <w:p w:rsidR="00314F35" w:rsidRPr="00561954" w:rsidRDefault="00314F35" w:rsidP="00314F35">
            <w:pPr>
              <w:keepNext/>
              <w:widowControl w:val="0"/>
              <w:autoSpaceDE w:val="0"/>
              <w:autoSpaceDN w:val="0"/>
              <w:adjustRightInd w:val="0"/>
              <w:rPr>
                <w:rFonts w:cs="TimesNewRoman"/>
                <w:sz w:val="20"/>
                <w:szCs w:val="22"/>
              </w:rPr>
            </w:pPr>
          </w:p>
        </w:tc>
        <w:tc>
          <w:tcPr>
            <w:tcW w:w="3253" w:type="dxa"/>
            <w:tcBorders>
              <w:top w:val="nil"/>
              <w:left w:val="single" w:sz="4" w:space="0" w:color="auto"/>
              <w:right w:val="single" w:sz="4" w:space="0" w:color="auto"/>
            </w:tcBorders>
          </w:tcPr>
          <w:p w:rsidR="00314F35" w:rsidRPr="00561954" w:rsidRDefault="00314F35" w:rsidP="00314F35">
            <w:pPr>
              <w:keepNext/>
              <w:widowControl w:val="0"/>
              <w:autoSpaceDE w:val="0"/>
              <w:autoSpaceDN w:val="0"/>
              <w:adjustRightInd w:val="0"/>
              <w:rPr>
                <w:rFonts w:cs="TimesNewRoman"/>
                <w:sz w:val="20"/>
                <w:szCs w:val="22"/>
              </w:rPr>
            </w:pPr>
            <w:r w:rsidRPr="00561954">
              <w:rPr>
                <w:rFonts w:cs="TimesNewRoman"/>
                <w:sz w:val="20"/>
                <w:szCs w:val="22"/>
              </w:rPr>
              <w:t>12 months after Booster (95% CI)</w:t>
            </w:r>
          </w:p>
        </w:tc>
        <w:tc>
          <w:tcPr>
            <w:tcW w:w="1984" w:type="dxa"/>
            <w:vMerge/>
            <w:tcBorders>
              <w:left w:val="single" w:sz="4" w:space="0" w:color="auto"/>
              <w:right w:val="single" w:sz="4" w:space="0" w:color="auto"/>
            </w:tcBorders>
          </w:tcPr>
          <w:p w:rsidR="00314F35" w:rsidRPr="00561954" w:rsidRDefault="00314F35" w:rsidP="00314F35">
            <w:pPr>
              <w:keepNext/>
              <w:widowControl w:val="0"/>
              <w:autoSpaceDE w:val="0"/>
              <w:autoSpaceDN w:val="0"/>
              <w:adjustRightInd w:val="0"/>
              <w:jc w:val="center"/>
              <w:rPr>
                <w:rFonts w:cs="TimesNewRoman"/>
                <w:sz w:val="20"/>
                <w:szCs w:val="22"/>
              </w:rPr>
            </w:pPr>
          </w:p>
        </w:tc>
        <w:tc>
          <w:tcPr>
            <w:tcW w:w="1985" w:type="dxa"/>
            <w:vMerge/>
            <w:tcBorders>
              <w:left w:val="single" w:sz="4" w:space="0" w:color="auto"/>
              <w:right w:val="single" w:sz="4" w:space="0" w:color="auto"/>
            </w:tcBorders>
          </w:tcPr>
          <w:p w:rsidR="00314F35" w:rsidRPr="00561954" w:rsidRDefault="00314F35" w:rsidP="00314F35">
            <w:pPr>
              <w:keepNext/>
              <w:widowControl w:val="0"/>
              <w:autoSpaceDE w:val="0"/>
              <w:autoSpaceDN w:val="0"/>
              <w:adjustRightInd w:val="0"/>
              <w:jc w:val="center"/>
              <w:rPr>
                <w:rFonts w:cs="TimesNewRoman"/>
                <w:sz w:val="20"/>
                <w:szCs w:val="22"/>
              </w:rPr>
            </w:pPr>
          </w:p>
        </w:tc>
      </w:tr>
    </w:tbl>
    <w:p w:rsidR="00314F35" w:rsidRPr="00561954" w:rsidRDefault="00314F35" w:rsidP="00314F35">
      <w:pPr>
        <w:pStyle w:val="BodyText"/>
        <w:spacing w:after="0"/>
      </w:pPr>
    </w:p>
    <w:p w:rsidR="00314F35" w:rsidRPr="00561954" w:rsidRDefault="00314F35" w:rsidP="002C59B7">
      <w:pPr>
        <w:widowControl w:val="0"/>
        <w:autoSpaceDE w:val="0"/>
        <w:autoSpaceDN w:val="0"/>
        <w:adjustRightInd w:val="0"/>
        <w:spacing w:after="0"/>
        <w:ind w:left="0" w:right="305" w:firstLine="0"/>
        <w:rPr>
          <w:rFonts w:cs="TimesNewRoman"/>
          <w:sz w:val="20"/>
          <w:szCs w:val="22"/>
        </w:rPr>
      </w:pPr>
      <w:r w:rsidRPr="00561954">
        <w:rPr>
          <w:rFonts w:cs="TimesNewRoman"/>
          <w:sz w:val="20"/>
          <w:szCs w:val="22"/>
        </w:rPr>
        <w:t xml:space="preserve">* The following strains of group B </w:t>
      </w:r>
      <w:proofErr w:type="spellStart"/>
      <w:r w:rsidRPr="00561954">
        <w:rPr>
          <w:rFonts w:cs="TimesNewRoman"/>
          <w:sz w:val="20"/>
          <w:szCs w:val="22"/>
        </w:rPr>
        <w:t>meningococci</w:t>
      </w:r>
      <w:proofErr w:type="spellEnd"/>
      <w:r w:rsidRPr="00561954">
        <w:rPr>
          <w:rFonts w:cs="TimesNewRoman"/>
          <w:sz w:val="20"/>
          <w:szCs w:val="22"/>
        </w:rPr>
        <w:t xml:space="preserve">, which were isolated from cases of invasive disease, were used to assess functional immunogenicity against each of the vaccine antigens by </w:t>
      </w:r>
      <w:proofErr w:type="spellStart"/>
      <w:r w:rsidRPr="00561954">
        <w:rPr>
          <w:rFonts w:cs="TimesNewRoman"/>
          <w:sz w:val="20"/>
          <w:szCs w:val="22"/>
        </w:rPr>
        <w:t>hSBA</w:t>
      </w:r>
      <w:proofErr w:type="spellEnd"/>
      <w:r w:rsidRPr="00561954">
        <w:rPr>
          <w:rFonts w:cs="TimesNewRoman"/>
          <w:sz w:val="20"/>
          <w:szCs w:val="22"/>
        </w:rPr>
        <w:t>:</w:t>
      </w:r>
    </w:p>
    <w:p w:rsidR="00314F35" w:rsidRPr="00561954" w:rsidRDefault="00314F35" w:rsidP="00314F35">
      <w:pPr>
        <w:widowControl w:val="0"/>
        <w:numPr>
          <w:ilvl w:val="0"/>
          <w:numId w:val="30"/>
        </w:numPr>
        <w:autoSpaceDE w:val="0"/>
        <w:autoSpaceDN w:val="0"/>
        <w:adjustRightInd w:val="0"/>
        <w:spacing w:after="0"/>
        <w:ind w:left="426" w:right="305" w:hanging="142"/>
        <w:rPr>
          <w:rFonts w:cs="TimesNewRoman"/>
          <w:sz w:val="20"/>
          <w:szCs w:val="22"/>
        </w:rPr>
      </w:pPr>
      <w:proofErr w:type="spellStart"/>
      <w:r w:rsidRPr="00561954">
        <w:rPr>
          <w:rFonts w:cs="TimesNewRoman"/>
          <w:sz w:val="20"/>
          <w:szCs w:val="22"/>
        </w:rPr>
        <w:t>fHBP</w:t>
      </w:r>
      <w:proofErr w:type="spellEnd"/>
      <w:r w:rsidRPr="00561954">
        <w:rPr>
          <w:rFonts w:cs="TimesNewRoman"/>
          <w:sz w:val="20"/>
          <w:szCs w:val="22"/>
        </w:rPr>
        <w:t xml:space="preserve"> antigen: strain 44/76</w:t>
      </w:r>
    </w:p>
    <w:p w:rsidR="00314F35" w:rsidRPr="00561954" w:rsidRDefault="00314F35" w:rsidP="00314F35">
      <w:pPr>
        <w:widowControl w:val="0"/>
        <w:numPr>
          <w:ilvl w:val="0"/>
          <w:numId w:val="30"/>
        </w:numPr>
        <w:autoSpaceDE w:val="0"/>
        <w:autoSpaceDN w:val="0"/>
        <w:adjustRightInd w:val="0"/>
        <w:spacing w:after="0"/>
        <w:ind w:left="426" w:right="305" w:hanging="142"/>
        <w:rPr>
          <w:rFonts w:cs="TimesNewRoman"/>
          <w:sz w:val="20"/>
          <w:szCs w:val="22"/>
        </w:rPr>
      </w:pPr>
      <w:proofErr w:type="spellStart"/>
      <w:r w:rsidRPr="00561954">
        <w:rPr>
          <w:rFonts w:cs="TimesNewRoman"/>
          <w:sz w:val="20"/>
          <w:szCs w:val="22"/>
        </w:rPr>
        <w:t>NadA</w:t>
      </w:r>
      <w:proofErr w:type="spellEnd"/>
      <w:r w:rsidRPr="00561954">
        <w:rPr>
          <w:rFonts w:cs="TimesNewRoman"/>
          <w:sz w:val="20"/>
          <w:szCs w:val="22"/>
        </w:rPr>
        <w:t xml:space="preserve"> antigen: strain 5/99</w:t>
      </w:r>
    </w:p>
    <w:p w:rsidR="00314F35" w:rsidRPr="00561954" w:rsidRDefault="00314F35" w:rsidP="00314F35">
      <w:pPr>
        <w:widowControl w:val="0"/>
        <w:numPr>
          <w:ilvl w:val="0"/>
          <w:numId w:val="30"/>
        </w:numPr>
        <w:autoSpaceDE w:val="0"/>
        <w:autoSpaceDN w:val="0"/>
        <w:adjustRightInd w:val="0"/>
        <w:spacing w:after="0"/>
        <w:ind w:left="426" w:right="305" w:hanging="142"/>
        <w:rPr>
          <w:rFonts w:cs="TimesNewRoman"/>
          <w:sz w:val="20"/>
          <w:szCs w:val="22"/>
        </w:rPr>
      </w:pPr>
      <w:proofErr w:type="spellStart"/>
      <w:r w:rsidRPr="00561954">
        <w:rPr>
          <w:rFonts w:cs="TimesNewRoman"/>
          <w:sz w:val="20"/>
          <w:szCs w:val="22"/>
        </w:rPr>
        <w:t>immunodominant</w:t>
      </w:r>
      <w:proofErr w:type="spellEnd"/>
      <w:r w:rsidRPr="00561954">
        <w:rPr>
          <w:rFonts w:cs="TimesNewRoman"/>
          <w:sz w:val="20"/>
          <w:szCs w:val="22"/>
        </w:rPr>
        <w:t xml:space="preserve"> </w:t>
      </w:r>
      <w:proofErr w:type="spellStart"/>
      <w:r w:rsidRPr="00561954">
        <w:rPr>
          <w:rFonts w:cs="TimesNewRoman"/>
          <w:sz w:val="20"/>
          <w:szCs w:val="22"/>
        </w:rPr>
        <w:t>PorA</w:t>
      </w:r>
      <w:proofErr w:type="spellEnd"/>
      <w:r w:rsidRPr="00561954">
        <w:rPr>
          <w:rFonts w:cs="TimesNewRoman"/>
          <w:sz w:val="20"/>
          <w:szCs w:val="22"/>
        </w:rPr>
        <w:t xml:space="preserve"> P1.4 component of OMV: strain NZ98/254</w:t>
      </w:r>
    </w:p>
    <w:p w:rsidR="00314F35" w:rsidRPr="00561954" w:rsidRDefault="00314F35" w:rsidP="00314F35">
      <w:pPr>
        <w:widowControl w:val="0"/>
        <w:numPr>
          <w:ilvl w:val="0"/>
          <w:numId w:val="30"/>
        </w:numPr>
        <w:autoSpaceDE w:val="0"/>
        <w:autoSpaceDN w:val="0"/>
        <w:adjustRightInd w:val="0"/>
        <w:spacing w:after="0"/>
        <w:ind w:left="426" w:right="305" w:hanging="142"/>
        <w:rPr>
          <w:rFonts w:cs="TimesNewRoman"/>
          <w:sz w:val="20"/>
          <w:szCs w:val="22"/>
        </w:rPr>
      </w:pPr>
      <w:r w:rsidRPr="00561954">
        <w:rPr>
          <w:rFonts w:cs="TimesNewRoman"/>
          <w:sz w:val="20"/>
          <w:szCs w:val="22"/>
        </w:rPr>
        <w:t>NHBA antigen: strain M10713</w:t>
      </w:r>
    </w:p>
    <w:p w:rsidR="00314F35" w:rsidRPr="00561954" w:rsidRDefault="00314F35" w:rsidP="00314F35">
      <w:pPr>
        <w:pStyle w:val="BodyText"/>
        <w:spacing w:after="0"/>
        <w:ind w:right="305"/>
        <w:rPr>
          <w:sz w:val="20"/>
        </w:rPr>
      </w:pPr>
      <w:r w:rsidRPr="00561954">
        <w:rPr>
          <w:sz w:val="20"/>
        </w:rPr>
        <w:t xml:space="preserve">** % </w:t>
      </w:r>
      <w:proofErr w:type="spellStart"/>
      <w:r w:rsidRPr="00561954">
        <w:rPr>
          <w:sz w:val="20"/>
        </w:rPr>
        <w:t>seropositive</w:t>
      </w:r>
      <w:proofErr w:type="spellEnd"/>
      <w:r w:rsidRPr="00561954">
        <w:rPr>
          <w:sz w:val="20"/>
        </w:rPr>
        <w:t xml:space="preserve"> = the percentage of subjects who achieved an </w:t>
      </w:r>
      <w:proofErr w:type="spellStart"/>
      <w:r w:rsidRPr="00561954">
        <w:rPr>
          <w:sz w:val="20"/>
        </w:rPr>
        <w:t>hSBA</w:t>
      </w:r>
      <w:proofErr w:type="spellEnd"/>
      <w:r w:rsidRPr="00561954">
        <w:rPr>
          <w:sz w:val="20"/>
        </w:rPr>
        <w:t xml:space="preserve"> ≥ 1:5.</w:t>
      </w:r>
    </w:p>
    <w:p w:rsidR="00F1793E" w:rsidRPr="00561954" w:rsidRDefault="00314F35" w:rsidP="00314F35">
      <w:pPr>
        <w:pStyle w:val="BodyText"/>
        <w:spacing w:after="0"/>
        <w:ind w:right="305"/>
        <w:rPr>
          <w:sz w:val="20"/>
        </w:rPr>
      </w:pPr>
      <w:r w:rsidRPr="00561954">
        <w:rPr>
          <w:sz w:val="20"/>
        </w:rPr>
        <w:t xml:space="preserve">***GMTs = geometric mean titers.  </w:t>
      </w:r>
    </w:p>
    <w:p w:rsidR="00153703" w:rsidRDefault="00153703">
      <w:pPr>
        <w:spacing w:after="0"/>
        <w:ind w:left="0" w:firstLine="0"/>
        <w:rPr>
          <w:rFonts w:cs="TimesNewRoman"/>
          <w:i/>
          <w:iCs/>
          <w:szCs w:val="22"/>
          <w:u w:val="single"/>
        </w:rPr>
      </w:pPr>
      <w:r>
        <w:rPr>
          <w:rFonts w:cs="TimesNewRoman"/>
          <w:i/>
          <w:iCs/>
          <w:szCs w:val="22"/>
          <w:u w:val="single"/>
        </w:rPr>
        <w:br w:type="page"/>
      </w:r>
    </w:p>
    <w:p w:rsidR="00314F35" w:rsidRPr="00561954" w:rsidRDefault="00314F35" w:rsidP="00482DA3">
      <w:pPr>
        <w:widowControl w:val="0"/>
        <w:autoSpaceDE w:val="0"/>
        <w:autoSpaceDN w:val="0"/>
        <w:adjustRightInd w:val="0"/>
        <w:spacing w:after="0"/>
        <w:ind w:left="0" w:firstLine="0"/>
        <w:jc w:val="both"/>
        <w:rPr>
          <w:rFonts w:cs="TimesNewRoman"/>
          <w:i/>
          <w:iCs/>
          <w:szCs w:val="22"/>
          <w:u w:val="single"/>
        </w:rPr>
      </w:pPr>
      <w:r w:rsidRPr="00561954">
        <w:rPr>
          <w:rFonts w:cs="TimesNewRoman"/>
          <w:i/>
          <w:iCs/>
          <w:szCs w:val="22"/>
          <w:u w:val="single"/>
        </w:rPr>
        <w:lastRenderedPageBreak/>
        <w:t>Immunogenicity in infants aged 6 months and older, and toddlers</w:t>
      </w:r>
    </w:p>
    <w:p w:rsidR="00314F35" w:rsidRPr="00561954" w:rsidRDefault="00314F35" w:rsidP="00482DA3">
      <w:pPr>
        <w:pStyle w:val="BodyText"/>
        <w:jc w:val="both"/>
      </w:pPr>
      <w:r w:rsidRPr="00561954">
        <w:rPr>
          <w:rFonts w:cs="TimesNewRoman"/>
          <w:szCs w:val="22"/>
        </w:rPr>
        <w:t xml:space="preserve">Bactericidal responses after two doses in older infants and toddlers have been documented in two studies whose results are </w:t>
      </w:r>
      <w:proofErr w:type="spellStart"/>
      <w:r w:rsidRPr="00561954">
        <w:rPr>
          <w:rFonts w:cs="TimesNewRoman"/>
          <w:szCs w:val="22"/>
        </w:rPr>
        <w:t>summarised</w:t>
      </w:r>
      <w:proofErr w:type="spellEnd"/>
      <w:r w:rsidRPr="00561954">
        <w:rPr>
          <w:rFonts w:cs="TimesNewRoman"/>
          <w:szCs w:val="22"/>
        </w:rPr>
        <w:t xml:space="preserve"> in Table 3 below. Against each of the vaccine antigens, </w:t>
      </w:r>
      <w:proofErr w:type="spellStart"/>
      <w:r w:rsidRPr="00561954">
        <w:rPr>
          <w:rFonts w:cs="TimesNewRoman"/>
          <w:szCs w:val="22"/>
        </w:rPr>
        <w:t>seroresponse</w:t>
      </w:r>
      <w:proofErr w:type="spellEnd"/>
      <w:r w:rsidRPr="00561954">
        <w:rPr>
          <w:rFonts w:cs="TimesNewRoman"/>
          <w:szCs w:val="22"/>
        </w:rPr>
        <w:t xml:space="preserve"> rates and </w:t>
      </w:r>
      <w:proofErr w:type="spellStart"/>
      <w:r w:rsidRPr="00561954">
        <w:rPr>
          <w:rFonts w:cs="TimesNewRoman"/>
          <w:szCs w:val="22"/>
        </w:rPr>
        <w:t>hSBA</w:t>
      </w:r>
      <w:proofErr w:type="spellEnd"/>
      <w:r w:rsidRPr="00561954">
        <w:rPr>
          <w:rFonts w:cs="TimesNewRoman"/>
          <w:szCs w:val="22"/>
        </w:rPr>
        <w:t xml:space="preserve"> GMTs were high and similar after the two-dose series in both infants and toddlers. </w:t>
      </w:r>
      <w:r w:rsidRPr="00561954">
        <w:t xml:space="preserve">Baseline GMTs were uniformly low against all reference strains in both studies (ranging from 1.00 to 1.94). </w:t>
      </w:r>
    </w:p>
    <w:p w:rsidR="00314F35" w:rsidRPr="00561954" w:rsidRDefault="00314F35" w:rsidP="00482DA3">
      <w:pPr>
        <w:widowControl w:val="0"/>
        <w:autoSpaceDE w:val="0"/>
        <w:autoSpaceDN w:val="0"/>
        <w:adjustRightInd w:val="0"/>
        <w:ind w:left="0" w:firstLine="0"/>
        <w:jc w:val="both"/>
      </w:pPr>
      <w:r w:rsidRPr="00561954">
        <w:t>Data on antibody persistence one year after the two doses at 13 and 15 months of age are summarized in Table 3.</w:t>
      </w:r>
    </w:p>
    <w:p w:rsidR="00314F35" w:rsidRPr="00561954" w:rsidRDefault="00314F35" w:rsidP="00482DA3">
      <w:pPr>
        <w:widowControl w:val="0"/>
        <w:autoSpaceDE w:val="0"/>
        <w:autoSpaceDN w:val="0"/>
        <w:adjustRightInd w:val="0"/>
        <w:spacing w:after="0"/>
        <w:ind w:left="0" w:firstLine="0"/>
        <w:jc w:val="both"/>
      </w:pPr>
      <w:r w:rsidRPr="00561954">
        <w:t xml:space="preserve">The increase in </w:t>
      </w:r>
      <w:proofErr w:type="spellStart"/>
      <w:r w:rsidRPr="00561954">
        <w:t>hSBA</w:t>
      </w:r>
      <w:proofErr w:type="spellEnd"/>
      <w:r w:rsidRPr="00561954">
        <w:t xml:space="preserve"> titers for the four reference strains was similar in an additional group of 43-68 subjects evaluated after vaccination with BEXSERO at 12 and 14 months of age. A similar response was observed in terms of percentages of </w:t>
      </w:r>
      <w:proofErr w:type="spellStart"/>
      <w:r w:rsidRPr="00561954">
        <w:t>seropositive</w:t>
      </w:r>
      <w:proofErr w:type="spellEnd"/>
      <w:r w:rsidRPr="00561954">
        <w:t xml:space="preserve"> subjects (100% for strain 44/76 and strain 5/99; 96% for strain NZ98/254; and 74% for strain M10713). </w:t>
      </w:r>
    </w:p>
    <w:p w:rsidR="00314F35" w:rsidRPr="00561954" w:rsidRDefault="00314F35" w:rsidP="00314F35">
      <w:pPr>
        <w:pStyle w:val="BodyText"/>
      </w:pPr>
    </w:p>
    <w:p w:rsidR="00153703" w:rsidRDefault="00153703">
      <w:pPr>
        <w:spacing w:after="0"/>
        <w:ind w:left="0" w:firstLine="0"/>
        <w:rPr>
          <w:b/>
          <w:sz w:val="22"/>
          <w:szCs w:val="22"/>
        </w:rPr>
      </w:pPr>
      <w:r>
        <w:rPr>
          <w:b/>
          <w:sz w:val="22"/>
          <w:szCs w:val="22"/>
        </w:rPr>
        <w:br w:type="page"/>
      </w:r>
    </w:p>
    <w:p w:rsidR="00314F35" w:rsidRPr="00561954" w:rsidRDefault="00314F35" w:rsidP="00314F35">
      <w:pPr>
        <w:keepNext/>
        <w:tabs>
          <w:tab w:val="left" w:pos="9356"/>
        </w:tabs>
        <w:ind w:left="0" w:firstLine="0"/>
        <w:jc w:val="both"/>
        <w:rPr>
          <w:b/>
          <w:sz w:val="22"/>
          <w:szCs w:val="22"/>
        </w:rPr>
      </w:pPr>
      <w:r w:rsidRPr="00561954">
        <w:rPr>
          <w:b/>
          <w:sz w:val="22"/>
          <w:szCs w:val="22"/>
        </w:rPr>
        <w:lastRenderedPageBreak/>
        <w:t xml:space="preserve">Table 3. Serum bactericidal antibody responses following BEXSERO vaccination at 6 to 8 </w:t>
      </w:r>
      <w:r w:rsidR="00872724" w:rsidRPr="00561954">
        <w:rPr>
          <w:b/>
          <w:sz w:val="22"/>
          <w:szCs w:val="22"/>
        </w:rPr>
        <w:t xml:space="preserve">months of age </w:t>
      </w:r>
      <w:r w:rsidRPr="00561954">
        <w:rPr>
          <w:b/>
          <w:sz w:val="22"/>
          <w:szCs w:val="22"/>
        </w:rPr>
        <w:t>and 2 months after (Study V72P9) or 13 and 15 months of age (Study V72P13E1)</w:t>
      </w:r>
      <w:r w:rsidRPr="00561954">
        <w:rPr>
          <w:b/>
          <w:bCs/>
          <w:sz w:val="22"/>
          <w:szCs w:val="22"/>
        </w:rPr>
        <w:t xml:space="preserve"> </w:t>
      </w:r>
      <w:r w:rsidRPr="00561954">
        <w:rPr>
          <w:b/>
          <w:sz w:val="22"/>
          <w:szCs w:val="22"/>
        </w:rPr>
        <w:t>and persistence of bactericidal antibody one year after the two doses at 13 and 15 months of age (Study V72P13E2)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50"/>
        <w:gridCol w:w="3488"/>
        <w:gridCol w:w="1588"/>
        <w:gridCol w:w="2287"/>
      </w:tblGrid>
      <w:tr w:rsidR="00314F35" w:rsidRPr="00561954">
        <w:tc>
          <w:tcPr>
            <w:tcW w:w="1250"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rPr>
                <w:rFonts w:cs="TimesNewRoman"/>
                <w:sz w:val="20"/>
                <w:szCs w:val="22"/>
              </w:rPr>
            </w:pPr>
            <w:r w:rsidRPr="00561954">
              <w:rPr>
                <w:rFonts w:cs="TimesNewRoman"/>
                <w:b/>
                <w:bCs/>
                <w:sz w:val="20"/>
                <w:szCs w:val="22"/>
              </w:rPr>
              <w:t>Antigen*</w:t>
            </w:r>
          </w:p>
        </w:tc>
        <w:tc>
          <w:tcPr>
            <w:tcW w:w="3488"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jc w:val="center"/>
              <w:rPr>
                <w:rFonts w:cs="TimesNewRoman"/>
                <w:sz w:val="20"/>
                <w:szCs w:val="22"/>
              </w:rPr>
            </w:pPr>
          </w:p>
        </w:tc>
        <w:tc>
          <w:tcPr>
            <w:tcW w:w="1588"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jc w:val="center"/>
              <w:rPr>
                <w:rFonts w:cs="TimesNewRoman"/>
                <w:sz w:val="20"/>
                <w:szCs w:val="22"/>
              </w:rPr>
            </w:pPr>
            <w:r w:rsidRPr="00561954">
              <w:rPr>
                <w:rFonts w:cs="TimesNewRoman"/>
                <w:b/>
                <w:bCs/>
                <w:sz w:val="20"/>
                <w:szCs w:val="22"/>
              </w:rPr>
              <w:t>V72P9</w:t>
            </w:r>
          </w:p>
        </w:tc>
        <w:tc>
          <w:tcPr>
            <w:tcW w:w="2287"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jc w:val="center"/>
              <w:rPr>
                <w:rFonts w:cs="TimesNewRoman"/>
                <w:sz w:val="20"/>
                <w:szCs w:val="22"/>
              </w:rPr>
            </w:pPr>
            <w:r w:rsidRPr="00561954">
              <w:rPr>
                <w:rFonts w:cs="TimesNewRoman"/>
                <w:b/>
                <w:bCs/>
                <w:sz w:val="20"/>
                <w:szCs w:val="22"/>
              </w:rPr>
              <w:t>V72P13E1 / V72P13E2</w:t>
            </w:r>
          </w:p>
        </w:tc>
      </w:tr>
      <w:tr w:rsidR="00314F35" w:rsidRPr="00561954">
        <w:tc>
          <w:tcPr>
            <w:tcW w:w="1250"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 month after 2</w:t>
            </w:r>
            <w:r w:rsidRPr="00561954">
              <w:rPr>
                <w:rFonts w:cs="TimesNewRoman"/>
                <w:sz w:val="20"/>
                <w:szCs w:val="22"/>
                <w:vertAlign w:val="superscript"/>
              </w:rPr>
              <w:t>nd</w:t>
            </w:r>
            <w:r w:rsidRPr="00561954">
              <w:rPr>
                <w:rFonts w:cs="TimesNewRoman"/>
                <w:sz w:val="20"/>
                <w:szCs w:val="22"/>
              </w:rPr>
              <w:t xml:space="preserve"> dose</w:t>
            </w:r>
          </w:p>
        </w:tc>
        <w:tc>
          <w:tcPr>
            <w:tcW w:w="1588"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N=23</w:t>
            </w:r>
          </w:p>
        </w:tc>
        <w:tc>
          <w:tcPr>
            <w:tcW w:w="2287"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N=163</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roofErr w:type="spellStart"/>
            <w:r w:rsidRPr="00561954">
              <w:rPr>
                <w:rFonts w:cs="TimesNewRoman"/>
                <w:b/>
                <w:bCs/>
                <w:sz w:val="20"/>
                <w:szCs w:val="22"/>
              </w:rPr>
              <w:t>fHBP</w:t>
            </w:r>
            <w:proofErr w:type="spellEnd"/>
          </w:p>
        </w:tc>
        <w:tc>
          <w:tcPr>
            <w:tcW w:w="34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seropositive</w:t>
            </w:r>
            <w:proofErr w:type="spellEnd"/>
            <w:r w:rsidRPr="00561954">
              <w:rPr>
                <w:rFonts w:cs="TimesNewRoman"/>
                <w:sz w:val="20"/>
                <w:szCs w:val="22"/>
              </w:rPr>
              <w:t>** (95% CI)</w:t>
            </w:r>
          </w:p>
        </w:tc>
        <w:tc>
          <w:tcPr>
            <w:tcW w:w="15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100% (85-100)</w:t>
            </w:r>
          </w:p>
        </w:tc>
        <w:tc>
          <w:tcPr>
            <w:tcW w:w="2287"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100% (98-100)</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roofErr w:type="spellStart"/>
            <w:r w:rsidRPr="00561954">
              <w:rPr>
                <w:rFonts w:cs="TimesNewRoman"/>
                <w:sz w:val="20"/>
                <w:szCs w:val="22"/>
              </w:rPr>
              <w:t>hSBA</w:t>
            </w:r>
            <w:proofErr w:type="spellEnd"/>
            <w:r w:rsidRPr="00561954">
              <w:rPr>
                <w:rFonts w:cs="TimesNewRoman"/>
                <w:sz w:val="20"/>
                <w:szCs w:val="22"/>
              </w:rPr>
              <w:t xml:space="preserve"> GMTs*** (95% CI)</w:t>
            </w:r>
          </w:p>
        </w:tc>
        <w:tc>
          <w:tcPr>
            <w:tcW w:w="15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250 (173-361)</w:t>
            </w:r>
          </w:p>
        </w:tc>
        <w:tc>
          <w:tcPr>
            <w:tcW w:w="228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271 (237-310)</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12 months after 2</w:t>
            </w:r>
            <w:r w:rsidRPr="00561954">
              <w:rPr>
                <w:rFonts w:cs="TimesNewRoman"/>
                <w:sz w:val="20"/>
                <w:szCs w:val="22"/>
                <w:vertAlign w:val="superscript"/>
              </w:rPr>
              <w:t>nd</w:t>
            </w:r>
            <w:r w:rsidRPr="00561954">
              <w:rPr>
                <w:rFonts w:cs="TimesNewRoman"/>
                <w:sz w:val="20"/>
                <w:szCs w:val="22"/>
              </w:rPr>
              <w:t xml:space="preserve"> dose</w:t>
            </w:r>
          </w:p>
        </w:tc>
        <w:tc>
          <w:tcPr>
            <w:tcW w:w="1588"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2287"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N=68</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seropositive</w:t>
            </w:r>
            <w:proofErr w:type="spellEnd"/>
            <w:r w:rsidRPr="00561954">
              <w:rPr>
                <w:rFonts w:cs="TimesNewRoman"/>
                <w:sz w:val="20"/>
                <w:szCs w:val="22"/>
              </w:rPr>
              <w:t xml:space="preserve"> (95% CI)</w:t>
            </w:r>
          </w:p>
        </w:tc>
        <w:tc>
          <w:tcPr>
            <w:tcW w:w="15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Not Done</w:t>
            </w:r>
          </w:p>
        </w:tc>
        <w:tc>
          <w:tcPr>
            <w:tcW w:w="2287"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74% (61-83)</w:t>
            </w:r>
          </w:p>
        </w:tc>
      </w:tr>
      <w:tr w:rsidR="00314F35" w:rsidRPr="00561954">
        <w:tc>
          <w:tcPr>
            <w:tcW w:w="1250"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roofErr w:type="spellStart"/>
            <w:r w:rsidRPr="00561954">
              <w:rPr>
                <w:rFonts w:cs="TimesNewRoman"/>
                <w:sz w:val="20"/>
                <w:szCs w:val="22"/>
              </w:rPr>
              <w:t>hSBA</w:t>
            </w:r>
            <w:proofErr w:type="spellEnd"/>
            <w:r w:rsidRPr="00561954">
              <w:rPr>
                <w:rFonts w:cs="TimesNewRoman"/>
                <w:sz w:val="20"/>
                <w:szCs w:val="22"/>
              </w:rPr>
              <w:t xml:space="preserve"> GMTs (95% CI)</w:t>
            </w:r>
          </w:p>
        </w:tc>
        <w:tc>
          <w:tcPr>
            <w:tcW w:w="15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228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14 (9.4-20)</w:t>
            </w:r>
          </w:p>
        </w:tc>
      </w:tr>
      <w:tr w:rsidR="00314F35" w:rsidRPr="00561954">
        <w:tc>
          <w:tcPr>
            <w:tcW w:w="1250"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b/>
                <w:bCs/>
                <w:sz w:val="20"/>
                <w:szCs w:val="22"/>
              </w:rPr>
            </w:pPr>
          </w:p>
        </w:tc>
        <w:tc>
          <w:tcPr>
            <w:tcW w:w="3488"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 month after 2</w:t>
            </w:r>
            <w:r w:rsidRPr="00561954">
              <w:rPr>
                <w:rFonts w:cs="TimesNewRoman"/>
                <w:sz w:val="20"/>
                <w:szCs w:val="22"/>
                <w:vertAlign w:val="superscript"/>
              </w:rPr>
              <w:t>nd</w:t>
            </w:r>
            <w:r w:rsidRPr="00561954">
              <w:rPr>
                <w:rFonts w:cs="TimesNewRoman"/>
                <w:sz w:val="20"/>
                <w:szCs w:val="22"/>
              </w:rPr>
              <w:t xml:space="preserve"> dose</w:t>
            </w:r>
          </w:p>
        </w:tc>
        <w:tc>
          <w:tcPr>
            <w:tcW w:w="1588"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N=23</w:t>
            </w:r>
          </w:p>
        </w:tc>
        <w:tc>
          <w:tcPr>
            <w:tcW w:w="2287"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N=164</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roofErr w:type="spellStart"/>
            <w:r w:rsidRPr="00561954">
              <w:rPr>
                <w:rFonts w:cs="TimesNewRoman"/>
                <w:b/>
                <w:bCs/>
                <w:sz w:val="20"/>
                <w:szCs w:val="22"/>
              </w:rPr>
              <w:t>NadA</w:t>
            </w:r>
            <w:proofErr w:type="spellEnd"/>
          </w:p>
        </w:tc>
        <w:tc>
          <w:tcPr>
            <w:tcW w:w="34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seropositive</w:t>
            </w:r>
            <w:proofErr w:type="spellEnd"/>
            <w:r w:rsidRPr="00561954">
              <w:rPr>
                <w:rFonts w:cs="TimesNewRoman"/>
                <w:sz w:val="20"/>
                <w:szCs w:val="22"/>
              </w:rPr>
              <w:t xml:space="preserve"> (95% CI)</w:t>
            </w:r>
          </w:p>
        </w:tc>
        <w:tc>
          <w:tcPr>
            <w:tcW w:w="15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100% (85-100)</w:t>
            </w:r>
          </w:p>
        </w:tc>
        <w:tc>
          <w:tcPr>
            <w:tcW w:w="2287"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100% (98-100)</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hSBA</w:t>
            </w:r>
            <w:proofErr w:type="spellEnd"/>
            <w:r w:rsidRPr="00561954">
              <w:rPr>
                <w:rFonts w:cs="TimesNewRoman"/>
                <w:sz w:val="20"/>
                <w:szCs w:val="22"/>
              </w:rPr>
              <w:t xml:space="preserve"> GMTs (95% CI)</w:t>
            </w:r>
          </w:p>
        </w:tc>
        <w:tc>
          <w:tcPr>
            <w:tcW w:w="15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534 (395-721)</w:t>
            </w:r>
          </w:p>
        </w:tc>
        <w:tc>
          <w:tcPr>
            <w:tcW w:w="228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599 (520-690)</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12 months after 2</w:t>
            </w:r>
            <w:r w:rsidRPr="00561954">
              <w:rPr>
                <w:rFonts w:cs="TimesNewRoman"/>
                <w:sz w:val="20"/>
                <w:szCs w:val="22"/>
                <w:vertAlign w:val="superscript"/>
              </w:rPr>
              <w:t>nd</w:t>
            </w:r>
            <w:r w:rsidRPr="00561954">
              <w:rPr>
                <w:rFonts w:cs="TimesNewRoman"/>
                <w:sz w:val="20"/>
                <w:szCs w:val="22"/>
              </w:rPr>
              <w:t xml:space="preserve"> dose</w:t>
            </w:r>
          </w:p>
        </w:tc>
        <w:tc>
          <w:tcPr>
            <w:tcW w:w="1588"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2287"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N=68</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seropositive</w:t>
            </w:r>
            <w:proofErr w:type="spellEnd"/>
            <w:r w:rsidRPr="00561954">
              <w:rPr>
                <w:rFonts w:cs="TimesNewRoman"/>
                <w:sz w:val="20"/>
                <w:szCs w:val="22"/>
              </w:rPr>
              <w:t xml:space="preserve"> (95% CI)</w:t>
            </w:r>
          </w:p>
        </w:tc>
        <w:tc>
          <w:tcPr>
            <w:tcW w:w="15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Not Done</w:t>
            </w:r>
          </w:p>
        </w:tc>
        <w:tc>
          <w:tcPr>
            <w:tcW w:w="2287"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97% (90-100)</w:t>
            </w:r>
          </w:p>
        </w:tc>
      </w:tr>
      <w:tr w:rsidR="00314F35" w:rsidRPr="00561954">
        <w:tc>
          <w:tcPr>
            <w:tcW w:w="1250"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roofErr w:type="spellStart"/>
            <w:r w:rsidRPr="00561954">
              <w:rPr>
                <w:rFonts w:cs="TimesNewRoman"/>
                <w:sz w:val="20"/>
                <w:szCs w:val="22"/>
              </w:rPr>
              <w:t>hSBA</w:t>
            </w:r>
            <w:proofErr w:type="spellEnd"/>
            <w:r w:rsidRPr="00561954">
              <w:rPr>
                <w:rFonts w:cs="TimesNewRoman"/>
                <w:sz w:val="20"/>
                <w:szCs w:val="22"/>
              </w:rPr>
              <w:t xml:space="preserve"> GMTs (95% CI)</w:t>
            </w:r>
          </w:p>
        </w:tc>
        <w:tc>
          <w:tcPr>
            <w:tcW w:w="1588" w:type="dxa"/>
            <w:tcBorders>
              <w:top w:val="nil"/>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2287" w:type="dxa"/>
            <w:tcBorders>
              <w:top w:val="nil"/>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70 (47-104)</w:t>
            </w:r>
          </w:p>
        </w:tc>
      </w:tr>
      <w:tr w:rsidR="00314F35" w:rsidRPr="00561954">
        <w:tc>
          <w:tcPr>
            <w:tcW w:w="1250"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b/>
                <w:bCs/>
                <w:sz w:val="20"/>
                <w:szCs w:val="22"/>
              </w:rPr>
            </w:pPr>
          </w:p>
        </w:tc>
        <w:tc>
          <w:tcPr>
            <w:tcW w:w="3488"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 month after 2</w:t>
            </w:r>
            <w:r w:rsidRPr="00561954">
              <w:rPr>
                <w:rFonts w:cs="TimesNewRoman"/>
                <w:sz w:val="20"/>
                <w:szCs w:val="22"/>
                <w:vertAlign w:val="superscript"/>
              </w:rPr>
              <w:t>nd</w:t>
            </w:r>
            <w:r w:rsidRPr="00561954">
              <w:rPr>
                <w:rFonts w:cs="TimesNewRoman"/>
                <w:sz w:val="20"/>
                <w:szCs w:val="22"/>
              </w:rPr>
              <w:t xml:space="preserve"> dose</w:t>
            </w:r>
          </w:p>
        </w:tc>
        <w:tc>
          <w:tcPr>
            <w:tcW w:w="1588"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N=22</w:t>
            </w:r>
          </w:p>
        </w:tc>
        <w:tc>
          <w:tcPr>
            <w:tcW w:w="2287"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N=164</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roofErr w:type="spellStart"/>
            <w:r w:rsidRPr="00561954">
              <w:rPr>
                <w:rFonts w:cs="TimesNewRoman"/>
                <w:b/>
                <w:bCs/>
                <w:sz w:val="20"/>
                <w:szCs w:val="22"/>
              </w:rPr>
              <w:t>PorA</w:t>
            </w:r>
            <w:proofErr w:type="spellEnd"/>
            <w:r w:rsidRPr="00561954">
              <w:rPr>
                <w:rFonts w:cs="TimesNewRoman"/>
                <w:b/>
                <w:bCs/>
                <w:sz w:val="20"/>
                <w:szCs w:val="22"/>
              </w:rPr>
              <w:t xml:space="preserve"> P1.4</w:t>
            </w:r>
          </w:p>
        </w:tc>
        <w:tc>
          <w:tcPr>
            <w:tcW w:w="34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seropositive</w:t>
            </w:r>
            <w:proofErr w:type="spellEnd"/>
            <w:r w:rsidRPr="00561954">
              <w:rPr>
                <w:rFonts w:cs="TimesNewRoman"/>
                <w:sz w:val="20"/>
                <w:szCs w:val="22"/>
              </w:rPr>
              <w:t xml:space="preserve"> (95% CI)</w:t>
            </w:r>
          </w:p>
        </w:tc>
        <w:tc>
          <w:tcPr>
            <w:tcW w:w="15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95% (77-100)</w:t>
            </w:r>
          </w:p>
        </w:tc>
        <w:tc>
          <w:tcPr>
            <w:tcW w:w="2287"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100% (98-100)</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hSBA</w:t>
            </w:r>
            <w:proofErr w:type="spellEnd"/>
            <w:r w:rsidRPr="00561954">
              <w:rPr>
                <w:rFonts w:cs="TimesNewRoman"/>
                <w:sz w:val="20"/>
                <w:szCs w:val="22"/>
              </w:rPr>
              <w:t xml:space="preserve"> GMTs (95% CI)</w:t>
            </w:r>
          </w:p>
        </w:tc>
        <w:tc>
          <w:tcPr>
            <w:tcW w:w="15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27 (21-36)</w:t>
            </w:r>
          </w:p>
        </w:tc>
        <w:tc>
          <w:tcPr>
            <w:tcW w:w="228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43 (38-49)</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12 months after 2</w:t>
            </w:r>
            <w:r w:rsidRPr="00561954">
              <w:rPr>
                <w:rFonts w:cs="TimesNewRoman"/>
                <w:sz w:val="20"/>
                <w:szCs w:val="22"/>
                <w:vertAlign w:val="superscript"/>
              </w:rPr>
              <w:t>nd</w:t>
            </w:r>
            <w:r w:rsidRPr="00561954">
              <w:rPr>
                <w:rFonts w:cs="TimesNewRoman"/>
                <w:sz w:val="20"/>
                <w:szCs w:val="22"/>
              </w:rPr>
              <w:t xml:space="preserve"> dose</w:t>
            </w:r>
          </w:p>
        </w:tc>
        <w:tc>
          <w:tcPr>
            <w:tcW w:w="1588"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2287"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N=68</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seropositive</w:t>
            </w:r>
            <w:proofErr w:type="spellEnd"/>
            <w:r w:rsidRPr="00561954">
              <w:rPr>
                <w:rFonts w:cs="TimesNewRoman"/>
                <w:sz w:val="20"/>
                <w:szCs w:val="22"/>
              </w:rPr>
              <w:t xml:space="preserve"> (95% CI)</w:t>
            </w:r>
          </w:p>
        </w:tc>
        <w:tc>
          <w:tcPr>
            <w:tcW w:w="15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Not Done</w:t>
            </w:r>
          </w:p>
        </w:tc>
        <w:tc>
          <w:tcPr>
            <w:tcW w:w="2287"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18% (9-29)</w:t>
            </w:r>
          </w:p>
        </w:tc>
      </w:tr>
      <w:tr w:rsidR="00314F35" w:rsidRPr="00561954">
        <w:tc>
          <w:tcPr>
            <w:tcW w:w="1250"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roofErr w:type="spellStart"/>
            <w:r w:rsidRPr="00561954">
              <w:rPr>
                <w:rFonts w:cs="TimesNewRoman"/>
                <w:sz w:val="20"/>
                <w:szCs w:val="22"/>
              </w:rPr>
              <w:t>hSBA</w:t>
            </w:r>
            <w:proofErr w:type="spellEnd"/>
            <w:r w:rsidRPr="00561954">
              <w:rPr>
                <w:rFonts w:cs="TimesNewRoman"/>
                <w:sz w:val="20"/>
                <w:szCs w:val="22"/>
              </w:rPr>
              <w:t xml:space="preserve"> GMTs (95% CI)</w:t>
            </w:r>
          </w:p>
        </w:tc>
        <w:tc>
          <w:tcPr>
            <w:tcW w:w="15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228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1.65 (1.2-2.28)</w:t>
            </w:r>
          </w:p>
        </w:tc>
      </w:tr>
      <w:tr w:rsidR="00314F35" w:rsidRPr="00561954">
        <w:tc>
          <w:tcPr>
            <w:tcW w:w="1250"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 month after 2</w:t>
            </w:r>
            <w:r w:rsidRPr="00561954">
              <w:rPr>
                <w:rFonts w:cs="TimesNewRoman"/>
                <w:sz w:val="20"/>
                <w:szCs w:val="22"/>
                <w:vertAlign w:val="superscript"/>
              </w:rPr>
              <w:t>nd</w:t>
            </w:r>
            <w:r w:rsidRPr="00561954">
              <w:rPr>
                <w:rFonts w:cs="TimesNewRoman"/>
                <w:sz w:val="20"/>
                <w:szCs w:val="22"/>
              </w:rPr>
              <w:t xml:space="preserve"> dose</w:t>
            </w:r>
          </w:p>
        </w:tc>
        <w:tc>
          <w:tcPr>
            <w:tcW w:w="1588"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2287"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N=46</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b/>
                <w:sz w:val="20"/>
                <w:szCs w:val="22"/>
              </w:rPr>
            </w:pPr>
            <w:r w:rsidRPr="00561954">
              <w:rPr>
                <w:rFonts w:cs="TimesNewRoman"/>
                <w:b/>
                <w:sz w:val="20"/>
                <w:szCs w:val="22"/>
              </w:rPr>
              <w:t>NHBA</w:t>
            </w:r>
          </w:p>
        </w:tc>
        <w:tc>
          <w:tcPr>
            <w:tcW w:w="34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seropositive</w:t>
            </w:r>
            <w:proofErr w:type="spellEnd"/>
            <w:r w:rsidRPr="00561954">
              <w:rPr>
                <w:rFonts w:cs="TimesNewRoman"/>
                <w:sz w:val="20"/>
                <w:szCs w:val="22"/>
              </w:rPr>
              <w:t xml:space="preserve"> (95% CI)</w:t>
            </w:r>
          </w:p>
        </w:tc>
        <w:tc>
          <w:tcPr>
            <w:tcW w:w="15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Not Done</w:t>
            </w:r>
          </w:p>
        </w:tc>
        <w:tc>
          <w:tcPr>
            <w:tcW w:w="2287"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63% (48-77)</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roofErr w:type="spellStart"/>
            <w:r w:rsidRPr="00561954">
              <w:rPr>
                <w:rFonts w:cs="TimesNewRoman"/>
                <w:sz w:val="20"/>
                <w:szCs w:val="22"/>
              </w:rPr>
              <w:t>hSBA</w:t>
            </w:r>
            <w:proofErr w:type="spellEnd"/>
            <w:r w:rsidRPr="00561954">
              <w:rPr>
                <w:rFonts w:cs="TimesNewRoman"/>
                <w:sz w:val="20"/>
                <w:szCs w:val="22"/>
              </w:rPr>
              <w:t xml:space="preserve"> GMTs (95% CI)</w:t>
            </w:r>
          </w:p>
        </w:tc>
        <w:tc>
          <w:tcPr>
            <w:tcW w:w="15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228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11 (7.07-16)</w:t>
            </w:r>
          </w:p>
        </w:tc>
      </w:tr>
      <w:tr w:rsidR="00314F35" w:rsidRPr="00561954">
        <w:trPr>
          <w:trHeight w:val="161"/>
        </w:trPr>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12 months after 2</w:t>
            </w:r>
            <w:r w:rsidRPr="00561954">
              <w:rPr>
                <w:rFonts w:cs="TimesNewRoman"/>
                <w:sz w:val="20"/>
                <w:szCs w:val="22"/>
                <w:vertAlign w:val="superscript"/>
              </w:rPr>
              <w:t>nd</w:t>
            </w:r>
            <w:r w:rsidRPr="00561954">
              <w:rPr>
                <w:rFonts w:cs="TimesNewRoman"/>
                <w:sz w:val="20"/>
                <w:szCs w:val="22"/>
              </w:rPr>
              <w:t xml:space="preserve"> dose</w:t>
            </w:r>
          </w:p>
        </w:tc>
        <w:tc>
          <w:tcPr>
            <w:tcW w:w="1588"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2287"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N=65</w:t>
            </w:r>
          </w:p>
        </w:tc>
      </w:tr>
      <w:tr w:rsidR="00314F35" w:rsidRPr="00561954">
        <w:tc>
          <w:tcPr>
            <w:tcW w:w="1250"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seropositive</w:t>
            </w:r>
            <w:proofErr w:type="spellEnd"/>
            <w:r w:rsidRPr="00561954">
              <w:rPr>
                <w:rFonts w:cs="TimesNewRoman"/>
                <w:sz w:val="20"/>
                <w:szCs w:val="22"/>
              </w:rPr>
              <w:t xml:space="preserve"> (95% CI)</w:t>
            </w:r>
          </w:p>
        </w:tc>
        <w:tc>
          <w:tcPr>
            <w:tcW w:w="1588"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Not Done</w:t>
            </w:r>
          </w:p>
        </w:tc>
        <w:tc>
          <w:tcPr>
            <w:tcW w:w="2287"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38% (27-51)</w:t>
            </w:r>
          </w:p>
        </w:tc>
      </w:tr>
      <w:tr w:rsidR="00314F35" w:rsidRPr="00561954">
        <w:tc>
          <w:tcPr>
            <w:tcW w:w="1250" w:type="dxa"/>
            <w:tcBorders>
              <w:top w:val="nil"/>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4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roofErr w:type="spellStart"/>
            <w:r w:rsidRPr="00561954">
              <w:rPr>
                <w:rFonts w:cs="TimesNewRoman"/>
                <w:sz w:val="20"/>
                <w:szCs w:val="22"/>
              </w:rPr>
              <w:t>hSBA</w:t>
            </w:r>
            <w:proofErr w:type="spellEnd"/>
            <w:r w:rsidRPr="00561954">
              <w:rPr>
                <w:rFonts w:cs="TimesNewRoman"/>
                <w:sz w:val="20"/>
                <w:szCs w:val="22"/>
              </w:rPr>
              <w:t xml:space="preserve"> GMTs (95% CI)</w:t>
            </w:r>
          </w:p>
        </w:tc>
        <w:tc>
          <w:tcPr>
            <w:tcW w:w="158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228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3.7 (2.15-6.35)</w:t>
            </w:r>
          </w:p>
        </w:tc>
      </w:tr>
    </w:tbl>
    <w:p w:rsidR="00314F35" w:rsidRPr="00561954" w:rsidRDefault="00314F35" w:rsidP="00314F35">
      <w:pPr>
        <w:pStyle w:val="BodyText"/>
        <w:ind w:left="720"/>
        <w:rPr>
          <w:sz w:val="20"/>
        </w:rPr>
      </w:pPr>
    </w:p>
    <w:p w:rsidR="00314F35" w:rsidRPr="00561954" w:rsidRDefault="00314F35" w:rsidP="002C59B7">
      <w:pPr>
        <w:widowControl w:val="0"/>
        <w:autoSpaceDE w:val="0"/>
        <w:autoSpaceDN w:val="0"/>
        <w:adjustRightInd w:val="0"/>
        <w:spacing w:after="0"/>
        <w:ind w:right="305"/>
        <w:rPr>
          <w:rFonts w:cs="TimesNewRoman"/>
          <w:sz w:val="20"/>
          <w:szCs w:val="22"/>
        </w:rPr>
      </w:pPr>
      <w:r w:rsidRPr="00561954">
        <w:rPr>
          <w:rFonts w:cs="TimesNewRoman"/>
          <w:sz w:val="20"/>
          <w:szCs w:val="22"/>
        </w:rPr>
        <w:t xml:space="preserve">* The following strains of group B </w:t>
      </w:r>
      <w:proofErr w:type="spellStart"/>
      <w:r w:rsidRPr="00561954">
        <w:rPr>
          <w:rFonts w:cs="TimesNewRoman"/>
          <w:sz w:val="20"/>
          <w:szCs w:val="22"/>
        </w:rPr>
        <w:t>meningococci</w:t>
      </w:r>
      <w:proofErr w:type="spellEnd"/>
      <w:r w:rsidRPr="00561954">
        <w:rPr>
          <w:rFonts w:cs="TimesNewRoman"/>
          <w:sz w:val="20"/>
          <w:szCs w:val="22"/>
        </w:rPr>
        <w:t xml:space="preserve">, which were isolated from cases of invasive disease, were used to assess functional immunogenicity against each of the vaccine antigens by </w:t>
      </w:r>
      <w:proofErr w:type="spellStart"/>
      <w:r w:rsidRPr="00561954">
        <w:rPr>
          <w:rFonts w:cs="TimesNewRoman"/>
          <w:sz w:val="20"/>
          <w:szCs w:val="22"/>
        </w:rPr>
        <w:t>hSBA</w:t>
      </w:r>
      <w:proofErr w:type="spellEnd"/>
      <w:r w:rsidRPr="00561954">
        <w:rPr>
          <w:rFonts w:cs="TimesNewRoman"/>
          <w:sz w:val="20"/>
          <w:szCs w:val="22"/>
        </w:rPr>
        <w:t>:</w:t>
      </w:r>
    </w:p>
    <w:p w:rsidR="00314F35" w:rsidRPr="00561954" w:rsidRDefault="00314F35" w:rsidP="00314F35">
      <w:pPr>
        <w:widowControl w:val="0"/>
        <w:numPr>
          <w:ilvl w:val="0"/>
          <w:numId w:val="30"/>
        </w:numPr>
        <w:autoSpaceDE w:val="0"/>
        <w:autoSpaceDN w:val="0"/>
        <w:adjustRightInd w:val="0"/>
        <w:spacing w:after="0"/>
        <w:ind w:left="426" w:right="305" w:hanging="142"/>
        <w:rPr>
          <w:rFonts w:cs="TimesNewRoman"/>
          <w:sz w:val="20"/>
          <w:szCs w:val="22"/>
        </w:rPr>
      </w:pPr>
      <w:proofErr w:type="spellStart"/>
      <w:r w:rsidRPr="00561954">
        <w:rPr>
          <w:rFonts w:cs="TimesNewRoman"/>
          <w:sz w:val="20"/>
          <w:szCs w:val="22"/>
        </w:rPr>
        <w:t>fHBP</w:t>
      </w:r>
      <w:proofErr w:type="spellEnd"/>
      <w:r w:rsidRPr="00561954">
        <w:rPr>
          <w:rFonts w:cs="TimesNewRoman"/>
          <w:sz w:val="20"/>
          <w:szCs w:val="22"/>
        </w:rPr>
        <w:t xml:space="preserve"> antigen: strain 44/76</w:t>
      </w:r>
    </w:p>
    <w:p w:rsidR="00314F35" w:rsidRPr="00561954" w:rsidRDefault="00314F35" w:rsidP="00314F35">
      <w:pPr>
        <w:widowControl w:val="0"/>
        <w:numPr>
          <w:ilvl w:val="0"/>
          <w:numId w:val="30"/>
        </w:numPr>
        <w:autoSpaceDE w:val="0"/>
        <w:autoSpaceDN w:val="0"/>
        <w:adjustRightInd w:val="0"/>
        <w:spacing w:after="0"/>
        <w:ind w:left="426" w:right="305" w:hanging="142"/>
        <w:rPr>
          <w:rFonts w:cs="TimesNewRoman"/>
          <w:sz w:val="20"/>
          <w:szCs w:val="22"/>
        </w:rPr>
      </w:pPr>
      <w:proofErr w:type="spellStart"/>
      <w:r w:rsidRPr="00561954">
        <w:rPr>
          <w:rFonts w:cs="TimesNewRoman"/>
          <w:sz w:val="20"/>
          <w:szCs w:val="22"/>
        </w:rPr>
        <w:t>NadA</w:t>
      </w:r>
      <w:proofErr w:type="spellEnd"/>
      <w:r w:rsidRPr="00561954">
        <w:rPr>
          <w:rFonts w:cs="TimesNewRoman"/>
          <w:sz w:val="20"/>
          <w:szCs w:val="22"/>
        </w:rPr>
        <w:t xml:space="preserve"> antigen: strain 5/99</w:t>
      </w:r>
    </w:p>
    <w:p w:rsidR="00314F35" w:rsidRPr="00561954" w:rsidRDefault="00314F35" w:rsidP="00314F35">
      <w:pPr>
        <w:widowControl w:val="0"/>
        <w:numPr>
          <w:ilvl w:val="0"/>
          <w:numId w:val="30"/>
        </w:numPr>
        <w:autoSpaceDE w:val="0"/>
        <w:autoSpaceDN w:val="0"/>
        <w:adjustRightInd w:val="0"/>
        <w:spacing w:after="0"/>
        <w:ind w:left="426" w:right="305" w:hanging="142"/>
        <w:rPr>
          <w:rFonts w:cs="TimesNewRoman"/>
          <w:sz w:val="20"/>
          <w:szCs w:val="22"/>
        </w:rPr>
      </w:pPr>
      <w:proofErr w:type="spellStart"/>
      <w:r w:rsidRPr="00561954">
        <w:rPr>
          <w:rFonts w:cs="TimesNewRoman"/>
          <w:sz w:val="20"/>
          <w:szCs w:val="22"/>
        </w:rPr>
        <w:t>immunodominant</w:t>
      </w:r>
      <w:proofErr w:type="spellEnd"/>
      <w:r w:rsidRPr="00561954">
        <w:rPr>
          <w:rFonts w:cs="TimesNewRoman"/>
          <w:sz w:val="20"/>
          <w:szCs w:val="22"/>
        </w:rPr>
        <w:t xml:space="preserve"> </w:t>
      </w:r>
      <w:proofErr w:type="spellStart"/>
      <w:r w:rsidRPr="00561954">
        <w:rPr>
          <w:rFonts w:cs="TimesNewRoman"/>
          <w:sz w:val="20"/>
          <w:szCs w:val="22"/>
        </w:rPr>
        <w:t>PorA</w:t>
      </w:r>
      <w:proofErr w:type="spellEnd"/>
      <w:r w:rsidRPr="00561954">
        <w:rPr>
          <w:rFonts w:cs="TimesNewRoman"/>
          <w:sz w:val="20"/>
          <w:szCs w:val="22"/>
        </w:rPr>
        <w:t xml:space="preserve"> P1.4 component of OMV: strain NZ98/254</w:t>
      </w:r>
    </w:p>
    <w:p w:rsidR="00314F35" w:rsidRPr="00561954" w:rsidRDefault="00314F35" w:rsidP="00314F35">
      <w:pPr>
        <w:widowControl w:val="0"/>
        <w:numPr>
          <w:ilvl w:val="0"/>
          <w:numId w:val="30"/>
        </w:numPr>
        <w:autoSpaceDE w:val="0"/>
        <w:autoSpaceDN w:val="0"/>
        <w:adjustRightInd w:val="0"/>
        <w:spacing w:after="0"/>
        <w:ind w:left="426" w:right="305" w:hanging="142"/>
        <w:rPr>
          <w:rFonts w:cs="TimesNewRoman"/>
          <w:sz w:val="20"/>
          <w:szCs w:val="22"/>
        </w:rPr>
      </w:pPr>
      <w:r w:rsidRPr="00561954">
        <w:rPr>
          <w:rFonts w:cs="TimesNewRoman"/>
          <w:sz w:val="20"/>
          <w:szCs w:val="22"/>
        </w:rPr>
        <w:t>NHBA antigen: strain M10713</w:t>
      </w:r>
    </w:p>
    <w:p w:rsidR="00314F35" w:rsidRPr="00561954" w:rsidRDefault="00314F35" w:rsidP="00314F35">
      <w:pPr>
        <w:pStyle w:val="BodyText"/>
        <w:spacing w:after="0"/>
        <w:ind w:right="305"/>
        <w:rPr>
          <w:sz w:val="20"/>
        </w:rPr>
      </w:pPr>
      <w:r w:rsidRPr="00561954">
        <w:rPr>
          <w:sz w:val="20"/>
        </w:rPr>
        <w:t xml:space="preserve">** % </w:t>
      </w:r>
      <w:proofErr w:type="spellStart"/>
      <w:r w:rsidRPr="00561954">
        <w:rPr>
          <w:sz w:val="20"/>
        </w:rPr>
        <w:t>seropositive</w:t>
      </w:r>
      <w:proofErr w:type="spellEnd"/>
      <w:r w:rsidRPr="00561954">
        <w:rPr>
          <w:sz w:val="20"/>
        </w:rPr>
        <w:t xml:space="preserve"> = the percentage of subjects who achieved an </w:t>
      </w:r>
      <w:proofErr w:type="spellStart"/>
      <w:r w:rsidRPr="00561954">
        <w:rPr>
          <w:sz w:val="20"/>
        </w:rPr>
        <w:t>hSBA</w:t>
      </w:r>
      <w:proofErr w:type="spellEnd"/>
      <w:r w:rsidRPr="00561954">
        <w:rPr>
          <w:sz w:val="20"/>
        </w:rPr>
        <w:t xml:space="preserve"> ≥ 1:4 in study V72P9 and </w:t>
      </w:r>
      <w:proofErr w:type="spellStart"/>
      <w:r w:rsidRPr="00561954">
        <w:rPr>
          <w:sz w:val="20"/>
        </w:rPr>
        <w:t>hSBA</w:t>
      </w:r>
      <w:proofErr w:type="spellEnd"/>
      <w:r w:rsidRPr="00561954">
        <w:rPr>
          <w:sz w:val="20"/>
        </w:rPr>
        <w:t xml:space="preserve"> ≥ 1:5 in studies V72P13E1 and V72P13E2.</w:t>
      </w:r>
    </w:p>
    <w:p w:rsidR="00314F35" w:rsidRPr="00561954" w:rsidRDefault="00314F35" w:rsidP="00314F35">
      <w:pPr>
        <w:pStyle w:val="BodyText"/>
        <w:spacing w:after="0"/>
        <w:ind w:right="305"/>
        <w:rPr>
          <w:sz w:val="20"/>
        </w:rPr>
      </w:pPr>
      <w:r w:rsidRPr="00561954">
        <w:rPr>
          <w:sz w:val="20"/>
        </w:rPr>
        <w:t xml:space="preserve">***GMTs = geometric mean titers.  </w:t>
      </w:r>
    </w:p>
    <w:p w:rsidR="00314F35" w:rsidRPr="00561954" w:rsidRDefault="00314F35" w:rsidP="00314F35">
      <w:pPr>
        <w:pStyle w:val="BodyText"/>
      </w:pPr>
    </w:p>
    <w:p w:rsidR="00314F35" w:rsidRPr="00561954" w:rsidRDefault="00314F35" w:rsidP="00314F35">
      <w:pPr>
        <w:widowControl w:val="0"/>
        <w:autoSpaceDE w:val="0"/>
        <w:autoSpaceDN w:val="0"/>
        <w:adjustRightInd w:val="0"/>
        <w:spacing w:after="0"/>
        <w:ind w:left="0" w:firstLine="0"/>
        <w:rPr>
          <w:rFonts w:cs="TimesNewRoman"/>
          <w:i/>
          <w:iCs/>
          <w:szCs w:val="24"/>
          <w:u w:val="single"/>
        </w:rPr>
      </w:pPr>
      <w:r w:rsidRPr="00561954">
        <w:rPr>
          <w:rFonts w:cs="TimesNewRoman"/>
          <w:i/>
          <w:iCs/>
          <w:szCs w:val="24"/>
          <w:u w:val="single"/>
        </w:rPr>
        <w:lastRenderedPageBreak/>
        <w:t>Immunogenicity in individuals aged 11 years and older</w:t>
      </w: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t xml:space="preserve">In adolescents study (V72P10), participants received two doses of BEXSERO with a one, two or six month interval between doses, as shown in Table 4 below. </w:t>
      </w: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 xml:space="preserve">In other studies in adults (V72P4 and V72P5), data were also obtained after two doses of BEXSERO with a one month or two month interval between doses (see Table 4 below). </w:t>
      </w:r>
    </w:p>
    <w:p w:rsidR="00314F35" w:rsidRPr="00561954" w:rsidRDefault="00314F35" w:rsidP="00307BFD">
      <w:pPr>
        <w:pStyle w:val="BodyText"/>
        <w:spacing w:after="0"/>
        <w:jc w:val="both"/>
      </w:pP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 xml:space="preserve">The vaccination schedules of two doses administered with an interval of one or two months showed similar immune responses in both adults (V72P4, V72P5) and adolescents (V72P10). Similar responses were also observed for adolescents administered two doses of BEXSERO with an interval of six months (V72P10).  </w:t>
      </w: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 xml:space="preserve">Baseline GMTs were also similar against the reference strains in all studies both in adolescents (ranging from 2.64 to 4.11) and in adults (ranging from 1.71 to 4.06).  </w:t>
      </w:r>
    </w:p>
    <w:p w:rsidR="00153703" w:rsidRDefault="00153703" w:rsidP="00153703">
      <w:pPr>
        <w:tabs>
          <w:tab w:val="left" w:pos="9356"/>
        </w:tabs>
        <w:spacing w:after="0"/>
        <w:ind w:left="289" w:hanging="289"/>
        <w:jc w:val="both"/>
        <w:rPr>
          <w:rFonts w:cs="TimesNewRoman"/>
          <w:b/>
          <w:bCs/>
          <w:sz w:val="22"/>
          <w:szCs w:val="22"/>
        </w:rPr>
      </w:pPr>
    </w:p>
    <w:p w:rsidR="00314F35" w:rsidRPr="008939FC" w:rsidRDefault="00314F35" w:rsidP="00307BFD">
      <w:pPr>
        <w:tabs>
          <w:tab w:val="left" w:pos="9356"/>
        </w:tabs>
        <w:jc w:val="both"/>
        <w:rPr>
          <w:sz w:val="22"/>
          <w:szCs w:val="22"/>
        </w:rPr>
      </w:pPr>
      <w:r w:rsidRPr="00561954">
        <w:rPr>
          <w:rFonts w:cs="TimesNewRoman"/>
          <w:b/>
          <w:bCs/>
          <w:sz w:val="22"/>
          <w:szCs w:val="22"/>
        </w:rPr>
        <w:t xml:space="preserve">Table 4: Serum bactericidal antibody responses in adults or adolescents </w:t>
      </w:r>
      <w:r w:rsidRPr="00561954">
        <w:rPr>
          <w:b/>
          <w:bCs/>
          <w:sz w:val="22"/>
          <w:szCs w:val="22"/>
        </w:rPr>
        <w:t xml:space="preserve">administered two different dose </w:t>
      </w:r>
      <w:r w:rsidRPr="00561954">
        <w:rPr>
          <w:rFonts w:cs="TimesNewRoman"/>
          <w:b/>
          <w:bCs/>
          <w:sz w:val="22"/>
          <w:szCs w:val="22"/>
        </w:rPr>
        <w:t>schedules of BEXSERO</w:t>
      </w:r>
      <w:r w:rsidR="00044C8D" w:rsidRPr="00561954">
        <w:rPr>
          <w:rFonts w:cs="TimesNewRoman"/>
          <w:b/>
          <w:bCs/>
          <w:sz w:val="22"/>
          <w:szCs w:val="22"/>
        </w:rPr>
        <w:t xml:space="preserve"> </w:t>
      </w:r>
      <w:r w:rsidR="00044C8D" w:rsidRPr="008939FC">
        <w:rPr>
          <w:rFonts w:cs="TimesNewRoman"/>
          <w:b/>
          <w:bCs/>
          <w:sz w:val="22"/>
          <w:szCs w:val="22"/>
        </w:rPr>
        <w:t>measured one month after the second dose</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94"/>
        <w:gridCol w:w="1666"/>
        <w:gridCol w:w="1247"/>
        <w:gridCol w:w="1247"/>
        <w:gridCol w:w="1248"/>
        <w:gridCol w:w="1247"/>
        <w:gridCol w:w="1248"/>
      </w:tblGrid>
      <w:tr w:rsidR="00314F35" w:rsidRPr="00561954" w:rsidTr="00635C4B">
        <w:tc>
          <w:tcPr>
            <w:tcW w:w="994"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rPr>
                <w:rFonts w:cs="TimesNewRoman"/>
                <w:sz w:val="20"/>
                <w:szCs w:val="22"/>
              </w:rPr>
            </w:pPr>
            <w:r w:rsidRPr="00441701">
              <w:rPr>
                <w:rFonts w:cs="TimesNewRoman"/>
                <w:b/>
                <w:bCs/>
                <w:sz w:val="20"/>
                <w:szCs w:val="22"/>
              </w:rPr>
              <w:t>Antigen*</w:t>
            </w:r>
            <w:r w:rsidRPr="00441701">
              <w:rPr>
                <w:rFonts w:cs="TimesNewRoman"/>
                <w:b/>
                <w:bCs/>
                <w:sz w:val="20"/>
                <w:szCs w:val="22"/>
              </w:rPr>
              <w:br/>
            </w:r>
          </w:p>
        </w:tc>
        <w:tc>
          <w:tcPr>
            <w:tcW w:w="1666"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jc w:val="center"/>
              <w:rPr>
                <w:rFonts w:cs="TimesNewRoman"/>
                <w:sz w:val="20"/>
                <w:szCs w:val="22"/>
              </w:rPr>
            </w:pPr>
          </w:p>
        </w:tc>
        <w:tc>
          <w:tcPr>
            <w:tcW w:w="1247"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jc w:val="center"/>
              <w:rPr>
                <w:rFonts w:cs="TimesNewRoman"/>
                <w:b/>
                <w:sz w:val="20"/>
                <w:szCs w:val="22"/>
              </w:rPr>
            </w:pPr>
            <w:r w:rsidRPr="00561954">
              <w:rPr>
                <w:rFonts w:cs="TimesNewRoman"/>
                <w:b/>
                <w:bCs/>
                <w:sz w:val="20"/>
                <w:szCs w:val="22"/>
              </w:rPr>
              <w:t xml:space="preserve">V72P5 </w:t>
            </w:r>
            <w:r w:rsidRPr="00561954">
              <w:rPr>
                <w:rFonts w:cs="TimesNewRoman"/>
                <w:b/>
                <w:bCs/>
                <w:sz w:val="20"/>
                <w:szCs w:val="22"/>
              </w:rPr>
              <w:br/>
            </w:r>
            <w:r w:rsidRPr="00561954">
              <w:rPr>
                <w:rFonts w:cs="TimesNewRoman"/>
                <w:bCs/>
                <w:sz w:val="20"/>
                <w:szCs w:val="22"/>
              </w:rPr>
              <w:t>0, 1</w:t>
            </w:r>
            <w:r w:rsidRPr="00561954">
              <w:rPr>
                <w:rFonts w:cs="TimesNewRoman"/>
                <w:sz w:val="20"/>
                <w:szCs w:val="22"/>
              </w:rPr>
              <w:t xml:space="preserve"> months</w:t>
            </w:r>
          </w:p>
        </w:tc>
        <w:tc>
          <w:tcPr>
            <w:tcW w:w="1247"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jc w:val="center"/>
              <w:rPr>
                <w:rFonts w:cs="TimesNewRoman"/>
                <w:b/>
                <w:sz w:val="20"/>
                <w:szCs w:val="22"/>
              </w:rPr>
            </w:pPr>
            <w:r w:rsidRPr="00561954">
              <w:rPr>
                <w:rFonts w:cs="TimesNewRoman"/>
                <w:b/>
                <w:bCs/>
                <w:sz w:val="20"/>
                <w:szCs w:val="22"/>
              </w:rPr>
              <w:t xml:space="preserve">V72P10 </w:t>
            </w:r>
            <w:r w:rsidRPr="00561954">
              <w:rPr>
                <w:rFonts w:cs="TimesNewRoman"/>
                <w:b/>
                <w:bCs/>
                <w:sz w:val="20"/>
                <w:szCs w:val="22"/>
              </w:rPr>
              <w:br/>
            </w:r>
            <w:r w:rsidRPr="00561954">
              <w:rPr>
                <w:rFonts w:cs="TimesNewRoman"/>
                <w:bCs/>
                <w:sz w:val="20"/>
                <w:szCs w:val="22"/>
              </w:rPr>
              <w:t>0, 1 months</w:t>
            </w:r>
          </w:p>
        </w:tc>
        <w:tc>
          <w:tcPr>
            <w:tcW w:w="1248"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jc w:val="center"/>
              <w:rPr>
                <w:rFonts w:cs="TimesNewRoman"/>
                <w:b/>
                <w:bCs/>
                <w:sz w:val="20"/>
                <w:szCs w:val="22"/>
              </w:rPr>
            </w:pPr>
            <w:r w:rsidRPr="00561954">
              <w:rPr>
                <w:rFonts w:cs="TimesNewRoman"/>
                <w:b/>
                <w:bCs/>
                <w:sz w:val="20"/>
                <w:szCs w:val="22"/>
              </w:rPr>
              <w:t xml:space="preserve">V72P4 </w:t>
            </w:r>
            <w:r w:rsidRPr="00561954">
              <w:rPr>
                <w:rFonts w:cs="TimesNewRoman"/>
                <w:b/>
                <w:bCs/>
                <w:sz w:val="20"/>
                <w:szCs w:val="22"/>
              </w:rPr>
              <w:br/>
            </w:r>
            <w:r w:rsidRPr="00561954">
              <w:rPr>
                <w:rFonts w:cs="TimesNewRoman"/>
                <w:bCs/>
                <w:sz w:val="20"/>
                <w:szCs w:val="22"/>
              </w:rPr>
              <w:t>0, 2 months</w:t>
            </w:r>
            <w:r w:rsidRPr="00561954">
              <w:rPr>
                <w:rFonts w:cs="TimesNewRoman"/>
                <w:b/>
                <w:bCs/>
                <w:sz w:val="20"/>
                <w:szCs w:val="22"/>
              </w:rPr>
              <w:t xml:space="preserve"> </w:t>
            </w:r>
          </w:p>
        </w:tc>
        <w:tc>
          <w:tcPr>
            <w:tcW w:w="1247"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jc w:val="center"/>
              <w:rPr>
                <w:rFonts w:cs="TimesNewRoman"/>
                <w:b/>
                <w:bCs/>
                <w:sz w:val="20"/>
                <w:szCs w:val="22"/>
              </w:rPr>
            </w:pPr>
            <w:r w:rsidRPr="00561954">
              <w:rPr>
                <w:rFonts w:cs="TimesNewRoman"/>
                <w:b/>
                <w:bCs/>
                <w:sz w:val="20"/>
                <w:szCs w:val="22"/>
              </w:rPr>
              <w:t xml:space="preserve">V72P10 </w:t>
            </w:r>
            <w:r w:rsidRPr="00561954">
              <w:rPr>
                <w:rFonts w:cs="TimesNewRoman"/>
                <w:b/>
                <w:bCs/>
                <w:sz w:val="20"/>
                <w:szCs w:val="22"/>
              </w:rPr>
              <w:br/>
            </w:r>
            <w:r w:rsidRPr="00561954">
              <w:rPr>
                <w:rFonts w:cs="TimesNewRoman"/>
                <w:bCs/>
                <w:sz w:val="20"/>
                <w:szCs w:val="22"/>
              </w:rPr>
              <w:t>0, 2 months</w:t>
            </w:r>
          </w:p>
        </w:tc>
        <w:tc>
          <w:tcPr>
            <w:tcW w:w="1248" w:type="dxa"/>
            <w:tcBorders>
              <w:left w:val="single" w:sz="4" w:space="0" w:color="auto"/>
              <w:bottom w:val="single" w:sz="4" w:space="0" w:color="auto"/>
              <w:right w:val="single" w:sz="4" w:space="0" w:color="auto"/>
            </w:tcBorders>
          </w:tcPr>
          <w:p w:rsidR="00314F35" w:rsidRPr="00561954" w:rsidRDefault="00314F35" w:rsidP="00314F35">
            <w:pPr>
              <w:pStyle w:val="BodyText"/>
              <w:spacing w:before="60" w:after="60"/>
              <w:jc w:val="center"/>
              <w:rPr>
                <w:rFonts w:cs="TimesNewRoman"/>
                <w:b/>
                <w:bCs/>
                <w:sz w:val="20"/>
                <w:szCs w:val="22"/>
              </w:rPr>
            </w:pPr>
            <w:r w:rsidRPr="00561954">
              <w:rPr>
                <w:rFonts w:cs="TimesNewRoman"/>
                <w:b/>
                <w:bCs/>
                <w:sz w:val="20"/>
                <w:szCs w:val="22"/>
              </w:rPr>
              <w:t xml:space="preserve">V72P10 </w:t>
            </w:r>
          </w:p>
          <w:p w:rsidR="00314F35" w:rsidRPr="00561954" w:rsidRDefault="00314F35" w:rsidP="00314F35">
            <w:pPr>
              <w:pStyle w:val="BodyText"/>
              <w:spacing w:before="60" w:after="60"/>
              <w:jc w:val="center"/>
              <w:rPr>
                <w:rFonts w:cs="TimesNewRoman"/>
                <w:bCs/>
                <w:sz w:val="20"/>
                <w:szCs w:val="22"/>
              </w:rPr>
            </w:pPr>
            <w:r w:rsidRPr="00561954">
              <w:rPr>
                <w:rFonts w:cs="TimesNewRoman"/>
                <w:bCs/>
                <w:sz w:val="20"/>
                <w:szCs w:val="22"/>
              </w:rPr>
              <w:t xml:space="preserve">0, 6 </w:t>
            </w:r>
          </w:p>
          <w:p w:rsidR="00314F35" w:rsidRPr="00561954" w:rsidRDefault="00314F35" w:rsidP="00314F35">
            <w:pPr>
              <w:pStyle w:val="BodyText"/>
              <w:spacing w:before="60" w:after="60"/>
              <w:jc w:val="center"/>
            </w:pPr>
            <w:r w:rsidRPr="00561954">
              <w:rPr>
                <w:rFonts w:cs="TimesNewRoman"/>
                <w:bCs/>
                <w:sz w:val="20"/>
                <w:szCs w:val="22"/>
              </w:rPr>
              <w:t>months</w:t>
            </w:r>
          </w:p>
        </w:tc>
      </w:tr>
      <w:tr w:rsidR="00314F35" w:rsidRPr="00561954" w:rsidTr="00635C4B">
        <w:tc>
          <w:tcPr>
            <w:tcW w:w="994"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1666"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1247"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N=28</w:t>
            </w:r>
          </w:p>
        </w:tc>
        <w:tc>
          <w:tcPr>
            <w:tcW w:w="1247"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N=637</w:t>
            </w:r>
          </w:p>
        </w:tc>
        <w:tc>
          <w:tcPr>
            <w:tcW w:w="1248"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N=46</w:t>
            </w:r>
          </w:p>
        </w:tc>
        <w:tc>
          <w:tcPr>
            <w:tcW w:w="1247"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N=319</w:t>
            </w:r>
          </w:p>
        </w:tc>
        <w:tc>
          <w:tcPr>
            <w:tcW w:w="1248"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N=86</w:t>
            </w:r>
          </w:p>
        </w:tc>
      </w:tr>
      <w:tr w:rsidR="00314F35" w:rsidRPr="00561954" w:rsidTr="00635C4B">
        <w:tc>
          <w:tcPr>
            <w:tcW w:w="994"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roofErr w:type="spellStart"/>
            <w:r w:rsidRPr="00561954">
              <w:rPr>
                <w:rFonts w:cs="TimesNewRoman"/>
                <w:b/>
                <w:bCs/>
                <w:sz w:val="20"/>
                <w:szCs w:val="22"/>
              </w:rPr>
              <w:t>fHBP</w:t>
            </w:r>
            <w:proofErr w:type="spellEnd"/>
          </w:p>
        </w:tc>
        <w:tc>
          <w:tcPr>
            <w:tcW w:w="1666" w:type="dxa"/>
            <w:tcBorders>
              <w:top w:val="nil"/>
              <w:left w:val="single" w:sz="4" w:space="0" w:color="auto"/>
              <w:bottom w:val="single" w:sz="4" w:space="0" w:color="auto"/>
              <w:right w:val="single" w:sz="4" w:space="0" w:color="auto"/>
            </w:tcBorders>
          </w:tcPr>
          <w:p w:rsidR="00314F35" w:rsidRPr="00561954" w:rsidRDefault="00314F35" w:rsidP="00635C4B">
            <w:pPr>
              <w:widowControl w:val="0"/>
              <w:autoSpaceDE w:val="0"/>
              <w:autoSpaceDN w:val="0"/>
              <w:adjustRightInd w:val="0"/>
              <w:spacing w:before="20" w:after="60"/>
              <w:ind w:left="-1" w:firstLine="1"/>
              <w:jc w:val="center"/>
              <w:rPr>
                <w:rFonts w:cs="TimesNewRoman"/>
                <w:sz w:val="20"/>
                <w:szCs w:val="22"/>
              </w:rPr>
            </w:pPr>
            <w:r w:rsidRPr="00561954">
              <w:rPr>
                <w:rFonts w:cs="TimesNewRoman"/>
                <w:sz w:val="20"/>
                <w:szCs w:val="22"/>
              </w:rPr>
              <w:t>%</w:t>
            </w:r>
            <w:r w:rsidR="00635C4B" w:rsidRPr="00561954">
              <w:rPr>
                <w:rFonts w:cs="TimesNewRoman"/>
                <w:sz w:val="20"/>
                <w:szCs w:val="22"/>
              </w:rPr>
              <w:t xml:space="preserve"> </w:t>
            </w:r>
            <w:proofErr w:type="spellStart"/>
            <w:r w:rsidRPr="00561954">
              <w:rPr>
                <w:rFonts w:cs="TimesNewRoman"/>
                <w:sz w:val="20"/>
                <w:szCs w:val="22"/>
              </w:rPr>
              <w:t>seropositive</w:t>
            </w:r>
            <w:proofErr w:type="spellEnd"/>
            <w:r w:rsidRPr="00561954">
              <w:rPr>
                <w:rFonts w:cs="TimesNewRoman"/>
                <w:sz w:val="20"/>
                <w:szCs w:val="22"/>
              </w:rPr>
              <w:t>** (95% CI)</w:t>
            </w:r>
          </w:p>
        </w:tc>
        <w:tc>
          <w:tcPr>
            <w:tcW w:w="124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(88-100)</w:t>
            </w:r>
          </w:p>
        </w:tc>
        <w:tc>
          <w:tcPr>
            <w:tcW w:w="124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(99-100)</w:t>
            </w:r>
          </w:p>
        </w:tc>
        <w:tc>
          <w:tcPr>
            <w:tcW w:w="124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(92-100)</w:t>
            </w:r>
          </w:p>
        </w:tc>
        <w:tc>
          <w:tcPr>
            <w:tcW w:w="124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(99-100)</w:t>
            </w:r>
          </w:p>
        </w:tc>
        <w:tc>
          <w:tcPr>
            <w:tcW w:w="124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(96-100)</w:t>
            </w:r>
          </w:p>
        </w:tc>
      </w:tr>
      <w:tr w:rsidR="00314F35" w:rsidRPr="00561954" w:rsidTr="00635C4B">
        <w:tc>
          <w:tcPr>
            <w:tcW w:w="994"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1666" w:type="dxa"/>
            <w:tcBorders>
              <w:top w:val="single" w:sz="4" w:space="0" w:color="auto"/>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roofErr w:type="spellStart"/>
            <w:r w:rsidRPr="00561954">
              <w:rPr>
                <w:rFonts w:cs="TimesNewRoman"/>
                <w:sz w:val="20"/>
                <w:szCs w:val="22"/>
              </w:rPr>
              <w:t>hSBA</w:t>
            </w:r>
            <w:proofErr w:type="spellEnd"/>
            <w:r w:rsidRPr="00561954">
              <w:rPr>
                <w:rFonts w:cs="TimesNewRoman"/>
                <w:sz w:val="20"/>
                <w:szCs w:val="22"/>
              </w:rPr>
              <w:t xml:space="preserve"> GMTs***</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(95% CI)</w:t>
            </w:r>
          </w:p>
        </w:tc>
        <w:tc>
          <w:tcPr>
            <w:tcW w:w="1247" w:type="dxa"/>
            <w:tcBorders>
              <w:top w:val="single" w:sz="4" w:space="0" w:color="auto"/>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(75-133)</w:t>
            </w:r>
          </w:p>
        </w:tc>
        <w:tc>
          <w:tcPr>
            <w:tcW w:w="1247" w:type="dxa"/>
            <w:tcBorders>
              <w:top w:val="single" w:sz="4" w:space="0" w:color="auto"/>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210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(193-229)</w:t>
            </w:r>
          </w:p>
        </w:tc>
        <w:tc>
          <w:tcPr>
            <w:tcW w:w="1248" w:type="dxa"/>
            <w:tcBorders>
              <w:top w:val="single" w:sz="4" w:space="0" w:color="auto"/>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93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(71-121)</w:t>
            </w:r>
          </w:p>
        </w:tc>
        <w:tc>
          <w:tcPr>
            <w:tcW w:w="1247" w:type="dxa"/>
            <w:tcBorders>
              <w:top w:val="single" w:sz="4" w:space="0" w:color="auto"/>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212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182-246</w:t>
            </w:r>
          </w:p>
        </w:tc>
        <w:tc>
          <w:tcPr>
            <w:tcW w:w="1248" w:type="dxa"/>
            <w:tcBorders>
              <w:top w:val="single" w:sz="4" w:space="0" w:color="auto"/>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218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(157-302)</w:t>
            </w:r>
          </w:p>
        </w:tc>
      </w:tr>
      <w:tr w:rsidR="00314F35" w:rsidRPr="00561954" w:rsidTr="00635C4B">
        <w:tc>
          <w:tcPr>
            <w:tcW w:w="994"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b/>
                <w:bCs/>
                <w:sz w:val="20"/>
                <w:szCs w:val="22"/>
              </w:rPr>
            </w:pPr>
          </w:p>
        </w:tc>
        <w:tc>
          <w:tcPr>
            <w:tcW w:w="1666"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1247"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N=28</w:t>
            </w:r>
          </w:p>
        </w:tc>
        <w:tc>
          <w:tcPr>
            <w:tcW w:w="1247"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N=638</w:t>
            </w:r>
          </w:p>
        </w:tc>
        <w:tc>
          <w:tcPr>
            <w:tcW w:w="1248"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N=46</w:t>
            </w:r>
          </w:p>
        </w:tc>
        <w:tc>
          <w:tcPr>
            <w:tcW w:w="1247"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N=320</w:t>
            </w:r>
          </w:p>
        </w:tc>
        <w:tc>
          <w:tcPr>
            <w:tcW w:w="1248"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N=86</w:t>
            </w:r>
          </w:p>
        </w:tc>
      </w:tr>
      <w:tr w:rsidR="00314F35" w:rsidRPr="00561954" w:rsidTr="00635C4B">
        <w:tc>
          <w:tcPr>
            <w:tcW w:w="994"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roofErr w:type="spellStart"/>
            <w:r w:rsidRPr="00561954">
              <w:rPr>
                <w:rFonts w:cs="TimesNewRoman"/>
                <w:b/>
                <w:bCs/>
                <w:sz w:val="20"/>
                <w:szCs w:val="22"/>
              </w:rPr>
              <w:t>NadA</w:t>
            </w:r>
            <w:proofErr w:type="spellEnd"/>
          </w:p>
        </w:tc>
        <w:tc>
          <w:tcPr>
            <w:tcW w:w="1666"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seropositive</w:t>
            </w:r>
            <w:proofErr w:type="spellEnd"/>
            <w:r w:rsidRPr="00561954">
              <w:rPr>
                <w:rFonts w:cs="TimesNewRoman"/>
                <w:sz w:val="20"/>
                <w:szCs w:val="22"/>
              </w:rPr>
              <w:t xml:space="preserve"> (95% CI)</w:t>
            </w:r>
          </w:p>
        </w:tc>
        <w:tc>
          <w:tcPr>
            <w:tcW w:w="124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(88-100)</w:t>
            </w:r>
          </w:p>
        </w:tc>
        <w:tc>
          <w:tcPr>
            <w:tcW w:w="124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(99-100)</w:t>
            </w:r>
          </w:p>
        </w:tc>
        <w:tc>
          <w:tcPr>
            <w:tcW w:w="124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(92-100)</w:t>
            </w:r>
          </w:p>
        </w:tc>
        <w:tc>
          <w:tcPr>
            <w:tcW w:w="124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99% </w:t>
            </w:r>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(98-100)</w:t>
            </w:r>
          </w:p>
        </w:tc>
        <w:tc>
          <w:tcPr>
            <w:tcW w:w="124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99% </w:t>
            </w:r>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(94-100)</w:t>
            </w:r>
          </w:p>
        </w:tc>
      </w:tr>
      <w:tr w:rsidR="00314F35" w:rsidRPr="00561954" w:rsidTr="00635C4B">
        <w:tc>
          <w:tcPr>
            <w:tcW w:w="994"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1666"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roofErr w:type="spellStart"/>
            <w:r w:rsidRPr="00561954">
              <w:rPr>
                <w:rFonts w:cs="TimesNewRoman"/>
                <w:sz w:val="20"/>
                <w:szCs w:val="22"/>
              </w:rPr>
              <w:t>hSBA</w:t>
            </w:r>
            <w:proofErr w:type="spellEnd"/>
            <w:r w:rsidRPr="00561954">
              <w:rPr>
                <w:rFonts w:cs="TimesNewRoman"/>
                <w:sz w:val="20"/>
                <w:szCs w:val="22"/>
              </w:rPr>
              <w:t xml:space="preserve"> GMTs (95% CI)</w:t>
            </w:r>
          </w:p>
        </w:tc>
        <w:tc>
          <w:tcPr>
            <w:tcW w:w="1247"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566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(338-948)</w:t>
            </w:r>
          </w:p>
        </w:tc>
        <w:tc>
          <w:tcPr>
            <w:tcW w:w="1247"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490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(455-528)</w:t>
            </w:r>
          </w:p>
        </w:tc>
        <w:tc>
          <w:tcPr>
            <w:tcW w:w="1248"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144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(108-193)</w:t>
            </w:r>
          </w:p>
        </w:tc>
        <w:tc>
          <w:tcPr>
            <w:tcW w:w="1247"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713</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626-812</w:t>
            </w:r>
          </w:p>
        </w:tc>
        <w:tc>
          <w:tcPr>
            <w:tcW w:w="1248"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880</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 (675-1147)</w:t>
            </w:r>
          </w:p>
        </w:tc>
      </w:tr>
      <w:tr w:rsidR="00314F35" w:rsidRPr="00561954" w:rsidTr="00635C4B">
        <w:tc>
          <w:tcPr>
            <w:tcW w:w="994"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b/>
                <w:bCs/>
                <w:sz w:val="20"/>
                <w:szCs w:val="22"/>
              </w:rPr>
            </w:pPr>
          </w:p>
        </w:tc>
        <w:tc>
          <w:tcPr>
            <w:tcW w:w="1666"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1247"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N=28</w:t>
            </w:r>
          </w:p>
        </w:tc>
        <w:tc>
          <w:tcPr>
            <w:tcW w:w="1247"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N=638</w:t>
            </w:r>
          </w:p>
        </w:tc>
        <w:tc>
          <w:tcPr>
            <w:tcW w:w="1248"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N=46</w:t>
            </w:r>
          </w:p>
        </w:tc>
        <w:tc>
          <w:tcPr>
            <w:tcW w:w="1247"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N=319</w:t>
            </w:r>
          </w:p>
        </w:tc>
        <w:tc>
          <w:tcPr>
            <w:tcW w:w="1248"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N=86</w:t>
            </w:r>
          </w:p>
        </w:tc>
      </w:tr>
      <w:tr w:rsidR="00314F35" w:rsidRPr="00561954" w:rsidTr="00635C4B">
        <w:tc>
          <w:tcPr>
            <w:tcW w:w="994"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roofErr w:type="spellStart"/>
            <w:r w:rsidRPr="00561954">
              <w:rPr>
                <w:rFonts w:cs="TimesNewRoman"/>
                <w:b/>
                <w:bCs/>
                <w:sz w:val="20"/>
                <w:szCs w:val="22"/>
              </w:rPr>
              <w:t>PorA</w:t>
            </w:r>
            <w:proofErr w:type="spellEnd"/>
            <w:r w:rsidRPr="00561954">
              <w:rPr>
                <w:rFonts w:cs="TimesNewRoman"/>
                <w:b/>
                <w:bCs/>
                <w:sz w:val="20"/>
                <w:szCs w:val="22"/>
              </w:rPr>
              <w:t xml:space="preserve"> P1.4</w:t>
            </w:r>
          </w:p>
        </w:tc>
        <w:tc>
          <w:tcPr>
            <w:tcW w:w="1666"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 </w:t>
            </w:r>
            <w:proofErr w:type="spellStart"/>
            <w:r w:rsidRPr="00561954">
              <w:rPr>
                <w:rFonts w:cs="TimesNewRoman"/>
                <w:sz w:val="20"/>
                <w:szCs w:val="22"/>
              </w:rPr>
              <w:t>seropositive</w:t>
            </w:r>
            <w:proofErr w:type="spellEnd"/>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(95% CI)</w:t>
            </w:r>
          </w:p>
        </w:tc>
        <w:tc>
          <w:tcPr>
            <w:tcW w:w="124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96% </w:t>
            </w:r>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(82-100)</w:t>
            </w:r>
          </w:p>
        </w:tc>
        <w:tc>
          <w:tcPr>
            <w:tcW w:w="124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(99-100)</w:t>
            </w:r>
          </w:p>
        </w:tc>
        <w:tc>
          <w:tcPr>
            <w:tcW w:w="124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91% </w:t>
            </w:r>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(79-98)</w:t>
            </w:r>
          </w:p>
        </w:tc>
        <w:tc>
          <w:tcPr>
            <w:tcW w:w="124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(99-100)</w:t>
            </w:r>
          </w:p>
        </w:tc>
        <w:tc>
          <w:tcPr>
            <w:tcW w:w="1248"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60"/>
              <w:jc w:val="center"/>
              <w:rPr>
                <w:rFonts w:cs="TimesNewRoman"/>
                <w:sz w:val="20"/>
                <w:szCs w:val="22"/>
              </w:rPr>
            </w:pPr>
            <w:r w:rsidRPr="00561954">
              <w:rPr>
                <w:rFonts w:cs="TimesNewRoman"/>
                <w:sz w:val="20"/>
                <w:szCs w:val="22"/>
              </w:rPr>
              <w:t>(96-100)</w:t>
            </w:r>
          </w:p>
        </w:tc>
      </w:tr>
      <w:tr w:rsidR="00314F35" w:rsidRPr="00561954" w:rsidTr="00635C4B">
        <w:tc>
          <w:tcPr>
            <w:tcW w:w="994" w:type="dxa"/>
            <w:tcBorders>
              <w:top w:val="nil"/>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1666"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roofErr w:type="spellStart"/>
            <w:r w:rsidRPr="00561954">
              <w:rPr>
                <w:rFonts w:cs="TimesNewRoman"/>
                <w:sz w:val="20"/>
                <w:szCs w:val="22"/>
              </w:rPr>
              <w:t>hSBA</w:t>
            </w:r>
            <w:proofErr w:type="spellEnd"/>
            <w:r w:rsidRPr="00561954">
              <w:rPr>
                <w:rFonts w:cs="TimesNewRoman"/>
                <w:sz w:val="20"/>
                <w:szCs w:val="22"/>
              </w:rPr>
              <w:t xml:space="preserve"> GMTs (95% CI)</w:t>
            </w:r>
          </w:p>
        </w:tc>
        <w:tc>
          <w:tcPr>
            <w:tcW w:w="1247"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47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(30-75)</w:t>
            </w:r>
          </w:p>
        </w:tc>
        <w:tc>
          <w:tcPr>
            <w:tcW w:w="1247"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92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(84-102)</w:t>
            </w:r>
          </w:p>
        </w:tc>
        <w:tc>
          <w:tcPr>
            <w:tcW w:w="1248"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32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(21-48)</w:t>
            </w:r>
          </w:p>
        </w:tc>
        <w:tc>
          <w:tcPr>
            <w:tcW w:w="1247"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123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(104-145)</w:t>
            </w:r>
          </w:p>
        </w:tc>
        <w:tc>
          <w:tcPr>
            <w:tcW w:w="1248" w:type="dxa"/>
            <w:tcBorders>
              <w:top w:val="single" w:sz="4" w:space="0" w:color="auto"/>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140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(101-195)</w:t>
            </w:r>
          </w:p>
        </w:tc>
      </w:tr>
    </w:tbl>
    <w:p w:rsidR="00314F35" w:rsidRPr="00561954" w:rsidRDefault="00314F35" w:rsidP="00314F35">
      <w:pPr>
        <w:pStyle w:val="BodyText"/>
        <w:spacing w:after="0"/>
        <w:rPr>
          <w:sz w:val="20"/>
        </w:rPr>
      </w:pPr>
    </w:p>
    <w:p w:rsidR="00314F35" w:rsidRPr="00561954" w:rsidRDefault="00314F35" w:rsidP="002C59B7">
      <w:pPr>
        <w:widowControl w:val="0"/>
        <w:autoSpaceDE w:val="0"/>
        <w:autoSpaceDN w:val="0"/>
        <w:adjustRightInd w:val="0"/>
        <w:spacing w:after="0"/>
        <w:ind w:right="305"/>
        <w:rPr>
          <w:rFonts w:cs="TimesNewRoman"/>
          <w:sz w:val="20"/>
          <w:szCs w:val="22"/>
        </w:rPr>
      </w:pPr>
      <w:r w:rsidRPr="00561954">
        <w:rPr>
          <w:rFonts w:cs="TimesNewRoman"/>
          <w:sz w:val="20"/>
          <w:szCs w:val="22"/>
        </w:rPr>
        <w:t xml:space="preserve">* The following strains of group B </w:t>
      </w:r>
      <w:proofErr w:type="spellStart"/>
      <w:r w:rsidRPr="00561954">
        <w:rPr>
          <w:rFonts w:cs="TimesNewRoman"/>
          <w:sz w:val="20"/>
          <w:szCs w:val="22"/>
        </w:rPr>
        <w:t>meningococci</w:t>
      </w:r>
      <w:proofErr w:type="spellEnd"/>
      <w:r w:rsidRPr="00561954">
        <w:rPr>
          <w:rFonts w:cs="TimesNewRoman"/>
          <w:sz w:val="20"/>
          <w:szCs w:val="22"/>
        </w:rPr>
        <w:t xml:space="preserve">, which were isolated from cases of invasive disease, were used to assess functional immunogenicity against each of the vaccine antigens by </w:t>
      </w:r>
      <w:proofErr w:type="spellStart"/>
      <w:r w:rsidRPr="00561954">
        <w:rPr>
          <w:rFonts w:cs="TimesNewRoman"/>
          <w:sz w:val="20"/>
          <w:szCs w:val="22"/>
        </w:rPr>
        <w:t>hSBA</w:t>
      </w:r>
      <w:proofErr w:type="spellEnd"/>
      <w:r w:rsidRPr="00561954">
        <w:rPr>
          <w:rFonts w:cs="TimesNewRoman"/>
          <w:sz w:val="20"/>
          <w:szCs w:val="22"/>
        </w:rPr>
        <w:t>:</w:t>
      </w:r>
    </w:p>
    <w:p w:rsidR="00314F35" w:rsidRPr="00561954" w:rsidRDefault="00314F35" w:rsidP="00314F35">
      <w:pPr>
        <w:widowControl w:val="0"/>
        <w:numPr>
          <w:ilvl w:val="0"/>
          <w:numId w:val="30"/>
        </w:numPr>
        <w:autoSpaceDE w:val="0"/>
        <w:autoSpaceDN w:val="0"/>
        <w:adjustRightInd w:val="0"/>
        <w:spacing w:after="0"/>
        <w:ind w:left="426" w:right="305" w:hanging="142"/>
        <w:rPr>
          <w:rFonts w:cs="TimesNewRoman"/>
          <w:sz w:val="20"/>
          <w:szCs w:val="22"/>
        </w:rPr>
      </w:pPr>
      <w:proofErr w:type="spellStart"/>
      <w:r w:rsidRPr="00561954">
        <w:rPr>
          <w:rFonts w:cs="TimesNewRoman"/>
          <w:sz w:val="20"/>
          <w:szCs w:val="22"/>
        </w:rPr>
        <w:t>fHBP</w:t>
      </w:r>
      <w:proofErr w:type="spellEnd"/>
      <w:r w:rsidRPr="00561954">
        <w:rPr>
          <w:rFonts w:cs="TimesNewRoman"/>
          <w:sz w:val="20"/>
          <w:szCs w:val="22"/>
        </w:rPr>
        <w:t xml:space="preserve"> antigen: strain 44/76</w:t>
      </w:r>
    </w:p>
    <w:p w:rsidR="00314F35" w:rsidRPr="00561954" w:rsidRDefault="00314F35" w:rsidP="00314F35">
      <w:pPr>
        <w:widowControl w:val="0"/>
        <w:numPr>
          <w:ilvl w:val="0"/>
          <w:numId w:val="30"/>
        </w:numPr>
        <w:autoSpaceDE w:val="0"/>
        <w:autoSpaceDN w:val="0"/>
        <w:adjustRightInd w:val="0"/>
        <w:spacing w:after="0"/>
        <w:ind w:left="426" w:right="305" w:hanging="142"/>
        <w:rPr>
          <w:rFonts w:cs="TimesNewRoman"/>
          <w:sz w:val="20"/>
          <w:szCs w:val="22"/>
        </w:rPr>
      </w:pPr>
      <w:proofErr w:type="spellStart"/>
      <w:r w:rsidRPr="00561954">
        <w:rPr>
          <w:rFonts w:cs="TimesNewRoman"/>
          <w:sz w:val="20"/>
          <w:szCs w:val="22"/>
        </w:rPr>
        <w:t>NadA</w:t>
      </w:r>
      <w:proofErr w:type="spellEnd"/>
      <w:r w:rsidRPr="00561954">
        <w:rPr>
          <w:rFonts w:cs="TimesNewRoman"/>
          <w:sz w:val="20"/>
          <w:szCs w:val="22"/>
        </w:rPr>
        <w:t xml:space="preserve"> antigen: strain 5/99</w:t>
      </w:r>
    </w:p>
    <w:p w:rsidR="00314F35" w:rsidRPr="00561954" w:rsidRDefault="00314F35" w:rsidP="00314F35">
      <w:pPr>
        <w:widowControl w:val="0"/>
        <w:numPr>
          <w:ilvl w:val="0"/>
          <w:numId w:val="30"/>
        </w:numPr>
        <w:autoSpaceDE w:val="0"/>
        <w:autoSpaceDN w:val="0"/>
        <w:adjustRightInd w:val="0"/>
        <w:spacing w:after="0"/>
        <w:ind w:left="426" w:right="305" w:hanging="142"/>
        <w:rPr>
          <w:rFonts w:cs="TimesNewRoman"/>
          <w:sz w:val="20"/>
          <w:szCs w:val="22"/>
        </w:rPr>
      </w:pPr>
      <w:proofErr w:type="spellStart"/>
      <w:r w:rsidRPr="00561954">
        <w:rPr>
          <w:rFonts w:cs="TimesNewRoman"/>
          <w:sz w:val="20"/>
          <w:szCs w:val="22"/>
        </w:rPr>
        <w:t>immunodominant</w:t>
      </w:r>
      <w:proofErr w:type="spellEnd"/>
      <w:r w:rsidRPr="00561954">
        <w:rPr>
          <w:rFonts w:cs="TimesNewRoman"/>
          <w:sz w:val="20"/>
          <w:szCs w:val="22"/>
        </w:rPr>
        <w:t xml:space="preserve"> </w:t>
      </w:r>
      <w:proofErr w:type="spellStart"/>
      <w:r w:rsidRPr="00561954">
        <w:rPr>
          <w:rFonts w:cs="TimesNewRoman"/>
          <w:sz w:val="20"/>
          <w:szCs w:val="22"/>
        </w:rPr>
        <w:t>PorA</w:t>
      </w:r>
      <w:proofErr w:type="spellEnd"/>
      <w:r w:rsidRPr="00561954">
        <w:rPr>
          <w:rFonts w:cs="TimesNewRoman"/>
          <w:sz w:val="20"/>
          <w:szCs w:val="22"/>
        </w:rPr>
        <w:t xml:space="preserve"> P1.4 component of OMV: strain NZ98/254</w:t>
      </w:r>
    </w:p>
    <w:p w:rsidR="00314F35" w:rsidRPr="00561954" w:rsidRDefault="00314F35" w:rsidP="00314F35">
      <w:pPr>
        <w:pStyle w:val="BodyText"/>
        <w:spacing w:after="0"/>
        <w:ind w:right="305"/>
        <w:rPr>
          <w:sz w:val="20"/>
        </w:rPr>
      </w:pPr>
      <w:r w:rsidRPr="00561954">
        <w:rPr>
          <w:rFonts w:cs="TimesNewRoman"/>
          <w:sz w:val="20"/>
          <w:szCs w:val="22"/>
        </w:rPr>
        <w:t xml:space="preserve">** </w:t>
      </w:r>
      <w:r w:rsidRPr="00561954">
        <w:rPr>
          <w:sz w:val="20"/>
        </w:rPr>
        <w:t xml:space="preserve">% </w:t>
      </w:r>
      <w:proofErr w:type="spellStart"/>
      <w:r w:rsidRPr="00561954">
        <w:rPr>
          <w:sz w:val="20"/>
        </w:rPr>
        <w:t>seropositive</w:t>
      </w:r>
      <w:proofErr w:type="spellEnd"/>
      <w:r w:rsidRPr="00561954">
        <w:rPr>
          <w:sz w:val="20"/>
        </w:rPr>
        <w:t xml:space="preserve"> = the percentage of subjects who achieved an </w:t>
      </w:r>
      <w:proofErr w:type="spellStart"/>
      <w:r w:rsidRPr="00561954">
        <w:rPr>
          <w:sz w:val="20"/>
        </w:rPr>
        <w:t>hSBA</w:t>
      </w:r>
      <w:proofErr w:type="spellEnd"/>
      <w:r w:rsidRPr="00561954">
        <w:rPr>
          <w:sz w:val="20"/>
        </w:rPr>
        <w:t xml:space="preserve"> ≥ 1:4  </w:t>
      </w:r>
    </w:p>
    <w:p w:rsidR="00314F35" w:rsidRPr="00561954" w:rsidRDefault="00314F35" w:rsidP="00314F35">
      <w:pPr>
        <w:pStyle w:val="BodyText"/>
        <w:spacing w:after="0"/>
        <w:ind w:right="305"/>
        <w:rPr>
          <w:sz w:val="20"/>
        </w:rPr>
      </w:pPr>
      <w:r w:rsidRPr="00561954">
        <w:rPr>
          <w:sz w:val="20"/>
        </w:rPr>
        <w:t xml:space="preserve">***GMTs = geometric mean titers.  </w:t>
      </w:r>
    </w:p>
    <w:p w:rsidR="00314F35" w:rsidRPr="00561954" w:rsidRDefault="00314F35" w:rsidP="00307BFD">
      <w:pPr>
        <w:widowControl w:val="0"/>
        <w:autoSpaceDE w:val="0"/>
        <w:autoSpaceDN w:val="0"/>
        <w:adjustRightInd w:val="0"/>
        <w:spacing w:after="0"/>
        <w:ind w:left="0" w:firstLine="0"/>
        <w:jc w:val="both"/>
        <w:rPr>
          <w:sz w:val="20"/>
        </w:rPr>
      </w:pPr>
      <w:r w:rsidRPr="00561954">
        <w:lastRenderedPageBreak/>
        <w:t xml:space="preserve">In study V72P10, bactericidal responses following two doses of BEXSERO were </w:t>
      </w:r>
      <w:r w:rsidRPr="00561954">
        <w:rPr>
          <w:snapToGrid w:val="0"/>
          <w:szCs w:val="24"/>
          <w:lang w:eastAsia="it-IT"/>
        </w:rPr>
        <w:t xml:space="preserve">stratified by </w:t>
      </w:r>
      <w:r w:rsidRPr="00561954">
        <w:t xml:space="preserve">baseline </w:t>
      </w:r>
      <w:proofErr w:type="spellStart"/>
      <w:r w:rsidRPr="00561954">
        <w:t>hSBA</w:t>
      </w:r>
      <w:proofErr w:type="spellEnd"/>
      <w:r w:rsidRPr="00561954">
        <w:t xml:space="preserve"> less than 1:4 or equal to or greater than 1:4. The percentage of subjects with at least a 4-fold increase in </w:t>
      </w:r>
      <w:proofErr w:type="spellStart"/>
      <w:r w:rsidRPr="00561954">
        <w:t>hSBA</w:t>
      </w:r>
      <w:proofErr w:type="spellEnd"/>
      <w:r w:rsidRPr="00561954">
        <w:t xml:space="preserve"> titer from baseline to one month after the second dose of BEXSERO is </w:t>
      </w:r>
      <w:proofErr w:type="spellStart"/>
      <w:r w:rsidRPr="00561954">
        <w:t>summarised</w:t>
      </w:r>
      <w:proofErr w:type="spellEnd"/>
      <w:r w:rsidRPr="00561954">
        <w:t xml:space="preserve"> in Table 5 below. A high percentage of subjects achieved 4-fold increase responses to vaccination independent of pre-vaccination titer.</w:t>
      </w:r>
    </w:p>
    <w:p w:rsidR="00153703" w:rsidRDefault="00153703" w:rsidP="00FD42C2">
      <w:pPr>
        <w:widowControl w:val="0"/>
        <w:autoSpaceDE w:val="0"/>
        <w:autoSpaceDN w:val="0"/>
        <w:adjustRightInd w:val="0"/>
        <w:ind w:left="0" w:firstLine="0"/>
        <w:rPr>
          <w:b/>
          <w:sz w:val="22"/>
          <w:szCs w:val="22"/>
        </w:rPr>
      </w:pPr>
    </w:p>
    <w:p w:rsidR="00FD42C2" w:rsidRPr="008939FC" w:rsidRDefault="00314F35" w:rsidP="00FD42C2">
      <w:pPr>
        <w:widowControl w:val="0"/>
        <w:autoSpaceDE w:val="0"/>
        <w:autoSpaceDN w:val="0"/>
        <w:adjustRightInd w:val="0"/>
        <w:ind w:left="0" w:firstLine="0"/>
        <w:rPr>
          <w:b/>
          <w:sz w:val="22"/>
          <w:szCs w:val="22"/>
        </w:rPr>
      </w:pPr>
      <w:r w:rsidRPr="00561954">
        <w:rPr>
          <w:b/>
          <w:sz w:val="22"/>
          <w:szCs w:val="22"/>
        </w:rPr>
        <w:t>Table 5: Percentage of subjects with at least 4-fold rise in bactericidal titers from pre- to post-vaccination, stratified by pre-vaccination titers</w:t>
      </w:r>
      <w:r w:rsidR="00044C8D" w:rsidRPr="00561954">
        <w:rPr>
          <w:b/>
          <w:sz w:val="22"/>
          <w:szCs w:val="22"/>
        </w:rPr>
        <w:t xml:space="preserve"> </w:t>
      </w:r>
      <w:r w:rsidR="00044C8D" w:rsidRPr="008939FC">
        <w:rPr>
          <w:rFonts w:cs="TimesNewRoman"/>
          <w:b/>
          <w:bCs/>
          <w:sz w:val="22"/>
          <w:szCs w:val="22"/>
        </w:rPr>
        <w:t>measured one month after the second dose</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07"/>
        <w:gridCol w:w="3092"/>
        <w:gridCol w:w="1503"/>
        <w:gridCol w:w="1536"/>
        <w:gridCol w:w="1559"/>
      </w:tblGrid>
      <w:tr w:rsidR="00314F35" w:rsidRPr="00561954">
        <w:tc>
          <w:tcPr>
            <w:tcW w:w="1207"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rPr>
                <w:rFonts w:cs="TimesNewRoman"/>
                <w:sz w:val="20"/>
                <w:szCs w:val="22"/>
              </w:rPr>
            </w:pPr>
            <w:r w:rsidRPr="00441701">
              <w:rPr>
                <w:rFonts w:cs="TimesNewRoman"/>
                <w:b/>
                <w:bCs/>
                <w:sz w:val="20"/>
                <w:szCs w:val="22"/>
              </w:rPr>
              <w:t>Antigen*</w:t>
            </w:r>
          </w:p>
        </w:tc>
        <w:tc>
          <w:tcPr>
            <w:tcW w:w="3092"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jc w:val="center"/>
              <w:rPr>
                <w:rFonts w:cs="TimesNewRoman"/>
                <w:sz w:val="20"/>
                <w:szCs w:val="22"/>
              </w:rPr>
            </w:pPr>
          </w:p>
        </w:tc>
        <w:tc>
          <w:tcPr>
            <w:tcW w:w="1503"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jc w:val="center"/>
              <w:rPr>
                <w:rFonts w:cs="TimesNewRoman"/>
                <w:sz w:val="20"/>
                <w:szCs w:val="22"/>
              </w:rPr>
            </w:pPr>
            <w:r w:rsidRPr="00561954">
              <w:rPr>
                <w:rFonts w:cs="TimesNewRoman"/>
                <w:b/>
                <w:bCs/>
                <w:sz w:val="20"/>
                <w:szCs w:val="22"/>
              </w:rPr>
              <w:t>V72P10</w:t>
            </w:r>
            <w:r w:rsidRPr="00561954">
              <w:rPr>
                <w:rFonts w:cs="TimesNewRoman"/>
                <w:b/>
                <w:bCs/>
                <w:sz w:val="20"/>
                <w:szCs w:val="22"/>
              </w:rPr>
              <w:br/>
              <w:t>0, 1 months</w:t>
            </w:r>
          </w:p>
        </w:tc>
        <w:tc>
          <w:tcPr>
            <w:tcW w:w="1536"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jc w:val="center"/>
              <w:rPr>
                <w:rFonts w:cs="TimesNewRoman"/>
                <w:sz w:val="20"/>
                <w:szCs w:val="22"/>
              </w:rPr>
            </w:pPr>
            <w:r w:rsidRPr="00561954">
              <w:rPr>
                <w:rFonts w:cs="TimesNewRoman"/>
                <w:b/>
                <w:bCs/>
                <w:sz w:val="20"/>
                <w:szCs w:val="22"/>
              </w:rPr>
              <w:t>V72P10</w:t>
            </w:r>
            <w:r w:rsidRPr="00561954">
              <w:rPr>
                <w:rFonts w:cs="TimesNewRoman"/>
                <w:b/>
                <w:bCs/>
                <w:sz w:val="20"/>
                <w:szCs w:val="22"/>
              </w:rPr>
              <w:br/>
              <w:t>0, 2 months</w:t>
            </w:r>
          </w:p>
        </w:tc>
        <w:tc>
          <w:tcPr>
            <w:tcW w:w="1559" w:type="dxa"/>
            <w:tcBorders>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60" w:after="60"/>
              <w:ind w:left="-94" w:right="-120"/>
              <w:jc w:val="center"/>
              <w:rPr>
                <w:rFonts w:cs="TimesNewRoman"/>
                <w:b/>
                <w:bCs/>
                <w:sz w:val="20"/>
                <w:szCs w:val="22"/>
              </w:rPr>
            </w:pPr>
            <w:r w:rsidRPr="00561954">
              <w:rPr>
                <w:rFonts w:cs="TimesNewRoman"/>
                <w:b/>
                <w:bCs/>
                <w:sz w:val="20"/>
                <w:szCs w:val="22"/>
              </w:rPr>
              <w:t>V72P10</w:t>
            </w:r>
            <w:r w:rsidRPr="00561954">
              <w:rPr>
                <w:rFonts w:cs="TimesNewRoman"/>
                <w:b/>
                <w:bCs/>
                <w:sz w:val="20"/>
                <w:szCs w:val="22"/>
              </w:rPr>
              <w:br/>
              <w:t>0, 6 months</w:t>
            </w:r>
          </w:p>
        </w:tc>
      </w:tr>
      <w:tr w:rsidR="00314F35" w:rsidRPr="00561954">
        <w:tc>
          <w:tcPr>
            <w:tcW w:w="1207"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092"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1503"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N=369</w:t>
            </w:r>
          </w:p>
        </w:tc>
        <w:tc>
          <w:tcPr>
            <w:tcW w:w="1536"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N=179</w:t>
            </w:r>
          </w:p>
        </w:tc>
        <w:tc>
          <w:tcPr>
            <w:tcW w:w="1559"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ind w:left="-94"/>
              <w:jc w:val="center"/>
              <w:rPr>
                <w:rFonts w:cs="TimesNewRoman"/>
                <w:sz w:val="20"/>
                <w:szCs w:val="22"/>
              </w:rPr>
            </w:pPr>
            <w:r w:rsidRPr="00561954">
              <w:rPr>
                <w:rFonts w:cs="TimesNewRoman"/>
                <w:sz w:val="20"/>
                <w:szCs w:val="22"/>
              </w:rPr>
              <w:t>N=55</w:t>
            </w:r>
          </w:p>
        </w:tc>
      </w:tr>
      <w:tr w:rsidR="00314F35" w:rsidRPr="00561954">
        <w:tc>
          <w:tcPr>
            <w:tcW w:w="1207"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roofErr w:type="spellStart"/>
            <w:r w:rsidRPr="00561954">
              <w:rPr>
                <w:rFonts w:cs="TimesNewRoman"/>
                <w:b/>
                <w:bCs/>
                <w:sz w:val="20"/>
                <w:szCs w:val="22"/>
              </w:rPr>
              <w:t>fHBP</w:t>
            </w:r>
            <w:proofErr w:type="spellEnd"/>
          </w:p>
        </w:tc>
        <w:tc>
          <w:tcPr>
            <w:tcW w:w="3092"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Pre-vaccination titer &lt;1:4 (95% CI)</w:t>
            </w:r>
          </w:p>
        </w:tc>
        <w:tc>
          <w:tcPr>
            <w:tcW w:w="1503"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(98-100)</w:t>
            </w:r>
          </w:p>
        </w:tc>
        <w:tc>
          <w:tcPr>
            <w:tcW w:w="1536"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(98-100)</w:t>
            </w:r>
          </w:p>
        </w:tc>
        <w:tc>
          <w:tcPr>
            <w:tcW w:w="1559"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ind w:left="-94"/>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20"/>
              <w:ind w:left="-94"/>
              <w:jc w:val="center"/>
              <w:rPr>
                <w:rFonts w:cs="TimesNewRoman"/>
                <w:sz w:val="20"/>
                <w:szCs w:val="22"/>
              </w:rPr>
            </w:pPr>
            <w:r w:rsidRPr="00561954">
              <w:rPr>
                <w:rFonts w:cs="TimesNewRoman"/>
                <w:sz w:val="20"/>
                <w:szCs w:val="22"/>
              </w:rPr>
              <w:t>(94-100)</w:t>
            </w:r>
          </w:p>
        </w:tc>
      </w:tr>
      <w:tr w:rsidR="00314F35" w:rsidRPr="00561954">
        <w:tc>
          <w:tcPr>
            <w:tcW w:w="1207"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b/>
                <w:bCs/>
                <w:sz w:val="20"/>
                <w:szCs w:val="22"/>
              </w:rPr>
            </w:pPr>
          </w:p>
        </w:tc>
        <w:tc>
          <w:tcPr>
            <w:tcW w:w="3092"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1503"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120" w:after="20"/>
              <w:jc w:val="center"/>
              <w:rPr>
                <w:rFonts w:cs="TimesNewRoman"/>
                <w:sz w:val="20"/>
                <w:szCs w:val="22"/>
              </w:rPr>
            </w:pPr>
            <w:r w:rsidRPr="00561954">
              <w:rPr>
                <w:rFonts w:cs="TimesNewRoman"/>
                <w:sz w:val="20"/>
                <w:szCs w:val="22"/>
              </w:rPr>
              <w:t>N=268</w:t>
            </w:r>
          </w:p>
        </w:tc>
        <w:tc>
          <w:tcPr>
            <w:tcW w:w="1536"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120" w:after="20"/>
              <w:jc w:val="center"/>
              <w:rPr>
                <w:rFonts w:cs="TimesNewRoman"/>
                <w:sz w:val="20"/>
                <w:szCs w:val="22"/>
              </w:rPr>
            </w:pPr>
            <w:r w:rsidRPr="00561954">
              <w:rPr>
                <w:rFonts w:cs="TimesNewRoman"/>
                <w:sz w:val="20"/>
                <w:szCs w:val="22"/>
              </w:rPr>
              <w:t>N=140</w:t>
            </w:r>
          </w:p>
        </w:tc>
        <w:tc>
          <w:tcPr>
            <w:tcW w:w="1559"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120" w:after="20"/>
              <w:ind w:left="-94"/>
              <w:jc w:val="center"/>
              <w:rPr>
                <w:rFonts w:cs="TimesNewRoman"/>
                <w:sz w:val="20"/>
                <w:szCs w:val="22"/>
              </w:rPr>
            </w:pPr>
            <w:r w:rsidRPr="00561954">
              <w:rPr>
                <w:rFonts w:cs="TimesNewRoman"/>
                <w:sz w:val="20"/>
                <w:szCs w:val="22"/>
              </w:rPr>
              <w:t>N=31</w:t>
            </w:r>
          </w:p>
        </w:tc>
      </w:tr>
      <w:tr w:rsidR="00314F35" w:rsidRPr="00561954">
        <w:tc>
          <w:tcPr>
            <w:tcW w:w="120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092"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ind w:left="-73"/>
              <w:jc w:val="center"/>
              <w:rPr>
                <w:rFonts w:cs="TimesNewRoman"/>
                <w:sz w:val="20"/>
                <w:szCs w:val="22"/>
              </w:rPr>
            </w:pPr>
            <w:r w:rsidRPr="00561954">
              <w:rPr>
                <w:rFonts w:cs="TimesNewRoman"/>
                <w:sz w:val="20"/>
                <w:szCs w:val="22"/>
              </w:rPr>
              <w:t xml:space="preserve">Pre-vaccination titer </w:t>
            </w:r>
            <w:r w:rsidRPr="00561954">
              <w:rPr>
                <w:sz w:val="20"/>
                <w:szCs w:val="22"/>
              </w:rPr>
              <w:t>≥</w:t>
            </w:r>
            <w:r w:rsidRPr="00561954">
              <w:rPr>
                <w:rFonts w:cs="TimesNewRoman"/>
                <w:sz w:val="20"/>
                <w:szCs w:val="22"/>
              </w:rPr>
              <w:t>1:4 (95% CI)</w:t>
            </w:r>
          </w:p>
        </w:tc>
        <w:tc>
          <w:tcPr>
            <w:tcW w:w="1503"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90%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(86-93)</w:t>
            </w:r>
          </w:p>
        </w:tc>
        <w:tc>
          <w:tcPr>
            <w:tcW w:w="1536"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86%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(80-92)</w:t>
            </w:r>
          </w:p>
        </w:tc>
        <w:tc>
          <w:tcPr>
            <w:tcW w:w="1559"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90%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(74-98)</w:t>
            </w:r>
          </w:p>
        </w:tc>
      </w:tr>
      <w:tr w:rsidR="00314F35" w:rsidRPr="00561954">
        <w:tc>
          <w:tcPr>
            <w:tcW w:w="1207"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b/>
                <w:bCs/>
                <w:sz w:val="20"/>
                <w:szCs w:val="22"/>
              </w:rPr>
            </w:pPr>
          </w:p>
        </w:tc>
        <w:tc>
          <w:tcPr>
            <w:tcW w:w="3092"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1503"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N=426</w:t>
            </w:r>
          </w:p>
        </w:tc>
        <w:tc>
          <w:tcPr>
            <w:tcW w:w="1536"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N=211</w:t>
            </w:r>
          </w:p>
        </w:tc>
        <w:tc>
          <w:tcPr>
            <w:tcW w:w="1559"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N=64</w:t>
            </w:r>
          </w:p>
        </w:tc>
      </w:tr>
      <w:tr w:rsidR="00314F35" w:rsidRPr="00561954">
        <w:tc>
          <w:tcPr>
            <w:tcW w:w="1207"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roofErr w:type="spellStart"/>
            <w:r w:rsidRPr="00561954">
              <w:rPr>
                <w:rFonts w:cs="TimesNewRoman"/>
                <w:b/>
                <w:bCs/>
                <w:sz w:val="20"/>
                <w:szCs w:val="22"/>
              </w:rPr>
              <w:t>NadA</w:t>
            </w:r>
            <w:proofErr w:type="spellEnd"/>
          </w:p>
        </w:tc>
        <w:tc>
          <w:tcPr>
            <w:tcW w:w="3092"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Pre-vaccination titer &lt;1:4 (95% CI)</w:t>
            </w:r>
          </w:p>
        </w:tc>
        <w:tc>
          <w:tcPr>
            <w:tcW w:w="1503"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99%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(98-100)</w:t>
            </w:r>
          </w:p>
        </w:tc>
        <w:tc>
          <w:tcPr>
            <w:tcW w:w="1536"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99%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(97-100)</w:t>
            </w:r>
          </w:p>
        </w:tc>
        <w:tc>
          <w:tcPr>
            <w:tcW w:w="1559"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98%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(92-100)</w:t>
            </w:r>
          </w:p>
        </w:tc>
      </w:tr>
      <w:tr w:rsidR="00314F35" w:rsidRPr="00561954">
        <w:tc>
          <w:tcPr>
            <w:tcW w:w="1207"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b/>
                <w:bCs/>
                <w:sz w:val="20"/>
                <w:szCs w:val="22"/>
              </w:rPr>
            </w:pPr>
          </w:p>
        </w:tc>
        <w:tc>
          <w:tcPr>
            <w:tcW w:w="3092"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1503"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120" w:after="20"/>
              <w:jc w:val="center"/>
              <w:rPr>
                <w:rFonts w:cs="TimesNewRoman"/>
                <w:sz w:val="20"/>
                <w:szCs w:val="22"/>
              </w:rPr>
            </w:pPr>
            <w:r w:rsidRPr="00561954">
              <w:rPr>
                <w:rFonts w:cs="TimesNewRoman"/>
                <w:sz w:val="20"/>
                <w:szCs w:val="22"/>
              </w:rPr>
              <w:t>N=212</w:t>
            </w:r>
          </w:p>
        </w:tc>
        <w:tc>
          <w:tcPr>
            <w:tcW w:w="1536"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120" w:after="20"/>
              <w:jc w:val="center"/>
              <w:rPr>
                <w:rFonts w:cs="TimesNewRoman"/>
                <w:sz w:val="20"/>
                <w:szCs w:val="22"/>
              </w:rPr>
            </w:pPr>
            <w:r w:rsidRPr="00561954">
              <w:rPr>
                <w:rFonts w:cs="TimesNewRoman"/>
                <w:sz w:val="20"/>
                <w:szCs w:val="22"/>
              </w:rPr>
              <w:t>N=109</w:t>
            </w:r>
          </w:p>
        </w:tc>
        <w:tc>
          <w:tcPr>
            <w:tcW w:w="1559"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120" w:after="20"/>
              <w:jc w:val="center"/>
              <w:rPr>
                <w:rFonts w:cs="TimesNewRoman"/>
                <w:sz w:val="20"/>
                <w:szCs w:val="22"/>
              </w:rPr>
            </w:pPr>
            <w:r w:rsidRPr="00561954">
              <w:rPr>
                <w:rFonts w:cs="TimesNewRoman"/>
                <w:sz w:val="20"/>
                <w:szCs w:val="22"/>
              </w:rPr>
              <w:t>N=22</w:t>
            </w:r>
          </w:p>
        </w:tc>
      </w:tr>
      <w:tr w:rsidR="00314F35" w:rsidRPr="00561954">
        <w:tc>
          <w:tcPr>
            <w:tcW w:w="1207"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092" w:type="dxa"/>
            <w:tcBorders>
              <w:top w:val="nil"/>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Pre-vaccination titer </w:t>
            </w:r>
            <w:r w:rsidRPr="00561954">
              <w:rPr>
                <w:sz w:val="20"/>
                <w:szCs w:val="22"/>
              </w:rPr>
              <w:t>≥</w:t>
            </w:r>
            <w:r w:rsidRPr="00561954">
              <w:rPr>
                <w:rFonts w:cs="TimesNewRoman"/>
                <w:sz w:val="20"/>
                <w:szCs w:val="22"/>
              </w:rPr>
              <w:t>1:4 (95% CI)</w:t>
            </w:r>
          </w:p>
        </w:tc>
        <w:tc>
          <w:tcPr>
            <w:tcW w:w="1503" w:type="dxa"/>
            <w:tcBorders>
              <w:top w:val="nil"/>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96%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(93-98)</w:t>
            </w:r>
          </w:p>
        </w:tc>
        <w:tc>
          <w:tcPr>
            <w:tcW w:w="1536" w:type="dxa"/>
            <w:tcBorders>
              <w:top w:val="nil"/>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95%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(90-98)</w:t>
            </w:r>
          </w:p>
        </w:tc>
        <w:tc>
          <w:tcPr>
            <w:tcW w:w="1559" w:type="dxa"/>
            <w:tcBorders>
              <w:top w:val="nil"/>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95%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(77-100%)</w:t>
            </w:r>
          </w:p>
        </w:tc>
      </w:tr>
      <w:tr w:rsidR="00314F35" w:rsidRPr="00561954">
        <w:tc>
          <w:tcPr>
            <w:tcW w:w="1207"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b/>
                <w:bCs/>
                <w:sz w:val="20"/>
                <w:szCs w:val="22"/>
              </w:rPr>
            </w:pPr>
          </w:p>
        </w:tc>
        <w:tc>
          <w:tcPr>
            <w:tcW w:w="3092"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1503"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N=426</w:t>
            </w:r>
          </w:p>
        </w:tc>
        <w:tc>
          <w:tcPr>
            <w:tcW w:w="1536"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N=208</w:t>
            </w:r>
          </w:p>
        </w:tc>
        <w:tc>
          <w:tcPr>
            <w:tcW w:w="1559" w:type="dxa"/>
            <w:tcBorders>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N=64</w:t>
            </w:r>
          </w:p>
        </w:tc>
      </w:tr>
      <w:tr w:rsidR="00314F35" w:rsidRPr="00561954">
        <w:tc>
          <w:tcPr>
            <w:tcW w:w="1207"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roofErr w:type="spellStart"/>
            <w:r w:rsidRPr="00561954">
              <w:rPr>
                <w:rFonts w:cs="TimesNewRoman"/>
                <w:b/>
                <w:bCs/>
                <w:sz w:val="20"/>
                <w:szCs w:val="22"/>
              </w:rPr>
              <w:t>PorA</w:t>
            </w:r>
            <w:proofErr w:type="spellEnd"/>
            <w:r w:rsidRPr="00561954">
              <w:rPr>
                <w:rFonts w:cs="TimesNewRoman"/>
                <w:b/>
                <w:bCs/>
                <w:sz w:val="20"/>
                <w:szCs w:val="22"/>
              </w:rPr>
              <w:t xml:space="preserve"> P1.4</w:t>
            </w:r>
          </w:p>
        </w:tc>
        <w:tc>
          <w:tcPr>
            <w:tcW w:w="3092"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Pre-vaccination titer &lt;1:4 (95% CI)</w:t>
            </w:r>
          </w:p>
        </w:tc>
        <w:tc>
          <w:tcPr>
            <w:tcW w:w="1503"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99%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(98-100)</w:t>
            </w:r>
          </w:p>
        </w:tc>
        <w:tc>
          <w:tcPr>
            <w:tcW w:w="1536"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(98-100)</w:t>
            </w:r>
          </w:p>
        </w:tc>
        <w:tc>
          <w:tcPr>
            <w:tcW w:w="1559" w:type="dxa"/>
            <w:tcBorders>
              <w:top w:val="nil"/>
              <w:left w:val="single" w:sz="4" w:space="0" w:color="auto"/>
              <w:bottom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100%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(94-100)</w:t>
            </w:r>
          </w:p>
        </w:tc>
      </w:tr>
      <w:tr w:rsidR="00314F35" w:rsidRPr="00561954">
        <w:tc>
          <w:tcPr>
            <w:tcW w:w="1207" w:type="dxa"/>
            <w:tcBorders>
              <w:top w:val="nil"/>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rPr>
                <w:rFonts w:cs="TimesNewRoman"/>
                <w:b/>
                <w:bCs/>
                <w:sz w:val="20"/>
                <w:szCs w:val="22"/>
              </w:rPr>
            </w:pPr>
          </w:p>
        </w:tc>
        <w:tc>
          <w:tcPr>
            <w:tcW w:w="3092"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p>
        </w:tc>
        <w:tc>
          <w:tcPr>
            <w:tcW w:w="1503"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120" w:after="20"/>
              <w:jc w:val="center"/>
              <w:rPr>
                <w:rFonts w:cs="TimesNewRoman"/>
                <w:sz w:val="20"/>
                <w:szCs w:val="22"/>
              </w:rPr>
            </w:pPr>
            <w:r w:rsidRPr="00561954">
              <w:rPr>
                <w:rFonts w:cs="TimesNewRoman"/>
                <w:sz w:val="20"/>
                <w:szCs w:val="22"/>
              </w:rPr>
              <w:t>N=211</w:t>
            </w:r>
          </w:p>
        </w:tc>
        <w:tc>
          <w:tcPr>
            <w:tcW w:w="1536"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120" w:after="20"/>
              <w:jc w:val="center"/>
              <w:rPr>
                <w:rFonts w:cs="TimesNewRoman"/>
                <w:sz w:val="20"/>
                <w:szCs w:val="22"/>
              </w:rPr>
            </w:pPr>
            <w:r w:rsidRPr="00561954">
              <w:rPr>
                <w:rFonts w:cs="TimesNewRoman"/>
                <w:sz w:val="20"/>
                <w:szCs w:val="22"/>
              </w:rPr>
              <w:t>N=111</w:t>
            </w:r>
          </w:p>
        </w:tc>
        <w:tc>
          <w:tcPr>
            <w:tcW w:w="1559" w:type="dxa"/>
            <w:tcBorders>
              <w:top w:val="single" w:sz="4" w:space="0" w:color="auto"/>
              <w:left w:val="single" w:sz="4" w:space="0" w:color="auto"/>
              <w:bottom w:val="nil"/>
              <w:right w:val="single" w:sz="4" w:space="0" w:color="auto"/>
            </w:tcBorders>
          </w:tcPr>
          <w:p w:rsidR="00314F35" w:rsidRPr="00561954" w:rsidRDefault="00314F35" w:rsidP="00314F35">
            <w:pPr>
              <w:widowControl w:val="0"/>
              <w:autoSpaceDE w:val="0"/>
              <w:autoSpaceDN w:val="0"/>
              <w:adjustRightInd w:val="0"/>
              <w:spacing w:before="120" w:after="20"/>
              <w:jc w:val="center"/>
              <w:rPr>
                <w:rFonts w:cs="TimesNewRoman"/>
                <w:sz w:val="20"/>
                <w:szCs w:val="22"/>
              </w:rPr>
            </w:pPr>
            <w:r w:rsidRPr="00561954">
              <w:rPr>
                <w:rFonts w:cs="TimesNewRoman"/>
                <w:sz w:val="20"/>
                <w:szCs w:val="22"/>
              </w:rPr>
              <w:t>N=22</w:t>
            </w:r>
          </w:p>
        </w:tc>
      </w:tr>
      <w:tr w:rsidR="00314F35" w:rsidRPr="00561954">
        <w:tc>
          <w:tcPr>
            <w:tcW w:w="1207" w:type="dxa"/>
            <w:tcBorders>
              <w:top w:val="nil"/>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rPr>
                <w:rFonts w:cs="TimesNewRoman"/>
                <w:sz w:val="20"/>
                <w:szCs w:val="22"/>
              </w:rPr>
            </w:pPr>
          </w:p>
        </w:tc>
        <w:tc>
          <w:tcPr>
            <w:tcW w:w="3092" w:type="dxa"/>
            <w:tcBorders>
              <w:top w:val="nil"/>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Pre-vaccination titer </w:t>
            </w:r>
            <w:r w:rsidRPr="00561954">
              <w:rPr>
                <w:sz w:val="20"/>
                <w:szCs w:val="22"/>
              </w:rPr>
              <w:t>≥</w:t>
            </w:r>
            <w:r w:rsidRPr="00561954">
              <w:rPr>
                <w:rFonts w:cs="TimesNewRoman"/>
                <w:sz w:val="20"/>
                <w:szCs w:val="22"/>
              </w:rPr>
              <w:t>1:4 (95% CI)</w:t>
            </w:r>
          </w:p>
        </w:tc>
        <w:tc>
          <w:tcPr>
            <w:tcW w:w="1503" w:type="dxa"/>
            <w:tcBorders>
              <w:top w:val="nil"/>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81%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(75-86)</w:t>
            </w:r>
          </w:p>
        </w:tc>
        <w:tc>
          <w:tcPr>
            <w:tcW w:w="1536" w:type="dxa"/>
            <w:tcBorders>
              <w:top w:val="nil"/>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77%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(68-84)</w:t>
            </w:r>
          </w:p>
        </w:tc>
        <w:tc>
          <w:tcPr>
            <w:tcW w:w="1559" w:type="dxa"/>
            <w:tcBorders>
              <w:top w:val="nil"/>
              <w:left w:val="single" w:sz="4" w:space="0" w:color="auto"/>
              <w:right w:val="single" w:sz="4" w:space="0" w:color="auto"/>
            </w:tcBorders>
          </w:tcPr>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 xml:space="preserve">82% </w:t>
            </w:r>
          </w:p>
          <w:p w:rsidR="00314F35" w:rsidRPr="00561954" w:rsidRDefault="00314F35" w:rsidP="00314F35">
            <w:pPr>
              <w:widowControl w:val="0"/>
              <w:autoSpaceDE w:val="0"/>
              <w:autoSpaceDN w:val="0"/>
              <w:adjustRightInd w:val="0"/>
              <w:spacing w:before="20" w:after="20"/>
              <w:jc w:val="center"/>
              <w:rPr>
                <w:rFonts w:cs="TimesNewRoman"/>
                <w:sz w:val="20"/>
                <w:szCs w:val="22"/>
              </w:rPr>
            </w:pPr>
            <w:r w:rsidRPr="00561954">
              <w:rPr>
                <w:rFonts w:cs="TimesNewRoman"/>
                <w:sz w:val="20"/>
                <w:szCs w:val="22"/>
              </w:rPr>
              <w:t>(60-95)</w:t>
            </w:r>
          </w:p>
        </w:tc>
      </w:tr>
    </w:tbl>
    <w:p w:rsidR="00314F35" w:rsidRPr="00561954" w:rsidRDefault="00314F35" w:rsidP="00314F35">
      <w:pPr>
        <w:widowControl w:val="0"/>
        <w:tabs>
          <w:tab w:val="left" w:pos="0"/>
        </w:tabs>
        <w:autoSpaceDE w:val="0"/>
        <w:autoSpaceDN w:val="0"/>
        <w:adjustRightInd w:val="0"/>
        <w:spacing w:after="0"/>
        <w:ind w:left="0" w:right="305" w:firstLine="0"/>
        <w:rPr>
          <w:rFonts w:cs="TimesNewRoman"/>
          <w:sz w:val="20"/>
          <w:szCs w:val="22"/>
        </w:rPr>
      </w:pPr>
      <w:r w:rsidRPr="00561954">
        <w:rPr>
          <w:rFonts w:cs="TimesNewRoman"/>
          <w:sz w:val="20"/>
          <w:szCs w:val="22"/>
        </w:rPr>
        <w:t xml:space="preserve">* The following strains of group B </w:t>
      </w:r>
      <w:proofErr w:type="spellStart"/>
      <w:r w:rsidRPr="00561954">
        <w:rPr>
          <w:rFonts w:cs="TimesNewRoman"/>
          <w:sz w:val="20"/>
          <w:szCs w:val="22"/>
        </w:rPr>
        <w:t>meningococci</w:t>
      </w:r>
      <w:proofErr w:type="spellEnd"/>
      <w:r w:rsidRPr="00561954">
        <w:rPr>
          <w:rFonts w:cs="TimesNewRoman"/>
          <w:sz w:val="20"/>
          <w:szCs w:val="22"/>
        </w:rPr>
        <w:t xml:space="preserve">, which were isolated from cases of invasive disease, were used to assess functional immunogenicity against each of the vaccine antigens by </w:t>
      </w:r>
      <w:proofErr w:type="spellStart"/>
      <w:r w:rsidRPr="00561954">
        <w:rPr>
          <w:rFonts w:cs="TimesNewRoman"/>
          <w:sz w:val="20"/>
          <w:szCs w:val="22"/>
        </w:rPr>
        <w:t>hSBA</w:t>
      </w:r>
      <w:proofErr w:type="spellEnd"/>
      <w:r w:rsidRPr="00561954">
        <w:rPr>
          <w:rFonts w:cs="TimesNewRoman"/>
          <w:sz w:val="20"/>
          <w:szCs w:val="22"/>
        </w:rPr>
        <w:t xml:space="preserve">: </w:t>
      </w:r>
    </w:p>
    <w:p w:rsidR="00314F35" w:rsidRPr="00561954" w:rsidRDefault="00314F35" w:rsidP="00314F35">
      <w:pPr>
        <w:widowControl w:val="0"/>
        <w:numPr>
          <w:ilvl w:val="0"/>
          <w:numId w:val="35"/>
        </w:numPr>
        <w:autoSpaceDE w:val="0"/>
        <w:autoSpaceDN w:val="0"/>
        <w:adjustRightInd w:val="0"/>
        <w:spacing w:after="0"/>
        <w:ind w:left="426" w:right="305" w:hanging="142"/>
        <w:rPr>
          <w:rFonts w:cs="TimesNewRoman"/>
          <w:sz w:val="20"/>
          <w:szCs w:val="22"/>
        </w:rPr>
      </w:pPr>
      <w:proofErr w:type="spellStart"/>
      <w:r w:rsidRPr="00561954">
        <w:rPr>
          <w:rFonts w:cs="TimesNewRoman"/>
          <w:sz w:val="20"/>
          <w:szCs w:val="22"/>
        </w:rPr>
        <w:t>fHBP</w:t>
      </w:r>
      <w:proofErr w:type="spellEnd"/>
      <w:r w:rsidRPr="00561954">
        <w:rPr>
          <w:rFonts w:cs="TimesNewRoman"/>
          <w:sz w:val="20"/>
          <w:szCs w:val="22"/>
        </w:rPr>
        <w:t xml:space="preserve"> antigen: strain 44/76</w:t>
      </w:r>
    </w:p>
    <w:p w:rsidR="00314F35" w:rsidRPr="00561954" w:rsidRDefault="00314F35" w:rsidP="00314F35">
      <w:pPr>
        <w:widowControl w:val="0"/>
        <w:numPr>
          <w:ilvl w:val="0"/>
          <w:numId w:val="30"/>
        </w:numPr>
        <w:autoSpaceDE w:val="0"/>
        <w:autoSpaceDN w:val="0"/>
        <w:adjustRightInd w:val="0"/>
        <w:spacing w:after="0"/>
        <w:ind w:left="426" w:right="305" w:hanging="142"/>
        <w:rPr>
          <w:rFonts w:cs="TimesNewRoman"/>
          <w:sz w:val="20"/>
          <w:szCs w:val="22"/>
        </w:rPr>
      </w:pPr>
      <w:proofErr w:type="spellStart"/>
      <w:r w:rsidRPr="00561954">
        <w:rPr>
          <w:rFonts w:cs="TimesNewRoman"/>
          <w:sz w:val="20"/>
          <w:szCs w:val="22"/>
        </w:rPr>
        <w:t>NadA</w:t>
      </w:r>
      <w:proofErr w:type="spellEnd"/>
      <w:r w:rsidRPr="00561954">
        <w:rPr>
          <w:rFonts w:cs="TimesNewRoman"/>
          <w:sz w:val="20"/>
          <w:szCs w:val="22"/>
        </w:rPr>
        <w:t xml:space="preserve"> antigen: strain 5/99</w:t>
      </w:r>
    </w:p>
    <w:p w:rsidR="00314F35" w:rsidRPr="00561954" w:rsidRDefault="00314F35" w:rsidP="00314F35">
      <w:pPr>
        <w:widowControl w:val="0"/>
        <w:numPr>
          <w:ilvl w:val="0"/>
          <w:numId w:val="30"/>
        </w:numPr>
        <w:autoSpaceDE w:val="0"/>
        <w:autoSpaceDN w:val="0"/>
        <w:adjustRightInd w:val="0"/>
        <w:spacing w:after="0"/>
        <w:ind w:left="426" w:right="305" w:hanging="142"/>
        <w:rPr>
          <w:rFonts w:cs="TimesNewRoman"/>
          <w:sz w:val="20"/>
          <w:szCs w:val="22"/>
        </w:rPr>
      </w:pPr>
      <w:proofErr w:type="spellStart"/>
      <w:r w:rsidRPr="00561954">
        <w:rPr>
          <w:rFonts w:cs="TimesNewRoman"/>
          <w:sz w:val="20"/>
          <w:szCs w:val="22"/>
        </w:rPr>
        <w:t>immunodominant</w:t>
      </w:r>
      <w:proofErr w:type="spellEnd"/>
      <w:r w:rsidRPr="00561954">
        <w:rPr>
          <w:rFonts w:cs="TimesNewRoman"/>
          <w:sz w:val="20"/>
          <w:szCs w:val="22"/>
        </w:rPr>
        <w:t xml:space="preserve"> </w:t>
      </w:r>
      <w:proofErr w:type="spellStart"/>
      <w:r w:rsidRPr="00561954">
        <w:rPr>
          <w:rFonts w:cs="TimesNewRoman"/>
          <w:sz w:val="20"/>
          <w:szCs w:val="22"/>
        </w:rPr>
        <w:t>PorA</w:t>
      </w:r>
      <w:proofErr w:type="spellEnd"/>
      <w:r w:rsidRPr="00561954">
        <w:rPr>
          <w:rFonts w:cs="TimesNewRoman"/>
          <w:sz w:val="20"/>
          <w:szCs w:val="22"/>
        </w:rPr>
        <w:t xml:space="preserve"> P1.4 component of OMV: strain NZ98/254</w:t>
      </w:r>
    </w:p>
    <w:p w:rsidR="00153703" w:rsidRDefault="00153703">
      <w:pPr>
        <w:spacing w:after="0"/>
        <w:ind w:left="0" w:firstLine="0"/>
        <w:rPr>
          <w:rFonts w:ascii="Times New Roman Bold" w:hAnsi="Times New Roman Bold"/>
          <w:b/>
          <w:caps/>
          <w:sz w:val="30"/>
          <w:szCs w:val="24"/>
          <w:u w:val="single"/>
        </w:rPr>
      </w:pPr>
      <w:r>
        <w:rPr>
          <w:rFonts w:ascii="Times New Roman Bold" w:hAnsi="Times New Roman Bold"/>
          <w:b/>
          <w:caps/>
          <w:sz w:val="30"/>
          <w:szCs w:val="24"/>
          <w:u w:val="single"/>
        </w:rPr>
        <w:br w:type="page"/>
      </w:r>
    </w:p>
    <w:p w:rsidR="00314F35" w:rsidRPr="00561954" w:rsidRDefault="00314F35" w:rsidP="00FD42C2">
      <w:pPr>
        <w:ind w:left="0" w:firstLine="0"/>
        <w:rPr>
          <w:rFonts w:ascii="Times New Roman Bold" w:hAnsi="Times New Roman Bold"/>
          <w:b/>
          <w:caps/>
          <w:sz w:val="30"/>
          <w:szCs w:val="24"/>
          <w:u w:val="single"/>
        </w:rPr>
      </w:pPr>
      <w:r w:rsidRPr="00561954">
        <w:rPr>
          <w:rFonts w:ascii="Times New Roman Bold" w:hAnsi="Times New Roman Bold"/>
          <w:b/>
          <w:caps/>
          <w:sz w:val="30"/>
          <w:szCs w:val="24"/>
          <w:u w:val="single"/>
        </w:rPr>
        <w:lastRenderedPageBreak/>
        <w:t>Indications</w:t>
      </w:r>
    </w:p>
    <w:p w:rsidR="00314F35" w:rsidRPr="00561954" w:rsidRDefault="00314F35" w:rsidP="00307BFD">
      <w:pPr>
        <w:widowControl w:val="0"/>
        <w:autoSpaceDE w:val="0"/>
        <w:autoSpaceDN w:val="0"/>
        <w:adjustRightInd w:val="0"/>
        <w:spacing w:after="0"/>
        <w:ind w:left="0" w:firstLine="0"/>
        <w:jc w:val="both"/>
      </w:pPr>
      <w:bookmarkStart w:id="0" w:name="OLE_LINK1"/>
      <w:bookmarkStart w:id="1" w:name="OLE_LINK2"/>
      <w:r w:rsidRPr="00561954">
        <w:t xml:space="preserve">BEXSERO is indicated for active </w:t>
      </w:r>
      <w:proofErr w:type="spellStart"/>
      <w:r w:rsidR="00872724" w:rsidRPr="00561954">
        <w:t>immunisation</w:t>
      </w:r>
      <w:proofErr w:type="spellEnd"/>
      <w:r w:rsidR="00872724" w:rsidRPr="00561954">
        <w:t xml:space="preserve"> </w:t>
      </w:r>
      <w:r w:rsidRPr="00561954">
        <w:t xml:space="preserve">against invasive disease caused by </w:t>
      </w:r>
      <w:r w:rsidRPr="00561954">
        <w:rPr>
          <w:i/>
          <w:iCs/>
        </w:rPr>
        <w:t xml:space="preserve">N. </w:t>
      </w:r>
      <w:proofErr w:type="spellStart"/>
      <w:r w:rsidRPr="00561954">
        <w:rPr>
          <w:i/>
          <w:iCs/>
        </w:rPr>
        <w:t>meningitidis</w:t>
      </w:r>
      <w:proofErr w:type="spellEnd"/>
      <w:r w:rsidRPr="00561954">
        <w:rPr>
          <w:i/>
          <w:iCs/>
        </w:rPr>
        <w:t xml:space="preserve"> </w:t>
      </w:r>
      <w:r w:rsidRPr="00561954">
        <w:t xml:space="preserve">group B strains. See PHARMACOLOGY for information on protection against specific group B strains. </w:t>
      </w:r>
    </w:p>
    <w:p w:rsidR="00314F35" w:rsidRPr="00561954" w:rsidRDefault="00314F35" w:rsidP="00307BFD">
      <w:pPr>
        <w:widowControl w:val="0"/>
        <w:autoSpaceDE w:val="0"/>
        <w:autoSpaceDN w:val="0"/>
        <w:adjustRightInd w:val="0"/>
        <w:spacing w:after="0"/>
        <w:ind w:left="0" w:firstLine="0"/>
        <w:jc w:val="both"/>
      </w:pPr>
    </w:p>
    <w:p w:rsidR="00314F35" w:rsidRPr="00561954" w:rsidRDefault="00314F35" w:rsidP="00307BFD">
      <w:pPr>
        <w:widowControl w:val="0"/>
        <w:autoSpaceDE w:val="0"/>
        <w:autoSpaceDN w:val="0"/>
        <w:adjustRightInd w:val="0"/>
        <w:spacing w:after="0"/>
        <w:ind w:left="0" w:firstLine="0"/>
        <w:jc w:val="both"/>
      </w:pPr>
      <w:r w:rsidRPr="00561954">
        <w:t xml:space="preserve">BEXSERO is indicated for vaccination of individuals from 2 months of age and older. </w:t>
      </w:r>
    </w:p>
    <w:p w:rsidR="00314F35" w:rsidRPr="00561954" w:rsidRDefault="00314F35" w:rsidP="00550A39">
      <w:pPr>
        <w:widowControl w:val="0"/>
        <w:autoSpaceDE w:val="0"/>
        <w:autoSpaceDN w:val="0"/>
        <w:adjustRightInd w:val="0"/>
        <w:spacing w:after="0"/>
        <w:ind w:left="0" w:firstLine="0"/>
        <w:jc w:val="both"/>
        <w:rPr>
          <w:b/>
          <w:caps/>
          <w:szCs w:val="24"/>
          <w:lang w:val="en-AU"/>
        </w:rPr>
      </w:pPr>
    </w:p>
    <w:bookmarkEnd w:id="0"/>
    <w:bookmarkEnd w:id="1"/>
    <w:p w:rsidR="00314F35" w:rsidRPr="00561954" w:rsidRDefault="00314F35" w:rsidP="00FD42C2">
      <w:pPr>
        <w:ind w:left="0" w:firstLine="0"/>
        <w:rPr>
          <w:rFonts w:ascii="Times New Roman Bold" w:hAnsi="Times New Roman Bold"/>
          <w:b/>
          <w:caps/>
          <w:sz w:val="30"/>
          <w:szCs w:val="24"/>
          <w:u w:val="single"/>
        </w:rPr>
      </w:pPr>
      <w:r w:rsidRPr="00561954">
        <w:rPr>
          <w:rFonts w:ascii="Times New Roman Bold" w:hAnsi="Times New Roman Bold"/>
          <w:b/>
          <w:caps/>
          <w:sz w:val="30"/>
          <w:szCs w:val="24"/>
          <w:u w:val="single"/>
        </w:rPr>
        <w:t>Contraindications</w:t>
      </w:r>
    </w:p>
    <w:p w:rsidR="00314F35" w:rsidRPr="00561954" w:rsidRDefault="00314F35" w:rsidP="00550A39">
      <w:pPr>
        <w:pStyle w:val="BodyText"/>
        <w:jc w:val="both"/>
      </w:pPr>
      <w:r w:rsidRPr="00561954">
        <w:t xml:space="preserve">Hypersensitivity to </w:t>
      </w:r>
      <w:r w:rsidR="00C033E7" w:rsidRPr="00561954">
        <w:t xml:space="preserve">the active substances or to any of the </w:t>
      </w:r>
      <w:proofErr w:type="spellStart"/>
      <w:r w:rsidR="00C033E7" w:rsidRPr="00561954">
        <w:t>excipients</w:t>
      </w:r>
      <w:proofErr w:type="spellEnd"/>
      <w:r w:rsidR="00C033E7" w:rsidRPr="00561954">
        <w:t xml:space="preserve"> listed in section </w:t>
      </w:r>
      <w:r w:rsidRPr="00561954">
        <w:rPr>
          <w:szCs w:val="24"/>
        </w:rPr>
        <w:t>DESCRIPTION.</w:t>
      </w:r>
    </w:p>
    <w:p w:rsidR="00314F35" w:rsidRPr="00561954" w:rsidRDefault="00314F35" w:rsidP="00FD42C2">
      <w:pPr>
        <w:ind w:left="0" w:firstLine="0"/>
        <w:rPr>
          <w:rFonts w:ascii="Times New Roman Bold" w:hAnsi="Times New Roman Bold"/>
          <w:b/>
          <w:caps/>
          <w:sz w:val="30"/>
          <w:szCs w:val="24"/>
          <w:u w:val="single"/>
        </w:rPr>
      </w:pPr>
      <w:r w:rsidRPr="00561954">
        <w:rPr>
          <w:rFonts w:ascii="Times New Roman Bold" w:hAnsi="Times New Roman Bold"/>
          <w:b/>
          <w:caps/>
          <w:sz w:val="30"/>
          <w:szCs w:val="24"/>
          <w:u w:val="single"/>
        </w:rPr>
        <w:t>Precautions</w:t>
      </w:r>
    </w:p>
    <w:p w:rsidR="00314F35" w:rsidRPr="00561954" w:rsidRDefault="00314F35" w:rsidP="00307BFD">
      <w:pPr>
        <w:widowControl w:val="0"/>
        <w:autoSpaceDE w:val="0"/>
        <w:autoSpaceDN w:val="0"/>
        <w:adjustRightInd w:val="0"/>
        <w:spacing w:after="0"/>
        <w:ind w:left="0" w:firstLine="0"/>
        <w:jc w:val="both"/>
      </w:pPr>
      <w:r w:rsidRPr="00561954">
        <w:t>As with other vaccines, administration of BEXSERO should be postponed in subjects suffering from an acute severe febrile illness. However, the presence of a minor infection, such as cold, should not result in the deferral of vaccination.</w:t>
      </w:r>
    </w:p>
    <w:p w:rsidR="00314F35" w:rsidRPr="00561954" w:rsidRDefault="00314F35" w:rsidP="00307BFD">
      <w:pPr>
        <w:widowControl w:val="0"/>
        <w:autoSpaceDE w:val="0"/>
        <w:autoSpaceDN w:val="0"/>
        <w:adjustRightInd w:val="0"/>
        <w:spacing w:after="0"/>
        <w:ind w:left="0" w:firstLine="0"/>
        <w:jc w:val="both"/>
        <w:rPr>
          <w:rFonts w:cs="TimesNewRoman"/>
          <w:szCs w:val="22"/>
        </w:rPr>
      </w:pPr>
    </w:p>
    <w:p w:rsidR="00314F35" w:rsidRPr="00561954" w:rsidRDefault="00314F35" w:rsidP="00307BFD">
      <w:pPr>
        <w:widowControl w:val="0"/>
        <w:autoSpaceDE w:val="0"/>
        <w:autoSpaceDN w:val="0"/>
        <w:adjustRightInd w:val="0"/>
        <w:spacing w:after="0"/>
        <w:ind w:left="0" w:firstLine="0"/>
        <w:jc w:val="both"/>
        <w:rPr>
          <w:bCs/>
          <w:szCs w:val="24"/>
          <w:lang w:eastAsia="it-IT"/>
        </w:rPr>
      </w:pPr>
      <w:r w:rsidRPr="00561954">
        <w:rPr>
          <w:bCs/>
          <w:szCs w:val="24"/>
          <w:lang w:eastAsia="it-IT"/>
        </w:rPr>
        <w:t xml:space="preserve">Do not inject </w:t>
      </w:r>
      <w:proofErr w:type="spellStart"/>
      <w:r w:rsidRPr="00561954">
        <w:rPr>
          <w:bCs/>
          <w:szCs w:val="24"/>
          <w:lang w:eastAsia="it-IT"/>
        </w:rPr>
        <w:t>intravascularly</w:t>
      </w:r>
      <w:proofErr w:type="spellEnd"/>
      <w:r w:rsidRPr="00561954">
        <w:rPr>
          <w:bCs/>
          <w:szCs w:val="24"/>
          <w:lang w:eastAsia="it-IT"/>
        </w:rPr>
        <w:t xml:space="preserve">. </w:t>
      </w:r>
    </w:p>
    <w:p w:rsidR="00314F35" w:rsidRPr="00561954" w:rsidRDefault="00314F35" w:rsidP="00307BFD">
      <w:pPr>
        <w:widowControl w:val="0"/>
        <w:autoSpaceDE w:val="0"/>
        <w:autoSpaceDN w:val="0"/>
        <w:adjustRightInd w:val="0"/>
        <w:spacing w:after="0"/>
        <w:ind w:left="0" w:firstLine="0"/>
        <w:jc w:val="both"/>
        <w:rPr>
          <w:bCs/>
          <w:sz w:val="22"/>
          <w:szCs w:val="22"/>
          <w:lang w:eastAsia="it-IT"/>
        </w:rPr>
      </w:pP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 xml:space="preserve">As with all </w:t>
      </w:r>
      <w:proofErr w:type="spellStart"/>
      <w:r w:rsidRPr="00561954">
        <w:rPr>
          <w:rFonts w:cs="TimesNewRoman"/>
          <w:szCs w:val="22"/>
        </w:rPr>
        <w:t>injectable</w:t>
      </w:r>
      <w:proofErr w:type="spellEnd"/>
      <w:r w:rsidRPr="00561954">
        <w:rPr>
          <w:rFonts w:cs="TimesNewRoman"/>
          <w:szCs w:val="22"/>
        </w:rPr>
        <w:t xml:space="preserve"> vaccines, appropriate medical treatment and supervision should always be readily available in case of an anaphylactic event following the administration of the vaccine.  </w:t>
      </w:r>
    </w:p>
    <w:p w:rsidR="00314F35" w:rsidRPr="00561954" w:rsidRDefault="00314F35" w:rsidP="00307BFD">
      <w:pPr>
        <w:widowControl w:val="0"/>
        <w:autoSpaceDE w:val="0"/>
        <w:autoSpaceDN w:val="0"/>
        <w:adjustRightInd w:val="0"/>
        <w:spacing w:after="0"/>
        <w:ind w:left="0" w:firstLine="0"/>
        <w:jc w:val="both"/>
      </w:pP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BEXSERO is not expected to provide protection against all circulating meningococcal group B strains (see PHARMACOLOGY).</w:t>
      </w:r>
    </w:p>
    <w:p w:rsidR="00314F35" w:rsidRPr="00561954" w:rsidRDefault="00314F35" w:rsidP="00307BFD">
      <w:pPr>
        <w:widowControl w:val="0"/>
        <w:autoSpaceDE w:val="0"/>
        <w:autoSpaceDN w:val="0"/>
        <w:adjustRightInd w:val="0"/>
        <w:spacing w:after="0"/>
        <w:ind w:left="0" w:firstLine="0"/>
        <w:jc w:val="both"/>
        <w:rPr>
          <w:rFonts w:cs="TimesNewRoman"/>
          <w:szCs w:val="22"/>
        </w:rPr>
      </w:pPr>
    </w:p>
    <w:p w:rsidR="009F77CA" w:rsidRPr="00561954" w:rsidRDefault="00314F35" w:rsidP="00153703">
      <w:pPr>
        <w:pStyle w:val="Heading2"/>
        <w:keepNext w:val="0"/>
        <w:jc w:val="both"/>
        <w:rPr>
          <w:rFonts w:cs="TimesNewRoman"/>
          <w:b w:val="0"/>
          <w:szCs w:val="24"/>
        </w:rPr>
      </w:pPr>
      <w:r w:rsidRPr="00561954">
        <w:rPr>
          <w:rFonts w:cs="TimesNewRoman"/>
          <w:b w:val="0"/>
          <w:szCs w:val="22"/>
        </w:rPr>
        <w:t xml:space="preserve">As with many vaccines, the </w:t>
      </w:r>
      <w:r w:rsidRPr="00561954">
        <w:rPr>
          <w:b w:val="0"/>
          <w:szCs w:val="24"/>
          <w:lang w:bidi="en-US"/>
        </w:rPr>
        <w:t>health care professional</w:t>
      </w:r>
      <w:r w:rsidRPr="00561954">
        <w:rPr>
          <w:rFonts w:cs="TimesNewRoman"/>
          <w:b w:val="0"/>
          <w:szCs w:val="22"/>
        </w:rPr>
        <w:t xml:space="preserve"> should be aware that a </w:t>
      </w:r>
      <w:r w:rsidRPr="00561954">
        <w:rPr>
          <w:rFonts w:cs="TimesNewRoman"/>
          <w:b w:val="0"/>
          <w:szCs w:val="24"/>
        </w:rPr>
        <w:t>temperature elevation may occur following vaccination of infants and toddlers.</w:t>
      </w:r>
      <w:r w:rsidR="0031150E" w:rsidRPr="00561954">
        <w:rPr>
          <w:b w:val="0"/>
        </w:rPr>
        <w:t xml:space="preserve"> </w:t>
      </w:r>
      <w:r w:rsidR="0031150E" w:rsidRPr="008939FC">
        <w:rPr>
          <w:rFonts w:cs="TimesNewRoman"/>
          <w:b w:val="0"/>
          <w:szCs w:val="24"/>
        </w:rPr>
        <w:t xml:space="preserve">Accordingly, patients and/or their care givers should be made aware of the risks and management of fever and its </w:t>
      </w:r>
      <w:proofErr w:type="spellStart"/>
      <w:r w:rsidR="0031150E" w:rsidRPr="008939FC">
        <w:rPr>
          <w:rFonts w:cs="TimesNewRoman"/>
          <w:b w:val="0"/>
          <w:szCs w:val="24"/>
        </w:rPr>
        <w:t>sequelae</w:t>
      </w:r>
      <w:proofErr w:type="spellEnd"/>
      <w:r w:rsidR="0031150E" w:rsidRPr="008939FC">
        <w:rPr>
          <w:rFonts w:cs="TimesNewRoman"/>
          <w:b w:val="0"/>
          <w:szCs w:val="24"/>
        </w:rPr>
        <w:t>.</w:t>
      </w:r>
      <w:r w:rsidRPr="008939FC">
        <w:rPr>
          <w:b w:val="0"/>
          <w:szCs w:val="24"/>
          <w:lang w:eastAsia="it-IT" w:bidi="en-US"/>
        </w:rPr>
        <w:t xml:space="preserve"> </w:t>
      </w:r>
      <w:r w:rsidR="00E77DED" w:rsidRPr="008939FC">
        <w:rPr>
          <w:b w:val="0"/>
        </w:rPr>
        <w:t>In infant study V72P13,</w:t>
      </w:r>
      <w:r w:rsidR="00621168" w:rsidRPr="008939FC">
        <w:rPr>
          <w:b w:val="0"/>
        </w:rPr>
        <w:t xml:space="preserve"> fever </w:t>
      </w:r>
      <w:r w:rsidR="00621168" w:rsidRPr="008939FC">
        <w:rPr>
          <w:rFonts w:cs="Calibri"/>
          <w:b w:val="0"/>
        </w:rPr>
        <w:t>≥</w:t>
      </w:r>
      <w:r w:rsidR="00621168" w:rsidRPr="008939FC">
        <w:rPr>
          <w:b w:val="0"/>
        </w:rPr>
        <w:t>38.0°C was reported by 78%, 84% and 73% of subjects after dose 1, 2 and 3</w:t>
      </w:r>
      <w:r w:rsidR="00E77DED" w:rsidRPr="00441701">
        <w:rPr>
          <w:b w:val="0"/>
        </w:rPr>
        <w:t>,</w:t>
      </w:r>
      <w:r w:rsidR="00621168" w:rsidRPr="00561954">
        <w:rPr>
          <w:b w:val="0"/>
        </w:rPr>
        <w:t xml:space="preserve"> respectively,</w:t>
      </w:r>
      <w:r w:rsidR="00E77DED" w:rsidRPr="00561954">
        <w:rPr>
          <w:b w:val="0"/>
        </w:rPr>
        <w:t xml:space="preserve"> in the BEXSERO vaccine group,</w:t>
      </w:r>
      <w:r w:rsidR="00621168" w:rsidRPr="00561954">
        <w:rPr>
          <w:b w:val="0"/>
        </w:rPr>
        <w:t xml:space="preserve"> compared with 44%, 59% and 50% of subjects receiving the routine vaccines alone. </w:t>
      </w:r>
      <w:r w:rsidR="00952935" w:rsidRPr="008939FC">
        <w:rPr>
          <w:b w:val="0"/>
        </w:rPr>
        <w:t xml:space="preserve">In the same study, fever </w:t>
      </w:r>
      <w:r w:rsidR="00952935" w:rsidRPr="008939FC">
        <w:rPr>
          <w:rFonts w:cs="Calibri"/>
          <w:b w:val="0"/>
        </w:rPr>
        <w:t>≥</w:t>
      </w:r>
      <w:r w:rsidR="00952935" w:rsidRPr="008939FC">
        <w:rPr>
          <w:b w:val="0"/>
        </w:rPr>
        <w:t xml:space="preserve">39.5°C was reported by 5%, 7% and 4% of subjects after dose 1, 2 and 3, respectively, in the BEXSERO vaccine group, compared with 1%, 1% and 2% of subjects receiving the routine </w:t>
      </w:r>
      <w:r w:rsidR="00952935" w:rsidRPr="00441701">
        <w:rPr>
          <w:b w:val="0"/>
        </w:rPr>
        <w:t>vaccin</w:t>
      </w:r>
      <w:r w:rsidR="00952935" w:rsidRPr="00561954">
        <w:rPr>
          <w:b w:val="0"/>
        </w:rPr>
        <w:t xml:space="preserve">es alone. </w:t>
      </w:r>
      <w:r w:rsidR="00621168" w:rsidRPr="00561954">
        <w:rPr>
          <w:b w:val="0"/>
        </w:rPr>
        <w:t>Th</w:t>
      </w:r>
      <w:r w:rsidR="00CC1139" w:rsidRPr="00561954">
        <w:rPr>
          <w:b w:val="0"/>
        </w:rPr>
        <w:t xml:space="preserve">e rate of fever </w:t>
      </w:r>
      <w:r w:rsidR="00621168" w:rsidRPr="00561954">
        <w:rPr>
          <w:b w:val="0"/>
        </w:rPr>
        <w:t xml:space="preserve">was decreased by the use of prophylactic antipyretics </w:t>
      </w:r>
      <w:r w:rsidR="00CC1139" w:rsidRPr="00561954">
        <w:rPr>
          <w:b w:val="0"/>
        </w:rPr>
        <w:t>(</w:t>
      </w:r>
      <w:r w:rsidR="005A2DB5" w:rsidRPr="00561954">
        <w:rPr>
          <w:b w:val="0"/>
        </w:rPr>
        <w:t xml:space="preserve">as demonstrated in </w:t>
      </w:r>
      <w:r w:rsidR="00CC1139" w:rsidRPr="00561954">
        <w:rPr>
          <w:b w:val="0"/>
        </w:rPr>
        <w:t>s</w:t>
      </w:r>
      <w:r w:rsidR="001519A7" w:rsidRPr="00561954">
        <w:rPr>
          <w:b w:val="0"/>
        </w:rPr>
        <w:t xml:space="preserve">tudy </w:t>
      </w:r>
      <w:r w:rsidR="00621168" w:rsidRPr="00561954">
        <w:rPr>
          <w:b w:val="0"/>
        </w:rPr>
        <w:t>V72P16</w:t>
      </w:r>
      <w:r w:rsidR="00CC1139" w:rsidRPr="00561954">
        <w:rPr>
          <w:b w:val="0"/>
        </w:rPr>
        <w:t>)</w:t>
      </w:r>
      <w:r w:rsidR="00621168" w:rsidRPr="00561954">
        <w:rPr>
          <w:b w:val="0"/>
        </w:rPr>
        <w:t xml:space="preserve">. </w:t>
      </w:r>
      <w:r w:rsidRPr="00561954">
        <w:rPr>
          <w:b w:val="0"/>
          <w:szCs w:val="24"/>
          <w:lang w:eastAsia="it-IT" w:bidi="en-US"/>
        </w:rPr>
        <w:t xml:space="preserve">Prophylactic administration of antipyretics </w:t>
      </w:r>
      <w:r w:rsidR="00983D8D" w:rsidRPr="00561954">
        <w:rPr>
          <w:b w:val="0"/>
          <w:szCs w:val="24"/>
          <w:lang w:eastAsia="it-IT" w:bidi="en-US"/>
        </w:rPr>
        <w:t xml:space="preserve">at the time </w:t>
      </w:r>
      <w:r w:rsidR="0044733F" w:rsidRPr="00561954">
        <w:rPr>
          <w:b w:val="0"/>
          <w:szCs w:val="24"/>
          <w:lang w:eastAsia="it-IT" w:bidi="en-US"/>
        </w:rPr>
        <w:t xml:space="preserve">of </w:t>
      </w:r>
      <w:r w:rsidR="00983D8D" w:rsidRPr="00561954">
        <w:rPr>
          <w:b w:val="0"/>
          <w:szCs w:val="24"/>
          <w:lang w:eastAsia="it-IT" w:bidi="en-US"/>
        </w:rPr>
        <w:t xml:space="preserve">and closely </w:t>
      </w:r>
      <w:r w:rsidRPr="00561954">
        <w:rPr>
          <w:b w:val="0"/>
          <w:szCs w:val="24"/>
          <w:lang w:eastAsia="it-IT" w:bidi="en-US"/>
        </w:rPr>
        <w:t>after vaccin</w:t>
      </w:r>
      <w:r w:rsidR="00983D8D" w:rsidRPr="00561954">
        <w:rPr>
          <w:b w:val="0"/>
          <w:szCs w:val="24"/>
          <w:lang w:eastAsia="it-IT" w:bidi="en-US"/>
        </w:rPr>
        <w:t>ation</w:t>
      </w:r>
      <w:r w:rsidRPr="00561954">
        <w:rPr>
          <w:b w:val="0"/>
          <w:szCs w:val="24"/>
          <w:lang w:eastAsia="it-IT" w:bidi="en-US"/>
        </w:rPr>
        <w:t xml:space="preserve"> can reduce the incidence and intensity of post-vaccination febrile reactions.</w:t>
      </w:r>
      <w:r w:rsidRPr="00561954">
        <w:rPr>
          <w:rFonts w:cs="TimesNewRoman"/>
          <w:b w:val="0"/>
          <w:szCs w:val="24"/>
        </w:rPr>
        <w:t xml:space="preserve"> Antipyretic</w:t>
      </w:r>
      <w:r w:rsidRPr="00561954">
        <w:rPr>
          <w:rFonts w:cs="TimesNewRoman"/>
          <w:b w:val="0"/>
          <w:szCs w:val="22"/>
        </w:rPr>
        <w:t xml:space="preserve"> medication </w:t>
      </w:r>
      <w:r w:rsidRPr="00561954">
        <w:rPr>
          <w:rFonts w:cs="TimesNewRoman"/>
          <w:b w:val="0"/>
          <w:szCs w:val="24"/>
        </w:rPr>
        <w:t>should be initiated according to local guidelines in infants and toddlers.</w:t>
      </w:r>
      <w:r w:rsidR="00BF6BE8" w:rsidRPr="00561954">
        <w:rPr>
          <w:rFonts w:cs="TimesNewRoman"/>
          <w:b w:val="0"/>
          <w:szCs w:val="24"/>
        </w:rPr>
        <w:t xml:space="preserve"> </w:t>
      </w:r>
    </w:p>
    <w:p w:rsidR="009F77CA" w:rsidRPr="00561954" w:rsidRDefault="00314F35" w:rsidP="00550A39">
      <w:pPr>
        <w:pStyle w:val="Heading2"/>
        <w:jc w:val="both"/>
        <w:rPr>
          <w:b w:val="0"/>
          <w:szCs w:val="24"/>
        </w:rPr>
      </w:pPr>
      <w:r w:rsidRPr="00561954">
        <w:rPr>
          <w:rFonts w:cs="TimesNewRoman"/>
          <w:b w:val="0"/>
          <w:szCs w:val="24"/>
        </w:rPr>
        <w:lastRenderedPageBreak/>
        <w:t xml:space="preserve">There are no data on the use of BEXSERO in subjects with impaired immune responsiveness. In </w:t>
      </w:r>
      <w:proofErr w:type="spellStart"/>
      <w:r w:rsidRPr="00561954">
        <w:rPr>
          <w:rFonts w:cs="TimesNewRoman"/>
          <w:b w:val="0"/>
          <w:szCs w:val="24"/>
        </w:rPr>
        <w:t>immunocompromised</w:t>
      </w:r>
      <w:proofErr w:type="spellEnd"/>
      <w:r w:rsidRPr="00561954">
        <w:rPr>
          <w:rFonts w:cs="TimesNewRoman"/>
          <w:b w:val="0"/>
          <w:szCs w:val="24"/>
        </w:rPr>
        <w:t xml:space="preserve"> individuals, vaccination may not result in a protective antibody response.</w:t>
      </w:r>
    </w:p>
    <w:p w:rsidR="00314F35" w:rsidRPr="00561954" w:rsidRDefault="00CA2D90" w:rsidP="00CA2D90">
      <w:pPr>
        <w:pStyle w:val="Heading2"/>
        <w:rPr>
          <w:rFonts w:cs="TimesNewRoman"/>
          <w:szCs w:val="22"/>
        </w:rPr>
      </w:pPr>
      <w:r w:rsidRPr="00561954">
        <w:rPr>
          <w:b w:val="0"/>
        </w:rPr>
        <w:t>There are no data on the use of B</w:t>
      </w:r>
      <w:r w:rsidR="0044733F" w:rsidRPr="00561954">
        <w:rPr>
          <w:b w:val="0"/>
        </w:rPr>
        <w:t>EXSERO</w:t>
      </w:r>
      <w:r w:rsidRPr="00561954">
        <w:rPr>
          <w:b w:val="0"/>
        </w:rPr>
        <w:t xml:space="preserve"> in subjects above 50 years of age or in patients with chronic medical conditions.</w:t>
      </w:r>
    </w:p>
    <w:p w:rsidR="00872724" w:rsidRPr="00561954" w:rsidRDefault="00314F35" w:rsidP="00872724">
      <w:pPr>
        <w:widowControl w:val="0"/>
        <w:autoSpaceDE w:val="0"/>
        <w:autoSpaceDN w:val="0"/>
        <w:adjustRightInd w:val="0"/>
        <w:spacing w:after="0"/>
        <w:ind w:left="0" w:firstLine="0"/>
        <w:jc w:val="both"/>
      </w:pPr>
      <w:r w:rsidRPr="00561954">
        <w:t>The tip cap of the syringe may contain natural rubber latex. Although the risk for developing allergic reactions is very small, health care professionals should consider the benefit-risk prior to administering this vaccine to subjects with known history of hypersensitivity to latex.</w:t>
      </w:r>
    </w:p>
    <w:p w:rsidR="00872724" w:rsidRPr="00561954" w:rsidRDefault="00872724" w:rsidP="00872724">
      <w:pPr>
        <w:pStyle w:val="Text"/>
      </w:pPr>
      <w:proofErr w:type="spellStart"/>
      <w:r w:rsidRPr="00561954">
        <w:rPr>
          <w:rFonts w:hint="eastAsia"/>
        </w:rPr>
        <w:t>Kanamycin</w:t>
      </w:r>
      <w:proofErr w:type="spellEnd"/>
      <w:r w:rsidRPr="00561954">
        <w:rPr>
          <w:rFonts w:hint="eastAsia"/>
        </w:rPr>
        <w:t xml:space="preserve"> is used in early manufacturing process and is removed during the later stages of manufacture. If present, </w:t>
      </w:r>
      <w:proofErr w:type="spellStart"/>
      <w:r w:rsidRPr="00561954">
        <w:t>k</w:t>
      </w:r>
      <w:r w:rsidRPr="00561954">
        <w:rPr>
          <w:rFonts w:hint="eastAsia"/>
        </w:rPr>
        <w:t>anamycin</w:t>
      </w:r>
      <w:proofErr w:type="spellEnd"/>
      <w:r w:rsidRPr="00561954">
        <w:rPr>
          <w:rFonts w:hint="eastAsia"/>
        </w:rPr>
        <w:t xml:space="preserve"> levels in the final vaccine are less than 0.01 </w:t>
      </w:r>
      <w:r w:rsidRPr="00561954">
        <w:t>micro</w:t>
      </w:r>
      <w:r w:rsidRPr="00561954">
        <w:rPr>
          <w:rFonts w:hint="eastAsia"/>
        </w:rPr>
        <w:t>g</w:t>
      </w:r>
      <w:r w:rsidRPr="00561954">
        <w:t>rams</w:t>
      </w:r>
      <w:r w:rsidRPr="00561954">
        <w:rPr>
          <w:rFonts w:hint="eastAsia"/>
        </w:rPr>
        <w:t xml:space="preserve"> per dose.</w:t>
      </w:r>
    </w:p>
    <w:p w:rsidR="00314F35" w:rsidRPr="00561954" w:rsidRDefault="00314F35" w:rsidP="00307BFD">
      <w:pPr>
        <w:widowControl w:val="0"/>
        <w:autoSpaceDE w:val="0"/>
        <w:autoSpaceDN w:val="0"/>
        <w:adjustRightInd w:val="0"/>
        <w:spacing w:after="0"/>
        <w:ind w:left="0" w:firstLine="0"/>
        <w:jc w:val="both"/>
        <w:rPr>
          <w:rFonts w:cs="TimesNewRoman"/>
          <w:szCs w:val="22"/>
        </w:rPr>
      </w:pPr>
    </w:p>
    <w:p w:rsidR="009F77CA" w:rsidRPr="00561954" w:rsidRDefault="00314F35" w:rsidP="00550A39">
      <w:pPr>
        <w:widowControl w:val="0"/>
        <w:autoSpaceDE w:val="0"/>
        <w:autoSpaceDN w:val="0"/>
        <w:adjustRightInd w:val="0"/>
        <w:spacing w:after="0"/>
        <w:ind w:left="0" w:firstLine="0"/>
        <w:jc w:val="both"/>
      </w:pPr>
      <w:r w:rsidRPr="00561954">
        <w:rPr>
          <w:rFonts w:cs="TimesNewRoman"/>
          <w:szCs w:val="22"/>
        </w:rPr>
        <w:t xml:space="preserve">No studies on the effects on the ability to drive and use machines have been performed.  </w:t>
      </w:r>
      <w:r w:rsidRPr="00561954">
        <w:t xml:space="preserve">However, </w:t>
      </w:r>
      <w:r w:rsidR="004463C9" w:rsidRPr="00561954">
        <w:t>some of the effects</w:t>
      </w:r>
      <w:r w:rsidRPr="00561954">
        <w:t xml:space="preserve"> </w:t>
      </w:r>
      <w:r w:rsidR="004463C9" w:rsidRPr="00561954">
        <w:t xml:space="preserve">mentioned under </w:t>
      </w:r>
      <w:r w:rsidR="00C033E7" w:rsidRPr="00561954">
        <w:t xml:space="preserve">section </w:t>
      </w:r>
      <w:r w:rsidR="004463C9" w:rsidRPr="00561954">
        <w:t xml:space="preserve">ADVERSE EFFECTS </w:t>
      </w:r>
      <w:r w:rsidRPr="00561954">
        <w:t>may temporarily affect the ability to drive or use machines.</w:t>
      </w:r>
    </w:p>
    <w:p w:rsidR="00314F35" w:rsidRPr="00561954" w:rsidRDefault="00314F35" w:rsidP="00550A39">
      <w:pPr>
        <w:widowControl w:val="0"/>
        <w:autoSpaceDE w:val="0"/>
        <w:autoSpaceDN w:val="0"/>
        <w:adjustRightInd w:val="0"/>
        <w:spacing w:after="0"/>
        <w:ind w:left="0" w:firstLine="0"/>
        <w:jc w:val="both"/>
      </w:pPr>
    </w:p>
    <w:p w:rsidR="00F1793E" w:rsidRPr="00561954" w:rsidRDefault="00F1793E" w:rsidP="00F1793E">
      <w:pPr>
        <w:pStyle w:val="Heading2"/>
        <w:rPr>
          <w:u w:val="single"/>
        </w:rPr>
      </w:pPr>
      <w:r w:rsidRPr="00561954">
        <w:rPr>
          <w:u w:val="single"/>
        </w:rPr>
        <w:t>Effects on Fertility</w:t>
      </w:r>
    </w:p>
    <w:p w:rsidR="00314F35" w:rsidRPr="00561954" w:rsidRDefault="00314F35" w:rsidP="00482DA3">
      <w:pPr>
        <w:autoSpaceDE w:val="0"/>
        <w:autoSpaceDN w:val="0"/>
        <w:spacing w:after="0"/>
        <w:ind w:left="0" w:firstLine="0"/>
        <w:jc w:val="both"/>
      </w:pPr>
      <w:r w:rsidRPr="00561954">
        <w:t>There are no data on fertility in humans.</w:t>
      </w:r>
    </w:p>
    <w:p w:rsidR="00314F35" w:rsidRPr="00561954" w:rsidRDefault="00314F35" w:rsidP="00482DA3">
      <w:pPr>
        <w:autoSpaceDE w:val="0"/>
        <w:autoSpaceDN w:val="0"/>
        <w:spacing w:after="0"/>
        <w:ind w:left="0" w:firstLine="0"/>
        <w:jc w:val="both"/>
      </w:pPr>
    </w:p>
    <w:p w:rsidR="00314F35" w:rsidRPr="00561954" w:rsidRDefault="00314F35" w:rsidP="00482DA3">
      <w:pPr>
        <w:pStyle w:val="BodyText"/>
        <w:jc w:val="both"/>
        <w:rPr>
          <w:u w:val="single"/>
        </w:rPr>
      </w:pPr>
      <w:r w:rsidRPr="00561954">
        <w:t>There were no effects on the mating performance or fertility of female rabbits in</w:t>
      </w:r>
      <w:r w:rsidR="009C3F2F" w:rsidRPr="00561954">
        <w:t xml:space="preserve"> </w:t>
      </w:r>
      <w:r w:rsidR="003D6970" w:rsidRPr="00561954">
        <w:t xml:space="preserve">a </w:t>
      </w:r>
      <w:r w:rsidR="009C3F2F" w:rsidRPr="00561954">
        <w:t>reproductive</w:t>
      </w:r>
      <w:r w:rsidRPr="00561954">
        <w:t xml:space="preserve"> and developmental toxicity study in which rabbits were intramuscularly injected with </w:t>
      </w:r>
      <w:r w:rsidR="009C3F2F" w:rsidRPr="00561954">
        <w:t xml:space="preserve">the clinical dose of </w:t>
      </w:r>
      <w:r w:rsidRPr="00561954">
        <w:t>BEXSERO 35, 21, and 7 days prior to mating and on gestation days 7 and 20. Male fertility has not been assessed in animals.</w:t>
      </w:r>
    </w:p>
    <w:p w:rsidR="00314F35" w:rsidRPr="00561954" w:rsidRDefault="00314F35" w:rsidP="00482DA3">
      <w:pPr>
        <w:pStyle w:val="Heading2"/>
        <w:jc w:val="both"/>
        <w:rPr>
          <w:u w:val="single"/>
        </w:rPr>
      </w:pPr>
      <w:r w:rsidRPr="00561954">
        <w:rPr>
          <w:u w:val="single"/>
        </w:rPr>
        <w:t>Use in Pregnancy (Category B1)</w:t>
      </w:r>
    </w:p>
    <w:p w:rsidR="00314F35" w:rsidRPr="00561954" w:rsidRDefault="00314F35" w:rsidP="00482DA3">
      <w:pPr>
        <w:autoSpaceDE w:val="0"/>
        <w:autoSpaceDN w:val="0"/>
        <w:spacing w:after="0"/>
        <w:ind w:left="0" w:firstLine="0"/>
        <w:jc w:val="both"/>
      </w:pPr>
      <w:r w:rsidRPr="00561954">
        <w:t>Insufficient clinical data on exposed pregnancies are available.</w:t>
      </w:r>
    </w:p>
    <w:p w:rsidR="00314F35" w:rsidRPr="00561954" w:rsidRDefault="00314F35" w:rsidP="00482DA3">
      <w:pPr>
        <w:autoSpaceDE w:val="0"/>
        <w:autoSpaceDN w:val="0"/>
        <w:spacing w:after="0"/>
        <w:ind w:left="0" w:firstLine="0"/>
        <w:jc w:val="both"/>
      </w:pPr>
    </w:p>
    <w:p w:rsidR="00314F35" w:rsidRPr="00561954" w:rsidRDefault="00314F35" w:rsidP="00482DA3">
      <w:pPr>
        <w:autoSpaceDE w:val="0"/>
        <w:autoSpaceDN w:val="0"/>
        <w:spacing w:after="0"/>
        <w:ind w:left="0" w:firstLine="0"/>
        <w:jc w:val="both"/>
      </w:pPr>
      <w:r w:rsidRPr="00561954">
        <w:t>The potential risk for pregnant humans is unknown. Nevertheless, vaccination should not be withheld when there is a clear risk of exposure to meningococcal infection.</w:t>
      </w:r>
    </w:p>
    <w:p w:rsidR="00314F35" w:rsidRPr="00561954" w:rsidRDefault="00314F35" w:rsidP="00482DA3">
      <w:pPr>
        <w:autoSpaceDE w:val="0"/>
        <w:autoSpaceDN w:val="0"/>
        <w:spacing w:after="0"/>
        <w:ind w:left="0" w:firstLine="0"/>
        <w:jc w:val="both"/>
      </w:pPr>
    </w:p>
    <w:p w:rsidR="00314F35" w:rsidRPr="00561954" w:rsidRDefault="00314F35" w:rsidP="00482DA3">
      <w:pPr>
        <w:pStyle w:val="BodyText"/>
        <w:jc w:val="both"/>
      </w:pPr>
      <w:r w:rsidRPr="00561954">
        <w:t xml:space="preserve">A reproductive and developmental toxicity study has been performed in female rabbits </w:t>
      </w:r>
      <w:r w:rsidR="009C3F2F" w:rsidRPr="00561954">
        <w:t>intramuscularly injected 35, 21, and 7 days prior to mating and on gestation days 7 and 20 with the clinical dose of BEXSERO (</w:t>
      </w:r>
      <w:r w:rsidRPr="00561954">
        <w:t>approximately 10 times the human dose</w:t>
      </w:r>
      <w:r w:rsidR="009C3F2F" w:rsidRPr="00561954">
        <w:t xml:space="preserve"> </w:t>
      </w:r>
      <w:r w:rsidRPr="00561954">
        <w:t xml:space="preserve">based on body weights). There was no evidence of maternal, </w:t>
      </w:r>
      <w:proofErr w:type="spellStart"/>
      <w:r w:rsidRPr="00561954">
        <w:t>f</w:t>
      </w:r>
      <w:r w:rsidR="004463C9" w:rsidRPr="00561954">
        <w:t>o</w:t>
      </w:r>
      <w:r w:rsidRPr="00561954">
        <w:t>etal</w:t>
      </w:r>
      <w:proofErr w:type="spellEnd"/>
      <w:r w:rsidRPr="00561954">
        <w:t>, or postnatal developmental effects due to BEXSERO.</w:t>
      </w:r>
      <w:r w:rsidR="009C3F2F" w:rsidRPr="00561954">
        <w:t xml:space="preserve"> Vaccine-specific antibodies were detected in rabbit </w:t>
      </w:r>
      <w:proofErr w:type="spellStart"/>
      <w:r w:rsidR="009C3F2F" w:rsidRPr="00561954">
        <w:t>f</w:t>
      </w:r>
      <w:r w:rsidR="004463C9" w:rsidRPr="00561954">
        <w:t>o</w:t>
      </w:r>
      <w:r w:rsidR="009C3F2F" w:rsidRPr="00561954">
        <w:t>etuses</w:t>
      </w:r>
      <w:proofErr w:type="spellEnd"/>
      <w:r w:rsidR="009C3F2F" w:rsidRPr="00561954">
        <w:t xml:space="preserve"> and </w:t>
      </w:r>
      <w:r w:rsidR="00E45883" w:rsidRPr="00561954">
        <w:t>kits</w:t>
      </w:r>
      <w:r w:rsidR="009C3F2F" w:rsidRPr="00561954">
        <w:t>.</w:t>
      </w:r>
    </w:p>
    <w:p w:rsidR="00314F35" w:rsidRPr="00561954" w:rsidRDefault="00314F35" w:rsidP="00482DA3">
      <w:pPr>
        <w:pStyle w:val="Heading2"/>
        <w:jc w:val="both"/>
        <w:rPr>
          <w:u w:val="single"/>
        </w:rPr>
      </w:pPr>
      <w:r w:rsidRPr="00561954">
        <w:rPr>
          <w:u w:val="single"/>
        </w:rPr>
        <w:lastRenderedPageBreak/>
        <w:t>Use in Lactation</w:t>
      </w:r>
    </w:p>
    <w:p w:rsidR="00314F35" w:rsidRPr="00561954" w:rsidRDefault="00314F35" w:rsidP="00482DA3">
      <w:pPr>
        <w:autoSpaceDE w:val="0"/>
        <w:autoSpaceDN w:val="0"/>
        <w:spacing w:after="0"/>
        <w:ind w:left="0" w:firstLine="0"/>
        <w:jc w:val="both"/>
      </w:pPr>
      <w:r w:rsidRPr="00561954">
        <w:t xml:space="preserve">Information on the safety of the vaccine during lactation is not available. The benefit-risk ratio must be examined before making the decision to </w:t>
      </w:r>
      <w:proofErr w:type="spellStart"/>
      <w:r w:rsidRPr="00561954">
        <w:t>immunise</w:t>
      </w:r>
      <w:proofErr w:type="spellEnd"/>
      <w:r w:rsidRPr="00561954">
        <w:t xml:space="preserve"> during lactation.</w:t>
      </w:r>
    </w:p>
    <w:p w:rsidR="00314F35" w:rsidRPr="00561954" w:rsidRDefault="00314F35" w:rsidP="00482DA3">
      <w:pPr>
        <w:autoSpaceDE w:val="0"/>
        <w:autoSpaceDN w:val="0"/>
        <w:spacing w:after="0"/>
        <w:ind w:left="0" w:firstLine="0"/>
        <w:jc w:val="both"/>
      </w:pPr>
    </w:p>
    <w:p w:rsidR="00314F35" w:rsidRPr="00561954" w:rsidRDefault="00314F35" w:rsidP="00307BFD">
      <w:pPr>
        <w:ind w:left="0" w:firstLine="0"/>
        <w:jc w:val="both"/>
        <w:rPr>
          <w:snapToGrid w:val="0"/>
        </w:rPr>
      </w:pPr>
      <w:r w:rsidRPr="00561954">
        <w:rPr>
          <w:snapToGrid w:val="0"/>
        </w:rPr>
        <w:t xml:space="preserve">No adverse reactions were seen in vaccinated maternal rabbits or in their offspring through day 29 of lactation. The vaccine was immunogenic in maternal animals and </w:t>
      </w:r>
      <w:r w:rsidR="009C3F2F" w:rsidRPr="00561954">
        <w:rPr>
          <w:snapToGrid w:val="0"/>
        </w:rPr>
        <w:t xml:space="preserve">vaccine-specific </w:t>
      </w:r>
      <w:r w:rsidRPr="00561954">
        <w:rPr>
          <w:snapToGrid w:val="0"/>
        </w:rPr>
        <w:t xml:space="preserve">antibodies were detected in the offspring, but antibody levels in milk were not determined.  </w:t>
      </w:r>
    </w:p>
    <w:p w:rsidR="009C3F2F" w:rsidRPr="00561954" w:rsidRDefault="0002776E" w:rsidP="00307BFD">
      <w:pPr>
        <w:pStyle w:val="BodyText"/>
        <w:jc w:val="both"/>
        <w:rPr>
          <w:b/>
          <w:szCs w:val="24"/>
          <w:u w:val="single"/>
        </w:rPr>
      </w:pPr>
      <w:proofErr w:type="spellStart"/>
      <w:r w:rsidRPr="00561954">
        <w:rPr>
          <w:b/>
          <w:szCs w:val="24"/>
          <w:u w:val="single"/>
        </w:rPr>
        <w:t>Genotoxicity</w:t>
      </w:r>
      <w:proofErr w:type="spellEnd"/>
      <w:r w:rsidR="00314F35" w:rsidRPr="00561954">
        <w:rPr>
          <w:b/>
          <w:szCs w:val="24"/>
          <w:u w:val="single"/>
        </w:rPr>
        <w:t xml:space="preserve"> </w:t>
      </w:r>
    </w:p>
    <w:p w:rsidR="0002776E" w:rsidRPr="00561954" w:rsidRDefault="0002776E" w:rsidP="00307BFD">
      <w:pPr>
        <w:pStyle w:val="BodyText"/>
        <w:jc w:val="both"/>
        <w:rPr>
          <w:b/>
          <w:szCs w:val="24"/>
          <w:u w:val="single"/>
        </w:rPr>
      </w:pPr>
      <w:proofErr w:type="spellStart"/>
      <w:r w:rsidRPr="00561954">
        <w:rPr>
          <w:szCs w:val="24"/>
        </w:rPr>
        <w:t>Genotoxicity</w:t>
      </w:r>
      <w:proofErr w:type="spellEnd"/>
      <w:r w:rsidRPr="00561954">
        <w:rPr>
          <w:szCs w:val="24"/>
        </w:rPr>
        <w:t xml:space="preserve"> studies have not been performed with BEXSERO.  </w:t>
      </w:r>
    </w:p>
    <w:p w:rsidR="00C36817" w:rsidRPr="00561954" w:rsidRDefault="0002776E" w:rsidP="00307BFD">
      <w:pPr>
        <w:pStyle w:val="BodyText"/>
        <w:jc w:val="both"/>
        <w:rPr>
          <w:b/>
          <w:szCs w:val="24"/>
          <w:u w:val="single"/>
        </w:rPr>
      </w:pPr>
      <w:r w:rsidRPr="00561954">
        <w:rPr>
          <w:b/>
          <w:szCs w:val="24"/>
          <w:u w:val="single"/>
        </w:rPr>
        <w:t>Carcinogenicity</w:t>
      </w:r>
    </w:p>
    <w:p w:rsidR="00A87E43" w:rsidRPr="00561954" w:rsidRDefault="00314F35" w:rsidP="00550A39">
      <w:pPr>
        <w:pStyle w:val="BodyText"/>
        <w:jc w:val="both"/>
        <w:rPr>
          <w:lang w:val="en-AU"/>
        </w:rPr>
      </w:pPr>
      <w:r w:rsidRPr="00561954">
        <w:rPr>
          <w:szCs w:val="24"/>
        </w:rPr>
        <w:t>Carcinogen</w:t>
      </w:r>
      <w:r w:rsidR="0002776E" w:rsidRPr="00561954">
        <w:rPr>
          <w:szCs w:val="24"/>
        </w:rPr>
        <w:t xml:space="preserve">icity </w:t>
      </w:r>
      <w:r w:rsidRPr="00561954">
        <w:rPr>
          <w:szCs w:val="24"/>
        </w:rPr>
        <w:t xml:space="preserve"> studies have not been performed with BEXSERO.  </w:t>
      </w:r>
    </w:p>
    <w:p w:rsidR="00314F35" w:rsidRPr="00561954" w:rsidRDefault="00314F35" w:rsidP="00F1793E">
      <w:pPr>
        <w:rPr>
          <w:rFonts w:ascii="Times New Roman Bold" w:hAnsi="Times New Roman Bold"/>
          <w:b/>
          <w:caps/>
          <w:sz w:val="30"/>
          <w:szCs w:val="24"/>
          <w:u w:val="single"/>
        </w:rPr>
      </w:pPr>
      <w:r w:rsidRPr="00561954">
        <w:rPr>
          <w:rFonts w:ascii="Times New Roman Bold" w:hAnsi="Times New Roman Bold"/>
          <w:b/>
          <w:caps/>
          <w:sz w:val="30"/>
          <w:szCs w:val="24"/>
          <w:u w:val="single"/>
        </w:rPr>
        <w:t>Interactions with other medicines</w:t>
      </w:r>
    </w:p>
    <w:p w:rsidR="00314F35" w:rsidRPr="008939FC"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 xml:space="preserve">BEXSERO can be given concomitantly with any of the following vaccine antigens, either as </w:t>
      </w:r>
      <w:proofErr w:type="spellStart"/>
      <w:r w:rsidRPr="00561954">
        <w:rPr>
          <w:rFonts w:cs="TimesNewRoman"/>
          <w:szCs w:val="22"/>
        </w:rPr>
        <w:t>monovalent</w:t>
      </w:r>
      <w:proofErr w:type="spellEnd"/>
      <w:r w:rsidRPr="00561954">
        <w:rPr>
          <w:rFonts w:cs="TimesNewRoman"/>
          <w:szCs w:val="22"/>
        </w:rPr>
        <w:t xml:space="preserve"> or as combination vaccines: diphtheria, tetanus, </w:t>
      </w:r>
      <w:proofErr w:type="spellStart"/>
      <w:r w:rsidRPr="00561954">
        <w:rPr>
          <w:rFonts w:cs="TimesNewRoman"/>
          <w:szCs w:val="22"/>
        </w:rPr>
        <w:t>acellular</w:t>
      </w:r>
      <w:proofErr w:type="spellEnd"/>
      <w:r w:rsidRPr="00561954">
        <w:rPr>
          <w:rFonts w:cs="TimesNewRoman"/>
          <w:szCs w:val="22"/>
        </w:rPr>
        <w:t xml:space="preserve"> </w:t>
      </w:r>
      <w:proofErr w:type="spellStart"/>
      <w:r w:rsidRPr="00561954">
        <w:rPr>
          <w:rFonts w:cs="TimesNewRoman"/>
          <w:szCs w:val="22"/>
        </w:rPr>
        <w:t>pertussis</w:t>
      </w:r>
      <w:proofErr w:type="spellEnd"/>
      <w:r w:rsidRPr="00561954">
        <w:rPr>
          <w:rFonts w:cs="TimesNewRoman"/>
          <w:szCs w:val="22"/>
        </w:rPr>
        <w:t xml:space="preserve">, </w:t>
      </w:r>
      <w:proofErr w:type="spellStart"/>
      <w:r w:rsidRPr="00561954">
        <w:rPr>
          <w:rFonts w:cs="TimesNewRoman"/>
          <w:i/>
          <w:iCs/>
          <w:szCs w:val="22"/>
        </w:rPr>
        <w:t>Haemophilus</w:t>
      </w:r>
      <w:proofErr w:type="spellEnd"/>
      <w:r w:rsidRPr="00561954">
        <w:rPr>
          <w:rFonts w:cs="TimesNewRoman"/>
          <w:i/>
          <w:iCs/>
          <w:szCs w:val="22"/>
        </w:rPr>
        <w:t xml:space="preserve"> </w:t>
      </w:r>
      <w:proofErr w:type="spellStart"/>
      <w:r w:rsidRPr="00561954">
        <w:rPr>
          <w:rFonts w:cs="TimesNewRoman"/>
          <w:i/>
          <w:iCs/>
          <w:szCs w:val="22"/>
        </w:rPr>
        <w:t>influenzae</w:t>
      </w:r>
      <w:proofErr w:type="spellEnd"/>
      <w:r w:rsidRPr="00561954">
        <w:rPr>
          <w:rFonts w:cs="TimesNewRoman"/>
          <w:i/>
          <w:iCs/>
          <w:szCs w:val="22"/>
        </w:rPr>
        <w:t xml:space="preserve"> </w:t>
      </w:r>
      <w:r w:rsidRPr="00561954">
        <w:rPr>
          <w:rFonts w:cs="TimesNewRoman"/>
          <w:szCs w:val="22"/>
        </w:rPr>
        <w:t>type b, inactivated poliomyelitis, hepatitis B, heptavalent</w:t>
      </w:r>
      <w:r w:rsidR="00952935" w:rsidRPr="00561954">
        <w:rPr>
          <w:rFonts w:cs="TimesNewRoman"/>
          <w:szCs w:val="22"/>
        </w:rPr>
        <w:t xml:space="preserve"> </w:t>
      </w:r>
      <w:r w:rsidR="00952935" w:rsidRPr="008939FC">
        <w:rPr>
          <w:rFonts w:cs="TimesNewRoman"/>
          <w:szCs w:val="22"/>
        </w:rPr>
        <w:t>(7-valent)</w:t>
      </w:r>
      <w:r w:rsidRPr="008939FC">
        <w:rPr>
          <w:rFonts w:cs="TimesNewRoman"/>
          <w:szCs w:val="22"/>
        </w:rPr>
        <w:t xml:space="preserve"> pneumococcal conjugate, measles, mumps, rubella, and </w:t>
      </w:r>
      <w:proofErr w:type="spellStart"/>
      <w:r w:rsidRPr="008939FC">
        <w:rPr>
          <w:rFonts w:cs="TimesNewRoman"/>
          <w:szCs w:val="22"/>
        </w:rPr>
        <w:t>varicella</w:t>
      </w:r>
      <w:proofErr w:type="spellEnd"/>
      <w:r w:rsidRPr="008939FC">
        <w:rPr>
          <w:rFonts w:cs="TimesNewRoman"/>
          <w:szCs w:val="22"/>
        </w:rPr>
        <w:t>.</w:t>
      </w:r>
    </w:p>
    <w:p w:rsidR="00314F35" w:rsidRPr="00441701" w:rsidRDefault="00314F35" w:rsidP="00307BFD">
      <w:pPr>
        <w:widowControl w:val="0"/>
        <w:autoSpaceDE w:val="0"/>
        <w:autoSpaceDN w:val="0"/>
        <w:adjustRightInd w:val="0"/>
        <w:spacing w:after="0"/>
        <w:ind w:left="0" w:firstLine="0"/>
        <w:jc w:val="both"/>
        <w:rPr>
          <w:rFonts w:cs="TimesNewRoman"/>
          <w:szCs w:val="22"/>
        </w:rPr>
      </w:pP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Clinical studies demonstrated that the immune responses and the safety profiles of the co</w:t>
      </w:r>
      <w:r w:rsidR="00635C4B" w:rsidRPr="00561954">
        <w:rPr>
          <w:rFonts w:cs="TimesNewRoman"/>
          <w:szCs w:val="22"/>
        </w:rPr>
        <w:t>-</w:t>
      </w:r>
      <w:r w:rsidRPr="00561954">
        <w:rPr>
          <w:rFonts w:cs="TimesNewRoman"/>
          <w:szCs w:val="22"/>
        </w:rPr>
        <w:t>administered vaccines were unaffected by concomitant administration of BEXSERO. Inconsistent results were seen across studies for responses to inactivated poliovirus type 2 and pneumococcal conjugate serotype 6B, but these data do not suggest clinically significant interference.</w:t>
      </w:r>
    </w:p>
    <w:p w:rsidR="00314F35" w:rsidRPr="00561954" w:rsidRDefault="00314F35" w:rsidP="00307BFD">
      <w:pPr>
        <w:widowControl w:val="0"/>
        <w:autoSpaceDE w:val="0"/>
        <w:autoSpaceDN w:val="0"/>
        <w:adjustRightInd w:val="0"/>
        <w:spacing w:after="0"/>
        <w:ind w:left="0" w:firstLine="0"/>
        <w:jc w:val="both"/>
        <w:rPr>
          <w:rFonts w:cs="TimesNewRoman"/>
          <w:szCs w:val="22"/>
        </w:rPr>
      </w:pPr>
    </w:p>
    <w:p w:rsidR="00EA0C30" w:rsidRPr="00561954" w:rsidRDefault="00EA0C30" w:rsidP="00307BFD">
      <w:pPr>
        <w:pStyle w:val="BodyText"/>
        <w:jc w:val="both"/>
      </w:pPr>
      <w:r w:rsidRPr="00561954">
        <w:t xml:space="preserve">The safety profiles of the co-administered vaccines were unaffected by concomitant administration of </w:t>
      </w:r>
      <w:proofErr w:type="spellStart"/>
      <w:r w:rsidRPr="00561954">
        <w:t>Bexsero</w:t>
      </w:r>
      <w:proofErr w:type="spellEnd"/>
      <w:r w:rsidRPr="00561954">
        <w:t xml:space="preserve"> with the exception of more frequent occurrence of fever, tenderness at the injection site, change in eating habits and irritability. Prophylactic use of </w:t>
      </w:r>
      <w:proofErr w:type="spellStart"/>
      <w:r w:rsidRPr="00561954">
        <w:t>paracetamol</w:t>
      </w:r>
      <w:proofErr w:type="spellEnd"/>
      <w:r w:rsidRPr="00561954">
        <w:t xml:space="preserve"> reduces the incidence and severity of fever without affecting the </w:t>
      </w:r>
      <w:r w:rsidR="0013181C" w:rsidRPr="00561954">
        <w:t>immunogenicity of either BEXSERO</w:t>
      </w:r>
      <w:r w:rsidRPr="00561954">
        <w:t xml:space="preserve"> or routine vaccines. The effect of antipyretics other than </w:t>
      </w:r>
      <w:proofErr w:type="spellStart"/>
      <w:r w:rsidRPr="00561954">
        <w:t>paracetamol</w:t>
      </w:r>
      <w:proofErr w:type="spellEnd"/>
      <w:r w:rsidRPr="00561954">
        <w:t xml:space="preserve"> on the immune response has not been studied.</w:t>
      </w: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Concomitant administration of BEXSERO with vaccines other than those mentioned above has not been studied.</w:t>
      </w: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When given concomitantly with other vaccines BEXSERO should be administered at separate injection sites (see DOSAGE AND ADMINISTRATION).</w:t>
      </w:r>
    </w:p>
    <w:p w:rsidR="00314F35" w:rsidRPr="00561954" w:rsidRDefault="00314F35" w:rsidP="00307BFD">
      <w:pPr>
        <w:jc w:val="both"/>
        <w:rPr>
          <w:rFonts w:ascii="Times New Roman Bold" w:hAnsi="Times New Roman Bold"/>
          <w:b/>
          <w:caps/>
          <w:sz w:val="30"/>
          <w:szCs w:val="24"/>
          <w:u w:val="single"/>
        </w:rPr>
      </w:pPr>
      <w:r w:rsidRPr="00561954">
        <w:rPr>
          <w:rFonts w:ascii="Times New Roman Bold" w:hAnsi="Times New Roman Bold"/>
          <w:b/>
          <w:caps/>
          <w:sz w:val="30"/>
          <w:szCs w:val="24"/>
          <w:u w:val="single"/>
        </w:rPr>
        <w:lastRenderedPageBreak/>
        <w:t>Adverse effects</w:t>
      </w: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Adverse reactions from clinical studies with the BEXSERO are described below.</w:t>
      </w:r>
    </w:p>
    <w:p w:rsidR="00314F35" w:rsidRPr="00561954" w:rsidRDefault="00314F35" w:rsidP="00307BFD">
      <w:pPr>
        <w:widowControl w:val="0"/>
        <w:autoSpaceDE w:val="0"/>
        <w:autoSpaceDN w:val="0"/>
        <w:adjustRightInd w:val="0"/>
        <w:spacing w:after="0"/>
        <w:ind w:left="0" w:firstLine="0"/>
        <w:jc w:val="both"/>
        <w:rPr>
          <w:rFonts w:cs="TimesNewRoman"/>
          <w:szCs w:val="22"/>
        </w:rPr>
      </w:pP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 xml:space="preserve">The safety of BEXSERO was evaluated in 9 studies including 7 </w:t>
      </w:r>
      <w:proofErr w:type="spellStart"/>
      <w:r w:rsidR="00872724" w:rsidRPr="00561954">
        <w:rPr>
          <w:rFonts w:cs="TimesNewRoman"/>
          <w:szCs w:val="22"/>
        </w:rPr>
        <w:t>randomised</w:t>
      </w:r>
      <w:proofErr w:type="spellEnd"/>
      <w:r w:rsidR="00872724" w:rsidRPr="00561954">
        <w:rPr>
          <w:rFonts w:cs="TimesNewRoman"/>
          <w:szCs w:val="22"/>
        </w:rPr>
        <w:t xml:space="preserve"> </w:t>
      </w:r>
      <w:r w:rsidRPr="00561954">
        <w:rPr>
          <w:rFonts w:cs="TimesNewRoman"/>
          <w:szCs w:val="22"/>
        </w:rPr>
        <w:t>controlled clinical trials with 6555 subjects (from 2 months of age) who received at least one dose of BEXSERO. Among BEXSERO recipients, 4843 were infants and toddlers, and 1712 were adolescents and adults. Of the subjects who received primary infant series of BEXSERO, 1630 received a booster dose in the second year of life.</w:t>
      </w:r>
    </w:p>
    <w:p w:rsidR="00314F35" w:rsidRPr="00561954" w:rsidRDefault="00314F35" w:rsidP="00307BFD">
      <w:pPr>
        <w:widowControl w:val="0"/>
        <w:autoSpaceDE w:val="0"/>
        <w:autoSpaceDN w:val="0"/>
        <w:adjustRightInd w:val="0"/>
        <w:spacing w:after="0"/>
        <w:ind w:left="0" w:firstLine="0"/>
        <w:jc w:val="both"/>
        <w:rPr>
          <w:rFonts w:cs="TimesNewRoman"/>
          <w:szCs w:val="22"/>
        </w:rPr>
      </w:pP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 xml:space="preserve">In infants and toddlers the most common local and systemic adverse reactions observed in clinical trials were tenderness and </w:t>
      </w:r>
      <w:proofErr w:type="spellStart"/>
      <w:r w:rsidRPr="00561954">
        <w:rPr>
          <w:rFonts w:cs="TimesNewRoman"/>
          <w:szCs w:val="22"/>
        </w:rPr>
        <w:t>erythema</w:t>
      </w:r>
      <w:proofErr w:type="spellEnd"/>
      <w:r w:rsidRPr="00561954">
        <w:rPr>
          <w:rFonts w:cs="TimesNewRoman"/>
          <w:szCs w:val="22"/>
        </w:rPr>
        <w:t xml:space="preserve"> at the injection site, fever and irritability. </w:t>
      </w:r>
    </w:p>
    <w:p w:rsidR="00314F35" w:rsidRPr="00561954" w:rsidRDefault="00314F35" w:rsidP="00307BFD">
      <w:pPr>
        <w:widowControl w:val="0"/>
        <w:autoSpaceDE w:val="0"/>
        <w:autoSpaceDN w:val="0"/>
        <w:adjustRightInd w:val="0"/>
        <w:spacing w:after="0"/>
        <w:ind w:left="0" w:firstLine="0"/>
        <w:jc w:val="both"/>
        <w:rPr>
          <w:rFonts w:cs="TimesNewRoman"/>
          <w:szCs w:val="22"/>
        </w:rPr>
      </w:pP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 xml:space="preserve">In clinical studies in infants, fever occurred more frequently when BEXSERO was co-administered with routine vaccines containing the following antigens (pneumococcal 7-valent conjugate vaccine, diphtheria, tetanus, </w:t>
      </w:r>
      <w:proofErr w:type="spellStart"/>
      <w:r w:rsidRPr="00561954">
        <w:rPr>
          <w:rFonts w:cs="TimesNewRoman"/>
          <w:szCs w:val="22"/>
        </w:rPr>
        <w:t>acellular</w:t>
      </w:r>
      <w:proofErr w:type="spellEnd"/>
      <w:r w:rsidRPr="00561954">
        <w:rPr>
          <w:rFonts w:cs="TimesNewRoman"/>
          <w:szCs w:val="22"/>
        </w:rPr>
        <w:t xml:space="preserve"> </w:t>
      </w:r>
      <w:proofErr w:type="spellStart"/>
      <w:r w:rsidRPr="00561954">
        <w:rPr>
          <w:rFonts w:cs="TimesNewRoman"/>
          <w:szCs w:val="22"/>
        </w:rPr>
        <w:t>pertussis</w:t>
      </w:r>
      <w:proofErr w:type="spellEnd"/>
      <w:r w:rsidRPr="00561954">
        <w:rPr>
          <w:rFonts w:cs="TimesNewRoman"/>
          <w:szCs w:val="22"/>
        </w:rPr>
        <w:t xml:space="preserve">, hepatitis B, inactivated poliomyelitis and </w:t>
      </w:r>
      <w:proofErr w:type="spellStart"/>
      <w:r w:rsidRPr="00561954">
        <w:rPr>
          <w:rFonts w:cs="TimesNewRoman"/>
          <w:i/>
          <w:iCs/>
          <w:szCs w:val="22"/>
        </w:rPr>
        <w:t>Haemophilus</w:t>
      </w:r>
      <w:proofErr w:type="spellEnd"/>
      <w:r w:rsidRPr="00561954">
        <w:rPr>
          <w:rFonts w:cs="TimesNewRoman"/>
          <w:i/>
          <w:iCs/>
          <w:szCs w:val="22"/>
        </w:rPr>
        <w:t xml:space="preserve"> </w:t>
      </w:r>
      <w:proofErr w:type="spellStart"/>
      <w:r w:rsidRPr="00561954">
        <w:rPr>
          <w:rFonts w:cs="TimesNewRoman"/>
          <w:i/>
          <w:iCs/>
          <w:szCs w:val="22"/>
        </w:rPr>
        <w:t>influenzae</w:t>
      </w:r>
      <w:proofErr w:type="spellEnd"/>
      <w:r w:rsidRPr="00561954">
        <w:rPr>
          <w:rFonts w:cs="TimesNewRoman"/>
          <w:i/>
          <w:iCs/>
          <w:szCs w:val="22"/>
        </w:rPr>
        <w:t xml:space="preserve"> </w:t>
      </w:r>
      <w:r w:rsidRPr="00561954">
        <w:rPr>
          <w:rFonts w:cs="TimesNewRoman"/>
          <w:szCs w:val="22"/>
        </w:rPr>
        <w:t xml:space="preserve">type b) than when it was given alone. Higher rates of antipyretic use were also reported for infants vaccinated with BEXSERO and routine vaccines. When BEXSERO was given alone, the frequency of fever was similar to that associated with routine infant vaccines administered during clinical trials. When fever occurred, it generally followed a predictable pattern, with the majority resolving by the day after vaccination. </w:t>
      </w:r>
    </w:p>
    <w:p w:rsidR="00314F35" w:rsidRPr="00561954" w:rsidRDefault="00314F35" w:rsidP="00307BFD">
      <w:pPr>
        <w:widowControl w:val="0"/>
        <w:autoSpaceDE w:val="0"/>
        <w:autoSpaceDN w:val="0"/>
        <w:adjustRightInd w:val="0"/>
        <w:spacing w:after="0"/>
        <w:ind w:left="0" w:firstLine="0"/>
        <w:jc w:val="both"/>
        <w:rPr>
          <w:rFonts w:cs="TimesNewRoman"/>
          <w:szCs w:val="22"/>
        </w:rPr>
      </w:pP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In adolescents and adults the most common local and systemic adverse reactions observed were pain at the injection site, malaise and headache.</w:t>
      </w:r>
    </w:p>
    <w:p w:rsidR="00314F35" w:rsidRPr="00561954" w:rsidRDefault="00314F35" w:rsidP="00307BFD">
      <w:pPr>
        <w:widowControl w:val="0"/>
        <w:autoSpaceDE w:val="0"/>
        <w:autoSpaceDN w:val="0"/>
        <w:adjustRightInd w:val="0"/>
        <w:spacing w:after="0"/>
        <w:ind w:left="0" w:firstLine="0"/>
        <w:jc w:val="both"/>
        <w:rPr>
          <w:rFonts w:cs="TimesNewRoman"/>
          <w:szCs w:val="22"/>
        </w:rPr>
      </w:pP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No increase in the incidence or severity of the adverse reactions was seen with subsequent doses of the vaccination series.</w:t>
      </w:r>
    </w:p>
    <w:p w:rsidR="00314F35" w:rsidRPr="00561954" w:rsidRDefault="00314F35" w:rsidP="00307BFD">
      <w:pPr>
        <w:widowControl w:val="0"/>
        <w:autoSpaceDE w:val="0"/>
        <w:autoSpaceDN w:val="0"/>
        <w:adjustRightInd w:val="0"/>
        <w:spacing w:after="0"/>
        <w:ind w:left="0" w:firstLine="0"/>
        <w:jc w:val="both"/>
        <w:rPr>
          <w:rFonts w:cs="TimesNewRoman"/>
          <w:szCs w:val="22"/>
        </w:rPr>
      </w:pP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 xml:space="preserve">Adverse reactions (following primary </w:t>
      </w:r>
      <w:proofErr w:type="spellStart"/>
      <w:r w:rsidRPr="00561954">
        <w:rPr>
          <w:rFonts w:cs="TimesNewRoman"/>
          <w:szCs w:val="22"/>
        </w:rPr>
        <w:t>immunisation</w:t>
      </w:r>
      <w:proofErr w:type="spellEnd"/>
      <w:r w:rsidRPr="00561954">
        <w:rPr>
          <w:rFonts w:cs="TimesNewRoman"/>
          <w:szCs w:val="22"/>
        </w:rPr>
        <w:t xml:space="preserve"> or booster dose) considered as being at least possibly related to vaccination have been </w:t>
      </w:r>
      <w:proofErr w:type="spellStart"/>
      <w:r w:rsidRPr="00561954">
        <w:rPr>
          <w:rFonts w:cs="TimesNewRoman"/>
          <w:szCs w:val="22"/>
        </w:rPr>
        <w:t>categorised</w:t>
      </w:r>
      <w:proofErr w:type="spellEnd"/>
      <w:r w:rsidRPr="00561954">
        <w:rPr>
          <w:rFonts w:cs="TimesNewRoman"/>
          <w:szCs w:val="22"/>
        </w:rPr>
        <w:t xml:space="preserve"> by frequency.</w:t>
      </w:r>
    </w:p>
    <w:p w:rsidR="00314F35" w:rsidRPr="00561954" w:rsidRDefault="00314F35" w:rsidP="00307BFD">
      <w:pPr>
        <w:widowControl w:val="0"/>
        <w:autoSpaceDE w:val="0"/>
        <w:autoSpaceDN w:val="0"/>
        <w:adjustRightInd w:val="0"/>
        <w:spacing w:after="0"/>
        <w:ind w:left="0" w:firstLine="0"/>
        <w:jc w:val="both"/>
        <w:rPr>
          <w:rFonts w:cs="TimesNewRoman"/>
          <w:szCs w:val="22"/>
        </w:rPr>
      </w:pPr>
    </w:p>
    <w:p w:rsidR="00314F35" w:rsidRPr="00561954" w:rsidRDefault="00314F35" w:rsidP="00314F35">
      <w:pPr>
        <w:widowControl w:val="0"/>
        <w:autoSpaceDE w:val="0"/>
        <w:autoSpaceDN w:val="0"/>
        <w:adjustRightInd w:val="0"/>
        <w:spacing w:after="0"/>
        <w:ind w:left="0" w:firstLine="0"/>
        <w:rPr>
          <w:rFonts w:cs="TimesNewRoman"/>
          <w:szCs w:val="22"/>
        </w:rPr>
      </w:pPr>
      <w:r w:rsidRPr="00561954">
        <w:rPr>
          <w:rFonts w:cs="TimesNewRoman"/>
          <w:szCs w:val="22"/>
        </w:rPr>
        <w:t>Frequencies are defined as follows:</w:t>
      </w:r>
    </w:p>
    <w:p w:rsidR="00314F35" w:rsidRPr="00561954" w:rsidRDefault="00314F35" w:rsidP="00314F35">
      <w:pPr>
        <w:widowControl w:val="0"/>
        <w:autoSpaceDE w:val="0"/>
        <w:autoSpaceDN w:val="0"/>
        <w:adjustRightInd w:val="0"/>
        <w:spacing w:after="0"/>
        <w:ind w:left="0" w:firstLine="0"/>
        <w:rPr>
          <w:rFonts w:cs="TimesNewRoman"/>
          <w:szCs w:val="22"/>
        </w:rPr>
      </w:pPr>
      <w:r w:rsidRPr="00561954">
        <w:rPr>
          <w:rFonts w:cs="TimesNewRoman"/>
          <w:szCs w:val="22"/>
        </w:rPr>
        <w:t>Very common: (≥ 1/10)</w:t>
      </w:r>
    </w:p>
    <w:p w:rsidR="00314F35" w:rsidRPr="00561954" w:rsidRDefault="00314F35" w:rsidP="00314F35">
      <w:pPr>
        <w:widowControl w:val="0"/>
        <w:autoSpaceDE w:val="0"/>
        <w:autoSpaceDN w:val="0"/>
        <w:adjustRightInd w:val="0"/>
        <w:spacing w:after="0"/>
        <w:ind w:left="0" w:firstLine="0"/>
        <w:rPr>
          <w:rFonts w:cs="TimesNewRoman"/>
          <w:szCs w:val="22"/>
        </w:rPr>
      </w:pPr>
      <w:r w:rsidRPr="00561954">
        <w:rPr>
          <w:rFonts w:cs="TimesNewRoman"/>
          <w:szCs w:val="22"/>
        </w:rPr>
        <w:t>Common: (≥1/100 to &lt;1/10)</w:t>
      </w:r>
    </w:p>
    <w:p w:rsidR="00314F35" w:rsidRPr="00561954" w:rsidRDefault="00314F35" w:rsidP="00314F35">
      <w:pPr>
        <w:widowControl w:val="0"/>
        <w:autoSpaceDE w:val="0"/>
        <w:autoSpaceDN w:val="0"/>
        <w:adjustRightInd w:val="0"/>
        <w:spacing w:after="0"/>
        <w:ind w:left="0" w:firstLine="0"/>
        <w:rPr>
          <w:rFonts w:cs="TimesNewRoman"/>
          <w:szCs w:val="22"/>
        </w:rPr>
      </w:pPr>
      <w:r w:rsidRPr="00561954">
        <w:rPr>
          <w:rFonts w:cs="TimesNewRoman"/>
          <w:szCs w:val="22"/>
        </w:rPr>
        <w:t>Uncommon: (≥1/1,000 to &lt;1/100)</w:t>
      </w:r>
    </w:p>
    <w:p w:rsidR="00314F35" w:rsidRPr="00561954" w:rsidRDefault="00314F35" w:rsidP="00314F35">
      <w:pPr>
        <w:widowControl w:val="0"/>
        <w:autoSpaceDE w:val="0"/>
        <w:autoSpaceDN w:val="0"/>
        <w:adjustRightInd w:val="0"/>
        <w:spacing w:after="0"/>
        <w:ind w:left="0" w:firstLine="0"/>
        <w:rPr>
          <w:rFonts w:cs="TimesNewRoman"/>
          <w:szCs w:val="22"/>
        </w:rPr>
      </w:pPr>
      <w:r w:rsidRPr="00561954">
        <w:rPr>
          <w:rFonts w:cs="TimesNewRoman"/>
          <w:szCs w:val="22"/>
        </w:rPr>
        <w:t>Rare: (≥1/10,000 to &lt;1/1,000)</w:t>
      </w:r>
    </w:p>
    <w:p w:rsidR="00314F35" w:rsidRPr="00561954" w:rsidRDefault="00314F35" w:rsidP="00314F35">
      <w:pPr>
        <w:widowControl w:val="0"/>
        <w:autoSpaceDE w:val="0"/>
        <w:autoSpaceDN w:val="0"/>
        <w:adjustRightInd w:val="0"/>
        <w:spacing w:after="0"/>
        <w:ind w:left="0" w:firstLine="0"/>
        <w:rPr>
          <w:rFonts w:cs="TimesNewRoman"/>
          <w:szCs w:val="22"/>
        </w:rPr>
      </w:pPr>
      <w:r w:rsidRPr="00561954">
        <w:rPr>
          <w:rFonts w:cs="TimesNewRoman"/>
          <w:szCs w:val="22"/>
        </w:rPr>
        <w:t>Very rare: (&lt;1/10,000)</w:t>
      </w:r>
    </w:p>
    <w:p w:rsidR="00314F35" w:rsidRPr="00561954" w:rsidRDefault="00314F35" w:rsidP="00314F35">
      <w:pPr>
        <w:pStyle w:val="BodyText"/>
        <w:spacing w:after="0"/>
        <w:rPr>
          <w:rFonts w:cs="TimesNewRoman"/>
          <w:szCs w:val="22"/>
        </w:rPr>
      </w:pPr>
    </w:p>
    <w:p w:rsidR="00314F35" w:rsidRPr="00561954" w:rsidRDefault="00314F35" w:rsidP="00307BFD">
      <w:pPr>
        <w:pStyle w:val="BodyText"/>
        <w:spacing w:after="0"/>
        <w:jc w:val="both"/>
        <w:rPr>
          <w:rFonts w:cs="TimesNewRoman"/>
          <w:szCs w:val="22"/>
        </w:rPr>
      </w:pPr>
      <w:r w:rsidRPr="00561954">
        <w:rPr>
          <w:rFonts w:cs="TimesNewRoman"/>
          <w:szCs w:val="22"/>
        </w:rPr>
        <w:t>Within each frequency grouping, undesirable effects are presented in order of decreasing seriousness.</w:t>
      </w:r>
    </w:p>
    <w:p w:rsidR="00314F35" w:rsidRPr="00561954" w:rsidRDefault="00314F35" w:rsidP="00314F35">
      <w:pPr>
        <w:widowControl w:val="0"/>
        <w:autoSpaceDE w:val="0"/>
        <w:autoSpaceDN w:val="0"/>
        <w:adjustRightInd w:val="0"/>
        <w:spacing w:after="0"/>
        <w:ind w:left="0" w:firstLine="0"/>
        <w:rPr>
          <w:rFonts w:cs="TimesNewRoman"/>
          <w:i/>
          <w:iCs/>
          <w:szCs w:val="22"/>
        </w:rPr>
      </w:pPr>
      <w:r w:rsidRPr="00561954">
        <w:rPr>
          <w:rFonts w:cs="TimesNewRoman"/>
          <w:i/>
          <w:iCs/>
          <w:szCs w:val="22"/>
        </w:rPr>
        <w:lastRenderedPageBreak/>
        <w:t>Infants and Toddlers</w:t>
      </w:r>
    </w:p>
    <w:p w:rsidR="00314F35" w:rsidRPr="00561954" w:rsidRDefault="00314F35" w:rsidP="00314F35">
      <w:pPr>
        <w:widowControl w:val="0"/>
        <w:autoSpaceDE w:val="0"/>
        <w:autoSpaceDN w:val="0"/>
        <w:adjustRightInd w:val="0"/>
        <w:spacing w:after="0"/>
        <w:ind w:left="0" w:firstLine="0"/>
        <w:rPr>
          <w:rFonts w:cs="TimesNewRoman"/>
          <w:szCs w:val="22"/>
        </w:rPr>
      </w:pPr>
    </w:p>
    <w:p w:rsidR="00314F35" w:rsidRPr="00561954" w:rsidRDefault="00314F35" w:rsidP="00314F35">
      <w:pPr>
        <w:spacing w:after="0" w:line="280" w:lineRule="atLeast"/>
        <w:jc w:val="both"/>
        <w:rPr>
          <w:szCs w:val="24"/>
          <w:u w:val="single"/>
          <w:lang w:bidi="en-US"/>
        </w:rPr>
      </w:pPr>
      <w:r w:rsidRPr="00561954">
        <w:rPr>
          <w:szCs w:val="24"/>
          <w:u w:val="single"/>
          <w:lang w:bidi="en-US"/>
        </w:rPr>
        <w:t>Metabolism and nutrition disorders</w:t>
      </w:r>
    </w:p>
    <w:p w:rsidR="00314F35" w:rsidRPr="00561954" w:rsidRDefault="00314F35" w:rsidP="00314F35">
      <w:pPr>
        <w:spacing w:after="0" w:line="280" w:lineRule="atLeast"/>
        <w:jc w:val="both"/>
        <w:rPr>
          <w:rFonts w:cs="TimesNewRoman"/>
          <w:szCs w:val="22"/>
        </w:rPr>
      </w:pPr>
      <w:r w:rsidRPr="00561954">
        <w:rPr>
          <w:szCs w:val="24"/>
          <w:lang w:bidi="en-US"/>
        </w:rPr>
        <w:t>Very common: eating disorders</w:t>
      </w:r>
    </w:p>
    <w:p w:rsidR="00314F35" w:rsidRPr="00561954" w:rsidRDefault="00314F35" w:rsidP="00314F35">
      <w:pPr>
        <w:spacing w:after="0"/>
        <w:ind w:left="0" w:firstLine="0"/>
        <w:rPr>
          <w:szCs w:val="24"/>
          <w:u w:val="single"/>
          <w:lang w:bidi="en-US"/>
        </w:rPr>
      </w:pPr>
    </w:p>
    <w:p w:rsidR="00314F35" w:rsidRPr="00561954" w:rsidRDefault="00314F35" w:rsidP="00314F35">
      <w:pPr>
        <w:spacing w:after="0"/>
        <w:ind w:left="0" w:firstLine="0"/>
        <w:rPr>
          <w:szCs w:val="24"/>
          <w:u w:val="single"/>
          <w:lang w:bidi="en-US"/>
        </w:rPr>
      </w:pPr>
      <w:r w:rsidRPr="00561954">
        <w:rPr>
          <w:szCs w:val="24"/>
          <w:u w:val="single"/>
          <w:lang w:bidi="en-US"/>
        </w:rPr>
        <w:t>Nervous system disorders</w:t>
      </w:r>
    </w:p>
    <w:p w:rsidR="00314F35" w:rsidRPr="00561954" w:rsidRDefault="00314F35" w:rsidP="00314F35">
      <w:pPr>
        <w:spacing w:after="0"/>
        <w:ind w:left="0" w:firstLine="0"/>
        <w:rPr>
          <w:szCs w:val="24"/>
          <w:lang w:bidi="en-US"/>
        </w:rPr>
      </w:pPr>
      <w:r w:rsidRPr="00561954">
        <w:rPr>
          <w:szCs w:val="24"/>
          <w:lang w:bidi="en-US"/>
        </w:rPr>
        <w:t>Very common: sleepiness, unusual crying,</w:t>
      </w:r>
    </w:p>
    <w:p w:rsidR="00314F35" w:rsidRPr="00561954" w:rsidRDefault="00314F35" w:rsidP="00314F35">
      <w:pPr>
        <w:spacing w:after="0"/>
        <w:ind w:left="0" w:firstLine="0"/>
        <w:rPr>
          <w:szCs w:val="24"/>
          <w:lang w:bidi="en-US"/>
        </w:rPr>
      </w:pPr>
      <w:r w:rsidRPr="00561954">
        <w:rPr>
          <w:szCs w:val="24"/>
          <w:lang w:bidi="en-US"/>
        </w:rPr>
        <w:t>Uncommon: seizures (including febrile seizures)</w:t>
      </w:r>
    </w:p>
    <w:p w:rsidR="00314F35" w:rsidRPr="00561954" w:rsidRDefault="00314F35" w:rsidP="00314F35">
      <w:pPr>
        <w:spacing w:after="0"/>
        <w:ind w:left="0" w:firstLine="0"/>
        <w:rPr>
          <w:szCs w:val="24"/>
          <w:u w:val="single"/>
          <w:lang w:bidi="en-US"/>
        </w:rPr>
      </w:pPr>
    </w:p>
    <w:p w:rsidR="00314F35" w:rsidRPr="00561954" w:rsidRDefault="00314F35" w:rsidP="00314F35">
      <w:pPr>
        <w:spacing w:after="0"/>
        <w:ind w:left="0" w:firstLine="0"/>
        <w:rPr>
          <w:szCs w:val="24"/>
          <w:lang w:bidi="en-US"/>
        </w:rPr>
      </w:pPr>
      <w:r w:rsidRPr="00561954">
        <w:rPr>
          <w:szCs w:val="24"/>
          <w:u w:val="single"/>
          <w:lang w:bidi="en-US"/>
        </w:rPr>
        <w:t>Vascular disorders</w:t>
      </w:r>
    </w:p>
    <w:p w:rsidR="00314F35" w:rsidRPr="00561954" w:rsidRDefault="00314F35" w:rsidP="00314F35">
      <w:pPr>
        <w:spacing w:after="0"/>
        <w:ind w:left="0" w:firstLine="0"/>
        <w:rPr>
          <w:szCs w:val="24"/>
          <w:lang w:bidi="en-US"/>
        </w:rPr>
      </w:pPr>
      <w:r w:rsidRPr="00561954">
        <w:rPr>
          <w:szCs w:val="24"/>
          <w:lang w:bidi="en-US"/>
        </w:rPr>
        <w:t>Uncommon: pallor (rare after booster)</w:t>
      </w:r>
    </w:p>
    <w:p w:rsidR="00314F35" w:rsidRPr="00561954" w:rsidRDefault="00314F35" w:rsidP="00314F35">
      <w:pPr>
        <w:widowControl w:val="0"/>
        <w:autoSpaceDE w:val="0"/>
        <w:autoSpaceDN w:val="0"/>
        <w:adjustRightInd w:val="0"/>
        <w:spacing w:after="0"/>
        <w:ind w:left="0" w:firstLine="0"/>
        <w:rPr>
          <w:szCs w:val="24"/>
          <w:lang w:bidi="en-US"/>
        </w:rPr>
      </w:pPr>
      <w:r w:rsidRPr="00561954">
        <w:rPr>
          <w:szCs w:val="24"/>
          <w:lang w:bidi="en-US"/>
        </w:rPr>
        <w:t>Rare: Kawasaki syndrome</w:t>
      </w:r>
    </w:p>
    <w:p w:rsidR="00314F35" w:rsidRPr="00561954" w:rsidRDefault="00314F35" w:rsidP="00314F35">
      <w:pPr>
        <w:pStyle w:val="BodyText"/>
        <w:spacing w:after="0"/>
        <w:rPr>
          <w:lang w:bidi="en-US"/>
        </w:rPr>
      </w:pPr>
    </w:p>
    <w:p w:rsidR="00314F35" w:rsidRPr="00561954" w:rsidRDefault="00314F35" w:rsidP="00314F35">
      <w:pPr>
        <w:widowControl w:val="0"/>
        <w:autoSpaceDE w:val="0"/>
        <w:autoSpaceDN w:val="0"/>
        <w:adjustRightInd w:val="0"/>
        <w:spacing w:after="0"/>
        <w:ind w:left="0" w:firstLine="0"/>
        <w:rPr>
          <w:rFonts w:cs="TimesNewRoman"/>
          <w:szCs w:val="22"/>
          <w:u w:val="single"/>
        </w:rPr>
      </w:pPr>
      <w:r w:rsidRPr="00561954">
        <w:rPr>
          <w:rFonts w:cs="TimesNewRoman"/>
          <w:szCs w:val="22"/>
          <w:u w:val="single"/>
        </w:rPr>
        <w:t>Gastrointestinal disorders</w:t>
      </w:r>
    </w:p>
    <w:p w:rsidR="00314F35" w:rsidRPr="00561954" w:rsidRDefault="00314F35" w:rsidP="00314F35">
      <w:pPr>
        <w:widowControl w:val="0"/>
        <w:autoSpaceDE w:val="0"/>
        <w:autoSpaceDN w:val="0"/>
        <w:adjustRightInd w:val="0"/>
        <w:spacing w:after="0"/>
        <w:ind w:left="0" w:firstLine="0"/>
        <w:rPr>
          <w:rFonts w:cs="TimesNewRoman"/>
          <w:szCs w:val="22"/>
        </w:rPr>
      </w:pPr>
      <w:r w:rsidRPr="00561954">
        <w:rPr>
          <w:rFonts w:cs="TimesNewRoman"/>
          <w:szCs w:val="22"/>
        </w:rPr>
        <w:t>Very common: diarrhea, vomiting (uncommon after booster)</w:t>
      </w:r>
    </w:p>
    <w:p w:rsidR="00314F35" w:rsidRPr="00561954" w:rsidRDefault="00314F35" w:rsidP="00314F35">
      <w:pPr>
        <w:widowControl w:val="0"/>
        <w:autoSpaceDE w:val="0"/>
        <w:autoSpaceDN w:val="0"/>
        <w:adjustRightInd w:val="0"/>
        <w:spacing w:after="0"/>
        <w:ind w:left="0" w:firstLine="0"/>
        <w:rPr>
          <w:rFonts w:cs="TimesNewRoman"/>
          <w:szCs w:val="24"/>
        </w:rPr>
      </w:pPr>
    </w:p>
    <w:p w:rsidR="00314F35" w:rsidRPr="00561954" w:rsidRDefault="00314F35" w:rsidP="00314F35">
      <w:pPr>
        <w:spacing w:after="0"/>
        <w:ind w:left="0" w:firstLine="0"/>
        <w:rPr>
          <w:szCs w:val="24"/>
          <w:u w:val="single"/>
          <w:lang w:bidi="en-US"/>
        </w:rPr>
      </w:pPr>
      <w:r w:rsidRPr="00561954">
        <w:rPr>
          <w:szCs w:val="24"/>
          <w:u w:val="single"/>
          <w:lang w:bidi="en-US"/>
        </w:rPr>
        <w:t>Skin and subcutaneous tissue disorders</w:t>
      </w:r>
    </w:p>
    <w:p w:rsidR="00314F35" w:rsidRPr="00561954" w:rsidRDefault="00314F35" w:rsidP="00314F35">
      <w:pPr>
        <w:spacing w:after="0"/>
        <w:ind w:left="0" w:firstLine="0"/>
        <w:rPr>
          <w:szCs w:val="24"/>
          <w:lang w:bidi="en-US"/>
        </w:rPr>
      </w:pPr>
      <w:r w:rsidRPr="00561954">
        <w:rPr>
          <w:szCs w:val="24"/>
          <w:lang w:bidi="en-US"/>
        </w:rPr>
        <w:t>Very common: rash (uncommon after booster)</w:t>
      </w:r>
    </w:p>
    <w:p w:rsidR="00314F35" w:rsidRPr="00561954" w:rsidRDefault="00314F35" w:rsidP="00314F35">
      <w:pPr>
        <w:spacing w:after="0"/>
        <w:ind w:left="0" w:firstLine="0"/>
        <w:rPr>
          <w:szCs w:val="24"/>
          <w:lang w:bidi="en-US"/>
        </w:rPr>
      </w:pPr>
      <w:r w:rsidRPr="00561954">
        <w:rPr>
          <w:szCs w:val="24"/>
          <w:lang w:bidi="en-US"/>
        </w:rPr>
        <w:t xml:space="preserve">Uncommon: eczema, </w:t>
      </w:r>
      <w:proofErr w:type="spellStart"/>
      <w:r w:rsidRPr="00561954">
        <w:rPr>
          <w:szCs w:val="24"/>
          <w:lang w:bidi="en-US"/>
        </w:rPr>
        <w:t>urticaria</w:t>
      </w:r>
      <w:proofErr w:type="spellEnd"/>
    </w:p>
    <w:p w:rsidR="00314F35" w:rsidRPr="00561954" w:rsidRDefault="00314F35" w:rsidP="00314F35">
      <w:pPr>
        <w:widowControl w:val="0"/>
        <w:autoSpaceDE w:val="0"/>
        <w:autoSpaceDN w:val="0"/>
        <w:adjustRightInd w:val="0"/>
        <w:spacing w:after="0"/>
        <w:ind w:left="0" w:firstLine="0"/>
        <w:rPr>
          <w:rFonts w:cs="TimesNewRoman"/>
          <w:szCs w:val="22"/>
          <w:u w:val="single"/>
        </w:rPr>
      </w:pPr>
    </w:p>
    <w:p w:rsidR="00314F35" w:rsidRPr="00561954" w:rsidRDefault="00314F35" w:rsidP="00314F35">
      <w:pPr>
        <w:widowControl w:val="0"/>
        <w:autoSpaceDE w:val="0"/>
        <w:autoSpaceDN w:val="0"/>
        <w:adjustRightInd w:val="0"/>
        <w:spacing w:after="0"/>
        <w:ind w:left="0" w:firstLine="0"/>
        <w:rPr>
          <w:rFonts w:cs="TimesNewRoman"/>
          <w:szCs w:val="22"/>
          <w:u w:val="single"/>
        </w:rPr>
      </w:pPr>
      <w:r w:rsidRPr="00561954">
        <w:rPr>
          <w:rFonts w:cs="TimesNewRoman"/>
          <w:szCs w:val="22"/>
          <w:u w:val="single"/>
        </w:rPr>
        <w:t>General disorders and administration site conditions</w:t>
      </w:r>
    </w:p>
    <w:p w:rsidR="00314F35" w:rsidRPr="00561954" w:rsidRDefault="00314F35" w:rsidP="00307BFD">
      <w:pPr>
        <w:spacing w:after="0"/>
        <w:ind w:left="0" w:firstLine="0"/>
        <w:jc w:val="both"/>
        <w:rPr>
          <w:rFonts w:cs="TimesNewRoman"/>
          <w:szCs w:val="22"/>
        </w:rPr>
      </w:pPr>
      <w:r w:rsidRPr="00561954">
        <w:rPr>
          <w:rFonts w:cs="TimesNewRoman"/>
          <w:szCs w:val="22"/>
        </w:rPr>
        <w:t>Very common: fever (≥38°C)</w:t>
      </w:r>
      <w:r w:rsidRPr="00561954">
        <w:rPr>
          <w:szCs w:val="24"/>
          <w:lang w:bidi="en-US"/>
        </w:rPr>
        <w:t xml:space="preserve">, injection site tenderness (including severe injection site tenderness defined as crying when injected limb is moved), injection site </w:t>
      </w:r>
      <w:proofErr w:type="spellStart"/>
      <w:r w:rsidRPr="00561954">
        <w:rPr>
          <w:szCs w:val="24"/>
          <w:lang w:bidi="en-US"/>
        </w:rPr>
        <w:t>erythema</w:t>
      </w:r>
      <w:proofErr w:type="spellEnd"/>
      <w:r w:rsidRPr="00561954">
        <w:rPr>
          <w:szCs w:val="24"/>
          <w:lang w:bidi="en-US"/>
        </w:rPr>
        <w:t xml:space="preserve">, injection site swelling, injection site </w:t>
      </w:r>
      <w:proofErr w:type="spellStart"/>
      <w:r w:rsidRPr="00561954">
        <w:rPr>
          <w:szCs w:val="24"/>
          <w:lang w:bidi="en-US"/>
        </w:rPr>
        <w:t>induration</w:t>
      </w:r>
      <w:proofErr w:type="spellEnd"/>
      <w:r w:rsidRPr="00561954">
        <w:rPr>
          <w:szCs w:val="24"/>
          <w:lang w:bidi="en-US"/>
        </w:rPr>
        <w:t>,  irritability</w:t>
      </w:r>
    </w:p>
    <w:p w:rsidR="00833BD4" w:rsidRDefault="00833BD4" w:rsidP="00307BFD">
      <w:pPr>
        <w:widowControl w:val="0"/>
        <w:autoSpaceDE w:val="0"/>
        <w:autoSpaceDN w:val="0"/>
        <w:adjustRightInd w:val="0"/>
        <w:spacing w:after="0"/>
        <w:ind w:left="0" w:firstLine="0"/>
        <w:jc w:val="both"/>
        <w:rPr>
          <w:rFonts w:cs="TimesNewRoman"/>
          <w:szCs w:val="22"/>
        </w:rPr>
      </w:pPr>
      <w:r w:rsidRPr="00EE276B">
        <w:rPr>
          <w:rFonts w:cs="TimesNewRoman"/>
          <w:szCs w:val="22"/>
        </w:rPr>
        <w:t>Common: fever (≥ 39.5°C)</w:t>
      </w: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Uncommon: fever (≥40°C)</w:t>
      </w:r>
    </w:p>
    <w:p w:rsidR="00375255" w:rsidRPr="00561954" w:rsidRDefault="00375255" w:rsidP="00307BFD">
      <w:pPr>
        <w:widowControl w:val="0"/>
        <w:autoSpaceDE w:val="0"/>
        <w:autoSpaceDN w:val="0"/>
        <w:adjustRightInd w:val="0"/>
        <w:spacing w:after="0"/>
        <w:ind w:left="0" w:firstLine="0"/>
        <w:jc w:val="both"/>
        <w:rPr>
          <w:rFonts w:cs="TimesNewRoman"/>
          <w:i/>
          <w:iCs/>
          <w:szCs w:val="22"/>
        </w:rPr>
      </w:pPr>
    </w:p>
    <w:p w:rsidR="00314F35" w:rsidRPr="00561954" w:rsidRDefault="00314F35" w:rsidP="00307BFD">
      <w:pPr>
        <w:widowControl w:val="0"/>
        <w:autoSpaceDE w:val="0"/>
        <w:autoSpaceDN w:val="0"/>
        <w:adjustRightInd w:val="0"/>
        <w:spacing w:after="0"/>
        <w:ind w:left="0" w:firstLine="0"/>
        <w:jc w:val="both"/>
        <w:rPr>
          <w:rFonts w:cs="TimesNewRoman"/>
          <w:i/>
          <w:iCs/>
          <w:szCs w:val="22"/>
        </w:rPr>
      </w:pPr>
      <w:r w:rsidRPr="00561954">
        <w:rPr>
          <w:rFonts w:cs="TimesNewRoman"/>
          <w:i/>
          <w:iCs/>
          <w:szCs w:val="22"/>
        </w:rPr>
        <w:t>Adolescents and Adults</w:t>
      </w:r>
    </w:p>
    <w:p w:rsidR="00314F35" w:rsidRPr="00561954" w:rsidRDefault="00314F35" w:rsidP="00307BFD">
      <w:pPr>
        <w:spacing w:after="0"/>
        <w:ind w:left="0" w:firstLine="0"/>
        <w:jc w:val="both"/>
        <w:rPr>
          <w:szCs w:val="24"/>
          <w:u w:val="single"/>
          <w:lang w:bidi="en-US"/>
        </w:rPr>
      </w:pPr>
      <w:r w:rsidRPr="00561954">
        <w:rPr>
          <w:szCs w:val="24"/>
          <w:u w:val="single"/>
          <w:lang w:bidi="en-US"/>
        </w:rPr>
        <w:t>Nervous system disorders</w:t>
      </w:r>
    </w:p>
    <w:p w:rsidR="00314F35" w:rsidRPr="00561954" w:rsidRDefault="00314F35" w:rsidP="00307BFD">
      <w:pPr>
        <w:spacing w:after="0"/>
        <w:ind w:left="0" w:firstLine="0"/>
        <w:jc w:val="both"/>
        <w:rPr>
          <w:szCs w:val="24"/>
          <w:lang w:bidi="en-US"/>
        </w:rPr>
      </w:pPr>
      <w:r w:rsidRPr="00561954">
        <w:rPr>
          <w:szCs w:val="24"/>
          <w:lang w:bidi="en-US"/>
        </w:rPr>
        <w:t>Very common: headache</w:t>
      </w:r>
    </w:p>
    <w:p w:rsidR="00314F35" w:rsidRPr="00561954" w:rsidRDefault="00314F35" w:rsidP="00307BFD">
      <w:pPr>
        <w:widowControl w:val="0"/>
        <w:autoSpaceDE w:val="0"/>
        <w:autoSpaceDN w:val="0"/>
        <w:adjustRightInd w:val="0"/>
        <w:spacing w:after="0"/>
        <w:ind w:left="0" w:firstLine="0"/>
        <w:jc w:val="both"/>
        <w:rPr>
          <w:rFonts w:cs="TimesNewRoman"/>
          <w:szCs w:val="24"/>
          <w:u w:val="single"/>
        </w:rPr>
      </w:pPr>
    </w:p>
    <w:p w:rsidR="00314F35" w:rsidRPr="00561954" w:rsidRDefault="00314F35" w:rsidP="00307BFD">
      <w:pPr>
        <w:widowControl w:val="0"/>
        <w:autoSpaceDE w:val="0"/>
        <w:autoSpaceDN w:val="0"/>
        <w:adjustRightInd w:val="0"/>
        <w:spacing w:after="0"/>
        <w:ind w:left="0" w:firstLine="0"/>
        <w:jc w:val="both"/>
        <w:rPr>
          <w:rFonts w:cs="TimesNewRoman"/>
          <w:szCs w:val="22"/>
          <w:u w:val="single"/>
        </w:rPr>
      </w:pPr>
      <w:r w:rsidRPr="00561954">
        <w:rPr>
          <w:rFonts w:cs="TimesNewRoman"/>
          <w:szCs w:val="22"/>
          <w:u w:val="single"/>
        </w:rPr>
        <w:t>Gastrointestinal disorders</w:t>
      </w: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Very common: nausea</w:t>
      </w:r>
    </w:p>
    <w:p w:rsidR="00314F35" w:rsidRPr="00561954" w:rsidRDefault="00314F35" w:rsidP="00307BFD">
      <w:pPr>
        <w:widowControl w:val="0"/>
        <w:autoSpaceDE w:val="0"/>
        <w:autoSpaceDN w:val="0"/>
        <w:adjustRightInd w:val="0"/>
        <w:spacing w:after="0"/>
        <w:ind w:left="0" w:firstLine="0"/>
        <w:jc w:val="both"/>
        <w:rPr>
          <w:rFonts w:cs="TimesNewRoman"/>
          <w:szCs w:val="22"/>
        </w:rPr>
      </w:pPr>
    </w:p>
    <w:p w:rsidR="00314F35" w:rsidRPr="00561954" w:rsidRDefault="00314F35" w:rsidP="00307BFD">
      <w:pPr>
        <w:widowControl w:val="0"/>
        <w:autoSpaceDE w:val="0"/>
        <w:autoSpaceDN w:val="0"/>
        <w:adjustRightInd w:val="0"/>
        <w:spacing w:after="0"/>
        <w:ind w:left="0" w:firstLine="0"/>
        <w:jc w:val="both"/>
        <w:rPr>
          <w:rFonts w:cs="TimesNewRoman"/>
          <w:szCs w:val="22"/>
          <w:u w:val="single"/>
        </w:rPr>
      </w:pPr>
      <w:r w:rsidRPr="00561954">
        <w:rPr>
          <w:rFonts w:cs="TimesNewRoman"/>
          <w:szCs w:val="22"/>
          <w:u w:val="single"/>
        </w:rPr>
        <w:t>General disorders and administration site conditions</w:t>
      </w:r>
    </w:p>
    <w:p w:rsidR="00314F35" w:rsidRPr="00561954" w:rsidRDefault="00314F35" w:rsidP="00307BFD">
      <w:pPr>
        <w:spacing w:after="0"/>
        <w:ind w:left="0" w:firstLine="0"/>
        <w:jc w:val="both"/>
        <w:rPr>
          <w:szCs w:val="24"/>
          <w:lang w:eastAsia="it-IT"/>
        </w:rPr>
      </w:pPr>
      <w:r w:rsidRPr="00561954">
        <w:rPr>
          <w:szCs w:val="24"/>
          <w:lang w:eastAsia="it-IT"/>
        </w:rPr>
        <w:t xml:space="preserve">Very Common: </w:t>
      </w:r>
      <w:r w:rsidR="00386772" w:rsidRPr="00561954">
        <w:rPr>
          <w:szCs w:val="24"/>
          <w:lang w:eastAsia="it-IT"/>
        </w:rPr>
        <w:t>i</w:t>
      </w:r>
      <w:r w:rsidRPr="00561954">
        <w:rPr>
          <w:szCs w:val="24"/>
          <w:lang w:eastAsia="it-IT"/>
        </w:rPr>
        <w:t>njection-site pain (including sever</w:t>
      </w:r>
      <w:r w:rsidR="00386772" w:rsidRPr="00561954">
        <w:rPr>
          <w:szCs w:val="24"/>
          <w:lang w:eastAsia="it-IT"/>
        </w:rPr>
        <w:t>e</w:t>
      </w:r>
      <w:r w:rsidRPr="00561954">
        <w:rPr>
          <w:szCs w:val="24"/>
          <w:lang w:eastAsia="it-IT"/>
        </w:rPr>
        <w:t xml:space="preserve"> injection site pain defined as </w:t>
      </w:r>
      <w:r w:rsidRPr="00561954">
        <w:rPr>
          <w:szCs w:val="24"/>
        </w:rPr>
        <w:t>unable to perform normal daily activity)</w:t>
      </w:r>
      <w:r w:rsidRPr="00561954">
        <w:rPr>
          <w:szCs w:val="24"/>
          <w:lang w:eastAsia="it-IT"/>
        </w:rPr>
        <w:t xml:space="preserve">, injection site swelling, injection site </w:t>
      </w:r>
      <w:proofErr w:type="spellStart"/>
      <w:r w:rsidRPr="00561954">
        <w:rPr>
          <w:szCs w:val="24"/>
          <w:lang w:eastAsia="it-IT"/>
        </w:rPr>
        <w:t>induration</w:t>
      </w:r>
      <w:proofErr w:type="spellEnd"/>
      <w:r w:rsidRPr="00561954">
        <w:rPr>
          <w:szCs w:val="24"/>
          <w:lang w:eastAsia="it-IT"/>
        </w:rPr>
        <w:t xml:space="preserve">, injection site </w:t>
      </w:r>
      <w:proofErr w:type="spellStart"/>
      <w:r w:rsidRPr="00561954">
        <w:rPr>
          <w:szCs w:val="24"/>
          <w:lang w:eastAsia="it-IT"/>
        </w:rPr>
        <w:t>erythema</w:t>
      </w:r>
      <w:proofErr w:type="spellEnd"/>
      <w:r w:rsidRPr="00561954">
        <w:rPr>
          <w:szCs w:val="24"/>
          <w:lang w:eastAsia="it-IT"/>
        </w:rPr>
        <w:t>, malaise</w:t>
      </w:r>
    </w:p>
    <w:p w:rsidR="00314F35" w:rsidRPr="00561954" w:rsidRDefault="00314F35" w:rsidP="00307BFD">
      <w:pPr>
        <w:widowControl w:val="0"/>
        <w:autoSpaceDE w:val="0"/>
        <w:autoSpaceDN w:val="0"/>
        <w:adjustRightInd w:val="0"/>
        <w:spacing w:after="0"/>
        <w:ind w:left="0" w:firstLine="0"/>
        <w:jc w:val="both"/>
        <w:rPr>
          <w:rFonts w:cs="TimesNewRoman"/>
          <w:szCs w:val="22"/>
        </w:rPr>
      </w:pPr>
    </w:p>
    <w:p w:rsidR="00314F35" w:rsidRPr="00561954" w:rsidRDefault="00314F35" w:rsidP="00307BFD">
      <w:pPr>
        <w:widowControl w:val="0"/>
        <w:autoSpaceDE w:val="0"/>
        <w:autoSpaceDN w:val="0"/>
        <w:adjustRightInd w:val="0"/>
        <w:spacing w:after="0"/>
        <w:ind w:left="0" w:firstLine="0"/>
        <w:jc w:val="both"/>
        <w:rPr>
          <w:rFonts w:cs="TimesNewRoman"/>
          <w:szCs w:val="22"/>
          <w:u w:val="single"/>
        </w:rPr>
      </w:pPr>
      <w:r w:rsidRPr="00561954">
        <w:rPr>
          <w:rFonts w:cs="TimesNewRoman"/>
          <w:szCs w:val="22"/>
          <w:u w:val="single"/>
        </w:rPr>
        <w:t>Muscular, connective tissue and bone disorders</w:t>
      </w:r>
    </w:p>
    <w:p w:rsidR="00C36817" w:rsidRPr="00561954" w:rsidRDefault="00314F35" w:rsidP="00550A39">
      <w:pPr>
        <w:pStyle w:val="BodyText"/>
      </w:pPr>
      <w:r w:rsidRPr="00561954">
        <w:rPr>
          <w:szCs w:val="24"/>
          <w:lang w:eastAsia="it-IT"/>
        </w:rPr>
        <w:t xml:space="preserve">Very Common: </w:t>
      </w:r>
      <w:proofErr w:type="spellStart"/>
      <w:r w:rsidRPr="00561954">
        <w:rPr>
          <w:szCs w:val="24"/>
          <w:lang w:eastAsia="it-IT"/>
        </w:rPr>
        <w:t>myalgia</w:t>
      </w:r>
      <w:proofErr w:type="spellEnd"/>
      <w:r w:rsidRPr="00561954">
        <w:rPr>
          <w:szCs w:val="24"/>
          <w:lang w:eastAsia="it-IT"/>
        </w:rPr>
        <w:t xml:space="preserve">, </w:t>
      </w:r>
      <w:proofErr w:type="spellStart"/>
      <w:r w:rsidRPr="00561954">
        <w:rPr>
          <w:szCs w:val="24"/>
          <w:lang w:eastAsia="it-IT"/>
        </w:rPr>
        <w:t>arthralgia</w:t>
      </w:r>
      <w:proofErr w:type="spellEnd"/>
      <w:r w:rsidRPr="00561954" w:rsidDel="00323546">
        <w:rPr>
          <w:szCs w:val="24"/>
          <w:lang w:bidi="en-US"/>
        </w:rPr>
        <w:t xml:space="preserve"> </w:t>
      </w:r>
    </w:p>
    <w:p w:rsidR="00314F35" w:rsidRPr="00561954" w:rsidRDefault="00314F35" w:rsidP="00A87E43">
      <w:pPr>
        <w:rPr>
          <w:rFonts w:ascii="Times New Roman Bold" w:hAnsi="Times New Roman Bold"/>
          <w:b/>
          <w:caps/>
          <w:sz w:val="30"/>
          <w:szCs w:val="24"/>
          <w:u w:val="single"/>
        </w:rPr>
      </w:pPr>
      <w:r w:rsidRPr="00561954">
        <w:rPr>
          <w:rFonts w:ascii="Times New Roman Bold" w:hAnsi="Times New Roman Bold"/>
          <w:b/>
          <w:caps/>
          <w:sz w:val="30"/>
          <w:szCs w:val="24"/>
          <w:u w:val="single"/>
        </w:rPr>
        <w:lastRenderedPageBreak/>
        <w:t>Dosage and administration</w:t>
      </w:r>
    </w:p>
    <w:p w:rsidR="00314F35" w:rsidRPr="00561954" w:rsidRDefault="00314F35" w:rsidP="00307BFD">
      <w:pPr>
        <w:widowControl w:val="0"/>
        <w:autoSpaceDE w:val="0"/>
        <w:autoSpaceDN w:val="0"/>
        <w:adjustRightInd w:val="0"/>
        <w:spacing w:after="0"/>
        <w:ind w:left="0" w:firstLine="0"/>
        <w:jc w:val="both"/>
        <w:rPr>
          <w:rFonts w:cs="TimesNewRoman"/>
          <w:i/>
          <w:iCs/>
          <w:szCs w:val="22"/>
        </w:rPr>
      </w:pPr>
      <w:r w:rsidRPr="00561954">
        <w:t>In the absence of compatibility studies, this</w:t>
      </w:r>
      <w:r w:rsidRPr="00561954">
        <w:rPr>
          <w:rFonts w:cs="TimesNewRoman"/>
          <w:szCs w:val="22"/>
        </w:rPr>
        <w:t xml:space="preserve"> product must not be mixed with other medicinal products.</w:t>
      </w:r>
    </w:p>
    <w:p w:rsidR="00314F35" w:rsidRPr="00561954" w:rsidRDefault="00314F35" w:rsidP="00307BFD">
      <w:pPr>
        <w:widowControl w:val="0"/>
        <w:autoSpaceDE w:val="0"/>
        <w:autoSpaceDN w:val="0"/>
        <w:adjustRightInd w:val="0"/>
        <w:spacing w:after="0"/>
        <w:ind w:left="0" w:firstLine="0"/>
        <w:jc w:val="both"/>
        <w:rPr>
          <w:rFonts w:cs="TimesNewRoman"/>
          <w:i/>
          <w:iCs/>
          <w:szCs w:val="22"/>
        </w:rPr>
      </w:pPr>
    </w:p>
    <w:p w:rsidR="00314F35" w:rsidRPr="00561954" w:rsidRDefault="00314F35" w:rsidP="00307BFD">
      <w:pPr>
        <w:widowControl w:val="0"/>
        <w:autoSpaceDE w:val="0"/>
        <w:autoSpaceDN w:val="0"/>
        <w:adjustRightInd w:val="0"/>
        <w:spacing w:after="0"/>
        <w:ind w:left="0" w:firstLine="0"/>
        <w:jc w:val="both"/>
        <w:rPr>
          <w:rFonts w:cs="TimesNewRoman"/>
          <w:i/>
          <w:iCs/>
          <w:szCs w:val="22"/>
        </w:rPr>
      </w:pPr>
      <w:r w:rsidRPr="00561954">
        <w:rPr>
          <w:rFonts w:cs="TimesNewRoman"/>
          <w:i/>
          <w:iCs/>
          <w:szCs w:val="22"/>
        </w:rPr>
        <w:t>Infants aged 2 months to 5 months</w:t>
      </w:r>
    </w:p>
    <w:p w:rsidR="00314F35" w:rsidRPr="00561954" w:rsidRDefault="00314F35" w:rsidP="00307BFD">
      <w:pPr>
        <w:widowControl w:val="0"/>
        <w:autoSpaceDE w:val="0"/>
        <w:autoSpaceDN w:val="0"/>
        <w:adjustRightInd w:val="0"/>
        <w:spacing w:after="0"/>
        <w:ind w:left="0" w:firstLine="0"/>
        <w:jc w:val="both"/>
        <w:rPr>
          <w:szCs w:val="24"/>
          <w:lang w:val="en-GB"/>
        </w:rPr>
      </w:pPr>
      <w:r w:rsidRPr="00561954">
        <w:t>The primary infant vaccination schedule consists of three doses, each of 0.5 ml, with an interval of at least 1 month between doses. The first dose should be given at 2 months of age. A booster dose is recommended between 12 months and 23 months of age (see PHARMACOLOGY).</w:t>
      </w:r>
    </w:p>
    <w:p w:rsidR="00314F35" w:rsidRPr="00561954" w:rsidRDefault="00314F35" w:rsidP="00307BFD">
      <w:pPr>
        <w:pStyle w:val="BodyText"/>
        <w:spacing w:after="0"/>
        <w:jc w:val="both"/>
        <w:rPr>
          <w:szCs w:val="24"/>
          <w:u w:val="single"/>
        </w:rPr>
      </w:pPr>
    </w:p>
    <w:p w:rsidR="00314F35" w:rsidRPr="00561954" w:rsidRDefault="00314F35" w:rsidP="00307BFD">
      <w:pPr>
        <w:pStyle w:val="BodyText"/>
        <w:spacing w:after="0"/>
        <w:jc w:val="both"/>
        <w:rPr>
          <w:rFonts w:cs="TimesNewRoman"/>
          <w:i/>
          <w:iCs/>
          <w:szCs w:val="22"/>
        </w:rPr>
      </w:pPr>
      <w:r w:rsidRPr="00561954">
        <w:rPr>
          <w:rFonts w:cs="TimesNewRoman"/>
          <w:i/>
          <w:iCs/>
          <w:szCs w:val="22"/>
        </w:rPr>
        <w:t>Unvaccinated infants aged 6 months to 11 months</w:t>
      </w:r>
    </w:p>
    <w:p w:rsidR="00314F35" w:rsidRPr="00561954" w:rsidRDefault="00314F35" w:rsidP="00307BFD">
      <w:pPr>
        <w:widowControl w:val="0"/>
        <w:autoSpaceDE w:val="0"/>
        <w:autoSpaceDN w:val="0"/>
        <w:adjustRightInd w:val="0"/>
        <w:spacing w:after="0"/>
        <w:ind w:left="0" w:firstLine="0"/>
        <w:jc w:val="both"/>
      </w:pPr>
      <w:r w:rsidRPr="00561954">
        <w:t xml:space="preserve">The vaccination schedule consists of two doses of 0.5 </w:t>
      </w:r>
      <w:proofErr w:type="spellStart"/>
      <w:r w:rsidR="00017C8C" w:rsidRPr="00561954">
        <w:t>mL</w:t>
      </w:r>
      <w:proofErr w:type="spellEnd"/>
      <w:r w:rsidR="00017C8C" w:rsidRPr="00561954">
        <w:t xml:space="preserve"> </w:t>
      </w:r>
      <w:r w:rsidRPr="00561954">
        <w:t xml:space="preserve">with an interval of at least 2 months between doses. </w:t>
      </w:r>
      <w:r w:rsidRPr="00561954">
        <w:rPr>
          <w:snapToGrid w:val="0"/>
          <w:szCs w:val="24"/>
          <w:lang w:eastAsia="it-IT"/>
        </w:rPr>
        <w:t>A booster dose is recommended in the second year of life with an interval of at least 2 months between the primary series and booster dose.</w:t>
      </w:r>
      <w:r w:rsidRPr="00561954">
        <w:rPr>
          <w:snapToGrid w:val="0"/>
          <w:sz w:val="22"/>
          <w:szCs w:val="22"/>
          <w:lang w:eastAsia="it-IT"/>
        </w:rPr>
        <w:t xml:space="preserve"> </w:t>
      </w:r>
      <w:r w:rsidRPr="00561954">
        <w:t>(see PHARMACOLOGY).</w:t>
      </w:r>
    </w:p>
    <w:p w:rsidR="00314F35" w:rsidRPr="00561954" w:rsidRDefault="00314F35" w:rsidP="00307BFD">
      <w:pPr>
        <w:tabs>
          <w:tab w:val="left" w:pos="9356"/>
        </w:tabs>
        <w:spacing w:after="0"/>
        <w:ind w:left="0" w:firstLine="0"/>
        <w:jc w:val="both"/>
        <w:rPr>
          <w:i/>
          <w:snapToGrid w:val="0"/>
          <w:szCs w:val="24"/>
          <w:lang w:eastAsia="it-IT"/>
        </w:rPr>
      </w:pPr>
    </w:p>
    <w:p w:rsidR="00314F35" w:rsidRPr="00561954" w:rsidRDefault="00314F35" w:rsidP="00482DA3">
      <w:pPr>
        <w:tabs>
          <w:tab w:val="left" w:pos="9356"/>
        </w:tabs>
        <w:spacing w:after="0"/>
        <w:ind w:left="0" w:firstLine="0"/>
        <w:jc w:val="both"/>
        <w:rPr>
          <w:i/>
          <w:snapToGrid w:val="0"/>
          <w:szCs w:val="24"/>
          <w:lang w:eastAsia="it-IT"/>
        </w:rPr>
      </w:pPr>
      <w:r w:rsidRPr="00561954">
        <w:rPr>
          <w:i/>
          <w:snapToGrid w:val="0"/>
          <w:szCs w:val="24"/>
          <w:lang w:eastAsia="it-IT"/>
        </w:rPr>
        <w:t>Unvaccinated toddlers and children aged 12 months to 10 years of age</w:t>
      </w:r>
    </w:p>
    <w:p w:rsidR="00314F35" w:rsidRPr="00561954" w:rsidRDefault="00314F35" w:rsidP="00482DA3">
      <w:pPr>
        <w:tabs>
          <w:tab w:val="left" w:pos="9356"/>
        </w:tabs>
        <w:spacing w:after="0"/>
        <w:ind w:left="0" w:firstLine="0"/>
        <w:jc w:val="both"/>
        <w:rPr>
          <w:snapToGrid w:val="0"/>
          <w:szCs w:val="24"/>
          <w:lang w:eastAsia="it-IT"/>
        </w:rPr>
      </w:pPr>
      <w:r w:rsidRPr="00561954">
        <w:rPr>
          <w:snapToGrid w:val="0"/>
          <w:szCs w:val="24"/>
          <w:lang w:eastAsia="it-IT"/>
        </w:rPr>
        <w:t xml:space="preserve">The vaccination schedule consists of two doses of 0.5 </w:t>
      </w:r>
      <w:proofErr w:type="spellStart"/>
      <w:r w:rsidR="00017C8C" w:rsidRPr="00561954">
        <w:rPr>
          <w:snapToGrid w:val="0"/>
          <w:szCs w:val="24"/>
          <w:lang w:eastAsia="it-IT"/>
        </w:rPr>
        <w:t>mL</w:t>
      </w:r>
      <w:proofErr w:type="spellEnd"/>
      <w:r w:rsidR="00017C8C" w:rsidRPr="00561954">
        <w:rPr>
          <w:snapToGrid w:val="0"/>
          <w:szCs w:val="24"/>
          <w:lang w:eastAsia="it-IT"/>
        </w:rPr>
        <w:t xml:space="preserve"> </w:t>
      </w:r>
      <w:r w:rsidRPr="00561954">
        <w:rPr>
          <w:snapToGrid w:val="0"/>
          <w:szCs w:val="24"/>
          <w:lang w:eastAsia="it-IT"/>
        </w:rPr>
        <w:t xml:space="preserve">with an interval of at least 2 months between doses. The need for a booster dose after this vaccination schedule has not been established (see </w:t>
      </w:r>
      <w:r w:rsidRPr="00561954">
        <w:t>PHARMACOLOGY</w:t>
      </w:r>
      <w:r w:rsidRPr="00561954">
        <w:rPr>
          <w:snapToGrid w:val="0"/>
          <w:szCs w:val="24"/>
          <w:lang w:eastAsia="it-IT"/>
        </w:rPr>
        <w:t xml:space="preserve">). </w:t>
      </w:r>
    </w:p>
    <w:p w:rsidR="00314F35" w:rsidRPr="00561954" w:rsidRDefault="00314F35" w:rsidP="00482DA3">
      <w:pPr>
        <w:pStyle w:val="BodyText"/>
        <w:spacing w:after="0"/>
        <w:jc w:val="both"/>
        <w:rPr>
          <w:szCs w:val="24"/>
          <w:u w:val="single"/>
        </w:rPr>
      </w:pPr>
    </w:p>
    <w:p w:rsidR="00314F35" w:rsidRPr="00561954" w:rsidRDefault="00314F35" w:rsidP="00307BFD">
      <w:pPr>
        <w:widowControl w:val="0"/>
        <w:autoSpaceDE w:val="0"/>
        <w:autoSpaceDN w:val="0"/>
        <w:adjustRightInd w:val="0"/>
        <w:spacing w:after="0"/>
        <w:ind w:left="0" w:firstLine="0"/>
        <w:jc w:val="both"/>
        <w:rPr>
          <w:rFonts w:cs="TimesNewRoman"/>
          <w:i/>
          <w:iCs/>
          <w:szCs w:val="24"/>
        </w:rPr>
      </w:pPr>
      <w:r w:rsidRPr="00561954">
        <w:rPr>
          <w:rFonts w:cs="TimesNewRoman"/>
          <w:i/>
          <w:iCs/>
          <w:szCs w:val="24"/>
        </w:rPr>
        <w:t>Individuals 11 years to 50 years of age</w:t>
      </w:r>
    </w:p>
    <w:p w:rsidR="00314F35" w:rsidRPr="00561954" w:rsidRDefault="00314F35" w:rsidP="00307BFD">
      <w:pPr>
        <w:widowControl w:val="0"/>
        <w:autoSpaceDE w:val="0"/>
        <w:autoSpaceDN w:val="0"/>
        <w:adjustRightInd w:val="0"/>
        <w:spacing w:after="0"/>
        <w:ind w:left="0" w:firstLine="0"/>
        <w:jc w:val="both"/>
        <w:rPr>
          <w:szCs w:val="24"/>
          <w:u w:val="single"/>
        </w:rPr>
      </w:pPr>
      <w:r w:rsidRPr="00561954">
        <w:t xml:space="preserve">Two doses, each of 0.5 </w:t>
      </w:r>
      <w:proofErr w:type="spellStart"/>
      <w:r w:rsidRPr="00561954">
        <w:t>m</w:t>
      </w:r>
      <w:r w:rsidR="00CB31A4" w:rsidRPr="00561954">
        <w:t>L</w:t>
      </w:r>
      <w:proofErr w:type="spellEnd"/>
      <w:r w:rsidRPr="00561954">
        <w:t xml:space="preserve">, with an interval of at least 1 month between doses. The need for a booster dose after this vaccination schedule has not been established (see PHARMACOLOGY). </w:t>
      </w:r>
    </w:p>
    <w:p w:rsidR="00314F35" w:rsidRPr="00561954" w:rsidRDefault="00314F35" w:rsidP="00307BFD">
      <w:pPr>
        <w:pStyle w:val="BodyText"/>
        <w:spacing w:after="0"/>
        <w:jc w:val="both"/>
        <w:rPr>
          <w:szCs w:val="24"/>
          <w:u w:val="single"/>
        </w:rPr>
      </w:pPr>
    </w:p>
    <w:p w:rsidR="00314F35" w:rsidRPr="00561954" w:rsidRDefault="00314F35" w:rsidP="00307BFD">
      <w:pPr>
        <w:pStyle w:val="Corpotesto"/>
        <w:spacing w:after="0" w:line="240" w:lineRule="auto"/>
        <w:rPr>
          <w:rFonts w:ascii="Times New Roman" w:hAnsi="Times New Roman"/>
          <w:i/>
          <w:color w:val="auto"/>
          <w:sz w:val="24"/>
          <w:szCs w:val="24"/>
          <w:lang w:val="en-US"/>
        </w:rPr>
      </w:pPr>
      <w:r w:rsidRPr="00561954">
        <w:rPr>
          <w:rFonts w:ascii="Times New Roman" w:hAnsi="Times New Roman"/>
          <w:i/>
          <w:color w:val="auto"/>
          <w:sz w:val="24"/>
          <w:szCs w:val="24"/>
          <w:lang w:val="en-US"/>
        </w:rPr>
        <w:t xml:space="preserve">Individuals </w:t>
      </w:r>
      <w:r w:rsidR="004463C9" w:rsidRPr="00561954">
        <w:rPr>
          <w:rFonts w:ascii="Times New Roman" w:hAnsi="Times New Roman"/>
          <w:i/>
          <w:color w:val="auto"/>
          <w:sz w:val="24"/>
          <w:szCs w:val="24"/>
          <w:lang w:val="en-US"/>
        </w:rPr>
        <w:t xml:space="preserve">above 50 </w:t>
      </w:r>
      <w:r w:rsidRPr="00561954">
        <w:rPr>
          <w:rFonts w:ascii="Times New Roman" w:hAnsi="Times New Roman"/>
          <w:i/>
          <w:color w:val="auto"/>
          <w:sz w:val="24"/>
          <w:szCs w:val="24"/>
          <w:lang w:val="en-US"/>
        </w:rPr>
        <w:t xml:space="preserve">years of age </w:t>
      </w:r>
    </w:p>
    <w:p w:rsidR="00314F35" w:rsidRPr="00561954" w:rsidRDefault="00314F35" w:rsidP="00153703">
      <w:pPr>
        <w:pStyle w:val="BodyText"/>
        <w:spacing w:after="120"/>
        <w:jc w:val="both"/>
        <w:rPr>
          <w:szCs w:val="24"/>
        </w:rPr>
      </w:pPr>
      <w:r w:rsidRPr="00561954">
        <w:rPr>
          <w:szCs w:val="24"/>
        </w:rPr>
        <w:t xml:space="preserve">There are no data in individuals </w:t>
      </w:r>
      <w:r w:rsidR="004463C9" w:rsidRPr="00561954">
        <w:rPr>
          <w:szCs w:val="24"/>
        </w:rPr>
        <w:t xml:space="preserve">above </w:t>
      </w:r>
      <w:r w:rsidRPr="00561954">
        <w:rPr>
          <w:szCs w:val="24"/>
        </w:rPr>
        <w:t>5</w:t>
      </w:r>
      <w:r w:rsidR="004463C9" w:rsidRPr="00561954">
        <w:rPr>
          <w:szCs w:val="24"/>
        </w:rPr>
        <w:t>0</w:t>
      </w:r>
      <w:r w:rsidRPr="00561954">
        <w:rPr>
          <w:szCs w:val="24"/>
        </w:rPr>
        <w:t xml:space="preserve"> years of age.</w:t>
      </w:r>
    </w:p>
    <w:p w:rsidR="00314F35" w:rsidRPr="00561954" w:rsidRDefault="00314F35" w:rsidP="0099026E">
      <w:pPr>
        <w:pStyle w:val="BodyText"/>
        <w:jc w:val="both"/>
        <w:rPr>
          <w:sz w:val="22"/>
          <w:szCs w:val="22"/>
          <w:u w:val="single"/>
        </w:rPr>
      </w:pPr>
      <w:r w:rsidRPr="00561954">
        <w:rPr>
          <w:rFonts w:cs="TimesNewRoman"/>
          <w:b/>
          <w:bCs/>
          <w:sz w:val="22"/>
          <w:szCs w:val="22"/>
        </w:rPr>
        <w:t>Table 6: Summary of Dosages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21"/>
        <w:gridCol w:w="1708"/>
        <w:gridCol w:w="2404"/>
        <w:gridCol w:w="2552"/>
      </w:tblGrid>
      <w:tr w:rsidR="00314F35" w:rsidRPr="00561954">
        <w:trPr>
          <w:jc w:val="center"/>
        </w:trPr>
        <w:tc>
          <w:tcPr>
            <w:tcW w:w="2221" w:type="dxa"/>
          </w:tcPr>
          <w:p w:rsidR="00314F35" w:rsidRPr="00561954" w:rsidRDefault="00314F35" w:rsidP="00314F35">
            <w:pPr>
              <w:pStyle w:val="BodyText"/>
              <w:keepNext/>
              <w:spacing w:after="0"/>
              <w:jc w:val="center"/>
              <w:rPr>
                <w:sz w:val="20"/>
                <w:szCs w:val="24"/>
                <w:u w:val="single"/>
              </w:rPr>
            </w:pPr>
            <w:r w:rsidRPr="00561954">
              <w:rPr>
                <w:rFonts w:cs="TimesNewRoman"/>
                <w:b/>
                <w:bCs/>
                <w:sz w:val="20"/>
                <w:szCs w:val="22"/>
              </w:rPr>
              <w:t>Age Group</w:t>
            </w:r>
          </w:p>
        </w:tc>
        <w:tc>
          <w:tcPr>
            <w:tcW w:w="1708" w:type="dxa"/>
          </w:tcPr>
          <w:p w:rsidR="00314F35" w:rsidRPr="00561954" w:rsidRDefault="00314F35" w:rsidP="00314F35">
            <w:pPr>
              <w:keepNext/>
              <w:widowControl w:val="0"/>
              <w:autoSpaceDE w:val="0"/>
              <w:autoSpaceDN w:val="0"/>
              <w:adjustRightInd w:val="0"/>
              <w:spacing w:after="0"/>
              <w:ind w:left="0" w:firstLine="0"/>
              <w:jc w:val="center"/>
              <w:rPr>
                <w:rFonts w:cs="TimesNewRoman"/>
                <w:b/>
                <w:bCs/>
                <w:sz w:val="20"/>
                <w:szCs w:val="22"/>
              </w:rPr>
            </w:pPr>
            <w:r w:rsidRPr="00561954">
              <w:rPr>
                <w:rFonts w:cs="TimesNewRoman"/>
                <w:b/>
                <w:bCs/>
                <w:sz w:val="20"/>
                <w:szCs w:val="22"/>
              </w:rPr>
              <w:t>Primary</w:t>
            </w:r>
          </w:p>
          <w:p w:rsidR="00314F35" w:rsidRPr="00561954" w:rsidRDefault="00314F35" w:rsidP="00314F35">
            <w:pPr>
              <w:pStyle w:val="BodyText"/>
              <w:keepNext/>
              <w:spacing w:after="0"/>
              <w:jc w:val="center"/>
              <w:rPr>
                <w:sz w:val="20"/>
                <w:szCs w:val="24"/>
                <w:u w:val="single"/>
              </w:rPr>
            </w:pPr>
            <w:proofErr w:type="spellStart"/>
            <w:r w:rsidRPr="00561954">
              <w:rPr>
                <w:rFonts w:cs="TimesNewRoman"/>
                <w:b/>
                <w:bCs/>
                <w:sz w:val="20"/>
                <w:szCs w:val="22"/>
              </w:rPr>
              <w:t>Immunisation</w:t>
            </w:r>
            <w:proofErr w:type="spellEnd"/>
          </w:p>
        </w:tc>
        <w:tc>
          <w:tcPr>
            <w:tcW w:w="2404" w:type="dxa"/>
          </w:tcPr>
          <w:p w:rsidR="00314F35" w:rsidRPr="00561954" w:rsidRDefault="00314F35" w:rsidP="00314F35">
            <w:pPr>
              <w:keepNext/>
              <w:widowControl w:val="0"/>
              <w:autoSpaceDE w:val="0"/>
              <w:autoSpaceDN w:val="0"/>
              <w:adjustRightInd w:val="0"/>
              <w:spacing w:after="0"/>
              <w:ind w:left="0" w:firstLine="0"/>
              <w:jc w:val="center"/>
              <w:rPr>
                <w:rFonts w:cs="TimesNewRoman"/>
                <w:b/>
                <w:bCs/>
                <w:sz w:val="20"/>
                <w:szCs w:val="22"/>
              </w:rPr>
            </w:pPr>
            <w:r w:rsidRPr="00561954">
              <w:rPr>
                <w:rFonts w:cs="TimesNewRoman"/>
                <w:b/>
                <w:bCs/>
                <w:sz w:val="20"/>
                <w:szCs w:val="22"/>
              </w:rPr>
              <w:t>Intervals between</w:t>
            </w:r>
          </w:p>
          <w:p w:rsidR="00314F35" w:rsidRPr="00561954" w:rsidRDefault="00314F35" w:rsidP="00314F35">
            <w:pPr>
              <w:pStyle w:val="BodyText"/>
              <w:keepNext/>
              <w:spacing w:after="0"/>
              <w:jc w:val="center"/>
              <w:rPr>
                <w:sz w:val="20"/>
                <w:szCs w:val="24"/>
                <w:u w:val="single"/>
              </w:rPr>
            </w:pPr>
            <w:r w:rsidRPr="00561954">
              <w:rPr>
                <w:rFonts w:cs="TimesNewRoman"/>
                <w:b/>
                <w:bCs/>
                <w:sz w:val="20"/>
                <w:szCs w:val="22"/>
              </w:rPr>
              <w:t>Primary Doses</w:t>
            </w:r>
          </w:p>
        </w:tc>
        <w:tc>
          <w:tcPr>
            <w:tcW w:w="2552" w:type="dxa"/>
          </w:tcPr>
          <w:p w:rsidR="00314F35" w:rsidRPr="00561954" w:rsidRDefault="00314F35" w:rsidP="00314F35">
            <w:pPr>
              <w:pStyle w:val="BodyText"/>
              <w:keepNext/>
              <w:spacing w:after="0"/>
              <w:jc w:val="center"/>
              <w:rPr>
                <w:sz w:val="20"/>
                <w:szCs w:val="24"/>
                <w:u w:val="single"/>
              </w:rPr>
            </w:pPr>
            <w:r w:rsidRPr="00561954">
              <w:rPr>
                <w:rFonts w:cs="TimesNewRoman"/>
                <w:b/>
                <w:bCs/>
                <w:sz w:val="20"/>
                <w:szCs w:val="22"/>
              </w:rPr>
              <w:t>Booster</w:t>
            </w:r>
          </w:p>
        </w:tc>
      </w:tr>
      <w:tr w:rsidR="00314F35" w:rsidRPr="00561954">
        <w:trPr>
          <w:trHeight w:val="514"/>
          <w:jc w:val="center"/>
        </w:trPr>
        <w:tc>
          <w:tcPr>
            <w:tcW w:w="2221" w:type="dxa"/>
          </w:tcPr>
          <w:p w:rsidR="00314F35" w:rsidRPr="00561954" w:rsidRDefault="00314F35" w:rsidP="00314F35">
            <w:pPr>
              <w:pStyle w:val="BodyText"/>
              <w:keepNext/>
              <w:spacing w:after="0"/>
              <w:jc w:val="center"/>
              <w:rPr>
                <w:sz w:val="20"/>
                <w:szCs w:val="24"/>
                <w:u w:val="single"/>
              </w:rPr>
            </w:pPr>
            <w:r w:rsidRPr="00561954">
              <w:rPr>
                <w:rFonts w:cs="TimesNewRoman"/>
                <w:sz w:val="20"/>
                <w:szCs w:val="22"/>
              </w:rPr>
              <w:t>Infants, 2 months to 5 months</w:t>
            </w:r>
          </w:p>
        </w:tc>
        <w:tc>
          <w:tcPr>
            <w:tcW w:w="1708" w:type="dxa"/>
          </w:tcPr>
          <w:p w:rsidR="00314F35" w:rsidRPr="00561954" w:rsidRDefault="00314F35" w:rsidP="00314F35">
            <w:pPr>
              <w:pStyle w:val="BodyText"/>
              <w:keepNext/>
              <w:spacing w:after="0"/>
              <w:jc w:val="center"/>
              <w:rPr>
                <w:sz w:val="20"/>
                <w:szCs w:val="24"/>
                <w:u w:val="single"/>
              </w:rPr>
            </w:pPr>
            <w:r w:rsidRPr="00561954">
              <w:rPr>
                <w:rFonts w:cs="TimesNewRoman"/>
                <w:sz w:val="20"/>
                <w:szCs w:val="22"/>
              </w:rPr>
              <w:t xml:space="preserve">Three x 0.5 </w:t>
            </w:r>
            <w:proofErr w:type="spellStart"/>
            <w:r w:rsidRPr="00561954">
              <w:rPr>
                <w:rFonts w:cs="TimesNewRoman"/>
                <w:sz w:val="20"/>
                <w:szCs w:val="22"/>
              </w:rPr>
              <w:t>m</w:t>
            </w:r>
            <w:r w:rsidR="00CB31A4" w:rsidRPr="00561954">
              <w:rPr>
                <w:rFonts w:cs="TimesNewRoman"/>
                <w:sz w:val="20"/>
                <w:szCs w:val="22"/>
              </w:rPr>
              <w:t>L</w:t>
            </w:r>
            <w:proofErr w:type="spellEnd"/>
          </w:p>
        </w:tc>
        <w:tc>
          <w:tcPr>
            <w:tcW w:w="2404" w:type="dxa"/>
          </w:tcPr>
          <w:p w:rsidR="00314F35" w:rsidRPr="00561954" w:rsidRDefault="00314F35" w:rsidP="00314F35">
            <w:pPr>
              <w:pStyle w:val="BodyText"/>
              <w:keepNext/>
              <w:spacing w:after="0"/>
              <w:jc w:val="center"/>
              <w:rPr>
                <w:sz w:val="20"/>
                <w:szCs w:val="24"/>
                <w:u w:val="single"/>
              </w:rPr>
            </w:pPr>
            <w:r w:rsidRPr="00561954">
              <w:rPr>
                <w:rFonts w:cs="TimesNewRoman"/>
                <w:sz w:val="20"/>
                <w:szCs w:val="22"/>
              </w:rPr>
              <w:t>Not less than 1 month</w:t>
            </w:r>
          </w:p>
        </w:tc>
        <w:tc>
          <w:tcPr>
            <w:tcW w:w="2552" w:type="dxa"/>
          </w:tcPr>
          <w:p w:rsidR="00314F35" w:rsidRPr="00561954" w:rsidRDefault="00314F35" w:rsidP="00314F35">
            <w:pPr>
              <w:tabs>
                <w:tab w:val="left" w:pos="567"/>
              </w:tabs>
              <w:spacing w:line="276" w:lineRule="auto"/>
              <w:ind w:left="0" w:firstLine="0"/>
              <w:jc w:val="center"/>
              <w:rPr>
                <w:sz w:val="20"/>
                <w:szCs w:val="24"/>
                <w:u w:val="single"/>
              </w:rPr>
            </w:pPr>
            <w:r w:rsidRPr="00561954">
              <w:rPr>
                <w:rFonts w:cs="TimesNewRoman"/>
                <w:sz w:val="20"/>
                <w:szCs w:val="22"/>
              </w:rPr>
              <w:t xml:space="preserve">Yes, </w:t>
            </w:r>
            <w:r w:rsidRPr="00561954">
              <w:rPr>
                <w:sz w:val="20"/>
              </w:rPr>
              <w:t>1 dose between 12 and 23 months</w:t>
            </w:r>
          </w:p>
        </w:tc>
      </w:tr>
      <w:tr w:rsidR="00314F35" w:rsidRPr="00561954">
        <w:trPr>
          <w:jc w:val="center"/>
        </w:trPr>
        <w:tc>
          <w:tcPr>
            <w:tcW w:w="2221" w:type="dxa"/>
          </w:tcPr>
          <w:p w:rsidR="00314F35" w:rsidRPr="00561954" w:rsidRDefault="00314F35" w:rsidP="00314F35">
            <w:pPr>
              <w:pStyle w:val="BodyText"/>
              <w:keepNext/>
              <w:spacing w:after="0"/>
              <w:jc w:val="center"/>
              <w:rPr>
                <w:sz w:val="20"/>
                <w:szCs w:val="24"/>
                <w:u w:val="single"/>
              </w:rPr>
            </w:pPr>
            <w:r w:rsidRPr="00561954">
              <w:rPr>
                <w:rFonts w:cs="TimesNewRoman"/>
                <w:sz w:val="20"/>
                <w:szCs w:val="22"/>
              </w:rPr>
              <w:t>Infants, 6 months to 11 months</w:t>
            </w:r>
          </w:p>
        </w:tc>
        <w:tc>
          <w:tcPr>
            <w:tcW w:w="1708" w:type="dxa"/>
          </w:tcPr>
          <w:p w:rsidR="00314F35" w:rsidRPr="00561954" w:rsidRDefault="00314F35" w:rsidP="00314F35">
            <w:pPr>
              <w:pStyle w:val="BodyText"/>
              <w:keepNext/>
              <w:spacing w:after="0"/>
              <w:jc w:val="center"/>
              <w:rPr>
                <w:sz w:val="20"/>
                <w:szCs w:val="24"/>
                <w:u w:val="single"/>
              </w:rPr>
            </w:pPr>
            <w:r w:rsidRPr="00561954">
              <w:rPr>
                <w:rFonts w:cs="TimesNewRoman"/>
                <w:sz w:val="20"/>
                <w:szCs w:val="22"/>
              </w:rPr>
              <w:t xml:space="preserve">Two x 0.5 </w:t>
            </w:r>
            <w:proofErr w:type="spellStart"/>
            <w:r w:rsidRPr="00561954">
              <w:rPr>
                <w:rFonts w:cs="TimesNewRoman"/>
                <w:sz w:val="20"/>
                <w:szCs w:val="22"/>
              </w:rPr>
              <w:t>m</w:t>
            </w:r>
            <w:r w:rsidR="00CB31A4" w:rsidRPr="00561954">
              <w:rPr>
                <w:rFonts w:cs="TimesNewRoman"/>
                <w:sz w:val="20"/>
                <w:szCs w:val="22"/>
              </w:rPr>
              <w:t>L</w:t>
            </w:r>
            <w:proofErr w:type="spellEnd"/>
          </w:p>
        </w:tc>
        <w:tc>
          <w:tcPr>
            <w:tcW w:w="2404" w:type="dxa"/>
          </w:tcPr>
          <w:p w:rsidR="00314F35" w:rsidRPr="00561954" w:rsidRDefault="00314F35" w:rsidP="00314F35">
            <w:pPr>
              <w:keepNext/>
              <w:widowControl w:val="0"/>
              <w:autoSpaceDE w:val="0"/>
              <w:autoSpaceDN w:val="0"/>
              <w:adjustRightInd w:val="0"/>
              <w:spacing w:after="0"/>
              <w:ind w:left="0" w:firstLine="0"/>
              <w:jc w:val="center"/>
              <w:rPr>
                <w:sz w:val="20"/>
                <w:szCs w:val="24"/>
                <w:u w:val="single"/>
              </w:rPr>
            </w:pPr>
            <w:r w:rsidRPr="00561954">
              <w:rPr>
                <w:rFonts w:cs="TimesNewRoman"/>
                <w:sz w:val="20"/>
                <w:szCs w:val="22"/>
              </w:rPr>
              <w:t>Not less than 2 months</w:t>
            </w:r>
          </w:p>
        </w:tc>
        <w:tc>
          <w:tcPr>
            <w:tcW w:w="2552" w:type="dxa"/>
          </w:tcPr>
          <w:p w:rsidR="00314F35" w:rsidRPr="00561954" w:rsidRDefault="00314F35" w:rsidP="00314F35">
            <w:pPr>
              <w:keepNext/>
              <w:widowControl w:val="0"/>
              <w:autoSpaceDE w:val="0"/>
              <w:autoSpaceDN w:val="0"/>
              <w:adjustRightInd w:val="0"/>
              <w:spacing w:after="0"/>
              <w:ind w:left="0" w:firstLine="0"/>
              <w:jc w:val="center"/>
              <w:rPr>
                <w:sz w:val="20"/>
                <w:szCs w:val="24"/>
                <w:u w:val="single"/>
              </w:rPr>
            </w:pPr>
            <w:r w:rsidRPr="00561954">
              <w:rPr>
                <w:rFonts w:cs="TimesNewRoman"/>
                <w:sz w:val="20"/>
              </w:rPr>
              <w:t xml:space="preserve">Yes, </w:t>
            </w:r>
            <w:r w:rsidRPr="00561954">
              <w:rPr>
                <w:sz w:val="20"/>
              </w:rPr>
              <w:t>1 dose between 12 and 23 months</w:t>
            </w:r>
          </w:p>
        </w:tc>
      </w:tr>
      <w:tr w:rsidR="00314F35" w:rsidRPr="00561954">
        <w:trPr>
          <w:jc w:val="center"/>
        </w:trPr>
        <w:tc>
          <w:tcPr>
            <w:tcW w:w="2221" w:type="dxa"/>
          </w:tcPr>
          <w:p w:rsidR="00314F35" w:rsidRPr="00561954" w:rsidRDefault="00314F35" w:rsidP="00314F35">
            <w:pPr>
              <w:widowControl w:val="0"/>
              <w:autoSpaceDE w:val="0"/>
              <w:autoSpaceDN w:val="0"/>
              <w:adjustRightInd w:val="0"/>
              <w:spacing w:after="0"/>
              <w:ind w:left="0" w:firstLine="0"/>
              <w:jc w:val="center"/>
              <w:rPr>
                <w:sz w:val="20"/>
                <w:szCs w:val="24"/>
                <w:u w:val="single"/>
              </w:rPr>
            </w:pPr>
            <w:r w:rsidRPr="00561954">
              <w:rPr>
                <w:rFonts w:cs="TimesNewRoman"/>
                <w:sz w:val="20"/>
                <w:szCs w:val="22"/>
              </w:rPr>
              <w:t>Toddlers and Children, 12 months to 10 years</w:t>
            </w:r>
          </w:p>
        </w:tc>
        <w:tc>
          <w:tcPr>
            <w:tcW w:w="1708" w:type="dxa"/>
          </w:tcPr>
          <w:p w:rsidR="00314F35" w:rsidRPr="00561954" w:rsidRDefault="00314F35" w:rsidP="00314F35">
            <w:pPr>
              <w:pStyle w:val="BodyText"/>
              <w:spacing w:after="0"/>
              <w:jc w:val="center"/>
              <w:rPr>
                <w:sz w:val="20"/>
                <w:szCs w:val="24"/>
                <w:u w:val="single"/>
              </w:rPr>
            </w:pPr>
            <w:r w:rsidRPr="00561954">
              <w:rPr>
                <w:rFonts w:cs="TimesNewRoman"/>
                <w:sz w:val="20"/>
                <w:szCs w:val="22"/>
              </w:rPr>
              <w:t xml:space="preserve">Two x 0.5 </w:t>
            </w:r>
            <w:proofErr w:type="spellStart"/>
            <w:r w:rsidRPr="00561954">
              <w:rPr>
                <w:rFonts w:cs="TimesNewRoman"/>
                <w:sz w:val="20"/>
                <w:szCs w:val="22"/>
              </w:rPr>
              <w:t>m</w:t>
            </w:r>
            <w:r w:rsidR="00CB31A4" w:rsidRPr="00561954">
              <w:rPr>
                <w:rFonts w:cs="TimesNewRoman"/>
                <w:sz w:val="20"/>
                <w:szCs w:val="22"/>
              </w:rPr>
              <w:t>L</w:t>
            </w:r>
            <w:proofErr w:type="spellEnd"/>
          </w:p>
        </w:tc>
        <w:tc>
          <w:tcPr>
            <w:tcW w:w="2404" w:type="dxa"/>
          </w:tcPr>
          <w:p w:rsidR="00314F35" w:rsidRPr="00561954" w:rsidRDefault="00314F35" w:rsidP="00314F35">
            <w:pPr>
              <w:pStyle w:val="BodyText"/>
              <w:spacing w:after="0"/>
              <w:jc w:val="center"/>
              <w:rPr>
                <w:sz w:val="20"/>
                <w:szCs w:val="24"/>
                <w:u w:val="single"/>
              </w:rPr>
            </w:pPr>
            <w:r w:rsidRPr="00561954">
              <w:rPr>
                <w:rFonts w:cs="TimesNewRoman"/>
                <w:sz w:val="20"/>
                <w:szCs w:val="22"/>
              </w:rPr>
              <w:t>Not less than 2 months</w:t>
            </w:r>
          </w:p>
        </w:tc>
        <w:tc>
          <w:tcPr>
            <w:tcW w:w="2552" w:type="dxa"/>
          </w:tcPr>
          <w:p w:rsidR="00314F35" w:rsidRPr="00561954" w:rsidRDefault="00314F35" w:rsidP="00314F35">
            <w:pPr>
              <w:pStyle w:val="BodyText"/>
              <w:spacing w:after="0"/>
              <w:jc w:val="center"/>
              <w:rPr>
                <w:sz w:val="20"/>
                <w:szCs w:val="24"/>
                <w:u w:val="single"/>
              </w:rPr>
            </w:pPr>
            <w:r w:rsidRPr="00561954">
              <w:rPr>
                <w:rFonts w:cs="TimesNewRoman"/>
                <w:sz w:val="20"/>
                <w:szCs w:val="22"/>
              </w:rPr>
              <w:t>Need not established</w:t>
            </w:r>
          </w:p>
        </w:tc>
      </w:tr>
      <w:tr w:rsidR="00314F35" w:rsidRPr="00561954">
        <w:trPr>
          <w:jc w:val="center"/>
        </w:trPr>
        <w:tc>
          <w:tcPr>
            <w:tcW w:w="2221" w:type="dxa"/>
          </w:tcPr>
          <w:p w:rsidR="00314F35" w:rsidRPr="00561954" w:rsidRDefault="00314F35" w:rsidP="00314F35">
            <w:pPr>
              <w:widowControl w:val="0"/>
              <w:autoSpaceDE w:val="0"/>
              <w:autoSpaceDN w:val="0"/>
              <w:adjustRightInd w:val="0"/>
              <w:spacing w:after="0"/>
              <w:ind w:left="0" w:firstLine="0"/>
              <w:jc w:val="center"/>
              <w:rPr>
                <w:sz w:val="20"/>
                <w:szCs w:val="24"/>
                <w:u w:val="single"/>
              </w:rPr>
            </w:pPr>
            <w:r w:rsidRPr="00561954">
              <w:rPr>
                <w:rFonts w:cs="TimesNewRoman"/>
                <w:sz w:val="20"/>
                <w:szCs w:val="22"/>
              </w:rPr>
              <w:t>Individuals, 11 years to 50 years</w:t>
            </w:r>
          </w:p>
        </w:tc>
        <w:tc>
          <w:tcPr>
            <w:tcW w:w="1708" w:type="dxa"/>
          </w:tcPr>
          <w:p w:rsidR="00314F35" w:rsidRPr="00561954" w:rsidRDefault="00314F35" w:rsidP="00314F35">
            <w:pPr>
              <w:pStyle w:val="BodyText"/>
              <w:spacing w:after="0"/>
              <w:jc w:val="center"/>
              <w:rPr>
                <w:sz w:val="20"/>
                <w:szCs w:val="24"/>
                <w:u w:val="single"/>
              </w:rPr>
            </w:pPr>
            <w:r w:rsidRPr="00561954">
              <w:rPr>
                <w:rFonts w:cs="TimesNewRoman"/>
                <w:sz w:val="20"/>
                <w:szCs w:val="22"/>
              </w:rPr>
              <w:t xml:space="preserve">Two x 0.5 </w:t>
            </w:r>
            <w:proofErr w:type="spellStart"/>
            <w:r w:rsidRPr="00561954">
              <w:rPr>
                <w:rFonts w:cs="TimesNewRoman"/>
                <w:sz w:val="20"/>
                <w:szCs w:val="22"/>
              </w:rPr>
              <w:t>m</w:t>
            </w:r>
            <w:r w:rsidR="00CB31A4" w:rsidRPr="00561954">
              <w:rPr>
                <w:rFonts w:cs="TimesNewRoman"/>
                <w:sz w:val="20"/>
                <w:szCs w:val="22"/>
              </w:rPr>
              <w:t>L</w:t>
            </w:r>
            <w:proofErr w:type="spellEnd"/>
          </w:p>
        </w:tc>
        <w:tc>
          <w:tcPr>
            <w:tcW w:w="2404" w:type="dxa"/>
          </w:tcPr>
          <w:p w:rsidR="00314F35" w:rsidRPr="00561954" w:rsidRDefault="00314F35" w:rsidP="00314F35">
            <w:pPr>
              <w:pStyle w:val="BodyText"/>
              <w:spacing w:after="0"/>
              <w:jc w:val="center"/>
              <w:rPr>
                <w:sz w:val="20"/>
                <w:szCs w:val="24"/>
                <w:u w:val="single"/>
              </w:rPr>
            </w:pPr>
            <w:r w:rsidRPr="00561954">
              <w:rPr>
                <w:rFonts w:cs="TimesNewRoman"/>
                <w:sz w:val="20"/>
                <w:szCs w:val="22"/>
              </w:rPr>
              <w:t>Not less than 1 month</w:t>
            </w:r>
          </w:p>
        </w:tc>
        <w:tc>
          <w:tcPr>
            <w:tcW w:w="2552" w:type="dxa"/>
          </w:tcPr>
          <w:p w:rsidR="00314F35" w:rsidRPr="00561954" w:rsidRDefault="00314F35" w:rsidP="00314F35">
            <w:pPr>
              <w:pStyle w:val="BodyText"/>
              <w:spacing w:after="0"/>
              <w:jc w:val="center"/>
              <w:rPr>
                <w:sz w:val="20"/>
                <w:szCs w:val="24"/>
                <w:u w:val="single"/>
              </w:rPr>
            </w:pPr>
            <w:r w:rsidRPr="00561954">
              <w:rPr>
                <w:rFonts w:cs="TimesNewRoman"/>
                <w:sz w:val="20"/>
                <w:szCs w:val="22"/>
              </w:rPr>
              <w:t>Need not established</w:t>
            </w:r>
          </w:p>
        </w:tc>
      </w:tr>
    </w:tbl>
    <w:p w:rsidR="00314F35" w:rsidRPr="00561954" w:rsidRDefault="00314F35" w:rsidP="00314F35">
      <w:pPr>
        <w:pStyle w:val="BodyText"/>
        <w:jc w:val="both"/>
        <w:rPr>
          <w:b/>
          <w:szCs w:val="24"/>
          <w:u w:val="single"/>
        </w:rPr>
      </w:pPr>
      <w:r w:rsidRPr="00561954">
        <w:rPr>
          <w:b/>
          <w:szCs w:val="24"/>
          <w:u w:val="single"/>
        </w:rPr>
        <w:lastRenderedPageBreak/>
        <w:t>Method of administration</w:t>
      </w: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 xml:space="preserve">The vaccine should be given by deep intramuscular injection, preferably in the </w:t>
      </w:r>
      <w:proofErr w:type="spellStart"/>
      <w:r w:rsidRPr="00561954">
        <w:rPr>
          <w:rFonts w:cs="TimesNewRoman"/>
          <w:szCs w:val="22"/>
        </w:rPr>
        <w:t>anterolateral</w:t>
      </w:r>
      <w:proofErr w:type="spellEnd"/>
      <w:r w:rsidRPr="00561954">
        <w:rPr>
          <w:rFonts w:cs="TimesNewRoman"/>
          <w:szCs w:val="22"/>
        </w:rPr>
        <w:t xml:space="preserve"> aspect of the thigh in infants or in the deltoid muscle region of the upper arm in older subjects.</w:t>
      </w:r>
    </w:p>
    <w:p w:rsidR="00314F35" w:rsidRPr="00561954" w:rsidRDefault="00314F35" w:rsidP="00307BFD">
      <w:pPr>
        <w:widowControl w:val="0"/>
        <w:autoSpaceDE w:val="0"/>
        <w:autoSpaceDN w:val="0"/>
        <w:adjustRightInd w:val="0"/>
        <w:spacing w:after="0"/>
        <w:ind w:left="0" w:firstLine="0"/>
        <w:jc w:val="both"/>
        <w:rPr>
          <w:rFonts w:cs="TimesNewRoman"/>
          <w:szCs w:val="22"/>
        </w:rPr>
      </w:pP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 xml:space="preserve">Separate injection sites must be used if more than one vaccine is administered at the same time.  The vaccine must not be injected intravenously, subcutaneously or </w:t>
      </w:r>
      <w:proofErr w:type="spellStart"/>
      <w:r w:rsidRPr="00561954">
        <w:rPr>
          <w:rFonts w:cs="TimesNewRoman"/>
          <w:szCs w:val="22"/>
        </w:rPr>
        <w:t>intradermally</w:t>
      </w:r>
      <w:proofErr w:type="spellEnd"/>
      <w:r w:rsidRPr="00561954">
        <w:rPr>
          <w:rFonts w:cs="TimesNewRoman"/>
          <w:szCs w:val="22"/>
        </w:rPr>
        <w:t xml:space="preserve"> and must not be mixed with other vaccines in the same syringe.</w:t>
      </w:r>
    </w:p>
    <w:p w:rsidR="00314F35" w:rsidRPr="00561954" w:rsidRDefault="00314F35" w:rsidP="00307BFD">
      <w:pPr>
        <w:widowControl w:val="0"/>
        <w:autoSpaceDE w:val="0"/>
        <w:autoSpaceDN w:val="0"/>
        <w:adjustRightInd w:val="0"/>
        <w:spacing w:after="0"/>
        <w:ind w:left="0" w:firstLine="0"/>
        <w:jc w:val="both"/>
        <w:rPr>
          <w:rFonts w:cs="TimesNewRoman"/>
          <w:szCs w:val="22"/>
        </w:rPr>
      </w:pPr>
    </w:p>
    <w:p w:rsidR="00F1793E" w:rsidRPr="00561954" w:rsidRDefault="00314F35" w:rsidP="00307BFD">
      <w:pPr>
        <w:pStyle w:val="BodyText"/>
        <w:jc w:val="both"/>
        <w:rPr>
          <w:lang w:val="en-AU"/>
        </w:rPr>
      </w:pPr>
      <w:r w:rsidRPr="00561954">
        <w:t>BEXSERO is for single use in one patient only.</w:t>
      </w:r>
    </w:p>
    <w:p w:rsidR="00F1793E" w:rsidRPr="00561954" w:rsidRDefault="00F1793E" w:rsidP="00307BFD">
      <w:pPr>
        <w:pStyle w:val="BodyText"/>
        <w:spacing w:after="0"/>
        <w:jc w:val="both"/>
        <w:rPr>
          <w:lang w:val="en-AU"/>
        </w:rPr>
      </w:pPr>
    </w:p>
    <w:p w:rsidR="00314F35" w:rsidRPr="00561954" w:rsidRDefault="00314F35" w:rsidP="00307BFD">
      <w:pPr>
        <w:jc w:val="both"/>
        <w:rPr>
          <w:b/>
          <w:caps/>
          <w:szCs w:val="24"/>
          <w:lang w:val="en-AU"/>
        </w:rPr>
      </w:pPr>
      <w:r w:rsidRPr="00561954">
        <w:rPr>
          <w:rFonts w:ascii="Times New Roman Bold" w:hAnsi="Times New Roman Bold"/>
          <w:b/>
          <w:caps/>
          <w:sz w:val="30"/>
          <w:szCs w:val="24"/>
          <w:u w:val="single"/>
        </w:rPr>
        <w:t>Overdosage</w:t>
      </w:r>
    </w:p>
    <w:p w:rsidR="00314F35" w:rsidRPr="00561954" w:rsidRDefault="00314F35" w:rsidP="00307BFD">
      <w:pPr>
        <w:pStyle w:val="BodyText"/>
        <w:jc w:val="both"/>
        <w:rPr>
          <w:iCs/>
          <w:szCs w:val="24"/>
        </w:rPr>
      </w:pPr>
      <w:r w:rsidRPr="00561954">
        <w:rPr>
          <w:iCs/>
          <w:szCs w:val="24"/>
        </w:rPr>
        <w:t xml:space="preserve">No case of overdose has been reported. </w:t>
      </w:r>
    </w:p>
    <w:p w:rsidR="00314F35" w:rsidRPr="00561954" w:rsidRDefault="00314F35" w:rsidP="00307BFD">
      <w:pPr>
        <w:spacing w:after="0"/>
        <w:ind w:left="0" w:firstLine="0"/>
        <w:jc w:val="both"/>
        <w:rPr>
          <w:rFonts w:eastAsia="MS PGothic"/>
          <w:szCs w:val="24"/>
        </w:rPr>
      </w:pPr>
      <w:r w:rsidRPr="00561954">
        <w:rPr>
          <w:rFonts w:eastAsia="MS PGothic"/>
          <w:szCs w:val="24"/>
        </w:rPr>
        <w:t>In case of overdose, immediately contact the Poisons Information Centre on 13 11 26 for advice on management.</w:t>
      </w:r>
    </w:p>
    <w:p w:rsidR="00F1793E" w:rsidRPr="00561954" w:rsidRDefault="00F1793E" w:rsidP="00307BFD">
      <w:pPr>
        <w:pStyle w:val="BodyText"/>
        <w:jc w:val="both"/>
        <w:rPr>
          <w:lang w:val="en-AU"/>
        </w:rPr>
      </w:pPr>
    </w:p>
    <w:p w:rsidR="00314F35" w:rsidRPr="00561954" w:rsidRDefault="00314F35" w:rsidP="00307BFD">
      <w:pPr>
        <w:jc w:val="both"/>
        <w:rPr>
          <w:rFonts w:ascii="Times New Roman Bold" w:hAnsi="Times New Roman Bold"/>
          <w:b/>
          <w:caps/>
          <w:sz w:val="30"/>
          <w:szCs w:val="24"/>
          <w:u w:val="single"/>
        </w:rPr>
      </w:pPr>
      <w:r w:rsidRPr="00561954">
        <w:rPr>
          <w:rFonts w:ascii="Times New Roman Bold" w:hAnsi="Times New Roman Bold"/>
          <w:b/>
          <w:caps/>
          <w:sz w:val="30"/>
          <w:szCs w:val="24"/>
          <w:u w:val="single"/>
        </w:rPr>
        <w:t>Presentation and storage conditions</w:t>
      </w: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 xml:space="preserve">BEXSERO is presented as a 0.5 </w:t>
      </w:r>
      <w:proofErr w:type="spellStart"/>
      <w:r w:rsidR="00017C8C" w:rsidRPr="00561954">
        <w:rPr>
          <w:rFonts w:cs="TimesNewRoman"/>
          <w:szCs w:val="22"/>
        </w:rPr>
        <w:t>mL</w:t>
      </w:r>
      <w:proofErr w:type="spellEnd"/>
      <w:r w:rsidR="00017C8C" w:rsidRPr="00561954">
        <w:rPr>
          <w:rFonts w:cs="TimesNewRoman"/>
          <w:szCs w:val="22"/>
        </w:rPr>
        <w:t xml:space="preserve"> </w:t>
      </w:r>
      <w:r w:rsidRPr="00561954">
        <w:rPr>
          <w:rFonts w:cs="TimesNewRoman"/>
          <w:szCs w:val="22"/>
        </w:rPr>
        <w:t>suspension in a pre-filled syringe (Type I glass) with a plunger stopper (</w:t>
      </w:r>
      <w:r w:rsidRPr="00561954">
        <w:rPr>
          <w:snapToGrid w:val="0"/>
          <w:szCs w:val="24"/>
          <w:lang w:eastAsia="it-IT"/>
        </w:rPr>
        <w:t xml:space="preserve">Type I </w:t>
      </w:r>
      <w:proofErr w:type="spellStart"/>
      <w:r w:rsidRPr="00561954">
        <w:rPr>
          <w:snapToGrid w:val="0"/>
          <w:szCs w:val="24"/>
          <w:lang w:eastAsia="it-IT"/>
        </w:rPr>
        <w:t>bromobutyl</w:t>
      </w:r>
      <w:proofErr w:type="spellEnd"/>
      <w:r w:rsidRPr="00561954">
        <w:rPr>
          <w:snapToGrid w:val="0"/>
          <w:szCs w:val="24"/>
          <w:lang w:eastAsia="it-IT"/>
        </w:rPr>
        <w:t xml:space="preserve"> rubber) and with a protective tip cap (Type I or Type II rubber)</w:t>
      </w:r>
      <w:r w:rsidRPr="00561954">
        <w:rPr>
          <w:rFonts w:cs="TimesNewRoman"/>
          <w:szCs w:val="22"/>
        </w:rPr>
        <w:t>.</w:t>
      </w:r>
    </w:p>
    <w:p w:rsidR="00314F35" w:rsidRPr="00561954" w:rsidRDefault="00314F35" w:rsidP="00307BFD">
      <w:pPr>
        <w:pStyle w:val="BodyText"/>
        <w:jc w:val="both"/>
        <w:rPr>
          <w:szCs w:val="24"/>
        </w:rPr>
      </w:pPr>
      <w:r w:rsidRPr="00561954">
        <w:rPr>
          <w:rFonts w:cs="TimesNewRoman"/>
          <w:szCs w:val="22"/>
        </w:rPr>
        <w:t>BEXSERO is supplied in packs of 1 syringe with or without needle or packs of 10 syringes without needles. Not all pack sizes may be marketed.</w:t>
      </w:r>
    </w:p>
    <w:p w:rsidR="00314F35" w:rsidRPr="00561954" w:rsidRDefault="00314F35" w:rsidP="00307BFD">
      <w:pPr>
        <w:spacing w:line="260" w:lineRule="exact"/>
        <w:jc w:val="both"/>
        <w:rPr>
          <w:szCs w:val="24"/>
          <w:u w:val="single"/>
        </w:rPr>
      </w:pPr>
      <w:r w:rsidRPr="00561954">
        <w:rPr>
          <w:szCs w:val="24"/>
          <w:u w:val="single"/>
        </w:rPr>
        <w:t>Shelf life and Storage Conditions</w:t>
      </w:r>
    </w:p>
    <w:p w:rsidR="00314F35" w:rsidRPr="00561954" w:rsidRDefault="00314F35" w:rsidP="00307BFD">
      <w:pPr>
        <w:jc w:val="both"/>
        <w:rPr>
          <w:strike/>
          <w:szCs w:val="24"/>
        </w:rPr>
      </w:pPr>
      <w:r w:rsidRPr="00561954">
        <w:rPr>
          <w:szCs w:val="24"/>
        </w:rPr>
        <w:t>2 years.</w:t>
      </w:r>
    </w:p>
    <w:p w:rsidR="00314F35" w:rsidRPr="00561954" w:rsidRDefault="00314F35" w:rsidP="00307BFD">
      <w:pPr>
        <w:spacing w:after="0"/>
        <w:ind w:left="0" w:firstLine="0"/>
        <w:jc w:val="both"/>
        <w:rPr>
          <w:iCs/>
          <w:szCs w:val="24"/>
        </w:rPr>
      </w:pPr>
      <w:r w:rsidRPr="00561954">
        <w:rPr>
          <w:iCs/>
          <w:szCs w:val="24"/>
        </w:rPr>
        <w:t>Store in a refrigerator (2°C -8°C). Do not freeze. P</w:t>
      </w:r>
      <w:r w:rsidRPr="00561954">
        <w:rPr>
          <w:szCs w:val="24"/>
        </w:rPr>
        <w:t>rotect from light</w:t>
      </w:r>
      <w:r w:rsidRPr="00561954">
        <w:rPr>
          <w:iCs/>
          <w:szCs w:val="24"/>
        </w:rPr>
        <w:t xml:space="preserve">.  </w:t>
      </w:r>
    </w:p>
    <w:p w:rsidR="00314F35" w:rsidRPr="00561954" w:rsidRDefault="00314F35" w:rsidP="00307BFD">
      <w:pPr>
        <w:pStyle w:val="BodyText"/>
        <w:spacing w:after="0"/>
        <w:jc w:val="both"/>
      </w:pPr>
    </w:p>
    <w:p w:rsidR="00314F35" w:rsidRPr="00561954" w:rsidRDefault="00314F35" w:rsidP="00307BFD">
      <w:pPr>
        <w:widowControl w:val="0"/>
        <w:autoSpaceDE w:val="0"/>
        <w:autoSpaceDN w:val="0"/>
        <w:adjustRightInd w:val="0"/>
        <w:spacing w:after="0"/>
        <w:ind w:left="0" w:firstLine="0"/>
        <w:jc w:val="both"/>
        <w:rPr>
          <w:rFonts w:cs="TimesNewRoman"/>
          <w:szCs w:val="22"/>
        </w:rPr>
      </w:pPr>
      <w:r w:rsidRPr="00561954">
        <w:rPr>
          <w:rFonts w:cs="TimesNewRoman"/>
          <w:szCs w:val="22"/>
        </w:rPr>
        <w:t>Upon storage of the suspension product, a fine off-white deposit may form. Shake the vaccine well before use to form a homogeneous suspension</w:t>
      </w:r>
      <w:r w:rsidRPr="00561954">
        <w:rPr>
          <w:rFonts w:cs="TimesNewRoman"/>
          <w:szCs w:val="24"/>
        </w:rPr>
        <w:t xml:space="preserve">. </w:t>
      </w:r>
      <w:r w:rsidRPr="00561954">
        <w:rPr>
          <w:snapToGrid w:val="0"/>
          <w:szCs w:val="24"/>
          <w:lang w:eastAsia="it-IT"/>
        </w:rPr>
        <w:t>The vaccine should be visually inspected for particulate matter and discoloration prior to administration.</w:t>
      </w:r>
      <w:r w:rsidRPr="00561954">
        <w:rPr>
          <w:snapToGrid w:val="0"/>
          <w:sz w:val="22"/>
          <w:szCs w:val="22"/>
          <w:lang w:eastAsia="it-IT"/>
        </w:rPr>
        <w:t xml:space="preserve"> </w:t>
      </w:r>
      <w:r w:rsidRPr="00561954">
        <w:rPr>
          <w:rFonts w:cs="TimesNewRoman"/>
          <w:szCs w:val="22"/>
        </w:rPr>
        <w:t>In the event of any foreign particulate matter and/or variation of physical aspect being observed, discard the vaccine.</w:t>
      </w:r>
    </w:p>
    <w:p w:rsidR="00314F35" w:rsidRPr="00561954" w:rsidRDefault="00314F35" w:rsidP="00307BFD">
      <w:pPr>
        <w:pStyle w:val="BodyText"/>
        <w:spacing w:after="0"/>
        <w:jc w:val="both"/>
      </w:pPr>
    </w:p>
    <w:p w:rsidR="00314F35" w:rsidRPr="00561954" w:rsidRDefault="00314F35" w:rsidP="00307BFD">
      <w:pPr>
        <w:pStyle w:val="BodyText"/>
        <w:spacing w:after="0"/>
        <w:jc w:val="both"/>
      </w:pPr>
      <w:r w:rsidRPr="00561954">
        <w:lastRenderedPageBreak/>
        <w:t>Any unused product or waste material should be disposed</w:t>
      </w:r>
      <w:r w:rsidR="00865C67" w:rsidRPr="00561954">
        <w:t xml:space="preserve"> of</w:t>
      </w:r>
      <w:r w:rsidRPr="00561954">
        <w:t xml:space="preserve"> in accordance with local requirements.</w:t>
      </w:r>
    </w:p>
    <w:p w:rsidR="00F1793E" w:rsidRPr="00561954" w:rsidRDefault="00F1793E" w:rsidP="00307BFD">
      <w:pPr>
        <w:pStyle w:val="BodyText"/>
        <w:jc w:val="both"/>
        <w:rPr>
          <w:lang w:val="en-AU"/>
        </w:rPr>
      </w:pPr>
    </w:p>
    <w:p w:rsidR="00314F35" w:rsidRPr="00561954" w:rsidRDefault="00314F35" w:rsidP="00307BFD">
      <w:pPr>
        <w:jc w:val="both"/>
        <w:rPr>
          <w:rFonts w:ascii="Times New Roman Bold" w:hAnsi="Times New Roman Bold"/>
          <w:b/>
          <w:caps/>
          <w:sz w:val="30"/>
          <w:szCs w:val="24"/>
          <w:u w:val="single"/>
        </w:rPr>
      </w:pPr>
      <w:r w:rsidRPr="00561954">
        <w:rPr>
          <w:rFonts w:ascii="Times New Roman Bold" w:hAnsi="Times New Roman Bold"/>
          <w:b/>
          <w:caps/>
          <w:sz w:val="30"/>
          <w:szCs w:val="24"/>
          <w:u w:val="single"/>
        </w:rPr>
        <w:t>Name and address of the sponsor</w:t>
      </w:r>
    </w:p>
    <w:p w:rsidR="00314F35" w:rsidRPr="00561954" w:rsidRDefault="00314F35" w:rsidP="00307BFD">
      <w:pPr>
        <w:spacing w:after="0"/>
        <w:ind w:left="289" w:hanging="289"/>
        <w:jc w:val="both"/>
        <w:rPr>
          <w:szCs w:val="24"/>
          <w:lang w:val="es-ES"/>
        </w:rPr>
      </w:pPr>
      <w:r w:rsidRPr="00561954">
        <w:rPr>
          <w:szCs w:val="24"/>
          <w:lang w:val="es-ES"/>
        </w:rPr>
        <w:t>Novartis Vaccines &amp; Diagnostics Pty</w:t>
      </w:r>
      <w:r w:rsidR="00307BFD" w:rsidRPr="00561954">
        <w:rPr>
          <w:szCs w:val="24"/>
          <w:lang w:val="es-ES"/>
        </w:rPr>
        <w:t>.</w:t>
      </w:r>
      <w:r w:rsidRPr="00561954">
        <w:rPr>
          <w:szCs w:val="24"/>
          <w:lang w:val="es-ES"/>
        </w:rPr>
        <w:t xml:space="preserve"> Ltd</w:t>
      </w:r>
      <w:r w:rsidR="00307BFD" w:rsidRPr="00561954">
        <w:rPr>
          <w:szCs w:val="24"/>
          <w:lang w:val="es-ES"/>
        </w:rPr>
        <w:t>.</w:t>
      </w:r>
    </w:p>
    <w:p w:rsidR="006F30B4" w:rsidRPr="00561954" w:rsidRDefault="006F30B4" w:rsidP="00307BFD">
      <w:pPr>
        <w:spacing w:after="0"/>
        <w:ind w:left="289" w:hanging="289"/>
        <w:jc w:val="both"/>
        <w:rPr>
          <w:szCs w:val="24"/>
        </w:rPr>
      </w:pPr>
      <w:r w:rsidRPr="00561954">
        <w:rPr>
          <w:szCs w:val="24"/>
        </w:rPr>
        <w:t>ACN – 089 509 544</w:t>
      </w:r>
    </w:p>
    <w:p w:rsidR="00314F35" w:rsidRPr="00561954" w:rsidRDefault="00314F35" w:rsidP="00307BFD">
      <w:pPr>
        <w:spacing w:after="0"/>
        <w:jc w:val="both"/>
        <w:rPr>
          <w:szCs w:val="24"/>
          <w:lang w:val="en-AU"/>
        </w:rPr>
      </w:pPr>
      <w:r w:rsidRPr="00561954">
        <w:rPr>
          <w:szCs w:val="24"/>
          <w:lang w:val="en-AU"/>
        </w:rPr>
        <w:t>54 Waterloo Road</w:t>
      </w:r>
    </w:p>
    <w:p w:rsidR="00314F35" w:rsidRPr="00561954" w:rsidRDefault="00314F35" w:rsidP="00307BFD">
      <w:pPr>
        <w:spacing w:after="0"/>
        <w:ind w:left="289" w:hanging="289"/>
        <w:jc w:val="both"/>
        <w:rPr>
          <w:szCs w:val="24"/>
          <w:lang w:val="en-AU"/>
        </w:rPr>
      </w:pPr>
      <w:r w:rsidRPr="00561954">
        <w:rPr>
          <w:szCs w:val="24"/>
          <w:lang w:val="en-AU"/>
        </w:rPr>
        <w:t>North Ryde, NSW 2113</w:t>
      </w:r>
    </w:p>
    <w:p w:rsidR="00F1793E" w:rsidRPr="00561954" w:rsidRDefault="00F1793E" w:rsidP="00307BFD">
      <w:pPr>
        <w:jc w:val="both"/>
        <w:rPr>
          <w:b/>
          <w:caps/>
          <w:szCs w:val="24"/>
          <w:lang w:val="en-AU"/>
        </w:rPr>
      </w:pPr>
    </w:p>
    <w:p w:rsidR="00314F35" w:rsidRPr="00561954" w:rsidRDefault="00314F35" w:rsidP="00307BFD">
      <w:pPr>
        <w:pStyle w:val="Heading1"/>
        <w:keepLines/>
        <w:tabs>
          <w:tab w:val="left" w:pos="-720"/>
          <w:tab w:val="left" w:pos="0"/>
          <w:tab w:val="left" w:pos="720"/>
          <w:tab w:val="left" w:pos="1440"/>
          <w:tab w:val="left" w:pos="2160"/>
          <w:tab w:val="left" w:pos="2880"/>
          <w:tab w:val="left" w:pos="3600"/>
          <w:tab w:val="left" w:pos="4320"/>
          <w:tab w:val="right" w:pos="9073"/>
        </w:tabs>
        <w:suppressAutoHyphens w:val="0"/>
        <w:autoSpaceDE w:val="0"/>
        <w:autoSpaceDN w:val="0"/>
        <w:adjustRightInd w:val="0"/>
        <w:spacing w:after="120" w:line="320" w:lineRule="atLeast"/>
        <w:jc w:val="both"/>
        <w:rPr>
          <w:rFonts w:ascii="Times New Roman Bold" w:hAnsi="Times New Roman Bold"/>
          <w:sz w:val="30"/>
          <w:szCs w:val="24"/>
          <w:u w:val="single"/>
        </w:rPr>
      </w:pPr>
      <w:r w:rsidRPr="00561954">
        <w:rPr>
          <w:rFonts w:ascii="Times New Roman Bold" w:hAnsi="Times New Roman Bold"/>
          <w:sz w:val="30"/>
          <w:szCs w:val="24"/>
          <w:u w:val="single"/>
        </w:rPr>
        <w:t>Poison Schedule of the medicine</w:t>
      </w:r>
    </w:p>
    <w:p w:rsidR="00F1793E" w:rsidRPr="00561954" w:rsidRDefault="00F1793E" w:rsidP="00307BFD">
      <w:pPr>
        <w:spacing w:after="0"/>
        <w:ind w:left="289" w:hanging="289"/>
        <w:jc w:val="both"/>
        <w:rPr>
          <w:szCs w:val="24"/>
          <w:lang w:val="en-AU"/>
        </w:rPr>
      </w:pPr>
    </w:p>
    <w:p w:rsidR="00314F35" w:rsidRPr="00561954" w:rsidRDefault="00314F35" w:rsidP="00307BFD">
      <w:pPr>
        <w:spacing w:after="0"/>
        <w:ind w:left="289" w:hanging="289"/>
        <w:jc w:val="both"/>
        <w:rPr>
          <w:szCs w:val="24"/>
          <w:lang w:val="en-AU"/>
        </w:rPr>
      </w:pPr>
      <w:r w:rsidRPr="00561954">
        <w:rPr>
          <w:szCs w:val="24"/>
          <w:lang w:val="en-AU"/>
        </w:rPr>
        <w:t>Schedule 4 (Prescription-Only Medicine)</w:t>
      </w:r>
    </w:p>
    <w:p w:rsidR="00F1793E" w:rsidRPr="00561954" w:rsidRDefault="00F1793E" w:rsidP="00307BFD">
      <w:pPr>
        <w:pStyle w:val="BodyText"/>
        <w:jc w:val="both"/>
      </w:pPr>
    </w:p>
    <w:p w:rsidR="00A87E43" w:rsidRPr="00561954" w:rsidRDefault="00314F35" w:rsidP="00307BFD">
      <w:pPr>
        <w:pStyle w:val="Heading1"/>
        <w:keepLines/>
        <w:tabs>
          <w:tab w:val="left" w:pos="-720"/>
          <w:tab w:val="left" w:pos="0"/>
          <w:tab w:val="left" w:pos="720"/>
          <w:tab w:val="left" w:pos="1440"/>
          <w:tab w:val="left" w:pos="2160"/>
          <w:tab w:val="left" w:pos="2880"/>
          <w:tab w:val="left" w:pos="3600"/>
          <w:tab w:val="left" w:pos="4320"/>
          <w:tab w:val="right" w:pos="9073"/>
        </w:tabs>
        <w:suppressAutoHyphens w:val="0"/>
        <w:autoSpaceDE w:val="0"/>
        <w:autoSpaceDN w:val="0"/>
        <w:adjustRightInd w:val="0"/>
        <w:spacing w:after="120" w:line="320" w:lineRule="atLeast"/>
        <w:jc w:val="both"/>
        <w:rPr>
          <w:caps w:val="0"/>
          <w:sz w:val="30"/>
          <w:szCs w:val="24"/>
          <w:u w:val="single"/>
        </w:rPr>
      </w:pPr>
      <w:r w:rsidRPr="00561954">
        <w:rPr>
          <w:rFonts w:ascii="Times New Roman Bold" w:hAnsi="Times New Roman Bold"/>
          <w:sz w:val="30"/>
          <w:szCs w:val="24"/>
          <w:u w:val="single"/>
        </w:rPr>
        <w:t>Date of first inclusion in the Australian Register of Therapeutic Goods</w:t>
      </w:r>
      <w:r w:rsidRPr="00561954">
        <w:rPr>
          <w:caps w:val="0"/>
          <w:sz w:val="30"/>
          <w:szCs w:val="24"/>
          <w:u w:val="single"/>
        </w:rPr>
        <w:t xml:space="preserve"> </w:t>
      </w:r>
      <w:r w:rsidR="00A87E43" w:rsidRPr="00561954">
        <w:rPr>
          <w:caps w:val="0"/>
          <w:sz w:val="30"/>
          <w:szCs w:val="24"/>
          <w:u w:val="single"/>
        </w:rPr>
        <w:t>(the ARTG)</w:t>
      </w:r>
    </w:p>
    <w:p w:rsidR="00314F35" w:rsidRPr="00561954" w:rsidRDefault="00314F35" w:rsidP="00307BFD">
      <w:pPr>
        <w:spacing w:after="0"/>
        <w:ind w:left="510" w:firstLine="0"/>
        <w:jc w:val="both"/>
        <w:rPr>
          <w:b/>
          <w:caps/>
        </w:rPr>
      </w:pPr>
    </w:p>
    <w:p w:rsidR="00314F35" w:rsidRPr="00561954" w:rsidRDefault="001676C8" w:rsidP="00307BFD">
      <w:pPr>
        <w:spacing w:after="0"/>
        <w:ind w:left="289" w:hanging="289"/>
        <w:jc w:val="both"/>
        <w:rPr>
          <w:szCs w:val="24"/>
          <w:lang w:val="en-AU"/>
        </w:rPr>
      </w:pPr>
      <w:r>
        <w:rPr>
          <w:szCs w:val="24"/>
          <w:lang w:val="en-AU"/>
        </w:rPr>
        <w:t>14</w:t>
      </w:r>
      <w:r w:rsidR="004836AB">
        <w:rPr>
          <w:szCs w:val="24"/>
          <w:lang w:val="en-AU"/>
        </w:rPr>
        <w:t xml:space="preserve"> August </w:t>
      </w:r>
      <w:r w:rsidR="00044C8D" w:rsidRPr="00561954">
        <w:rPr>
          <w:szCs w:val="24"/>
          <w:lang w:val="en-AU"/>
        </w:rPr>
        <w:t xml:space="preserve">2013 </w:t>
      </w:r>
    </w:p>
    <w:p w:rsidR="00314F35" w:rsidRPr="00561954" w:rsidRDefault="00314F35" w:rsidP="00307BFD">
      <w:pPr>
        <w:pStyle w:val="BodyText"/>
        <w:tabs>
          <w:tab w:val="left" w:pos="9356"/>
        </w:tabs>
        <w:spacing w:after="0"/>
        <w:jc w:val="both"/>
        <w:rPr>
          <w:i/>
          <w:szCs w:val="24"/>
          <w:lang w:val="en-AU"/>
        </w:rPr>
      </w:pPr>
    </w:p>
    <w:p w:rsidR="00314F35" w:rsidRPr="00561954" w:rsidRDefault="00314F35" w:rsidP="00314F35">
      <w:pPr>
        <w:pStyle w:val="BodyText"/>
        <w:rPr>
          <w:lang w:val="en-AU"/>
        </w:rPr>
      </w:pPr>
    </w:p>
    <w:p w:rsidR="00314F35" w:rsidRPr="00561954" w:rsidRDefault="00314F35" w:rsidP="00314F35">
      <w:pPr>
        <w:pBdr>
          <w:top w:val="single" w:sz="6" w:space="1" w:color="auto"/>
          <w:bottom w:val="single" w:sz="6" w:space="1" w:color="auto"/>
        </w:pBdr>
      </w:pPr>
      <w:r w:rsidRPr="00561954">
        <w:rPr>
          <w:vertAlign w:val="superscript"/>
        </w:rPr>
        <w:t>®</w:t>
      </w:r>
      <w:r w:rsidRPr="00561954">
        <w:t xml:space="preserve"> Registered Trademark of Novartis Vaccines and Diagnostics </w:t>
      </w:r>
      <w:proofErr w:type="spellStart"/>
      <w:r w:rsidRPr="00561954">
        <w:t>S.r.l</w:t>
      </w:r>
      <w:proofErr w:type="spellEnd"/>
      <w:r w:rsidRPr="00561954">
        <w:t>., Italy.</w:t>
      </w:r>
    </w:p>
    <w:p w:rsidR="00314F35" w:rsidRPr="00561954" w:rsidRDefault="00314F35" w:rsidP="00314F35">
      <w:pPr>
        <w:pBdr>
          <w:top w:val="single" w:sz="6" w:space="1" w:color="auto"/>
          <w:bottom w:val="single" w:sz="6" w:space="1" w:color="auto"/>
        </w:pBdr>
        <w:ind w:left="0" w:firstLine="0"/>
      </w:pPr>
      <w:r w:rsidRPr="00561954">
        <w:t>Product Information (PI) and Consumer Medicine Information (CMI) documents are regularly updated.</w:t>
      </w:r>
    </w:p>
    <w:p w:rsidR="00314F35" w:rsidRPr="008939FC" w:rsidRDefault="00314F35" w:rsidP="00314F35">
      <w:pPr>
        <w:pBdr>
          <w:top w:val="single" w:sz="6" w:space="1" w:color="auto"/>
          <w:bottom w:val="single" w:sz="6" w:space="1" w:color="auto"/>
        </w:pBdr>
        <w:ind w:left="0" w:firstLine="0"/>
      </w:pPr>
      <w:r w:rsidRPr="00561954">
        <w:t>Please also refer to the TGA web site (</w:t>
      </w:r>
      <w:hyperlink r:id="rId12" w:history="1">
        <w:r w:rsidR="00A87E43" w:rsidRPr="00441701">
          <w:rPr>
            <w:rStyle w:val="Hyperlink"/>
            <w:noProof/>
            <w:sz w:val="22"/>
            <w:szCs w:val="22"/>
          </w:rPr>
          <w:t>https://w</w:t>
        </w:r>
        <w:r w:rsidR="00A87E43" w:rsidRPr="00561954">
          <w:rPr>
            <w:rStyle w:val="Hyperlink"/>
            <w:noProof/>
            <w:sz w:val="22"/>
            <w:szCs w:val="22"/>
          </w:rPr>
          <w:t>ww.ebs.tga.gov.au/</w:t>
        </w:r>
      </w:hyperlink>
      <w:r w:rsidRPr="008939FC">
        <w:t>) for the most up to date PI and CMI.</w:t>
      </w:r>
    </w:p>
    <w:p w:rsidR="00314F35" w:rsidRPr="008939FC" w:rsidRDefault="00314F35" w:rsidP="00314F35">
      <w:pPr>
        <w:pBdr>
          <w:top w:val="single" w:sz="6" w:space="1" w:color="auto"/>
          <w:bottom w:val="single" w:sz="6" w:space="1" w:color="auto"/>
        </w:pBdr>
        <w:ind w:left="0" w:firstLine="0"/>
        <w:rPr>
          <w:b/>
        </w:rPr>
      </w:pPr>
      <w:r w:rsidRPr="008939FC">
        <w:rPr>
          <w:b/>
        </w:rPr>
        <w:t xml:space="preserve">For medical enquiries please contact 1800 671 203 (phone) or </w:t>
      </w:r>
      <w:hyperlink r:id="rId13" w:history="1">
        <w:r w:rsidRPr="00441701">
          <w:rPr>
            <w:rStyle w:val="Hyperlink"/>
            <w:b/>
          </w:rPr>
          <w:t>medinfo.phauno@ novartis.com</w:t>
        </w:r>
      </w:hyperlink>
      <w:r w:rsidRPr="008939FC">
        <w:rPr>
          <w:b/>
        </w:rPr>
        <w:t xml:space="preserve"> (email).</w:t>
      </w:r>
    </w:p>
    <w:p w:rsidR="00314F35" w:rsidRPr="00F2666D" w:rsidRDefault="00314F35" w:rsidP="00314F35">
      <w:pPr>
        <w:pStyle w:val="BodyText"/>
        <w:rPr>
          <w:lang w:val="en-AU"/>
        </w:rPr>
      </w:pPr>
      <w:r w:rsidRPr="00441701">
        <w:rPr>
          <w:lang w:val="en-AU"/>
        </w:rPr>
        <w:t>Version 1.</w:t>
      </w:r>
      <w:r w:rsidR="00044C8D" w:rsidRPr="00561954">
        <w:rPr>
          <w:lang w:val="en-AU"/>
        </w:rPr>
        <w:t>3</w:t>
      </w:r>
    </w:p>
    <w:sectPr w:rsidR="00314F35" w:rsidRPr="00F2666D" w:rsidSect="00314F35">
      <w:headerReference w:type="default" r:id="rId14"/>
      <w:footerReference w:type="default" r:id="rId15"/>
      <w:headerReference w:type="first" r:id="rId16"/>
      <w:footerReference w:type="first" r:id="rId17"/>
      <w:pgSz w:w="11909" w:h="15840" w:code="1"/>
      <w:pgMar w:top="1440" w:right="1440" w:bottom="1440" w:left="1800" w:header="144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D4E" w:rsidRDefault="00E11D4E">
      <w:r>
        <w:separator/>
      </w:r>
    </w:p>
  </w:endnote>
  <w:endnote w:type="continuationSeparator" w:id="0">
    <w:p w:rsidR="00E11D4E" w:rsidRDefault="00E11D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MM_400 RG 300 CN">
    <w:altName w:val="Times New Roman"/>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6E" w:rsidRDefault="00295A6E" w:rsidP="00314F35">
    <w:pPr>
      <w:pStyle w:val="Footer"/>
      <w:pBdr>
        <w:top w:val="single" w:sz="4" w:space="1"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6E" w:rsidRPr="00E301F9" w:rsidRDefault="00295A6E" w:rsidP="00314F35">
    <w:pPr>
      <w:pStyle w:val="Footer"/>
      <w:tabs>
        <w:tab w:val="right" w:pos="9000"/>
      </w:tabs>
      <w:rPr>
        <w:lang w:val="en-AU"/>
      </w:rPr>
    </w:pPr>
    <w:r w:rsidRPr="00C13E4A">
      <w:rPr>
        <w:sz w:val="20"/>
        <w:lang w:val="en-AU"/>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D4E" w:rsidRDefault="00E11D4E">
      <w:r>
        <w:separator/>
      </w:r>
    </w:p>
  </w:footnote>
  <w:footnote w:type="continuationSeparator" w:id="0">
    <w:p w:rsidR="00E11D4E" w:rsidRDefault="00E11D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6FE" w:rsidRPr="00D356FE" w:rsidRDefault="00D356FE" w:rsidP="00D356FE">
    <w:pPr>
      <w:pBdr>
        <w:top w:val="single" w:sz="4" w:space="1" w:color="auto"/>
        <w:left w:val="single" w:sz="4" w:space="4" w:color="auto"/>
        <w:bottom w:val="single" w:sz="4" w:space="1" w:color="auto"/>
        <w:right w:val="single" w:sz="4" w:space="4" w:color="auto"/>
      </w:pBdr>
      <w:shd w:val="clear" w:color="auto" w:fill="E4F2E0"/>
      <w:spacing w:before="40" w:after="40"/>
      <w:ind w:left="0" w:firstLine="0"/>
      <w:rPr>
        <w:rFonts w:ascii="Cambria" w:hAnsi="Cambria"/>
        <w:b/>
        <w:sz w:val="20"/>
      </w:rPr>
    </w:pPr>
    <w:r w:rsidRPr="00D356FE">
      <w:rPr>
        <w:rFonts w:ascii="Cambria" w:hAnsi="Cambria"/>
        <w:b/>
        <w:sz w:val="20"/>
      </w:rPr>
      <w:t xml:space="preserve">Attachment 1: Product information for </w:t>
    </w:r>
    <w:proofErr w:type="spellStart"/>
    <w:r w:rsidRPr="00D356FE">
      <w:rPr>
        <w:rFonts w:ascii="Cambria" w:hAnsi="Cambria"/>
        <w:b/>
        <w:sz w:val="20"/>
      </w:rPr>
      <w:t>AusPAR</w:t>
    </w:r>
    <w:proofErr w:type="spellEnd"/>
    <w:r w:rsidRPr="00D356FE">
      <w:rPr>
        <w:rFonts w:ascii="Cambria" w:hAnsi="Cambria"/>
        <w:b/>
        <w:sz w:val="20"/>
      </w:rPr>
      <w:t xml:space="preserve"> </w:t>
    </w:r>
    <w:proofErr w:type="spellStart"/>
    <w:r w:rsidRPr="00D356FE">
      <w:rPr>
        <w:rFonts w:ascii="Cambria" w:hAnsi="Cambria"/>
        <w:b/>
        <w:sz w:val="20"/>
      </w:rPr>
      <w:t>Bexsero</w:t>
    </w:r>
    <w:proofErr w:type="spellEnd"/>
    <w:r w:rsidRPr="00D356FE">
      <w:rPr>
        <w:rFonts w:ascii="Cambria" w:hAnsi="Cambria"/>
        <w:b/>
        <w:sz w:val="20"/>
      </w:rPr>
      <w:t>; Multi-Component Meningococcal B Vaccine; Novartis Vaccines and Diagnostics Pty Ltd;</w:t>
    </w:r>
    <w:r>
      <w:rPr>
        <w:rFonts w:ascii="Cambria" w:hAnsi="Cambria"/>
        <w:b/>
        <w:sz w:val="20"/>
      </w:rPr>
      <w:t xml:space="preserve"> </w:t>
    </w:r>
    <w:r w:rsidRPr="00D356FE">
      <w:rPr>
        <w:rFonts w:ascii="Cambria" w:hAnsi="Cambria"/>
        <w:b/>
        <w:sz w:val="20"/>
      </w:rPr>
      <w:t xml:space="preserve">PM-2011-02486-3-2. Date of </w:t>
    </w:r>
    <w:proofErr w:type="spellStart"/>
    <w:r w:rsidRPr="00D356FE">
      <w:rPr>
        <w:rFonts w:ascii="Cambria" w:hAnsi="Cambria"/>
        <w:b/>
        <w:sz w:val="20"/>
      </w:rPr>
      <w:t>finalisation</w:t>
    </w:r>
    <w:proofErr w:type="spellEnd"/>
    <w:r w:rsidRPr="00D356FE">
      <w:rPr>
        <w:rFonts w:ascii="Cambria" w:hAnsi="Cambria"/>
        <w:b/>
        <w:sz w:val="20"/>
      </w:rPr>
      <w:t xml:space="preserve"> 31 October 2013</w:t>
    </w:r>
    <w:r w:rsidRPr="00D356FE">
      <w:rPr>
        <w:rFonts w:ascii="Cambria" w:hAnsi="Cambria"/>
        <w:b/>
        <w:sz w:val="20"/>
      </w:rPr>
      <w:t xml:space="preserve">. This Product Information was approved at the time this </w:t>
    </w:r>
    <w:proofErr w:type="spellStart"/>
    <w:r w:rsidRPr="00D356FE">
      <w:rPr>
        <w:rFonts w:ascii="Cambria" w:hAnsi="Cambria"/>
        <w:b/>
        <w:sz w:val="20"/>
      </w:rPr>
      <w:t>AusPAR</w:t>
    </w:r>
    <w:proofErr w:type="spellEnd"/>
    <w:r w:rsidRPr="00D356FE">
      <w:rPr>
        <w:rFonts w:ascii="Cambria" w:hAnsi="Cambria"/>
        <w:b/>
        <w:sz w:val="20"/>
      </w:rPr>
      <w:t xml:space="preserve"> was published.</w:t>
    </w:r>
  </w:p>
  <w:p w:rsidR="00295A6E" w:rsidRPr="00ED75F9" w:rsidRDefault="005963B7" w:rsidP="005963B7">
    <w:pPr>
      <w:pStyle w:val="Header"/>
      <w:pBdr>
        <w:bottom w:val="single" w:sz="4" w:space="1" w:color="auto"/>
      </w:pBdr>
      <w:jc w:val="right"/>
      <w:rPr>
        <w:sz w:val="18"/>
      </w:rPr>
    </w:pPr>
    <w:r>
      <w:rPr>
        <w:sz w:val="18"/>
        <w:szCs w:val="18"/>
      </w:rPr>
      <w:tab/>
    </w:r>
    <w:r>
      <w:rPr>
        <w:sz w:val="18"/>
        <w:szCs w:val="18"/>
      </w:rPr>
      <w:tab/>
    </w:r>
    <w:r w:rsidR="00295A6E" w:rsidRPr="00ED75F9">
      <w:rPr>
        <w:sz w:val="18"/>
        <w:szCs w:val="18"/>
      </w:rPr>
      <w:t xml:space="preserve">Page </w:t>
    </w:r>
    <w:r w:rsidR="00EF45D3" w:rsidRPr="00ED75F9">
      <w:rPr>
        <w:sz w:val="18"/>
        <w:szCs w:val="18"/>
      </w:rPr>
      <w:fldChar w:fldCharType="begin"/>
    </w:r>
    <w:r w:rsidR="00295A6E" w:rsidRPr="00ED75F9">
      <w:rPr>
        <w:sz w:val="18"/>
        <w:szCs w:val="18"/>
      </w:rPr>
      <w:instrText xml:space="preserve"> PAGE </w:instrText>
    </w:r>
    <w:r w:rsidR="00EF45D3" w:rsidRPr="00ED75F9">
      <w:rPr>
        <w:sz w:val="18"/>
        <w:szCs w:val="18"/>
      </w:rPr>
      <w:fldChar w:fldCharType="separate"/>
    </w:r>
    <w:r w:rsidR="00153703">
      <w:rPr>
        <w:noProof/>
        <w:sz w:val="18"/>
        <w:szCs w:val="18"/>
      </w:rPr>
      <w:t>1</w:t>
    </w:r>
    <w:r w:rsidR="00EF45D3" w:rsidRPr="00ED75F9">
      <w:rPr>
        <w:sz w:val="18"/>
        <w:szCs w:val="18"/>
      </w:rPr>
      <w:fldChar w:fldCharType="end"/>
    </w:r>
    <w:r w:rsidR="00295A6E" w:rsidRPr="00ED75F9">
      <w:rPr>
        <w:sz w:val="18"/>
        <w:szCs w:val="18"/>
      </w:rPr>
      <w:t xml:space="preserve"> of </w:t>
    </w:r>
    <w:r w:rsidR="00EF45D3" w:rsidRPr="00ED75F9">
      <w:rPr>
        <w:sz w:val="18"/>
        <w:szCs w:val="18"/>
      </w:rPr>
      <w:fldChar w:fldCharType="begin"/>
    </w:r>
    <w:r w:rsidR="00295A6E" w:rsidRPr="00ED75F9">
      <w:rPr>
        <w:sz w:val="18"/>
        <w:szCs w:val="18"/>
      </w:rPr>
      <w:instrText xml:space="preserve"> NUMPAGES </w:instrText>
    </w:r>
    <w:r w:rsidR="00EF45D3" w:rsidRPr="00ED75F9">
      <w:rPr>
        <w:sz w:val="18"/>
        <w:szCs w:val="18"/>
      </w:rPr>
      <w:fldChar w:fldCharType="separate"/>
    </w:r>
    <w:r w:rsidR="00153703">
      <w:rPr>
        <w:noProof/>
        <w:sz w:val="18"/>
        <w:szCs w:val="18"/>
      </w:rPr>
      <w:t>18</w:t>
    </w:r>
    <w:r w:rsidR="00EF45D3" w:rsidRPr="00ED75F9">
      <w:rPr>
        <w:sz w:val="18"/>
        <w:szCs w:val="1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6E" w:rsidRDefault="00295A6E" w:rsidP="00314F35">
    <w:pPr>
      <w:pStyle w:val="HeaderPortrait"/>
    </w:pPr>
    <w:r>
      <w:t xml:space="preserve">Novartis Vaccines and Diagnostics </w:t>
    </w:r>
    <w:proofErr w:type="spellStart"/>
    <w:r>
      <w:t>S.r.l</w:t>
    </w:r>
    <w:proofErr w:type="spellEnd"/>
    <w:r>
      <w:t>.</w:t>
    </w:r>
    <w:r>
      <w:tab/>
    </w:r>
    <w:r>
      <w:tab/>
    </w:r>
    <w:proofErr w:type="spellStart"/>
    <w:r>
      <w:t>Menveo</w:t>
    </w:r>
    <w:proofErr w:type="spellEnd"/>
    <w:r>
      <w:t xml:space="preserve"> 1.3.1.1 Proposed Product Information</w:t>
    </w:r>
    <w:r>
      <w:br/>
      <w:t>September 2009</w:t>
    </w:r>
    <w:r>
      <w:tab/>
      <w:t>Confidential</w:t>
    </w:r>
    <w:r>
      <w:tab/>
      <w:t xml:space="preserve">Page </w:t>
    </w:r>
    <w:fldSimple w:instr=" PAGE ">
      <w:r>
        <w:rPr>
          <w:noProof/>
        </w:rPr>
        <w:t>2</w:t>
      </w:r>
    </w:fldSimple>
    <w:r>
      <w:t xml:space="preserve"> of </w:t>
    </w:r>
    <w:fldSimple w:instr=" NUMPAGES ">
      <w:r w:rsidR="00CC0694">
        <w:rPr>
          <w:noProof/>
        </w:rPr>
        <w:t>17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AD2D43A"/>
    <w:lvl w:ilvl="0">
      <w:start w:val="1"/>
      <w:numFmt w:val="decimal"/>
      <w:lvlText w:val="%1."/>
      <w:lvlJc w:val="left"/>
      <w:pPr>
        <w:tabs>
          <w:tab w:val="num" w:pos="1800"/>
        </w:tabs>
        <w:ind w:left="1800" w:hanging="360"/>
      </w:pPr>
    </w:lvl>
  </w:abstractNum>
  <w:abstractNum w:abstractNumId="1">
    <w:nsid w:val="FFFFFF7D"/>
    <w:multiLevelType w:val="singleLevel"/>
    <w:tmpl w:val="65E8E3C8"/>
    <w:lvl w:ilvl="0">
      <w:start w:val="1"/>
      <w:numFmt w:val="decimal"/>
      <w:lvlText w:val="%1."/>
      <w:lvlJc w:val="left"/>
      <w:pPr>
        <w:tabs>
          <w:tab w:val="num" w:pos="1440"/>
        </w:tabs>
        <w:ind w:left="1440" w:hanging="360"/>
      </w:pPr>
    </w:lvl>
  </w:abstractNum>
  <w:abstractNum w:abstractNumId="2">
    <w:nsid w:val="FFFFFF7E"/>
    <w:multiLevelType w:val="singleLevel"/>
    <w:tmpl w:val="BD6C6384"/>
    <w:lvl w:ilvl="0">
      <w:start w:val="1"/>
      <w:numFmt w:val="decimal"/>
      <w:lvlText w:val="%1."/>
      <w:lvlJc w:val="left"/>
      <w:pPr>
        <w:tabs>
          <w:tab w:val="num" w:pos="1080"/>
        </w:tabs>
        <w:ind w:left="1080" w:hanging="360"/>
      </w:pPr>
    </w:lvl>
  </w:abstractNum>
  <w:abstractNum w:abstractNumId="3">
    <w:nsid w:val="FFFFFF7F"/>
    <w:multiLevelType w:val="singleLevel"/>
    <w:tmpl w:val="7EA280F4"/>
    <w:lvl w:ilvl="0">
      <w:start w:val="1"/>
      <w:numFmt w:val="decimal"/>
      <w:lvlText w:val="%1."/>
      <w:lvlJc w:val="left"/>
      <w:pPr>
        <w:tabs>
          <w:tab w:val="num" w:pos="720"/>
        </w:tabs>
        <w:ind w:left="720" w:hanging="360"/>
      </w:pPr>
    </w:lvl>
  </w:abstractNum>
  <w:abstractNum w:abstractNumId="4">
    <w:nsid w:val="FFFFFF80"/>
    <w:multiLevelType w:val="singleLevel"/>
    <w:tmpl w:val="54AA80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0E6E3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7842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10412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5CB31C"/>
    <w:lvl w:ilvl="0">
      <w:start w:val="1"/>
      <w:numFmt w:val="decimal"/>
      <w:lvlText w:val="%1."/>
      <w:lvlJc w:val="left"/>
      <w:pPr>
        <w:tabs>
          <w:tab w:val="num" w:pos="360"/>
        </w:tabs>
        <w:ind w:left="360" w:hanging="360"/>
      </w:pPr>
    </w:lvl>
  </w:abstractNum>
  <w:abstractNum w:abstractNumId="9">
    <w:nsid w:val="FFFFFF89"/>
    <w:multiLevelType w:val="singleLevel"/>
    <w:tmpl w:val="C58C27AA"/>
    <w:lvl w:ilvl="0">
      <w:start w:val="1"/>
      <w:numFmt w:val="bullet"/>
      <w:lvlText w:val=""/>
      <w:lvlJc w:val="left"/>
      <w:pPr>
        <w:tabs>
          <w:tab w:val="num" w:pos="360"/>
        </w:tabs>
        <w:ind w:left="360" w:hanging="360"/>
      </w:pPr>
      <w:rPr>
        <w:rFonts w:ascii="Symbol" w:hAnsi="Symbol" w:hint="default"/>
      </w:rPr>
    </w:lvl>
  </w:abstractNum>
  <w:abstractNum w:abstractNumId="10">
    <w:nsid w:val="011B0E46"/>
    <w:multiLevelType w:val="hybridMultilevel"/>
    <w:tmpl w:val="7E04C4CA"/>
    <w:lvl w:ilvl="0" w:tplc="28468BD6">
      <w:start w:val="1"/>
      <w:numFmt w:val="bullet"/>
      <w:pStyle w:val="2ndLevelNumber"/>
      <w:lvlText w:val=""/>
      <w:lvlJc w:val="left"/>
      <w:pPr>
        <w:tabs>
          <w:tab w:val="num" w:pos="717"/>
        </w:tabs>
        <w:ind w:left="717" w:hanging="360"/>
      </w:pPr>
      <w:rPr>
        <w:rFonts w:ascii="Symbol" w:hAnsi="Symbol" w:hint="default"/>
      </w:rPr>
    </w:lvl>
    <w:lvl w:ilvl="1" w:tplc="04100003" w:tentative="1">
      <w:start w:val="1"/>
      <w:numFmt w:val="bullet"/>
      <w:lvlText w:val="o"/>
      <w:lvlJc w:val="left"/>
      <w:pPr>
        <w:tabs>
          <w:tab w:val="num" w:pos="1797"/>
        </w:tabs>
        <w:ind w:left="1797" w:hanging="360"/>
      </w:pPr>
      <w:rPr>
        <w:rFonts w:ascii="Courier New" w:hAnsi="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11">
    <w:nsid w:val="02883A3C"/>
    <w:multiLevelType w:val="multilevel"/>
    <w:tmpl w:val="761CA252"/>
    <w:lvl w:ilvl="0">
      <w:start w:val="1"/>
      <w:numFmt w:val="lowerRoman"/>
      <w:lvlText w:val="%1)."/>
      <w:lvlJc w:val="left"/>
      <w:pPr>
        <w:ind w:left="397" w:hanging="397"/>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31B4A9E"/>
    <w:multiLevelType w:val="multilevel"/>
    <w:tmpl w:val="8C9E264A"/>
    <w:lvl w:ilvl="0">
      <w:start w:val="1"/>
      <w:numFmt w:val="low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03F617B7"/>
    <w:multiLevelType w:val="hybridMultilevel"/>
    <w:tmpl w:val="1F2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F02111"/>
    <w:multiLevelType w:val="hybridMultilevel"/>
    <w:tmpl w:val="761CA252"/>
    <w:lvl w:ilvl="0" w:tplc="B2144068">
      <w:start w:val="1"/>
      <w:numFmt w:val="lowerRoman"/>
      <w:lvlText w:val="%1)."/>
      <w:lvlJc w:val="left"/>
      <w:pPr>
        <w:ind w:left="397" w:hanging="39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73A69B5"/>
    <w:multiLevelType w:val="hybridMultilevel"/>
    <w:tmpl w:val="1EB2D802"/>
    <w:lvl w:ilvl="0" w:tplc="7EDE86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DF5DCC"/>
    <w:multiLevelType w:val="hybridMultilevel"/>
    <w:tmpl w:val="623C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075E2F"/>
    <w:multiLevelType w:val="hybridMultilevel"/>
    <w:tmpl w:val="96BE8BB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3BA78F2"/>
    <w:multiLevelType w:val="hybridMultilevel"/>
    <w:tmpl w:val="3E7A3E90"/>
    <w:lvl w:ilvl="0" w:tplc="476EA334">
      <w:start w:val="1"/>
      <w:numFmt w:val="bullet"/>
      <w:pStyle w:val="2ndLevelBullet"/>
      <w:lvlText w:val=""/>
      <w:lvlJc w:val="left"/>
      <w:pPr>
        <w:tabs>
          <w:tab w:val="num" w:pos="717"/>
        </w:tabs>
        <w:ind w:left="717" w:hanging="360"/>
      </w:pPr>
      <w:rPr>
        <w:rFonts w:ascii="Symbol" w:hAnsi="Symbol" w:hint="default"/>
      </w:rPr>
    </w:lvl>
    <w:lvl w:ilvl="1" w:tplc="04100003" w:tentative="1">
      <w:start w:val="1"/>
      <w:numFmt w:val="bullet"/>
      <w:lvlText w:val="o"/>
      <w:lvlJc w:val="left"/>
      <w:pPr>
        <w:tabs>
          <w:tab w:val="num" w:pos="1797"/>
        </w:tabs>
        <w:ind w:left="1797" w:hanging="360"/>
      </w:pPr>
      <w:rPr>
        <w:rFonts w:ascii="Courier New" w:hAnsi="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19">
    <w:nsid w:val="14216975"/>
    <w:multiLevelType w:val="multilevel"/>
    <w:tmpl w:val="0F5A75D8"/>
    <w:lvl w:ilvl="0">
      <w:start w:val="1"/>
      <w:numFmt w:val="low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15423046"/>
    <w:multiLevelType w:val="hybridMultilevel"/>
    <w:tmpl w:val="50BA7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8193DE0"/>
    <w:multiLevelType w:val="multilevel"/>
    <w:tmpl w:val="808CF9C8"/>
    <w:lvl w:ilvl="0">
      <w:start w:val="1"/>
      <w:numFmt w:val="lowerRoman"/>
      <w:lvlText w:val="%1)."/>
      <w:lvlJc w:val="left"/>
      <w:pPr>
        <w:ind w:left="510" w:hanging="51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22A976E4"/>
    <w:multiLevelType w:val="hybridMultilevel"/>
    <w:tmpl w:val="C24E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FC1DD4"/>
    <w:multiLevelType w:val="hybridMultilevel"/>
    <w:tmpl w:val="0AC2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414B12"/>
    <w:multiLevelType w:val="hybridMultilevel"/>
    <w:tmpl w:val="752A5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6B76C95"/>
    <w:multiLevelType w:val="hybridMultilevel"/>
    <w:tmpl w:val="A502CFA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79C3D76"/>
    <w:multiLevelType w:val="hybridMultilevel"/>
    <w:tmpl w:val="2E7A562E"/>
    <w:lvl w:ilvl="0" w:tplc="8062A90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BF0ABB"/>
    <w:multiLevelType w:val="hybridMultilevel"/>
    <w:tmpl w:val="BDC4973C"/>
    <w:lvl w:ilvl="0" w:tplc="FFFFFFFF">
      <w:start w:val="16"/>
      <w:numFmt w:val="decimal"/>
      <w:lvlText w:val="%1"/>
      <w:lvlJc w:val="left"/>
      <w:pPr>
        <w:tabs>
          <w:tab w:val="num" w:pos="360"/>
        </w:tabs>
        <w:ind w:left="360" w:hanging="360"/>
      </w:pPr>
      <w:rPr>
        <w:rFonts w:hint="default"/>
        <w:b/>
      </w:rPr>
    </w:lvl>
    <w:lvl w:ilvl="1" w:tplc="F58CBB86">
      <w:start w:val="1"/>
      <w:numFmt w:val="bullet"/>
      <w:lvlText w:val=""/>
      <w:lvlJc w:val="left"/>
      <w:pPr>
        <w:tabs>
          <w:tab w:val="num" w:pos="1080"/>
        </w:tabs>
        <w:ind w:left="1080" w:hanging="360"/>
      </w:pPr>
      <w:rPr>
        <w:rFonts w:ascii="Symbol" w:hAnsi="Symbol" w:hint="default"/>
        <w:b/>
        <w:sz w:val="24"/>
        <w:szCs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27C73F9B"/>
    <w:multiLevelType w:val="hybridMultilevel"/>
    <w:tmpl w:val="CADE1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6A2856"/>
    <w:multiLevelType w:val="hybridMultilevel"/>
    <w:tmpl w:val="74A09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F15695B"/>
    <w:multiLevelType w:val="multilevel"/>
    <w:tmpl w:val="8C9E264A"/>
    <w:lvl w:ilvl="0">
      <w:start w:val="1"/>
      <w:numFmt w:val="low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31013CE7"/>
    <w:multiLevelType w:val="hybridMultilevel"/>
    <w:tmpl w:val="65C80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E742263"/>
    <w:multiLevelType w:val="hybridMultilevel"/>
    <w:tmpl w:val="40D0E818"/>
    <w:lvl w:ilvl="0" w:tplc="1D743F28">
      <w:start w:val="1"/>
      <w:numFmt w:val="lowerRoman"/>
      <w:lvlText w:val="%1)."/>
      <w:lvlJc w:val="left"/>
      <w:pPr>
        <w:ind w:left="510" w:hanging="51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2516A59"/>
    <w:multiLevelType w:val="hybridMultilevel"/>
    <w:tmpl w:val="12D6F678"/>
    <w:lvl w:ilvl="0" w:tplc="43F0A1B2">
      <w:start w:val="7"/>
      <w:numFmt w:val="lowerRoman"/>
      <w:lvlText w:val="%1)."/>
      <w:lvlJc w:val="left"/>
      <w:pPr>
        <w:ind w:left="397" w:hanging="39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5D5E5B"/>
    <w:multiLevelType w:val="hybridMultilevel"/>
    <w:tmpl w:val="421ECB0A"/>
    <w:lvl w:ilvl="0" w:tplc="0410000F">
      <w:start w:val="1"/>
      <w:numFmt w:val="decimal"/>
      <w:lvlText w:val="%1."/>
      <w:lvlJc w:val="left"/>
      <w:pPr>
        <w:tabs>
          <w:tab w:val="num" w:pos="720"/>
        </w:tabs>
        <w:ind w:left="720" w:hanging="360"/>
      </w:pPr>
    </w:lvl>
    <w:lvl w:ilvl="1" w:tplc="4D1C8B5E">
      <w:start w:val="6"/>
      <w:numFmt w:val="bullet"/>
      <w:lvlText w:val=""/>
      <w:lvlJc w:val="left"/>
      <w:pPr>
        <w:tabs>
          <w:tab w:val="num" w:pos="1501"/>
        </w:tabs>
        <w:ind w:left="1501" w:hanging="421"/>
      </w:pPr>
      <w:rPr>
        <w:rFonts w:ascii="Wingdings 3" w:eastAsia="Times New Roman" w:hAnsi="Wingdings 3" w:cs="Wingdings 2" w:hint="default"/>
        <w:sz w:val="20"/>
      </w:rPr>
    </w:lvl>
    <w:lvl w:ilvl="2" w:tplc="04100001">
      <w:start w:val="1"/>
      <w:numFmt w:val="bullet"/>
      <w:lvlText w:val=""/>
      <w:lvlJc w:val="left"/>
      <w:pPr>
        <w:tabs>
          <w:tab w:val="num" w:pos="2340"/>
        </w:tabs>
        <w:ind w:left="2340" w:hanging="360"/>
      </w:pPr>
      <w:rPr>
        <w:rFonts w:ascii="Symbol" w:hAnsi="Symbol" w:hint="default"/>
      </w:rPr>
    </w:lvl>
    <w:lvl w:ilvl="3" w:tplc="C7E2C0A4">
      <w:numFmt w:val="bullet"/>
      <w:lvlText w:val=""/>
      <w:lvlJc w:val="left"/>
      <w:pPr>
        <w:tabs>
          <w:tab w:val="num" w:pos="2955"/>
        </w:tabs>
        <w:ind w:left="2955" w:hanging="435"/>
      </w:pPr>
      <w:rPr>
        <w:rFonts w:ascii="Wingdings 2" w:eastAsia="Times New Roman" w:hAnsi="Wingdings 2" w:cs="Wingdings 2"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498A6CDC"/>
    <w:multiLevelType w:val="hybridMultilevel"/>
    <w:tmpl w:val="2540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787081"/>
    <w:multiLevelType w:val="hybridMultilevel"/>
    <w:tmpl w:val="58564C3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4BE3DD4"/>
    <w:multiLevelType w:val="hybridMultilevel"/>
    <w:tmpl w:val="6A92C95C"/>
    <w:lvl w:ilvl="0" w:tplc="D2FC9E64">
      <w:start w:val="1"/>
      <w:numFmt w:val="lowerRoman"/>
      <w:lvlText w:val="%1)."/>
      <w:lvlJc w:val="left"/>
      <w:pPr>
        <w:ind w:left="397" w:hanging="39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8BE4B62"/>
    <w:multiLevelType w:val="multilevel"/>
    <w:tmpl w:val="12D6F678"/>
    <w:lvl w:ilvl="0">
      <w:start w:val="7"/>
      <w:numFmt w:val="lowerRoman"/>
      <w:lvlText w:val="%1)."/>
      <w:lvlJc w:val="left"/>
      <w:pPr>
        <w:ind w:left="397" w:hanging="397"/>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609570E0"/>
    <w:multiLevelType w:val="hybridMultilevel"/>
    <w:tmpl w:val="393C1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1D570BC"/>
    <w:multiLevelType w:val="singleLevel"/>
    <w:tmpl w:val="BD12E7CA"/>
    <w:lvl w:ilvl="0">
      <w:start w:val="1"/>
      <w:numFmt w:val="bullet"/>
      <w:pStyle w:val="Bullet"/>
      <w:lvlText w:val=""/>
      <w:lvlJc w:val="left"/>
      <w:pPr>
        <w:tabs>
          <w:tab w:val="num" w:pos="360"/>
        </w:tabs>
        <w:ind w:left="360" w:hanging="360"/>
      </w:pPr>
      <w:rPr>
        <w:rFonts w:ascii="Symbol" w:hAnsi="Symbol" w:hint="default"/>
      </w:rPr>
    </w:lvl>
  </w:abstractNum>
  <w:abstractNum w:abstractNumId="41">
    <w:nsid w:val="64D75005"/>
    <w:multiLevelType w:val="multilevel"/>
    <w:tmpl w:val="AC7CA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57E5F0F"/>
    <w:multiLevelType w:val="hybridMultilevel"/>
    <w:tmpl w:val="2908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2706C7"/>
    <w:multiLevelType w:val="hybridMultilevel"/>
    <w:tmpl w:val="80E68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E527DA4"/>
    <w:multiLevelType w:val="multilevel"/>
    <w:tmpl w:val="6A92C95C"/>
    <w:lvl w:ilvl="0">
      <w:start w:val="1"/>
      <w:numFmt w:val="lowerRoman"/>
      <w:lvlText w:val="%1)."/>
      <w:lvlJc w:val="left"/>
      <w:pPr>
        <w:ind w:left="397" w:hanging="397"/>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6F444897"/>
    <w:multiLevelType w:val="hybridMultilevel"/>
    <w:tmpl w:val="3C06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0873D17"/>
    <w:multiLevelType w:val="multilevel"/>
    <w:tmpl w:val="C1C8ADD4"/>
    <w:lvl w:ilvl="0">
      <w:start w:val="1"/>
      <w:numFmt w:val="decimal"/>
      <w:lvlText w:val="%1."/>
      <w:lvlJc w:val="left"/>
      <w:pPr>
        <w:tabs>
          <w:tab w:val="num" w:pos="360"/>
        </w:tabs>
        <w:ind w:left="360" w:hanging="360"/>
      </w:pPr>
      <w:rPr>
        <w:rFonts w:hint="default"/>
      </w:rPr>
    </w:lvl>
    <w:lvl w:ilvl="1">
      <w:start w:val="1"/>
      <w:numFmt w:val="none"/>
      <w:lvlText w:val="2.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781760CF"/>
    <w:multiLevelType w:val="multilevel"/>
    <w:tmpl w:val="3BF20130"/>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360"/>
        </w:tabs>
        <w:ind w:left="36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48">
    <w:nsid w:val="781F7F32"/>
    <w:multiLevelType w:val="hybridMultilevel"/>
    <w:tmpl w:val="E25E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3F73FC"/>
    <w:multiLevelType w:val="singleLevel"/>
    <w:tmpl w:val="9F8E7310"/>
    <w:lvl w:ilvl="0">
      <w:start w:val="1"/>
      <w:numFmt w:val="decimal"/>
      <w:pStyle w:val="Number"/>
      <w:lvlText w:val="%1."/>
      <w:lvlJc w:val="left"/>
      <w:pPr>
        <w:tabs>
          <w:tab w:val="num" w:pos="360"/>
        </w:tabs>
        <w:ind w:left="360" w:hanging="360"/>
      </w:pPr>
    </w:lvl>
  </w:abstractNum>
  <w:num w:numId="1">
    <w:abstractNumId w:val="40"/>
  </w:num>
  <w:num w:numId="2">
    <w:abstractNumId w:val="49"/>
  </w:num>
  <w:num w:numId="3">
    <w:abstractNumId w:val="18"/>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4"/>
  </w:num>
  <w:num w:numId="16">
    <w:abstractNumId w:val="31"/>
  </w:num>
  <w:num w:numId="17">
    <w:abstractNumId w:val="43"/>
  </w:num>
  <w:num w:numId="18">
    <w:abstractNumId w:val="36"/>
  </w:num>
  <w:num w:numId="19">
    <w:abstractNumId w:val="45"/>
  </w:num>
  <w:num w:numId="20">
    <w:abstractNumId w:val="39"/>
  </w:num>
  <w:num w:numId="21">
    <w:abstractNumId w:val="24"/>
  </w:num>
  <w:num w:numId="22">
    <w:abstractNumId w:val="29"/>
  </w:num>
  <w:num w:numId="23">
    <w:abstractNumId w:val="46"/>
    <w:lvlOverride w:ilvl="0">
      <w:lvl w:ilvl="0">
        <w:start w:val="1"/>
        <w:numFmt w:val="none"/>
        <w:lvlText w:val="5.1"/>
        <w:lvlJc w:val="left"/>
        <w:pPr>
          <w:tabs>
            <w:tab w:val="num" w:pos="360"/>
          </w:tabs>
          <w:ind w:left="360" w:hanging="504"/>
        </w:pPr>
        <w:rPr>
          <w:rFonts w:hint="default"/>
        </w:rPr>
      </w:lvl>
    </w:lvlOverride>
    <w:lvlOverride w:ilvl="1">
      <w:lvl w:ilvl="1">
        <w:start w:val="1"/>
        <w:numFmt w:val="none"/>
        <w:lvlText w:val="4.1"/>
        <w:lvlJc w:val="left"/>
        <w:pPr>
          <w:tabs>
            <w:tab w:val="num" w:pos="792"/>
          </w:tabs>
          <w:ind w:left="360" w:hanging="360"/>
        </w:pPr>
        <w:rPr>
          <w:rFonts w:hint="default"/>
          <w:b w:val="0"/>
          <w:i w:val="0"/>
          <w:color w:val="auto"/>
          <w:sz w:val="24"/>
          <w:szCs w:val="24"/>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4">
    <w:abstractNumId w:val="47"/>
    <w:lvlOverride w:ilvl="0">
      <w:lvl w:ilvl="0">
        <w:start w:val="4"/>
        <w:numFmt w:val="decimal"/>
        <w:lvlText w:val="%1"/>
        <w:lvlJc w:val="left"/>
        <w:pPr>
          <w:tabs>
            <w:tab w:val="num" w:pos="540"/>
          </w:tabs>
          <w:ind w:left="540" w:hanging="540"/>
        </w:pPr>
        <w:rPr>
          <w:rFonts w:hint="default"/>
        </w:rPr>
      </w:lvl>
    </w:lvlOverride>
    <w:lvlOverride w:ilvl="1">
      <w:lvl w:ilvl="1">
        <w:start w:val="2"/>
        <w:numFmt w:val="decimal"/>
        <w:lvlText w:val="5.%2"/>
        <w:lvlJc w:val="left"/>
        <w:pPr>
          <w:tabs>
            <w:tab w:val="num" w:pos="360"/>
          </w:tabs>
          <w:ind w:left="360" w:hanging="540"/>
        </w:pPr>
        <w:rPr>
          <w:rFonts w:hint="default"/>
        </w:rPr>
      </w:lvl>
    </w:lvlOverride>
    <w:lvlOverride w:ilvl="2">
      <w:lvl w:ilvl="2">
        <w:start w:val="1"/>
        <w:numFmt w:val="decimal"/>
        <w:lvlText w:val="%1.%2.%3"/>
        <w:lvlJc w:val="left"/>
        <w:pPr>
          <w:tabs>
            <w:tab w:val="num" w:pos="360"/>
          </w:tabs>
          <w:ind w:left="360" w:hanging="720"/>
        </w:pPr>
        <w:rPr>
          <w:rFonts w:hint="default"/>
        </w:rPr>
      </w:lvl>
    </w:lvlOverride>
    <w:lvlOverride w:ilvl="3">
      <w:lvl w:ilvl="3">
        <w:start w:val="1"/>
        <w:numFmt w:val="decimal"/>
        <w:lvlText w:val="%1.%2.%3.%4"/>
        <w:lvlJc w:val="left"/>
        <w:pPr>
          <w:tabs>
            <w:tab w:val="num" w:pos="180"/>
          </w:tabs>
          <w:ind w:left="180" w:hanging="720"/>
        </w:pPr>
        <w:rPr>
          <w:rFonts w:hint="default"/>
        </w:rPr>
      </w:lvl>
    </w:lvlOverride>
    <w:lvlOverride w:ilvl="4">
      <w:lvl w:ilvl="4">
        <w:start w:val="1"/>
        <w:numFmt w:val="decimal"/>
        <w:lvlText w:val="%1.%2.%3.%4.%5"/>
        <w:lvlJc w:val="left"/>
        <w:pPr>
          <w:tabs>
            <w:tab w:val="num" w:pos="360"/>
          </w:tabs>
          <w:ind w:left="360" w:hanging="1080"/>
        </w:pPr>
        <w:rPr>
          <w:rFonts w:hint="default"/>
        </w:rPr>
      </w:lvl>
    </w:lvlOverride>
    <w:lvlOverride w:ilvl="5">
      <w:lvl w:ilvl="5">
        <w:start w:val="1"/>
        <w:numFmt w:val="decimal"/>
        <w:lvlText w:val="%1.%2.%3.%4.%5.%6"/>
        <w:lvlJc w:val="left"/>
        <w:pPr>
          <w:tabs>
            <w:tab w:val="num" w:pos="180"/>
          </w:tabs>
          <w:ind w:left="180" w:hanging="1080"/>
        </w:pPr>
        <w:rPr>
          <w:rFonts w:hint="default"/>
        </w:rPr>
      </w:lvl>
    </w:lvlOverride>
    <w:lvlOverride w:ilvl="6">
      <w:lvl w:ilvl="6">
        <w:start w:val="1"/>
        <w:numFmt w:val="decimal"/>
        <w:lvlText w:val="%1.%2.%3.%4.%5.%6.%7"/>
        <w:lvlJc w:val="left"/>
        <w:pPr>
          <w:tabs>
            <w:tab w:val="num" w:pos="360"/>
          </w:tabs>
          <w:ind w:left="360" w:hanging="1440"/>
        </w:pPr>
        <w:rPr>
          <w:rFonts w:hint="default"/>
        </w:rPr>
      </w:lvl>
    </w:lvlOverride>
    <w:lvlOverride w:ilvl="7">
      <w:lvl w:ilvl="7">
        <w:start w:val="1"/>
        <w:numFmt w:val="decimal"/>
        <w:lvlText w:val="%1.%2.%3.%4.%5.%6.%7.%8"/>
        <w:lvlJc w:val="left"/>
        <w:pPr>
          <w:tabs>
            <w:tab w:val="num" w:pos="180"/>
          </w:tabs>
          <w:ind w:left="180" w:hanging="1440"/>
        </w:pPr>
        <w:rPr>
          <w:rFonts w:hint="default"/>
        </w:rPr>
      </w:lvl>
    </w:lvlOverride>
    <w:lvlOverride w:ilvl="8">
      <w:lvl w:ilvl="8">
        <w:start w:val="1"/>
        <w:numFmt w:val="decimal"/>
        <w:lvlText w:val="%1.%2.%3.%4.%5.%6.%7.%8.%9"/>
        <w:lvlJc w:val="left"/>
        <w:pPr>
          <w:tabs>
            <w:tab w:val="num" w:pos="360"/>
          </w:tabs>
          <w:ind w:left="360" w:hanging="1800"/>
        </w:pPr>
        <w:rPr>
          <w:rFonts w:hint="default"/>
        </w:rPr>
      </w:lvl>
    </w:lvlOverride>
  </w:num>
  <w:num w:numId="25">
    <w:abstractNumId w:val="25"/>
  </w:num>
  <w:num w:numId="26">
    <w:abstractNumId w:val="17"/>
  </w:num>
  <w:num w:numId="27">
    <w:abstractNumId w:val="20"/>
  </w:num>
  <w:num w:numId="28">
    <w:abstractNumId w:val="27"/>
  </w:num>
  <w:num w:numId="29">
    <w:abstractNumId w:val="42"/>
  </w:num>
  <w:num w:numId="30">
    <w:abstractNumId w:val="16"/>
  </w:num>
  <w:num w:numId="31">
    <w:abstractNumId w:val="48"/>
  </w:num>
  <w:num w:numId="32">
    <w:abstractNumId w:val="22"/>
  </w:num>
  <w:num w:numId="33">
    <w:abstractNumId w:val="13"/>
  </w:num>
  <w:num w:numId="34">
    <w:abstractNumId w:val="23"/>
  </w:num>
  <w:num w:numId="35">
    <w:abstractNumId w:val="28"/>
  </w:num>
  <w:num w:numId="36">
    <w:abstractNumId w:val="32"/>
  </w:num>
  <w:num w:numId="37">
    <w:abstractNumId w:val="41"/>
  </w:num>
  <w:num w:numId="38">
    <w:abstractNumId w:val="19"/>
  </w:num>
  <w:num w:numId="39">
    <w:abstractNumId w:val="14"/>
  </w:num>
  <w:num w:numId="40">
    <w:abstractNumId w:val="11"/>
  </w:num>
  <w:num w:numId="41">
    <w:abstractNumId w:val="12"/>
  </w:num>
  <w:num w:numId="42">
    <w:abstractNumId w:val="37"/>
  </w:num>
  <w:num w:numId="43">
    <w:abstractNumId w:val="44"/>
  </w:num>
  <w:num w:numId="44">
    <w:abstractNumId w:val="33"/>
  </w:num>
  <w:num w:numId="45">
    <w:abstractNumId w:val="30"/>
  </w:num>
  <w:num w:numId="46">
    <w:abstractNumId w:val="38"/>
  </w:num>
  <w:num w:numId="47">
    <w:abstractNumId w:val="21"/>
  </w:num>
  <w:num w:numId="48">
    <w:abstractNumId w:val="35"/>
  </w:num>
  <w:num w:numId="49">
    <w:abstractNumId w:val="15"/>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activeWritingStyle w:appName="MSWord" w:lang="en-US"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de-DE" w:vendorID="64" w:dllVersion="131078" w:nlCheck="1" w:checkStyle="1"/>
  <w:activeWritingStyle w:appName="MSWord" w:lang="es-ES" w:vendorID="64" w:dllVersion="131078" w:nlCheck="1" w:checkStyle="1"/>
  <w:activeWritingStyle w:appName="MSWord" w:lang="fr-FR" w:vendorID="9" w:dllVersion="512" w:checkStyle="1"/>
  <w:activeWritingStyle w:appName="MSWord" w:lang="it-IT" w:vendorID="3" w:dllVersion="517" w:checkStyle="1"/>
  <w:activeWritingStyle w:appName="MSWord" w:lang="de-DE" w:vendorID="9" w:dllVersion="512" w:checkStyle="1"/>
  <w:activeWritingStyle w:appName="MSWord" w:lang="pt-BR" w:vendorID="1" w:dllVersion="513" w:checkStyle="1"/>
  <w:proofState w:spelling="clean" w:grammar="clean"/>
  <w:stylePaneFormatFilter w:val="3F01"/>
  <w:defaultTabStop w:val="1418"/>
  <w:clickAndTypeStyle w:val="BodyText"/>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1D5B0C"/>
    <w:rsid w:val="00010F84"/>
    <w:rsid w:val="00012B0C"/>
    <w:rsid w:val="000153D1"/>
    <w:rsid w:val="00015D5B"/>
    <w:rsid w:val="00017C8C"/>
    <w:rsid w:val="000214BB"/>
    <w:rsid w:val="000256DD"/>
    <w:rsid w:val="0002776E"/>
    <w:rsid w:val="000369EE"/>
    <w:rsid w:val="00042F18"/>
    <w:rsid w:val="00044C8D"/>
    <w:rsid w:val="000461EC"/>
    <w:rsid w:val="000D5C7F"/>
    <w:rsid w:val="000E4E50"/>
    <w:rsid w:val="00104B33"/>
    <w:rsid w:val="00116940"/>
    <w:rsid w:val="0013181C"/>
    <w:rsid w:val="00136037"/>
    <w:rsid w:val="0014113B"/>
    <w:rsid w:val="00145C13"/>
    <w:rsid w:val="001519A7"/>
    <w:rsid w:val="00153703"/>
    <w:rsid w:val="00154376"/>
    <w:rsid w:val="001676C8"/>
    <w:rsid w:val="001776A8"/>
    <w:rsid w:val="001C3DF9"/>
    <w:rsid w:val="001D2AD7"/>
    <w:rsid w:val="001D5B0C"/>
    <w:rsid w:val="001F4E40"/>
    <w:rsid w:val="002051CA"/>
    <w:rsid w:val="00206A46"/>
    <w:rsid w:val="0022361E"/>
    <w:rsid w:val="002304EF"/>
    <w:rsid w:val="0023161E"/>
    <w:rsid w:val="00250572"/>
    <w:rsid w:val="0025403F"/>
    <w:rsid w:val="00275949"/>
    <w:rsid w:val="002801D7"/>
    <w:rsid w:val="0028769E"/>
    <w:rsid w:val="002947EC"/>
    <w:rsid w:val="00295A6E"/>
    <w:rsid w:val="002A23F1"/>
    <w:rsid w:val="002A5583"/>
    <w:rsid w:val="002A7306"/>
    <w:rsid w:val="002C0A1F"/>
    <w:rsid w:val="002C1DF9"/>
    <w:rsid w:val="002C4E8F"/>
    <w:rsid w:val="002C59B7"/>
    <w:rsid w:val="002C7EF8"/>
    <w:rsid w:val="002D26BE"/>
    <w:rsid w:val="002E0F54"/>
    <w:rsid w:val="0030482F"/>
    <w:rsid w:val="00304EC5"/>
    <w:rsid w:val="00306A36"/>
    <w:rsid w:val="00307BFD"/>
    <w:rsid w:val="00310753"/>
    <w:rsid w:val="0031150E"/>
    <w:rsid w:val="00314E08"/>
    <w:rsid w:val="00314F35"/>
    <w:rsid w:val="00332104"/>
    <w:rsid w:val="003453A8"/>
    <w:rsid w:val="00353DC7"/>
    <w:rsid w:val="00365B65"/>
    <w:rsid w:val="00375255"/>
    <w:rsid w:val="00384EEE"/>
    <w:rsid w:val="003858F1"/>
    <w:rsid w:val="00386689"/>
    <w:rsid w:val="00386772"/>
    <w:rsid w:val="00392C1F"/>
    <w:rsid w:val="00397722"/>
    <w:rsid w:val="003A3DA7"/>
    <w:rsid w:val="003A40FC"/>
    <w:rsid w:val="003A7493"/>
    <w:rsid w:val="003A7AFD"/>
    <w:rsid w:val="003A7EEF"/>
    <w:rsid w:val="003B65B7"/>
    <w:rsid w:val="003C272C"/>
    <w:rsid w:val="003D6970"/>
    <w:rsid w:val="003F6ED9"/>
    <w:rsid w:val="00406003"/>
    <w:rsid w:val="004101D1"/>
    <w:rsid w:val="004147F2"/>
    <w:rsid w:val="00422A00"/>
    <w:rsid w:val="00434067"/>
    <w:rsid w:val="00435236"/>
    <w:rsid w:val="00435248"/>
    <w:rsid w:val="00441701"/>
    <w:rsid w:val="004463C9"/>
    <w:rsid w:val="0044733F"/>
    <w:rsid w:val="00451B21"/>
    <w:rsid w:val="00452CCF"/>
    <w:rsid w:val="004531CB"/>
    <w:rsid w:val="00472B19"/>
    <w:rsid w:val="00475341"/>
    <w:rsid w:val="0047633E"/>
    <w:rsid w:val="00482DA3"/>
    <w:rsid w:val="004836AB"/>
    <w:rsid w:val="00490F52"/>
    <w:rsid w:val="004C38CD"/>
    <w:rsid w:val="004C5794"/>
    <w:rsid w:val="004F40E0"/>
    <w:rsid w:val="004F5CF8"/>
    <w:rsid w:val="005204FE"/>
    <w:rsid w:val="00520F2B"/>
    <w:rsid w:val="00550A39"/>
    <w:rsid w:val="00551061"/>
    <w:rsid w:val="005552F5"/>
    <w:rsid w:val="00561954"/>
    <w:rsid w:val="00563565"/>
    <w:rsid w:val="00563603"/>
    <w:rsid w:val="005931A3"/>
    <w:rsid w:val="005963B7"/>
    <w:rsid w:val="005A2DB5"/>
    <w:rsid w:val="005A55AA"/>
    <w:rsid w:val="005A5635"/>
    <w:rsid w:val="005B37CC"/>
    <w:rsid w:val="005B71E7"/>
    <w:rsid w:val="005D438D"/>
    <w:rsid w:val="005F4C9D"/>
    <w:rsid w:val="00603312"/>
    <w:rsid w:val="00621168"/>
    <w:rsid w:val="00623869"/>
    <w:rsid w:val="00626D2B"/>
    <w:rsid w:val="00635C4B"/>
    <w:rsid w:val="00646EB3"/>
    <w:rsid w:val="00653B69"/>
    <w:rsid w:val="00662797"/>
    <w:rsid w:val="00665C2C"/>
    <w:rsid w:val="006863BF"/>
    <w:rsid w:val="00690919"/>
    <w:rsid w:val="006925B4"/>
    <w:rsid w:val="00696010"/>
    <w:rsid w:val="00697A0D"/>
    <w:rsid w:val="006A17BD"/>
    <w:rsid w:val="006A4DFE"/>
    <w:rsid w:val="006B7783"/>
    <w:rsid w:val="006B7D92"/>
    <w:rsid w:val="006C2A32"/>
    <w:rsid w:val="006D27B2"/>
    <w:rsid w:val="006D555F"/>
    <w:rsid w:val="006F0F73"/>
    <w:rsid w:val="006F11F0"/>
    <w:rsid w:val="006F1543"/>
    <w:rsid w:val="006F30B4"/>
    <w:rsid w:val="006F3F3E"/>
    <w:rsid w:val="00703696"/>
    <w:rsid w:val="00703C15"/>
    <w:rsid w:val="0071404A"/>
    <w:rsid w:val="00717715"/>
    <w:rsid w:val="00744FCE"/>
    <w:rsid w:val="0076123A"/>
    <w:rsid w:val="0078267A"/>
    <w:rsid w:val="00783E60"/>
    <w:rsid w:val="007958B4"/>
    <w:rsid w:val="007A0E28"/>
    <w:rsid w:val="007A6D14"/>
    <w:rsid w:val="007B2115"/>
    <w:rsid w:val="007B31FD"/>
    <w:rsid w:val="007B4C72"/>
    <w:rsid w:val="007C70BF"/>
    <w:rsid w:val="007C7EC6"/>
    <w:rsid w:val="007E72B5"/>
    <w:rsid w:val="008043B5"/>
    <w:rsid w:val="008043C9"/>
    <w:rsid w:val="00833BD4"/>
    <w:rsid w:val="00833FFF"/>
    <w:rsid w:val="00834DAF"/>
    <w:rsid w:val="008403B9"/>
    <w:rsid w:val="00850CC4"/>
    <w:rsid w:val="008510E4"/>
    <w:rsid w:val="00865C67"/>
    <w:rsid w:val="00872724"/>
    <w:rsid w:val="0087495E"/>
    <w:rsid w:val="00884DF7"/>
    <w:rsid w:val="008916AD"/>
    <w:rsid w:val="00891CC6"/>
    <w:rsid w:val="008939FC"/>
    <w:rsid w:val="008C0169"/>
    <w:rsid w:val="008D2E91"/>
    <w:rsid w:val="008D563F"/>
    <w:rsid w:val="008D5770"/>
    <w:rsid w:val="008D6268"/>
    <w:rsid w:val="008E072F"/>
    <w:rsid w:val="008F196E"/>
    <w:rsid w:val="008F4C9B"/>
    <w:rsid w:val="008F59DA"/>
    <w:rsid w:val="0093093F"/>
    <w:rsid w:val="00945D04"/>
    <w:rsid w:val="00952926"/>
    <w:rsid w:val="00952935"/>
    <w:rsid w:val="0095550F"/>
    <w:rsid w:val="00955802"/>
    <w:rsid w:val="009603A2"/>
    <w:rsid w:val="00962F7D"/>
    <w:rsid w:val="0097022D"/>
    <w:rsid w:val="0097508A"/>
    <w:rsid w:val="00983D8D"/>
    <w:rsid w:val="0099026E"/>
    <w:rsid w:val="00993878"/>
    <w:rsid w:val="009B472B"/>
    <w:rsid w:val="009C3F2F"/>
    <w:rsid w:val="009C7B49"/>
    <w:rsid w:val="009F31F4"/>
    <w:rsid w:val="009F77CA"/>
    <w:rsid w:val="00A01EB9"/>
    <w:rsid w:val="00A03318"/>
    <w:rsid w:val="00A11460"/>
    <w:rsid w:val="00A13BF8"/>
    <w:rsid w:val="00A220FE"/>
    <w:rsid w:val="00A6133C"/>
    <w:rsid w:val="00A71E26"/>
    <w:rsid w:val="00A81AD3"/>
    <w:rsid w:val="00A87E43"/>
    <w:rsid w:val="00AA50C2"/>
    <w:rsid w:val="00AC5D4A"/>
    <w:rsid w:val="00AD55BA"/>
    <w:rsid w:val="00AE1B17"/>
    <w:rsid w:val="00AF1E74"/>
    <w:rsid w:val="00AF62BA"/>
    <w:rsid w:val="00AF7EFF"/>
    <w:rsid w:val="00B001B5"/>
    <w:rsid w:val="00B14913"/>
    <w:rsid w:val="00B1678A"/>
    <w:rsid w:val="00B20086"/>
    <w:rsid w:val="00B216CF"/>
    <w:rsid w:val="00B22782"/>
    <w:rsid w:val="00B303B1"/>
    <w:rsid w:val="00B37568"/>
    <w:rsid w:val="00B473C0"/>
    <w:rsid w:val="00B51644"/>
    <w:rsid w:val="00B81FB3"/>
    <w:rsid w:val="00BA6ED6"/>
    <w:rsid w:val="00BB44FD"/>
    <w:rsid w:val="00BE1BF4"/>
    <w:rsid w:val="00BE59B1"/>
    <w:rsid w:val="00BF1508"/>
    <w:rsid w:val="00BF6BE8"/>
    <w:rsid w:val="00C033E7"/>
    <w:rsid w:val="00C0469C"/>
    <w:rsid w:val="00C11549"/>
    <w:rsid w:val="00C14144"/>
    <w:rsid w:val="00C25BD1"/>
    <w:rsid w:val="00C34A3E"/>
    <w:rsid w:val="00C36817"/>
    <w:rsid w:val="00C618C5"/>
    <w:rsid w:val="00C64936"/>
    <w:rsid w:val="00C65DD6"/>
    <w:rsid w:val="00C7562E"/>
    <w:rsid w:val="00C928FD"/>
    <w:rsid w:val="00CA2D90"/>
    <w:rsid w:val="00CB31A4"/>
    <w:rsid w:val="00CB49B6"/>
    <w:rsid w:val="00CB4D29"/>
    <w:rsid w:val="00CC0624"/>
    <w:rsid w:val="00CC0694"/>
    <w:rsid w:val="00CC1139"/>
    <w:rsid w:val="00CD3397"/>
    <w:rsid w:val="00CF59D0"/>
    <w:rsid w:val="00D15BD3"/>
    <w:rsid w:val="00D266D1"/>
    <w:rsid w:val="00D356FE"/>
    <w:rsid w:val="00D514A5"/>
    <w:rsid w:val="00D71492"/>
    <w:rsid w:val="00D77750"/>
    <w:rsid w:val="00D93679"/>
    <w:rsid w:val="00D94E37"/>
    <w:rsid w:val="00DA5935"/>
    <w:rsid w:val="00DB3A65"/>
    <w:rsid w:val="00DC3EEF"/>
    <w:rsid w:val="00DC4CB0"/>
    <w:rsid w:val="00DE60A1"/>
    <w:rsid w:val="00E11D4E"/>
    <w:rsid w:val="00E253E7"/>
    <w:rsid w:val="00E27A3B"/>
    <w:rsid w:val="00E30FEC"/>
    <w:rsid w:val="00E37D0A"/>
    <w:rsid w:val="00E41592"/>
    <w:rsid w:val="00E45883"/>
    <w:rsid w:val="00E648E4"/>
    <w:rsid w:val="00E654FF"/>
    <w:rsid w:val="00E74113"/>
    <w:rsid w:val="00E77033"/>
    <w:rsid w:val="00E77DED"/>
    <w:rsid w:val="00E87E27"/>
    <w:rsid w:val="00EA02F0"/>
    <w:rsid w:val="00EA0C30"/>
    <w:rsid w:val="00EA26A3"/>
    <w:rsid w:val="00EC0471"/>
    <w:rsid w:val="00EC2559"/>
    <w:rsid w:val="00EE18FD"/>
    <w:rsid w:val="00EE276B"/>
    <w:rsid w:val="00EE49A4"/>
    <w:rsid w:val="00EE60EA"/>
    <w:rsid w:val="00EF3E3E"/>
    <w:rsid w:val="00EF45D3"/>
    <w:rsid w:val="00F04202"/>
    <w:rsid w:val="00F14E2F"/>
    <w:rsid w:val="00F1793E"/>
    <w:rsid w:val="00F2203C"/>
    <w:rsid w:val="00F22FD8"/>
    <w:rsid w:val="00F31455"/>
    <w:rsid w:val="00F442C3"/>
    <w:rsid w:val="00F4608A"/>
    <w:rsid w:val="00F514C4"/>
    <w:rsid w:val="00F55CEA"/>
    <w:rsid w:val="00F87B69"/>
    <w:rsid w:val="00F94DF6"/>
    <w:rsid w:val="00F9593E"/>
    <w:rsid w:val="00FA3C77"/>
    <w:rsid w:val="00FB7ED4"/>
    <w:rsid w:val="00FD42C2"/>
    <w:rsid w:val="00FD45AF"/>
    <w:rsid w:val="00FD4C58"/>
    <w:rsid w:val="00FE7DF2"/>
    <w:rsid w:val="00FF0954"/>
    <w:rsid w:val="00FF0AF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next w:val="BodyText"/>
    <w:qFormat/>
    <w:rsid w:val="00EF45D3"/>
    <w:pPr>
      <w:spacing w:after="240"/>
      <w:ind w:left="288" w:hanging="288"/>
    </w:pPr>
    <w:rPr>
      <w:sz w:val="24"/>
      <w:lang w:val="en-US" w:eastAsia="en-US"/>
    </w:rPr>
  </w:style>
  <w:style w:type="paragraph" w:styleId="Heading1">
    <w:name w:val="heading 1"/>
    <w:next w:val="BodyText"/>
    <w:uiPriority w:val="99"/>
    <w:qFormat/>
    <w:rsid w:val="00EF45D3"/>
    <w:pPr>
      <w:keepNext/>
      <w:suppressAutoHyphens/>
      <w:spacing w:before="120" w:after="240"/>
      <w:outlineLvl w:val="0"/>
    </w:pPr>
    <w:rPr>
      <w:b/>
      <w:caps/>
      <w:sz w:val="24"/>
      <w:lang w:val="en-US" w:eastAsia="en-US"/>
    </w:rPr>
  </w:style>
  <w:style w:type="paragraph" w:styleId="Heading2">
    <w:name w:val="heading 2"/>
    <w:next w:val="BodyText"/>
    <w:qFormat/>
    <w:rsid w:val="00EF45D3"/>
    <w:pPr>
      <w:keepNext/>
      <w:suppressAutoHyphens/>
      <w:spacing w:after="240"/>
      <w:outlineLvl w:val="1"/>
    </w:pPr>
    <w:rPr>
      <w:b/>
      <w:sz w:val="24"/>
      <w:lang w:val="en-US" w:eastAsia="en-US"/>
    </w:rPr>
  </w:style>
  <w:style w:type="paragraph" w:styleId="Heading3">
    <w:name w:val="heading 3"/>
    <w:next w:val="BodyText"/>
    <w:qFormat/>
    <w:rsid w:val="00EF45D3"/>
    <w:pPr>
      <w:keepNext/>
      <w:suppressAutoHyphens/>
      <w:spacing w:after="240"/>
      <w:outlineLvl w:val="2"/>
    </w:pPr>
    <w:rPr>
      <w:b/>
      <w:sz w:val="24"/>
      <w:lang w:val="en-US" w:eastAsia="en-US"/>
    </w:rPr>
  </w:style>
  <w:style w:type="paragraph" w:styleId="Heading4">
    <w:name w:val="heading 4"/>
    <w:next w:val="BodyText"/>
    <w:qFormat/>
    <w:rsid w:val="00EF45D3"/>
    <w:pPr>
      <w:keepNext/>
      <w:suppressAutoHyphens/>
      <w:spacing w:after="240"/>
      <w:outlineLvl w:val="3"/>
    </w:pPr>
    <w:rPr>
      <w:b/>
      <w:sz w:val="24"/>
      <w:lang w:val="en-US" w:eastAsia="en-US"/>
    </w:rPr>
  </w:style>
  <w:style w:type="paragraph" w:styleId="Heading5">
    <w:name w:val="heading 5"/>
    <w:next w:val="BodyText"/>
    <w:qFormat/>
    <w:rsid w:val="00EF45D3"/>
    <w:pPr>
      <w:keepNext/>
      <w:keepLines/>
      <w:suppressAutoHyphens/>
      <w:spacing w:after="240"/>
      <w:outlineLvl w:val="4"/>
    </w:pPr>
    <w:rPr>
      <w:b/>
      <w:sz w:val="24"/>
      <w:lang w:val="en-US" w:eastAsia="en-US"/>
    </w:rPr>
  </w:style>
  <w:style w:type="paragraph" w:styleId="Heading6">
    <w:name w:val="heading 6"/>
    <w:next w:val="BodyText"/>
    <w:qFormat/>
    <w:rsid w:val="00EF45D3"/>
    <w:pPr>
      <w:keepNext/>
      <w:keepLines/>
      <w:suppressAutoHyphens/>
      <w:spacing w:after="240"/>
      <w:outlineLvl w:val="5"/>
    </w:pPr>
    <w:rPr>
      <w:b/>
      <w:sz w:val="24"/>
      <w:lang w:val="en-US" w:eastAsia="en-US"/>
    </w:rPr>
  </w:style>
  <w:style w:type="paragraph" w:styleId="Heading7">
    <w:name w:val="heading 7"/>
    <w:next w:val="BodyText"/>
    <w:qFormat/>
    <w:rsid w:val="00EF45D3"/>
    <w:pPr>
      <w:keepNext/>
      <w:keepLines/>
      <w:suppressAutoHyphens/>
      <w:spacing w:after="240"/>
      <w:outlineLvl w:val="6"/>
    </w:pPr>
    <w:rPr>
      <w:b/>
      <w:sz w:val="24"/>
      <w:lang w:val="en-US" w:eastAsia="en-US"/>
    </w:rPr>
  </w:style>
  <w:style w:type="paragraph" w:styleId="Heading8">
    <w:name w:val="heading 8"/>
    <w:next w:val="BodyText"/>
    <w:qFormat/>
    <w:rsid w:val="00EF45D3"/>
    <w:pPr>
      <w:spacing w:after="240"/>
      <w:outlineLvl w:val="7"/>
    </w:pPr>
    <w:rPr>
      <w:b/>
      <w:sz w:val="24"/>
      <w:lang w:val="en-US" w:eastAsia="en-US"/>
    </w:rPr>
  </w:style>
  <w:style w:type="paragraph" w:styleId="Heading9">
    <w:name w:val="heading 9"/>
    <w:next w:val="BodyText"/>
    <w:qFormat/>
    <w:rsid w:val="00EF45D3"/>
    <w:pPr>
      <w:spacing w:after="240"/>
      <w:outlineLvl w:val="8"/>
    </w:pPr>
    <w:rPr>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ext,本文(E),Body Text Char,??(E),GS,kv,Corpo del testo,text + Black,GS Char Char Char,GS Char Char,GS Char Char Char Char,GS Char Ch Char Char,GS Char Ch Char Char Char,GS Char Ch Char,GS Char ,kv Char Char,GS C,Body Text Hang,BT"/>
    <w:link w:val="BodyTextChar2"/>
    <w:qFormat/>
    <w:rsid w:val="00EF45D3"/>
    <w:pPr>
      <w:suppressAutoHyphens/>
      <w:spacing w:after="240"/>
    </w:pPr>
    <w:rPr>
      <w:sz w:val="24"/>
      <w:lang w:val="en-US" w:eastAsia="en-US"/>
    </w:rPr>
  </w:style>
  <w:style w:type="character" w:customStyle="1" w:styleId="BodyTextChar2">
    <w:name w:val="Body Text Char2"/>
    <w:aliases w:val="text Char,本文(E) Char,Body Text Char Char,??(E) Char,GS Char,kv Char,Corpo del testo Char1,text + Black Char1,GS Char Char Char Char1,GS Char Char Char1,GS Char Char Char Char Char,GS Char Ch Char Char Char1,GS Char Ch Char Char Char Char"/>
    <w:link w:val="BodyText"/>
    <w:rsid w:val="008F77EC"/>
    <w:rPr>
      <w:sz w:val="24"/>
      <w:lang w:val="en-US" w:eastAsia="en-US" w:bidi="ar-SA"/>
    </w:rPr>
  </w:style>
  <w:style w:type="paragraph" w:customStyle="1" w:styleId="Bullet">
    <w:name w:val="Bullet"/>
    <w:link w:val="BulletChar"/>
    <w:rsid w:val="00EF45D3"/>
    <w:pPr>
      <w:numPr>
        <w:numId w:val="1"/>
      </w:numPr>
      <w:spacing w:before="40" w:after="240"/>
    </w:pPr>
    <w:rPr>
      <w:sz w:val="24"/>
      <w:lang w:val="en-US" w:eastAsia="en-US"/>
    </w:rPr>
  </w:style>
  <w:style w:type="paragraph" w:customStyle="1" w:styleId="DNASequencingText">
    <w:name w:val="DNA Sequencing Text"/>
    <w:rsid w:val="00EF45D3"/>
    <w:pPr>
      <w:spacing w:after="240"/>
    </w:pPr>
    <w:rPr>
      <w:rFonts w:ascii="Courier New" w:hAnsi="Courier New"/>
      <w:sz w:val="22"/>
      <w:lang w:val="en-US" w:eastAsia="en-US"/>
    </w:rPr>
  </w:style>
  <w:style w:type="paragraph" w:customStyle="1" w:styleId="2ndLevelBullet">
    <w:name w:val="2nd Level Bullet"/>
    <w:next w:val="BodyText"/>
    <w:rsid w:val="00EF45D3"/>
    <w:pPr>
      <w:keepNext/>
      <w:numPr>
        <w:numId w:val="3"/>
      </w:numPr>
      <w:tabs>
        <w:tab w:val="clear" w:pos="717"/>
        <w:tab w:val="left" w:pos="720"/>
      </w:tabs>
      <w:spacing w:after="120"/>
    </w:pPr>
    <w:rPr>
      <w:sz w:val="24"/>
      <w:lang w:val="en-US" w:eastAsia="it-IT"/>
    </w:rPr>
  </w:style>
  <w:style w:type="paragraph" w:customStyle="1" w:styleId="FigureCaption">
    <w:name w:val="Figure Caption"/>
    <w:next w:val="BodyText"/>
    <w:rsid w:val="00EF45D3"/>
    <w:pPr>
      <w:keepNext/>
      <w:spacing w:after="120"/>
      <w:ind w:left="720" w:hanging="720"/>
    </w:pPr>
    <w:rPr>
      <w:b/>
      <w:sz w:val="24"/>
      <w:lang w:val="en-US" w:eastAsia="en-US"/>
    </w:rPr>
  </w:style>
  <w:style w:type="paragraph" w:customStyle="1" w:styleId="flowcharttext">
    <w:name w:val="flowchart text"/>
    <w:rsid w:val="00EF45D3"/>
    <w:pPr>
      <w:jc w:val="center"/>
    </w:pPr>
    <w:rPr>
      <w:noProof/>
      <w:sz w:val="24"/>
      <w:lang w:val="en-US" w:eastAsia="en-US"/>
    </w:rPr>
  </w:style>
  <w:style w:type="paragraph" w:customStyle="1" w:styleId="2ndLevelNumber">
    <w:name w:val="2nd Level Number"/>
    <w:next w:val="BodyText"/>
    <w:rsid w:val="00EF45D3"/>
    <w:pPr>
      <w:numPr>
        <w:numId w:val="4"/>
      </w:numPr>
      <w:tabs>
        <w:tab w:val="clear" w:pos="717"/>
        <w:tab w:val="num" w:pos="720"/>
      </w:tabs>
      <w:spacing w:after="120"/>
      <w:ind w:left="714" w:hanging="357"/>
    </w:pPr>
    <w:rPr>
      <w:sz w:val="24"/>
      <w:lang w:val="en-US" w:eastAsia="it-IT"/>
    </w:rPr>
  </w:style>
  <w:style w:type="character" w:styleId="FootnoteReference">
    <w:name w:val="footnote reference"/>
    <w:rsid w:val="00EF45D3"/>
    <w:rPr>
      <w:vertAlign w:val="superscript"/>
    </w:rPr>
  </w:style>
  <w:style w:type="paragraph" w:styleId="FootnoteText">
    <w:name w:val="footnote text"/>
    <w:basedOn w:val="Normal"/>
    <w:link w:val="FootnoteTextChar"/>
    <w:rsid w:val="00EF45D3"/>
    <w:rPr>
      <w:sz w:val="20"/>
    </w:rPr>
  </w:style>
  <w:style w:type="character" w:customStyle="1" w:styleId="FootnoteTextChar">
    <w:name w:val="Footnote Text Char"/>
    <w:link w:val="FootnoteText"/>
    <w:rsid w:val="00F20AA1"/>
    <w:rPr>
      <w:lang w:val="en-US" w:eastAsia="en-US" w:bidi="ar-SA"/>
    </w:rPr>
  </w:style>
  <w:style w:type="paragraph" w:customStyle="1" w:styleId="HeaderLandscape">
    <w:name w:val="Header Landscape"/>
    <w:rsid w:val="002831AD"/>
    <w:pPr>
      <w:pBdr>
        <w:bottom w:val="single" w:sz="2" w:space="1" w:color="auto"/>
      </w:pBdr>
      <w:tabs>
        <w:tab w:val="center" w:pos="4320"/>
        <w:tab w:val="right" w:pos="8640"/>
      </w:tabs>
      <w:spacing w:after="240"/>
    </w:pPr>
    <w:rPr>
      <w:lang w:val="en-US" w:eastAsia="en-US"/>
    </w:rPr>
  </w:style>
  <w:style w:type="paragraph" w:customStyle="1" w:styleId="HeaderPortrait">
    <w:name w:val="Header Portrait"/>
    <w:rsid w:val="00EF45D3"/>
    <w:pPr>
      <w:pBdr>
        <w:bottom w:val="single" w:sz="4" w:space="1" w:color="auto"/>
      </w:pBdr>
      <w:tabs>
        <w:tab w:val="center" w:pos="4320"/>
        <w:tab w:val="right" w:pos="8640"/>
      </w:tabs>
      <w:spacing w:after="240"/>
    </w:pPr>
    <w:rPr>
      <w:lang w:val="en-US" w:eastAsia="en-US"/>
    </w:rPr>
  </w:style>
  <w:style w:type="paragraph" w:customStyle="1" w:styleId="ListTitle">
    <w:name w:val="List Title"/>
    <w:rsid w:val="00EF45D3"/>
    <w:pPr>
      <w:spacing w:after="240"/>
      <w:ind w:left="720" w:hanging="720"/>
      <w:jc w:val="center"/>
    </w:pPr>
    <w:rPr>
      <w:b/>
      <w:caps/>
      <w:sz w:val="24"/>
      <w:lang w:val="en-US" w:eastAsia="en-US"/>
    </w:rPr>
  </w:style>
  <w:style w:type="paragraph" w:customStyle="1" w:styleId="Number">
    <w:name w:val="Number"/>
    <w:rsid w:val="00EF45D3"/>
    <w:pPr>
      <w:numPr>
        <w:numId w:val="2"/>
      </w:numPr>
      <w:spacing w:before="120" w:after="120"/>
    </w:pPr>
    <w:rPr>
      <w:sz w:val="24"/>
      <w:lang w:val="en-US" w:eastAsia="en-US"/>
    </w:rPr>
  </w:style>
  <w:style w:type="paragraph" w:styleId="Footer">
    <w:name w:val="footer"/>
    <w:basedOn w:val="Normal"/>
    <w:rsid w:val="008A6386"/>
    <w:pPr>
      <w:tabs>
        <w:tab w:val="center" w:pos="4320"/>
        <w:tab w:val="right" w:pos="8640"/>
      </w:tabs>
    </w:pPr>
  </w:style>
  <w:style w:type="paragraph" w:customStyle="1" w:styleId="TableCaption">
    <w:name w:val="Table Caption"/>
    <w:next w:val="BodyText"/>
    <w:rsid w:val="00EF45D3"/>
    <w:pPr>
      <w:keepNext/>
      <w:spacing w:after="120"/>
      <w:ind w:left="1985" w:hanging="1985"/>
    </w:pPr>
    <w:rPr>
      <w:b/>
      <w:sz w:val="24"/>
      <w:lang w:val="en-US" w:eastAsia="en-US"/>
    </w:rPr>
  </w:style>
  <w:style w:type="paragraph" w:customStyle="1" w:styleId="TableHeading">
    <w:name w:val="Table Heading"/>
    <w:next w:val="BodyText"/>
    <w:rsid w:val="00EF45D3"/>
    <w:pPr>
      <w:keepNext/>
      <w:keepLines/>
      <w:suppressAutoHyphens/>
      <w:spacing w:before="40" w:after="40"/>
    </w:pPr>
    <w:rPr>
      <w:b/>
      <w:sz w:val="24"/>
      <w:lang w:val="en-US" w:eastAsia="en-US"/>
    </w:rPr>
  </w:style>
  <w:style w:type="paragraph" w:customStyle="1" w:styleId="TableText">
    <w:name w:val="Table Text"/>
    <w:rsid w:val="00EF45D3"/>
    <w:pPr>
      <w:spacing w:before="40" w:after="40"/>
      <w:jc w:val="center"/>
    </w:pPr>
    <w:rPr>
      <w:sz w:val="24"/>
      <w:lang w:val="en-US" w:eastAsia="en-US"/>
    </w:rPr>
  </w:style>
  <w:style w:type="paragraph" w:customStyle="1" w:styleId="TitleHeading">
    <w:name w:val="Title Heading"/>
    <w:rsid w:val="00D3344B"/>
    <w:pPr>
      <w:suppressAutoHyphens/>
      <w:spacing w:after="60"/>
      <w:jc w:val="center"/>
    </w:pPr>
    <w:rPr>
      <w:b/>
      <w:sz w:val="24"/>
      <w:lang w:val="en-US" w:eastAsia="en-US"/>
    </w:rPr>
  </w:style>
  <w:style w:type="paragraph" w:customStyle="1" w:styleId="TitlePageFooter">
    <w:name w:val="TitlePageFooter"/>
    <w:rsid w:val="00EF45D3"/>
    <w:pPr>
      <w:keepLines/>
      <w:suppressAutoHyphens/>
      <w:spacing w:after="240" w:line="300" w:lineRule="auto"/>
      <w:jc w:val="center"/>
    </w:pPr>
    <w:rPr>
      <w:b/>
      <w:sz w:val="24"/>
      <w:lang w:val="en-US" w:eastAsia="en-US"/>
    </w:rPr>
  </w:style>
  <w:style w:type="paragraph" w:styleId="TOC1">
    <w:name w:val="toc 1"/>
    <w:next w:val="BodyText"/>
    <w:rsid w:val="00EF45D3"/>
    <w:pPr>
      <w:spacing w:before="120" w:after="120"/>
    </w:pPr>
    <w:rPr>
      <w:b/>
      <w:caps/>
      <w:sz w:val="24"/>
      <w:lang w:val="en-US" w:eastAsia="en-US"/>
    </w:rPr>
  </w:style>
  <w:style w:type="paragraph" w:styleId="TOC9">
    <w:name w:val="toc 9"/>
    <w:next w:val="BodyText"/>
    <w:rsid w:val="00EF45D3"/>
    <w:pPr>
      <w:spacing w:after="120"/>
      <w:ind w:left="1915"/>
    </w:pPr>
    <w:rPr>
      <w:b/>
      <w:sz w:val="24"/>
      <w:lang w:val="en-US" w:eastAsia="en-US"/>
    </w:rPr>
  </w:style>
  <w:style w:type="paragraph" w:styleId="TOC2">
    <w:name w:val="toc 2"/>
    <w:next w:val="BodyText"/>
    <w:rsid w:val="00EF45D3"/>
    <w:pPr>
      <w:spacing w:after="120"/>
      <w:ind w:left="245"/>
    </w:pPr>
    <w:rPr>
      <w:b/>
      <w:sz w:val="24"/>
      <w:lang w:val="en-US" w:eastAsia="en-US"/>
    </w:rPr>
  </w:style>
  <w:style w:type="paragraph" w:styleId="TOC3">
    <w:name w:val="toc 3"/>
    <w:next w:val="BodyText"/>
    <w:rsid w:val="00EF45D3"/>
    <w:pPr>
      <w:spacing w:after="120"/>
      <w:ind w:left="475"/>
    </w:pPr>
    <w:rPr>
      <w:b/>
      <w:sz w:val="24"/>
      <w:lang w:val="en-US" w:eastAsia="en-US"/>
    </w:rPr>
  </w:style>
  <w:style w:type="paragraph" w:styleId="TOC4">
    <w:name w:val="toc 4"/>
    <w:next w:val="BodyText"/>
    <w:rsid w:val="00EF45D3"/>
    <w:pPr>
      <w:spacing w:after="120"/>
      <w:ind w:left="720"/>
    </w:pPr>
    <w:rPr>
      <w:b/>
      <w:sz w:val="24"/>
      <w:lang w:val="en-US" w:eastAsia="en-US"/>
    </w:rPr>
  </w:style>
  <w:style w:type="paragraph" w:styleId="TOC5">
    <w:name w:val="toc 5"/>
    <w:next w:val="BodyText"/>
    <w:rsid w:val="00EF45D3"/>
    <w:pPr>
      <w:spacing w:after="120"/>
      <w:ind w:left="965"/>
    </w:pPr>
    <w:rPr>
      <w:b/>
      <w:sz w:val="24"/>
      <w:lang w:val="en-US" w:eastAsia="en-US"/>
    </w:rPr>
  </w:style>
  <w:style w:type="paragraph" w:styleId="TOC6">
    <w:name w:val="toc 6"/>
    <w:next w:val="BodyText"/>
    <w:rsid w:val="00EF45D3"/>
    <w:pPr>
      <w:spacing w:after="120"/>
      <w:ind w:left="1195"/>
    </w:pPr>
    <w:rPr>
      <w:b/>
      <w:sz w:val="24"/>
      <w:lang w:val="en-US" w:eastAsia="en-US"/>
    </w:rPr>
  </w:style>
  <w:style w:type="paragraph" w:styleId="TOC7">
    <w:name w:val="toc 7"/>
    <w:next w:val="BodyText"/>
    <w:rsid w:val="00EF45D3"/>
    <w:pPr>
      <w:spacing w:after="120"/>
      <w:ind w:left="1440"/>
    </w:pPr>
    <w:rPr>
      <w:b/>
      <w:sz w:val="24"/>
      <w:lang w:val="en-US" w:eastAsia="en-US"/>
    </w:rPr>
  </w:style>
  <w:style w:type="paragraph" w:styleId="TOC8">
    <w:name w:val="toc 8"/>
    <w:next w:val="BodyText"/>
    <w:rsid w:val="00EF45D3"/>
    <w:pPr>
      <w:spacing w:after="120"/>
      <w:ind w:left="1685"/>
    </w:pPr>
    <w:rPr>
      <w:b/>
      <w:sz w:val="24"/>
      <w:lang w:val="en-US" w:eastAsia="en-US"/>
    </w:rPr>
  </w:style>
  <w:style w:type="paragraph" w:styleId="Header">
    <w:name w:val="header"/>
    <w:basedOn w:val="Normal"/>
    <w:rsid w:val="00402179"/>
    <w:pPr>
      <w:tabs>
        <w:tab w:val="center" w:pos="4320"/>
        <w:tab w:val="right" w:pos="8640"/>
      </w:tabs>
    </w:pPr>
  </w:style>
  <w:style w:type="character" w:styleId="CommentReference">
    <w:name w:val="annotation reference"/>
    <w:uiPriority w:val="99"/>
    <w:rsid w:val="00EF45D3"/>
    <w:rPr>
      <w:sz w:val="16"/>
      <w:szCs w:val="16"/>
    </w:rPr>
  </w:style>
  <w:style w:type="paragraph" w:styleId="CommentText">
    <w:name w:val="annotation text"/>
    <w:basedOn w:val="Normal"/>
    <w:link w:val="CommentTextChar"/>
    <w:uiPriority w:val="99"/>
    <w:rsid w:val="00EF45D3"/>
    <w:rPr>
      <w:sz w:val="20"/>
    </w:rPr>
  </w:style>
  <w:style w:type="character" w:styleId="Hyperlink">
    <w:name w:val="Hyperlink"/>
    <w:rsid w:val="00BB6991"/>
    <w:rPr>
      <w:color w:val="0000FF"/>
      <w:u w:val="single"/>
    </w:rPr>
  </w:style>
  <w:style w:type="paragraph" w:customStyle="1" w:styleId="StyleHeading3ptafter">
    <w:name w:val="Style Heading 3 pt after"/>
    <w:basedOn w:val="Heading3"/>
    <w:rsid w:val="008F77EC"/>
    <w:pPr>
      <w:spacing w:after="0"/>
      <w:ind w:left="1411" w:hanging="1411"/>
    </w:pPr>
    <w:rPr>
      <w:bCs/>
    </w:rPr>
  </w:style>
  <w:style w:type="paragraph" w:customStyle="1" w:styleId="BodyTextsubscript">
    <w:name w:val="Body Text + subscript"/>
    <w:basedOn w:val="BodyText"/>
    <w:next w:val="BodyText"/>
    <w:rsid w:val="00AB182E"/>
    <w:rPr>
      <w:b/>
      <w:szCs w:val="24"/>
      <w:vertAlign w:val="subscript"/>
    </w:rPr>
  </w:style>
  <w:style w:type="paragraph" w:styleId="TableofFigures">
    <w:name w:val="table of figures"/>
    <w:basedOn w:val="Normal"/>
    <w:next w:val="Normal"/>
    <w:semiHidden/>
    <w:rsid w:val="00F20AA1"/>
    <w:pPr>
      <w:ind w:left="475" w:hanging="475"/>
    </w:pPr>
    <w:rPr>
      <w:bCs/>
      <w:szCs w:val="24"/>
    </w:rPr>
  </w:style>
  <w:style w:type="paragraph" w:styleId="BalloonText">
    <w:name w:val="Balloon Text"/>
    <w:basedOn w:val="Normal"/>
    <w:semiHidden/>
    <w:rsid w:val="00F20AA1"/>
    <w:pPr>
      <w:spacing w:after="0"/>
      <w:ind w:left="0" w:firstLine="0"/>
    </w:pPr>
    <w:rPr>
      <w:rFonts w:ascii="Tahoma" w:hAnsi="Tahoma" w:cs="Tahoma"/>
      <w:sz w:val="16"/>
      <w:szCs w:val="16"/>
      <w:lang w:eastAsia="it-IT"/>
    </w:rPr>
  </w:style>
  <w:style w:type="character" w:styleId="FollowedHyperlink">
    <w:name w:val="FollowedHyperlink"/>
    <w:semiHidden/>
    <w:rsid w:val="00F20AA1"/>
    <w:rPr>
      <w:color w:val="800080"/>
      <w:u w:val="single"/>
    </w:rPr>
  </w:style>
  <w:style w:type="character" w:customStyle="1" w:styleId="Heading4Char">
    <w:name w:val="Heading 4 Char"/>
    <w:rsid w:val="00F20AA1"/>
    <w:rPr>
      <w:b/>
      <w:sz w:val="24"/>
      <w:lang w:val="en-US" w:eastAsia="en-US" w:bidi="ar-SA"/>
    </w:rPr>
  </w:style>
  <w:style w:type="table" w:styleId="TableGrid">
    <w:name w:val="Table Grid"/>
    <w:basedOn w:val="TableNormal"/>
    <w:uiPriority w:val="59"/>
    <w:rsid w:val="00F20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aliases w:val="Corpo del testo Char,Body Text Hang Char,BT Char,text + Black Char"/>
    <w:rsid w:val="00F20AA1"/>
    <w:rPr>
      <w:sz w:val="24"/>
      <w:lang w:val="en-US" w:eastAsia="en-US" w:bidi="ar-SA"/>
    </w:rPr>
  </w:style>
  <w:style w:type="paragraph" w:styleId="BodyTextIndent2">
    <w:name w:val="Body Text Indent 2"/>
    <w:basedOn w:val="Normal"/>
    <w:rsid w:val="00F20AA1"/>
    <w:pPr>
      <w:spacing w:after="120" w:line="480" w:lineRule="auto"/>
      <w:ind w:left="360" w:firstLine="0"/>
    </w:pPr>
    <w:rPr>
      <w:sz w:val="20"/>
      <w:lang w:eastAsia="it-IT"/>
    </w:rPr>
  </w:style>
  <w:style w:type="character" w:styleId="PageNumber">
    <w:name w:val="page number"/>
    <w:basedOn w:val="DefaultParagraphFont"/>
    <w:rsid w:val="00F20AA1"/>
  </w:style>
  <w:style w:type="paragraph" w:styleId="BodyTextIndent">
    <w:name w:val="Body Text Indent"/>
    <w:basedOn w:val="Normal"/>
    <w:rsid w:val="00F20AA1"/>
    <w:pPr>
      <w:spacing w:after="120"/>
      <w:ind w:left="360" w:firstLine="0"/>
    </w:pPr>
    <w:rPr>
      <w:sz w:val="20"/>
      <w:lang w:eastAsia="it-IT"/>
    </w:rPr>
  </w:style>
  <w:style w:type="paragraph" w:styleId="Title">
    <w:name w:val="Title"/>
    <w:basedOn w:val="Normal"/>
    <w:qFormat/>
    <w:rsid w:val="00F20AA1"/>
    <w:pPr>
      <w:spacing w:after="0" w:line="360" w:lineRule="auto"/>
      <w:ind w:left="0" w:firstLine="0"/>
      <w:jc w:val="center"/>
    </w:pPr>
    <w:rPr>
      <w:rFonts w:ascii="Arial" w:hAnsi="Arial" w:cs="Arial"/>
      <w:b/>
      <w:sz w:val="28"/>
      <w:lang w:val="it-IT" w:eastAsia="it-IT"/>
    </w:rPr>
  </w:style>
  <w:style w:type="paragraph" w:styleId="CommentSubject">
    <w:name w:val="annotation subject"/>
    <w:basedOn w:val="CommentText"/>
    <w:next w:val="CommentText"/>
    <w:semiHidden/>
    <w:rsid w:val="004D6C97"/>
    <w:rPr>
      <w:b/>
      <w:bCs/>
    </w:rPr>
  </w:style>
  <w:style w:type="character" w:customStyle="1" w:styleId="CharChar">
    <w:name w:val="Char Char"/>
    <w:rsid w:val="00A16405"/>
    <w:rPr>
      <w:lang w:val="en-US" w:eastAsia="en-US" w:bidi="ar-SA"/>
    </w:rPr>
  </w:style>
  <w:style w:type="character" w:customStyle="1" w:styleId="textCharChar">
    <w:name w:val="text Char Char"/>
    <w:rsid w:val="002C1A6D"/>
    <w:rPr>
      <w:sz w:val="24"/>
      <w:lang w:val="en-US" w:eastAsia="en-US" w:bidi="ar-SA"/>
    </w:rPr>
  </w:style>
  <w:style w:type="character" w:customStyle="1" w:styleId="BulletChar">
    <w:name w:val="Bullet Char"/>
    <w:link w:val="Bullet"/>
    <w:rsid w:val="00601557"/>
    <w:rPr>
      <w:sz w:val="24"/>
      <w:lang w:val="en-US" w:eastAsia="en-US" w:bidi="ar-SA"/>
    </w:rPr>
  </w:style>
  <w:style w:type="paragraph" w:customStyle="1" w:styleId="Style1">
    <w:name w:val="Style1"/>
    <w:basedOn w:val="Normal"/>
    <w:rsid w:val="00601557"/>
    <w:pPr>
      <w:tabs>
        <w:tab w:val="num" w:pos="720"/>
      </w:tabs>
      <w:spacing w:before="120" w:after="120"/>
      <w:ind w:left="720" w:hanging="720"/>
    </w:pPr>
  </w:style>
  <w:style w:type="paragraph" w:customStyle="1" w:styleId="Default">
    <w:name w:val="Default"/>
    <w:rsid w:val="00662AFF"/>
    <w:pPr>
      <w:autoSpaceDE w:val="0"/>
      <w:autoSpaceDN w:val="0"/>
      <w:adjustRightInd w:val="0"/>
    </w:pPr>
    <w:rPr>
      <w:color w:val="000000"/>
      <w:sz w:val="24"/>
      <w:szCs w:val="24"/>
      <w:lang w:val="en-US" w:eastAsia="en-US"/>
    </w:rPr>
  </w:style>
  <w:style w:type="paragraph" w:customStyle="1" w:styleId="Corpotesto">
    <w:name w:val="Corpo testo"/>
    <w:rsid w:val="004779EB"/>
    <w:pPr>
      <w:spacing w:after="28" w:line="130" w:lineRule="atLeast"/>
      <w:jc w:val="both"/>
    </w:pPr>
    <w:rPr>
      <w:rFonts w:ascii="MyriaMM_400 RG 300 CN" w:hAnsi="MyriaMM_400 RG 300 CN"/>
      <w:snapToGrid w:val="0"/>
      <w:color w:val="000000"/>
      <w:sz w:val="13"/>
      <w:szCs w:val="22"/>
      <w:lang w:val="it-IT" w:eastAsia="it-IT"/>
    </w:rPr>
  </w:style>
  <w:style w:type="character" w:customStyle="1" w:styleId="CommentTextChar">
    <w:name w:val="Comment Text Char"/>
    <w:basedOn w:val="DefaultParagraphFont"/>
    <w:link w:val="CommentText"/>
    <w:uiPriority w:val="99"/>
    <w:rsid w:val="00E62B4B"/>
  </w:style>
  <w:style w:type="paragraph" w:customStyle="1" w:styleId="Text">
    <w:name w:val="Text"/>
    <w:basedOn w:val="Normal"/>
    <w:link w:val="TextChar"/>
    <w:rsid w:val="00624591"/>
    <w:pPr>
      <w:spacing w:before="120" w:after="0"/>
      <w:ind w:left="0" w:firstLine="0"/>
      <w:jc w:val="both"/>
    </w:pPr>
    <w:rPr>
      <w:rFonts w:eastAsia="MS Mincho"/>
    </w:rPr>
  </w:style>
  <w:style w:type="paragraph" w:customStyle="1" w:styleId="Nottoc-headings">
    <w:name w:val="Not toc-headings"/>
    <w:basedOn w:val="Normal"/>
    <w:next w:val="Text"/>
    <w:link w:val="Nottoc-headingsChar"/>
    <w:uiPriority w:val="99"/>
    <w:rsid w:val="00624591"/>
    <w:pPr>
      <w:keepNext/>
      <w:keepLines/>
      <w:spacing w:before="240" w:after="60"/>
      <w:ind w:left="1701" w:hanging="1701"/>
    </w:pPr>
    <w:rPr>
      <w:rFonts w:ascii="Arial" w:eastAsia="MS Mincho" w:hAnsi="Arial"/>
      <w:b/>
    </w:rPr>
  </w:style>
  <w:style w:type="character" w:customStyle="1" w:styleId="Nottoc-headingsChar">
    <w:name w:val="Not toc-headings Char"/>
    <w:link w:val="Nottoc-headings"/>
    <w:uiPriority w:val="99"/>
    <w:locked/>
    <w:rsid w:val="00624591"/>
    <w:rPr>
      <w:rFonts w:ascii="Arial" w:eastAsia="MS Mincho" w:hAnsi="Arial"/>
      <w:b/>
      <w:sz w:val="24"/>
    </w:rPr>
  </w:style>
  <w:style w:type="character" w:customStyle="1" w:styleId="TextChar">
    <w:name w:val="Text Char"/>
    <w:link w:val="Text"/>
    <w:locked/>
    <w:rsid w:val="00624591"/>
    <w:rPr>
      <w:rFonts w:eastAsia="MS Mincho"/>
      <w:sz w:val="24"/>
    </w:rPr>
  </w:style>
  <w:style w:type="paragraph" w:customStyle="1" w:styleId="Authors">
    <w:name w:val="Authors"/>
    <w:basedOn w:val="Normal"/>
    <w:uiPriority w:val="99"/>
    <w:rsid w:val="005B2D06"/>
    <w:pPr>
      <w:keepNext/>
      <w:spacing w:before="240" w:after="0"/>
      <w:ind w:left="0" w:firstLine="0"/>
    </w:pPr>
    <w:rPr>
      <w:rFonts w:ascii="Arial" w:eastAsia="MS Gothic" w:hAnsi="Arial"/>
    </w:rPr>
  </w:style>
  <w:style w:type="paragraph" w:styleId="EndnoteText">
    <w:name w:val="endnote text"/>
    <w:basedOn w:val="Normal"/>
    <w:link w:val="EndnoteTextChar"/>
    <w:uiPriority w:val="99"/>
    <w:unhideWhenUsed/>
    <w:rsid w:val="007F7341"/>
    <w:pPr>
      <w:spacing w:after="0"/>
      <w:ind w:left="0" w:firstLine="0"/>
    </w:pPr>
    <w:rPr>
      <w:rFonts w:ascii="Verdana" w:eastAsia="SimSun" w:hAnsi="Verdana"/>
      <w:sz w:val="20"/>
      <w:lang w:val="en-GB" w:eastAsia="zh-CN"/>
    </w:rPr>
  </w:style>
  <w:style w:type="character" w:customStyle="1" w:styleId="EndnoteTextChar">
    <w:name w:val="Endnote Text Char"/>
    <w:link w:val="EndnoteText"/>
    <w:uiPriority w:val="99"/>
    <w:rsid w:val="007F7341"/>
    <w:rPr>
      <w:rFonts w:ascii="Verdana" w:eastAsia="SimSun" w:hAnsi="Verdana" w:cs="Verdana"/>
      <w:lang w:val="en-GB" w:eastAsia="zh-CN"/>
    </w:rPr>
  </w:style>
  <w:style w:type="character" w:styleId="EndnoteReference">
    <w:name w:val="endnote reference"/>
    <w:uiPriority w:val="99"/>
    <w:unhideWhenUsed/>
    <w:rsid w:val="007F7341"/>
    <w:rPr>
      <w:vertAlign w:val="superscript"/>
    </w:rPr>
  </w:style>
  <w:style w:type="paragraph" w:customStyle="1" w:styleId="ColorfulList-Accent11">
    <w:name w:val="Colorful List - Accent 11"/>
    <w:basedOn w:val="Normal"/>
    <w:uiPriority w:val="34"/>
    <w:qFormat/>
    <w:rsid w:val="002B6312"/>
    <w:pPr>
      <w:spacing w:after="0"/>
      <w:ind w:left="720" w:firstLine="0"/>
    </w:pPr>
    <w:rPr>
      <w:rFonts w:eastAsia="MS Mincho"/>
    </w:rPr>
  </w:style>
  <w:style w:type="paragraph" w:styleId="Revision">
    <w:name w:val="Revision"/>
    <w:hidden/>
    <w:rsid w:val="00C033E7"/>
    <w:rPr>
      <w:sz w:val="24"/>
      <w:lang w:val="en-US" w:eastAsia="en-US"/>
    </w:rPr>
  </w:style>
</w:styles>
</file>

<file path=word/webSettings.xml><?xml version="1.0" encoding="utf-8"?>
<w:webSettings xmlns:r="http://schemas.openxmlformats.org/officeDocument/2006/relationships" xmlns:w="http://schemas.openxmlformats.org/wordprocessingml/2006/main">
  <w:divs>
    <w:div w:id="235483797">
      <w:bodyDiv w:val="1"/>
      <w:marLeft w:val="0"/>
      <w:marRight w:val="0"/>
      <w:marTop w:val="0"/>
      <w:marBottom w:val="0"/>
      <w:divBdr>
        <w:top w:val="none" w:sz="0" w:space="0" w:color="auto"/>
        <w:left w:val="none" w:sz="0" w:space="0" w:color="auto"/>
        <w:bottom w:val="none" w:sz="0" w:space="0" w:color="auto"/>
        <w:right w:val="none" w:sz="0" w:space="0" w:color="auto"/>
      </w:divBdr>
      <w:divsChild>
        <w:div w:id="899941984">
          <w:marLeft w:val="0"/>
          <w:marRight w:val="0"/>
          <w:marTop w:val="0"/>
          <w:marBottom w:val="0"/>
          <w:divBdr>
            <w:top w:val="none" w:sz="0" w:space="0" w:color="auto"/>
            <w:left w:val="none" w:sz="0" w:space="0" w:color="auto"/>
            <w:bottom w:val="none" w:sz="0" w:space="0" w:color="auto"/>
            <w:right w:val="none" w:sz="0" w:space="0" w:color="auto"/>
          </w:divBdr>
        </w:div>
      </w:divsChild>
    </w:div>
    <w:div w:id="304890629">
      <w:bodyDiv w:val="1"/>
      <w:marLeft w:val="0"/>
      <w:marRight w:val="0"/>
      <w:marTop w:val="0"/>
      <w:marBottom w:val="0"/>
      <w:divBdr>
        <w:top w:val="none" w:sz="0" w:space="0" w:color="auto"/>
        <w:left w:val="none" w:sz="0" w:space="0" w:color="auto"/>
        <w:bottom w:val="none" w:sz="0" w:space="0" w:color="auto"/>
        <w:right w:val="none" w:sz="0" w:space="0" w:color="auto"/>
      </w:divBdr>
    </w:div>
    <w:div w:id="587033035">
      <w:bodyDiv w:val="1"/>
      <w:marLeft w:val="29"/>
      <w:marRight w:val="29"/>
      <w:marTop w:val="0"/>
      <w:marBottom w:val="0"/>
      <w:divBdr>
        <w:top w:val="none" w:sz="0" w:space="0" w:color="auto"/>
        <w:left w:val="none" w:sz="0" w:space="0" w:color="auto"/>
        <w:bottom w:val="none" w:sz="0" w:space="0" w:color="auto"/>
        <w:right w:val="none" w:sz="0" w:space="0" w:color="auto"/>
      </w:divBdr>
      <w:divsChild>
        <w:div w:id="1609853450">
          <w:marLeft w:val="0"/>
          <w:marRight w:val="0"/>
          <w:marTop w:val="0"/>
          <w:marBottom w:val="0"/>
          <w:divBdr>
            <w:top w:val="none" w:sz="0" w:space="0" w:color="auto"/>
            <w:left w:val="none" w:sz="0" w:space="0" w:color="auto"/>
            <w:bottom w:val="none" w:sz="0" w:space="0" w:color="auto"/>
            <w:right w:val="none" w:sz="0" w:space="0" w:color="auto"/>
          </w:divBdr>
          <w:divsChild>
            <w:div w:id="239146064">
              <w:marLeft w:val="0"/>
              <w:marRight w:val="0"/>
              <w:marTop w:val="0"/>
              <w:marBottom w:val="0"/>
              <w:divBdr>
                <w:top w:val="none" w:sz="0" w:space="0" w:color="auto"/>
                <w:left w:val="none" w:sz="0" w:space="0" w:color="auto"/>
                <w:bottom w:val="none" w:sz="0" w:space="0" w:color="auto"/>
                <w:right w:val="none" w:sz="0" w:space="0" w:color="auto"/>
              </w:divBdr>
              <w:divsChild>
                <w:div w:id="1037702379">
                  <w:marLeft w:val="171"/>
                  <w:marRight w:val="0"/>
                  <w:marTop w:val="0"/>
                  <w:marBottom w:val="0"/>
                  <w:divBdr>
                    <w:top w:val="none" w:sz="0" w:space="0" w:color="auto"/>
                    <w:left w:val="none" w:sz="0" w:space="0" w:color="auto"/>
                    <w:bottom w:val="none" w:sz="0" w:space="0" w:color="auto"/>
                    <w:right w:val="none" w:sz="0" w:space="0" w:color="auto"/>
                  </w:divBdr>
                  <w:divsChild>
                    <w:div w:id="11520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671111">
      <w:bodyDiv w:val="1"/>
      <w:marLeft w:val="0"/>
      <w:marRight w:val="0"/>
      <w:marTop w:val="0"/>
      <w:marBottom w:val="0"/>
      <w:divBdr>
        <w:top w:val="none" w:sz="0" w:space="0" w:color="auto"/>
        <w:left w:val="none" w:sz="0" w:space="0" w:color="auto"/>
        <w:bottom w:val="none" w:sz="0" w:space="0" w:color="auto"/>
        <w:right w:val="none" w:sz="0" w:space="0" w:color="auto"/>
      </w:divBdr>
      <w:divsChild>
        <w:div w:id="283658256">
          <w:marLeft w:val="0"/>
          <w:marRight w:val="0"/>
          <w:marTop w:val="0"/>
          <w:marBottom w:val="0"/>
          <w:divBdr>
            <w:top w:val="none" w:sz="0" w:space="0" w:color="auto"/>
            <w:left w:val="none" w:sz="0" w:space="0" w:color="auto"/>
            <w:bottom w:val="none" w:sz="0" w:space="0" w:color="auto"/>
            <w:right w:val="none" w:sz="0" w:space="0" w:color="auto"/>
          </w:divBdr>
        </w:div>
      </w:divsChild>
    </w:div>
    <w:div w:id="983509585">
      <w:bodyDiv w:val="1"/>
      <w:marLeft w:val="0"/>
      <w:marRight w:val="0"/>
      <w:marTop w:val="0"/>
      <w:marBottom w:val="0"/>
      <w:divBdr>
        <w:top w:val="none" w:sz="0" w:space="0" w:color="auto"/>
        <w:left w:val="none" w:sz="0" w:space="0" w:color="auto"/>
        <w:bottom w:val="none" w:sz="0" w:space="0" w:color="auto"/>
        <w:right w:val="none" w:sz="0" w:space="0" w:color="auto"/>
      </w:divBdr>
    </w:div>
    <w:div w:id="200894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dinfo.phauno@%20novarti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bs.tga.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I Document" ma:contentTypeID="0x01010039983CF8680F544899597C3CF673966A006681E399D2676A4494415B5C34D2395C" ma:contentTypeVersion="8" ma:contentTypeDescription="PI Document Content Type" ma:contentTypeScope="" ma:versionID="ae6d61bf51b5e52cace6de957ed8ea97">
  <xsd:schema xmlns:xsd="http://www.w3.org/2001/XMLSchema" xmlns:p="http://schemas.microsoft.com/office/2006/metadata/properties" xmlns:ns2="17bb8c82-f074-452f-b484-641a2ea4a283" xmlns:ns3="4b8f162b-5636-4821-85da-331af8dff062" targetNamespace="http://schemas.microsoft.com/office/2006/metadata/properties" ma:root="true" ma:fieldsID="b2c203a00581eb0ba9fafbd06b2443a5" ns2:_="" ns3:_="">
    <xsd:import namespace="17bb8c82-f074-452f-b484-641a2ea4a283"/>
    <xsd:import namespace="4b8f162b-5636-4821-85da-331af8dff062"/>
    <xsd:element name="properties">
      <xsd:complexType>
        <xsd:sequence>
          <xsd:element name="documentManagement">
            <xsd:complexType>
              <xsd:all>
                <xsd:element ref="ns2:Revision_x0020_Flag" minOccurs="0"/>
                <xsd:element ref="ns2:Brand_x0020_Name" minOccurs="0"/>
                <xsd:element ref="ns2:Generic_x0020_Name" minOccurs="0"/>
                <xsd:element ref="ns2:PI_x0020_Date" minOccurs="0"/>
                <xsd:element ref="ns2:Dosage_x0020_Form" minOccurs="0"/>
                <xsd:element ref="ns3:Image" minOccurs="0"/>
                <xsd:element ref="ns3:Marketed" minOccurs="0"/>
              </xsd:all>
            </xsd:complexType>
          </xsd:element>
        </xsd:sequence>
      </xsd:complexType>
    </xsd:element>
  </xsd:schema>
  <xsd:schema xmlns:xsd="http://www.w3.org/2001/XMLSchema" xmlns:dms="http://schemas.microsoft.com/office/2006/documentManagement/types" targetNamespace="17bb8c82-f074-452f-b484-641a2ea4a283" elementFormDefault="qualified">
    <xsd:import namespace="http://schemas.microsoft.com/office/2006/documentManagement/types"/>
    <xsd:element name="Revision_x0020_Flag" ma:index="8" nillable="true" ma:displayName="Revision Flag" ma:default="" ma:format="Dropdown" ma:internalName="Revision_x0020_Flag">
      <xsd:simpleType>
        <xsd:restriction base="dms:Choice">
          <xsd:enumeration value="-"/>
          <xsd:enumeration value="Under Revision"/>
        </xsd:restriction>
      </xsd:simpleType>
    </xsd:element>
    <xsd:element name="Brand_x0020_Name" ma:index="9" nillable="true" ma:displayName="Brand" ma:default="Aclasta" ma:format="Dropdown" ma:internalName="Brand_x0020_Name">
      <xsd:simpleType>
        <xsd:union memberTypes="dms:Text">
          <xsd:simpleType>
            <xsd:restriction base="dms:Choice">
              <xsd:enumeration value="Aclasta"/>
              <xsd:enumeration value="Albuferon"/>
              <xsd:enumeration value="Aliskiren Portfolio"/>
              <xsd:enumeration value="Certican"/>
              <xsd:enumeration value="Cubicin"/>
              <xsd:enumeration value="Exelon"/>
              <xsd:enumeration value="Famvir"/>
              <xsd:enumeration value="Galvus"/>
              <xsd:enumeration value="Lescol XL"/>
              <xsd:enumeration value="Lucentis"/>
              <xsd:enumeration value="MS Portfolio"/>
              <xsd:enumeration value="Other CVM Pipeline Products"/>
              <xsd:enumeration value="Respiratory Portfolio"/>
              <xsd:enumeration value="Sebivo"/>
              <xsd:enumeration value="Stalevo"/>
              <xsd:enumeration value="Valsartan Portfolio"/>
            </xsd:restriction>
          </xsd:simpleType>
        </xsd:union>
      </xsd:simpleType>
    </xsd:element>
    <xsd:element name="Generic_x0020_Name" ma:index="10" nillable="true" ma:displayName="Generic Name" ma:internalName="Generic_x0020_Name">
      <xsd:simpleType>
        <xsd:restriction base="dms:Text">
          <xsd:maxLength value="255"/>
        </xsd:restriction>
      </xsd:simpleType>
    </xsd:element>
    <xsd:element name="PI_x0020_Date" ma:index="11" nillable="true" ma:displayName="PI Date" ma:format="DateOnly" ma:internalName="PI_x0020_Date">
      <xsd:simpleType>
        <xsd:restriction base="dms:DateTime"/>
      </xsd:simpleType>
    </xsd:element>
    <xsd:element name="Dosage_x0020_Form" ma:index="12" nillable="true" ma:displayName="Dosage Form" ma:default="Capsule, enteric" ma:format="Dropdown" ma:internalName="Dosage_x0020_Form">
      <xsd:simpleType>
        <xsd:union memberTypes="dms:Text">
          <xsd:simpleType>
            <xsd:restriction base="dms:Choice">
              <xsd:enumeration value="Capsule, enteric"/>
              <xsd:enumeration value="Capsule, hard"/>
              <xsd:enumeration value="Capsule, modified release"/>
              <xsd:enumeration value="Capsule, soft"/>
              <xsd:enumeration value="Capsule, other"/>
              <xsd:enumeration value="Cosmetic"/>
              <xsd:enumeration value="Cream"/>
              <xsd:enumeration value="Drug delivery system, transdermal"/>
              <xsd:enumeration value="Eye Drops"/>
              <xsd:enumeration value="Eye Drops, solution"/>
              <xsd:enumeration value="Eye Drops, suspension"/>
              <xsd:enumeration value="Gel, eye"/>
              <xsd:enumeration value="Gel"/>
              <xsd:enumeration value="Inhalation, powder for"/>
              <xsd:enumeration value="Inhalation, pressurised"/>
              <xsd:enumeration value="Inhalation"/>
              <xsd:enumeration value="Injection, concentrated"/>
              <xsd:enumeration value="Injection, diluent for"/>
              <xsd:enumeration value="Injection, powder for"/>
              <xsd:enumeration value="Injection, solution"/>
              <xsd:enumeration value="Injection, solvent for"/>
              <xsd:enumeration value="Injection"/>
              <xsd:enumeration value="Liquids"/>
              <xsd:enumeration value="Spray, nasal"/>
              <xsd:enumeration value="Nasal Drops"/>
              <xsd:enumeration value="Oral Liquid, powder for"/>
              <xsd:enumeration value="Oral Liquid, solution"/>
              <xsd:enumeration value="Oral Liquid, suspension"/>
              <xsd:enumeration value="Oral Liquid, syrup"/>
              <xsd:enumeration value="Oral Liquid"/>
              <xsd:enumeration value="Powder, oral"/>
              <xsd:enumeration value="Powder"/>
              <xsd:enumeration value="Solution, powder for irrigation"/>
              <xsd:enumeration value="Solution, powder for"/>
              <xsd:enumeration value="Solution"/>
              <xsd:enumeration value="Spray"/>
              <xsd:enumeration value="Suppository"/>
              <xsd:enumeration value="Tablet, dispersible"/>
              <xsd:enumeration value="Tablet, effervescent"/>
              <xsd:enumeration value="Tablet, enteric coated"/>
              <xsd:enumeration value="Tablet, film coated"/>
              <xsd:enumeration value="Tablet, modified release"/>
              <xsd:enumeration value="Tablet, sugar coated"/>
              <xsd:enumeration value="Tablet, uncoated"/>
            </xsd:restriction>
          </xsd:simpleType>
        </xsd:union>
      </xsd:simpleType>
    </xsd:element>
  </xsd:schema>
  <xsd:schema xmlns:xsd="http://www.w3.org/2001/XMLSchema" xmlns:dms="http://schemas.microsoft.com/office/2006/documentManagement/types" targetNamespace="4b8f162b-5636-4821-85da-331af8dff062" elementFormDefault="qualified">
    <xsd:import namespace="http://schemas.microsoft.com/office/2006/documentManagement/types"/>
    <xsd:element name="Image" ma:index="13" nillable="true" ma:displayName="-" ma:default=""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arketed" ma:index="14" nillable="true" ma:displayName="Marketed" ma:default="0" ma:internalName="Mark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mage xmlns="4b8f162b-5636-4821-85da-331af8dff062">
      <Url xmlns="4b8f162b-5636-4821-85da-331af8dff062" xsi:nil="true"/>
      <Description xmlns="4b8f162b-5636-4821-85da-331af8dff062" xsi:nil="true"/>
    </Image>
    <Generic_x0020_Name xmlns="17bb8c82-f074-452f-b484-641a2ea4a283">Multicomponent Men B Vaccine</Generic_x0020_Name>
    <PI_x0020_Date xmlns="17bb8c82-f074-452f-b484-641a2ea4a283">2013-08-13T13:00:00+00:00</PI_x0020_Date>
    <Revision_x0020_Flag xmlns="17bb8c82-f074-452f-b484-641a2ea4a283" xsi:nil="true"/>
    <Dosage_x0020_Form xmlns="17bb8c82-f074-452f-b484-641a2ea4a283">Injection</Dosage_x0020_Form>
    <Marketed xmlns="4b8f162b-5636-4821-85da-331af8dff062">false</Marketed>
    <Brand_x0020_Name xmlns="17bb8c82-f074-452f-b484-641a2ea4a283">Bexsero</Brand_x0020_Nam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602B7-77F9-4710-A7E2-75EA64B2F8B2}">
  <ds:schemaRefs>
    <ds:schemaRef ds:uri="http://schemas.microsoft.com/office/2006/metadata/longProperties"/>
  </ds:schemaRefs>
</ds:datastoreItem>
</file>

<file path=customXml/itemProps2.xml><?xml version="1.0" encoding="utf-8"?>
<ds:datastoreItem xmlns:ds="http://schemas.openxmlformats.org/officeDocument/2006/customXml" ds:itemID="{0106D259-0D7B-4BED-850C-EC9ECDE3C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b8c82-f074-452f-b484-641a2ea4a283"/>
    <ds:schemaRef ds:uri="4b8f162b-5636-4821-85da-331af8dff06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F706719-D624-4A9A-985C-69AF5B925B54}">
  <ds:schemaRefs>
    <ds:schemaRef ds:uri="http://schemas.microsoft.com/sharepoint/v3/contenttype/forms"/>
  </ds:schemaRefs>
</ds:datastoreItem>
</file>

<file path=customXml/itemProps4.xml><?xml version="1.0" encoding="utf-8"?>
<ds:datastoreItem xmlns:ds="http://schemas.openxmlformats.org/officeDocument/2006/customXml" ds:itemID="{D76DB5A4-E2B8-4810-AA26-98D5B6902EA3}">
  <ds:schemaRefs>
    <ds:schemaRef ds:uri="http://schemas.microsoft.com/office/2006/metadata/properties"/>
    <ds:schemaRef ds:uri="4b8f162b-5636-4821-85da-331af8dff062"/>
    <ds:schemaRef ds:uri="17bb8c82-f074-452f-b484-641a2ea4a283"/>
  </ds:schemaRefs>
</ds:datastoreItem>
</file>

<file path=customXml/itemProps5.xml><?xml version="1.0" encoding="utf-8"?>
<ds:datastoreItem xmlns:ds="http://schemas.openxmlformats.org/officeDocument/2006/customXml" ds:itemID="{D4984FAC-59BD-4EC2-B4FF-FE5ABD5C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4359</Words>
  <Characters>26988</Characters>
  <Application>Microsoft Office Word</Application>
  <DocSecurity>0</DocSecurity>
  <Lines>1799</Lines>
  <Paragraphs>1492</Paragraphs>
  <ScaleCrop>false</ScaleCrop>
  <HeadingPairs>
    <vt:vector size="2" baseType="variant">
      <vt:variant>
        <vt:lpstr>Title</vt:lpstr>
      </vt:variant>
      <vt:variant>
        <vt:i4>1</vt:i4>
      </vt:variant>
    </vt:vector>
  </HeadingPairs>
  <TitlesOfParts>
    <vt:vector size="1" baseType="lpstr">
      <vt:lpstr>Guideline For Formatting Electronic Documents</vt:lpstr>
    </vt:vector>
  </TitlesOfParts>
  <Company>Chiron Corporation</Company>
  <LinksUpToDate>false</LinksUpToDate>
  <CharactersWithSpaces>29855</CharactersWithSpaces>
  <SharedDoc>false</SharedDoc>
  <HLinks>
    <vt:vector size="12" baseType="variant">
      <vt:variant>
        <vt:i4>2424835</vt:i4>
      </vt:variant>
      <vt:variant>
        <vt:i4>3</vt:i4>
      </vt:variant>
      <vt:variant>
        <vt:i4>0</vt:i4>
      </vt:variant>
      <vt:variant>
        <vt:i4>5</vt:i4>
      </vt:variant>
      <vt:variant>
        <vt:lpwstr>mailto:medinfo.phauno@%20novartis.com</vt:lpwstr>
      </vt:variant>
      <vt:variant>
        <vt:lpwstr/>
      </vt:variant>
      <vt:variant>
        <vt:i4>7929907</vt:i4>
      </vt:variant>
      <vt:variant>
        <vt:i4>0</vt:i4>
      </vt:variant>
      <vt:variant>
        <vt:i4>0</vt:i4>
      </vt:variant>
      <vt:variant>
        <vt:i4>5</vt:i4>
      </vt:variant>
      <vt:variant>
        <vt:lpwstr>https://www.ebs.tga.gov.au/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Multi-component Meningococcal B vaccine (Bexsero)</dc:title>
  <dc:subject>prescription medicine regulation</dc:subject>
  <dc:creator>Novartis Vaccines and Diagnostics Pty Ltd</dc:creator>
  <cp:keywords>pi, product information, prescription, medicine, multi-component, meningococcal b, vaccine, bexsero, novartis</cp:keywords>
  <cp:lastModifiedBy>Sheppard, Fran</cp:lastModifiedBy>
  <cp:revision>4</cp:revision>
  <cp:lastPrinted>2013-07-15T06:29:00Z</cp:lastPrinted>
  <dcterms:created xsi:type="dcterms:W3CDTF">2013-12-09T05:10:00Z</dcterms:created>
  <dcterms:modified xsi:type="dcterms:W3CDTF">2013-12-09T05:18:00Z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PI Document</vt:lpwstr>
  </property>
</Properties>
</file>