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75D8D632" w14:textId="77777777" w:rsidTr="00BF1190">
        <w:trPr>
          <w:trHeight w:val="1863"/>
        </w:trPr>
        <w:tc>
          <w:tcPr>
            <w:tcW w:w="3652" w:type="dxa"/>
            <w:tcBorders>
              <w:top w:val="nil"/>
              <w:left w:val="nil"/>
              <w:bottom w:val="nil"/>
              <w:right w:val="nil"/>
            </w:tcBorders>
          </w:tcPr>
          <w:p w14:paraId="5033FF60" w14:textId="57CDBF99" w:rsidR="008E7846" w:rsidRPr="00096AA7" w:rsidRDefault="00C47949" w:rsidP="005608C9">
            <w:pPr>
              <w:rPr>
                <w:rFonts w:ascii="Arial" w:hAnsi="Arial" w:cs="Arial"/>
                <w:b/>
                <w:color w:val="002C47"/>
                <w:sz w:val="36"/>
                <w:szCs w:val="36"/>
              </w:rPr>
            </w:pPr>
            <w:r>
              <w:rPr>
                <w:rFonts w:ascii="Arial" w:hAnsi="Arial" w:cs="Arial"/>
                <w:b/>
                <w:color w:val="002C47"/>
                <w:sz w:val="36"/>
                <w:szCs w:val="36"/>
              </w:rPr>
              <w:t xml:space="preserve">March </w:t>
            </w:r>
            <w:r w:rsidR="005608C9">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1E0C685" w14:textId="77777777" w:rsidTr="0032583B">
        <w:trPr>
          <w:trHeight w:val="868"/>
        </w:trPr>
        <w:tc>
          <w:tcPr>
            <w:tcW w:w="9079" w:type="dxa"/>
          </w:tcPr>
          <w:p w14:paraId="1A9E3194" w14:textId="77777777" w:rsidR="0032583B" w:rsidRPr="005608C9" w:rsidRDefault="0032583B" w:rsidP="005608C9">
            <w:pPr>
              <w:pStyle w:val="Title"/>
              <w:rPr>
                <w:color w:val="FFFFFF" w:themeColor="background1"/>
              </w:rPr>
            </w:pPr>
            <w:r w:rsidRPr="005608C9">
              <w:rPr>
                <w:color w:val="FFFFFF" w:themeColor="background1"/>
              </w:rPr>
              <w:t xml:space="preserve">Australian Public Assessment Report for </w:t>
            </w:r>
            <w:proofErr w:type="spellStart"/>
            <w:r w:rsidR="005608C9" w:rsidRPr="005608C9">
              <w:rPr>
                <w:rFonts w:cstheme="majorHAnsi"/>
                <w:color w:val="FFFFFF" w:themeColor="background1"/>
              </w:rPr>
              <w:t>Mecasermin</w:t>
            </w:r>
            <w:proofErr w:type="spellEnd"/>
          </w:p>
        </w:tc>
      </w:tr>
      <w:tr w:rsidR="0032583B" w:rsidRPr="00B64760" w14:paraId="37412621" w14:textId="77777777" w:rsidTr="0032583B">
        <w:tc>
          <w:tcPr>
            <w:tcW w:w="9079" w:type="dxa"/>
          </w:tcPr>
          <w:p w14:paraId="672CA84B" w14:textId="77777777" w:rsidR="0032583B" w:rsidRPr="005608C9" w:rsidRDefault="0032583B" w:rsidP="0032583B">
            <w:pPr>
              <w:pStyle w:val="Subtitle"/>
              <w:rPr>
                <w:color w:val="FFFFFF" w:themeColor="background1"/>
              </w:rPr>
            </w:pPr>
            <w:r w:rsidRPr="005608C9">
              <w:rPr>
                <w:color w:val="FFFFFF" w:themeColor="background1"/>
              </w:rPr>
              <w:t xml:space="preserve">Proprietary Product Name: </w:t>
            </w:r>
            <w:proofErr w:type="spellStart"/>
            <w:r w:rsidR="00FD5F2E">
              <w:rPr>
                <w:color w:val="FFFFFF" w:themeColor="background1"/>
              </w:rPr>
              <w:t>Increlex</w:t>
            </w:r>
            <w:proofErr w:type="spellEnd"/>
          </w:p>
        </w:tc>
      </w:tr>
      <w:tr w:rsidR="0032583B" w:rsidRPr="00B64760" w14:paraId="692E14DE" w14:textId="77777777" w:rsidTr="0032583B">
        <w:trPr>
          <w:trHeight w:val="486"/>
        </w:trPr>
        <w:tc>
          <w:tcPr>
            <w:tcW w:w="9079" w:type="dxa"/>
          </w:tcPr>
          <w:p w14:paraId="59609482" w14:textId="77777777" w:rsidR="0032583B" w:rsidRPr="005608C9" w:rsidRDefault="0032583B" w:rsidP="0032583B">
            <w:pPr>
              <w:pStyle w:val="Subtitle"/>
              <w:rPr>
                <w:color w:val="FFFFFF" w:themeColor="background1"/>
              </w:rPr>
            </w:pPr>
            <w:r w:rsidRPr="005608C9">
              <w:rPr>
                <w:color w:val="FFFFFF" w:themeColor="background1"/>
              </w:rPr>
              <w:t xml:space="preserve">Sponsor: </w:t>
            </w:r>
            <w:proofErr w:type="spellStart"/>
            <w:r w:rsidR="00FD5F2E">
              <w:rPr>
                <w:color w:val="FFFFFF" w:themeColor="background1"/>
              </w:rPr>
              <w:t>Ipsen</w:t>
            </w:r>
            <w:proofErr w:type="spellEnd"/>
            <w:r w:rsidR="00FD5F2E">
              <w:rPr>
                <w:color w:val="FFFFFF" w:themeColor="background1"/>
              </w:rPr>
              <w:t xml:space="preserve"> Pty Ltd</w:t>
            </w:r>
          </w:p>
        </w:tc>
      </w:tr>
    </w:tbl>
    <w:p w14:paraId="27E37A17" w14:textId="77777777" w:rsidR="008E7846" w:rsidRPr="0085156D" w:rsidRDefault="008E7846" w:rsidP="0085156D">
      <w:r w:rsidRPr="0085156D">
        <w:br w:type="page"/>
      </w:r>
    </w:p>
    <w:p w14:paraId="5CCF9E58" w14:textId="77777777" w:rsidR="008E7846" w:rsidRPr="001F6CBA" w:rsidRDefault="008E7846" w:rsidP="008E7846">
      <w:pPr>
        <w:pStyle w:val="NonTOCHeading2"/>
      </w:pPr>
      <w:r w:rsidRPr="001F6CBA">
        <w:lastRenderedPageBreak/>
        <w:t>About the Therapeutic Goods Administration (TGA)</w:t>
      </w:r>
    </w:p>
    <w:p w14:paraId="23FA7594"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5A7D7FE9"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1BA102FC"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0AFC4242"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0A86A71C"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6AC59B6F" w14:textId="77777777" w:rsidR="008E7846" w:rsidRDefault="008E7846" w:rsidP="00875A6B">
      <w:pPr>
        <w:pStyle w:val="NonTOCHeading2"/>
      </w:pPr>
      <w:r>
        <w:t>About AusPARs</w:t>
      </w:r>
    </w:p>
    <w:p w14:paraId="39E8EF5B"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8333D9E" w14:textId="77777777" w:rsidR="008E7846" w:rsidRDefault="008E7846" w:rsidP="008E7846">
      <w:pPr>
        <w:pStyle w:val="ListBullet"/>
        <w:numPr>
          <w:ilvl w:val="0"/>
          <w:numId w:val="3"/>
        </w:numPr>
        <w:ind w:left="357" w:hanging="357"/>
      </w:pPr>
      <w:r>
        <w:t>AusPARs are prepared and published by the TGA.</w:t>
      </w:r>
    </w:p>
    <w:p w14:paraId="20CF9BC9"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57982923"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36F099F"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55D0CD6F" w14:textId="77777777" w:rsidR="00924482" w:rsidRPr="00DF1D7F" w:rsidRDefault="00924482" w:rsidP="00F54B65">
      <w:pPr>
        <w:pStyle w:val="LegalSubheading"/>
        <w:spacing w:before="3120"/>
      </w:pPr>
      <w:r w:rsidRPr="00DF1D7F">
        <w:t>Copyright</w:t>
      </w:r>
    </w:p>
    <w:p w14:paraId="46660FC3" w14:textId="77777777" w:rsidR="00924482" w:rsidRDefault="00924482" w:rsidP="00924482">
      <w:pPr>
        <w:pStyle w:val="LegalCopy"/>
      </w:pPr>
      <w:r w:rsidRPr="00191B3B">
        <w:rPr>
          <w:rFonts w:cs="Arial"/>
          <w:lang w:val="en-GB"/>
        </w:rPr>
        <w:t>© Comm</w:t>
      </w:r>
      <w:r w:rsidR="00FD5F2E">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54779005"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09DCE40A" w14:textId="77777777" w:rsidR="0089635C" w:rsidRPr="0089635C" w:rsidRDefault="0089635C" w:rsidP="0010788A">
          <w:pPr>
            <w:pStyle w:val="Contents"/>
          </w:pPr>
          <w:r w:rsidRPr="0010788A">
            <w:t>Conten</w:t>
          </w:r>
          <w:bookmarkStart w:id="2" w:name="_GoBack"/>
          <w:bookmarkEnd w:id="2"/>
          <w:r w:rsidRPr="0010788A">
            <w:t>ts</w:t>
          </w:r>
        </w:p>
        <w:p w14:paraId="73354B48" w14:textId="1517F694" w:rsidR="00885D37"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4901629" w:history="1">
            <w:r w:rsidR="00885D37" w:rsidRPr="001B4048">
              <w:rPr>
                <w:rStyle w:val="Hyperlink"/>
                <w:noProof/>
              </w:rPr>
              <w:t>Common abbreviations</w:t>
            </w:r>
            <w:r w:rsidR="00885D37">
              <w:rPr>
                <w:noProof/>
                <w:webHidden/>
              </w:rPr>
              <w:tab/>
            </w:r>
            <w:r w:rsidR="00885D37">
              <w:rPr>
                <w:noProof/>
                <w:webHidden/>
              </w:rPr>
              <w:fldChar w:fldCharType="begin"/>
            </w:r>
            <w:r w:rsidR="00885D37">
              <w:rPr>
                <w:noProof/>
                <w:webHidden/>
              </w:rPr>
              <w:instrText xml:space="preserve"> PAGEREF _Toc34901629 \h </w:instrText>
            </w:r>
            <w:r w:rsidR="00885D37">
              <w:rPr>
                <w:noProof/>
                <w:webHidden/>
              </w:rPr>
            </w:r>
            <w:r w:rsidR="00885D37">
              <w:rPr>
                <w:noProof/>
                <w:webHidden/>
              </w:rPr>
              <w:fldChar w:fldCharType="separate"/>
            </w:r>
            <w:r w:rsidR="00885D37">
              <w:rPr>
                <w:noProof/>
                <w:webHidden/>
              </w:rPr>
              <w:t>4</w:t>
            </w:r>
            <w:r w:rsidR="00885D37">
              <w:rPr>
                <w:noProof/>
                <w:webHidden/>
              </w:rPr>
              <w:fldChar w:fldCharType="end"/>
            </w:r>
          </w:hyperlink>
        </w:p>
        <w:p w14:paraId="5E95F799" w14:textId="5AFD89D8" w:rsidR="00885D37" w:rsidRDefault="00885D37">
          <w:pPr>
            <w:pStyle w:val="TOC2"/>
            <w:rPr>
              <w:rFonts w:asciiTheme="minorHAnsi" w:eastAsiaTheme="minorEastAsia" w:hAnsiTheme="minorHAnsi" w:cstheme="minorBidi"/>
              <w:b w:val="0"/>
              <w:noProof/>
              <w:sz w:val="22"/>
              <w:lang w:eastAsia="en-AU"/>
            </w:rPr>
          </w:pPr>
          <w:hyperlink w:anchor="_Toc34901630" w:history="1">
            <w:r w:rsidRPr="001B4048">
              <w:rPr>
                <w:rStyle w:val="Hyperlink"/>
                <w:noProof/>
              </w:rPr>
              <w:t>I. Introduction to product submission</w:t>
            </w:r>
            <w:r>
              <w:rPr>
                <w:noProof/>
                <w:webHidden/>
              </w:rPr>
              <w:tab/>
            </w:r>
            <w:r>
              <w:rPr>
                <w:noProof/>
                <w:webHidden/>
              </w:rPr>
              <w:fldChar w:fldCharType="begin"/>
            </w:r>
            <w:r>
              <w:rPr>
                <w:noProof/>
                <w:webHidden/>
              </w:rPr>
              <w:instrText xml:space="preserve"> PAGEREF _Toc34901630 \h </w:instrText>
            </w:r>
            <w:r>
              <w:rPr>
                <w:noProof/>
                <w:webHidden/>
              </w:rPr>
            </w:r>
            <w:r>
              <w:rPr>
                <w:noProof/>
                <w:webHidden/>
              </w:rPr>
              <w:fldChar w:fldCharType="separate"/>
            </w:r>
            <w:r>
              <w:rPr>
                <w:noProof/>
                <w:webHidden/>
              </w:rPr>
              <w:t>6</w:t>
            </w:r>
            <w:r>
              <w:rPr>
                <w:noProof/>
                <w:webHidden/>
              </w:rPr>
              <w:fldChar w:fldCharType="end"/>
            </w:r>
          </w:hyperlink>
        </w:p>
        <w:p w14:paraId="3A489EE5" w14:textId="1AAB98AA" w:rsidR="00885D37" w:rsidRDefault="00885D37">
          <w:pPr>
            <w:pStyle w:val="TOC3"/>
            <w:rPr>
              <w:rFonts w:asciiTheme="minorHAnsi" w:eastAsiaTheme="minorEastAsia" w:hAnsiTheme="minorHAnsi" w:cstheme="minorBidi"/>
              <w:noProof/>
              <w:lang w:eastAsia="en-AU"/>
            </w:rPr>
          </w:pPr>
          <w:hyperlink w:anchor="_Toc34901631" w:history="1">
            <w:r w:rsidRPr="001B4048">
              <w:rPr>
                <w:rStyle w:val="Hyperlink"/>
                <w:noProof/>
                <w:lang w:eastAsia="en-AU"/>
              </w:rPr>
              <w:t>Submission details</w:t>
            </w:r>
            <w:r>
              <w:rPr>
                <w:noProof/>
                <w:webHidden/>
              </w:rPr>
              <w:tab/>
            </w:r>
            <w:r>
              <w:rPr>
                <w:noProof/>
                <w:webHidden/>
              </w:rPr>
              <w:fldChar w:fldCharType="begin"/>
            </w:r>
            <w:r>
              <w:rPr>
                <w:noProof/>
                <w:webHidden/>
              </w:rPr>
              <w:instrText xml:space="preserve"> PAGEREF _Toc34901631 \h </w:instrText>
            </w:r>
            <w:r>
              <w:rPr>
                <w:noProof/>
                <w:webHidden/>
              </w:rPr>
            </w:r>
            <w:r>
              <w:rPr>
                <w:noProof/>
                <w:webHidden/>
              </w:rPr>
              <w:fldChar w:fldCharType="separate"/>
            </w:r>
            <w:r>
              <w:rPr>
                <w:noProof/>
                <w:webHidden/>
              </w:rPr>
              <w:t>6</w:t>
            </w:r>
            <w:r>
              <w:rPr>
                <w:noProof/>
                <w:webHidden/>
              </w:rPr>
              <w:fldChar w:fldCharType="end"/>
            </w:r>
          </w:hyperlink>
        </w:p>
        <w:p w14:paraId="0F0489C4" w14:textId="7B9D2563" w:rsidR="00885D37" w:rsidRDefault="00885D37">
          <w:pPr>
            <w:pStyle w:val="TOC3"/>
            <w:rPr>
              <w:rFonts w:asciiTheme="minorHAnsi" w:eastAsiaTheme="minorEastAsia" w:hAnsiTheme="minorHAnsi" w:cstheme="minorBidi"/>
              <w:noProof/>
              <w:lang w:eastAsia="en-AU"/>
            </w:rPr>
          </w:pPr>
          <w:hyperlink w:anchor="_Toc34901632" w:history="1">
            <w:r w:rsidRPr="001B4048">
              <w:rPr>
                <w:rStyle w:val="Hyperlink"/>
                <w:noProof/>
              </w:rPr>
              <w:t>Product background</w:t>
            </w:r>
            <w:r>
              <w:rPr>
                <w:noProof/>
                <w:webHidden/>
              </w:rPr>
              <w:tab/>
            </w:r>
            <w:r>
              <w:rPr>
                <w:noProof/>
                <w:webHidden/>
              </w:rPr>
              <w:fldChar w:fldCharType="begin"/>
            </w:r>
            <w:r>
              <w:rPr>
                <w:noProof/>
                <w:webHidden/>
              </w:rPr>
              <w:instrText xml:space="preserve"> PAGEREF _Toc34901632 \h </w:instrText>
            </w:r>
            <w:r>
              <w:rPr>
                <w:noProof/>
                <w:webHidden/>
              </w:rPr>
            </w:r>
            <w:r>
              <w:rPr>
                <w:noProof/>
                <w:webHidden/>
              </w:rPr>
              <w:fldChar w:fldCharType="separate"/>
            </w:r>
            <w:r>
              <w:rPr>
                <w:noProof/>
                <w:webHidden/>
              </w:rPr>
              <w:t>7</w:t>
            </w:r>
            <w:r>
              <w:rPr>
                <w:noProof/>
                <w:webHidden/>
              </w:rPr>
              <w:fldChar w:fldCharType="end"/>
            </w:r>
          </w:hyperlink>
        </w:p>
        <w:p w14:paraId="3C25DE20" w14:textId="6AC97221" w:rsidR="00885D37" w:rsidRDefault="00885D37">
          <w:pPr>
            <w:pStyle w:val="TOC3"/>
            <w:rPr>
              <w:rFonts w:asciiTheme="minorHAnsi" w:eastAsiaTheme="minorEastAsia" w:hAnsiTheme="minorHAnsi" w:cstheme="minorBidi"/>
              <w:noProof/>
              <w:lang w:eastAsia="en-AU"/>
            </w:rPr>
          </w:pPr>
          <w:hyperlink w:anchor="_Toc34901633" w:history="1">
            <w:r w:rsidRPr="001B4048">
              <w:rPr>
                <w:rStyle w:val="Hyperlink"/>
                <w:noProof/>
              </w:rPr>
              <w:t>Regulatory status</w:t>
            </w:r>
            <w:r>
              <w:rPr>
                <w:noProof/>
                <w:webHidden/>
              </w:rPr>
              <w:tab/>
            </w:r>
            <w:r>
              <w:rPr>
                <w:noProof/>
                <w:webHidden/>
              </w:rPr>
              <w:fldChar w:fldCharType="begin"/>
            </w:r>
            <w:r>
              <w:rPr>
                <w:noProof/>
                <w:webHidden/>
              </w:rPr>
              <w:instrText xml:space="preserve"> PAGEREF _Toc34901633 \h </w:instrText>
            </w:r>
            <w:r>
              <w:rPr>
                <w:noProof/>
                <w:webHidden/>
              </w:rPr>
            </w:r>
            <w:r>
              <w:rPr>
                <w:noProof/>
                <w:webHidden/>
              </w:rPr>
              <w:fldChar w:fldCharType="separate"/>
            </w:r>
            <w:r>
              <w:rPr>
                <w:noProof/>
                <w:webHidden/>
              </w:rPr>
              <w:t>8</w:t>
            </w:r>
            <w:r>
              <w:rPr>
                <w:noProof/>
                <w:webHidden/>
              </w:rPr>
              <w:fldChar w:fldCharType="end"/>
            </w:r>
          </w:hyperlink>
        </w:p>
        <w:p w14:paraId="13C734C4" w14:textId="41607D3E" w:rsidR="00885D37" w:rsidRDefault="00885D37">
          <w:pPr>
            <w:pStyle w:val="TOC3"/>
            <w:rPr>
              <w:rFonts w:asciiTheme="minorHAnsi" w:eastAsiaTheme="minorEastAsia" w:hAnsiTheme="minorHAnsi" w:cstheme="minorBidi"/>
              <w:noProof/>
              <w:lang w:eastAsia="en-AU"/>
            </w:rPr>
          </w:pPr>
          <w:hyperlink w:anchor="_Toc34901634" w:history="1">
            <w:r w:rsidRPr="001B4048">
              <w:rPr>
                <w:rStyle w:val="Hyperlink"/>
                <w:noProof/>
              </w:rPr>
              <w:t>Product Information</w:t>
            </w:r>
            <w:r>
              <w:rPr>
                <w:noProof/>
                <w:webHidden/>
              </w:rPr>
              <w:tab/>
            </w:r>
            <w:r>
              <w:rPr>
                <w:noProof/>
                <w:webHidden/>
              </w:rPr>
              <w:fldChar w:fldCharType="begin"/>
            </w:r>
            <w:r>
              <w:rPr>
                <w:noProof/>
                <w:webHidden/>
              </w:rPr>
              <w:instrText xml:space="preserve"> PAGEREF _Toc34901634 \h </w:instrText>
            </w:r>
            <w:r>
              <w:rPr>
                <w:noProof/>
                <w:webHidden/>
              </w:rPr>
            </w:r>
            <w:r>
              <w:rPr>
                <w:noProof/>
                <w:webHidden/>
              </w:rPr>
              <w:fldChar w:fldCharType="separate"/>
            </w:r>
            <w:r>
              <w:rPr>
                <w:noProof/>
                <w:webHidden/>
              </w:rPr>
              <w:t>9</w:t>
            </w:r>
            <w:r>
              <w:rPr>
                <w:noProof/>
                <w:webHidden/>
              </w:rPr>
              <w:fldChar w:fldCharType="end"/>
            </w:r>
          </w:hyperlink>
        </w:p>
        <w:p w14:paraId="5C3FED16" w14:textId="77A79BC6" w:rsidR="00885D37" w:rsidRDefault="00885D37">
          <w:pPr>
            <w:pStyle w:val="TOC2"/>
            <w:rPr>
              <w:rFonts w:asciiTheme="minorHAnsi" w:eastAsiaTheme="minorEastAsia" w:hAnsiTheme="minorHAnsi" w:cstheme="minorBidi"/>
              <w:b w:val="0"/>
              <w:noProof/>
              <w:sz w:val="22"/>
              <w:lang w:eastAsia="en-AU"/>
            </w:rPr>
          </w:pPr>
          <w:hyperlink w:anchor="_Toc34901635" w:history="1">
            <w:r w:rsidRPr="001B4048">
              <w:rPr>
                <w:rStyle w:val="Hyperlink"/>
                <w:noProof/>
              </w:rPr>
              <w:t>II. Registration timeline</w:t>
            </w:r>
            <w:r>
              <w:rPr>
                <w:noProof/>
                <w:webHidden/>
              </w:rPr>
              <w:tab/>
            </w:r>
            <w:r>
              <w:rPr>
                <w:noProof/>
                <w:webHidden/>
              </w:rPr>
              <w:fldChar w:fldCharType="begin"/>
            </w:r>
            <w:r>
              <w:rPr>
                <w:noProof/>
                <w:webHidden/>
              </w:rPr>
              <w:instrText xml:space="preserve"> PAGEREF _Toc34901635 \h </w:instrText>
            </w:r>
            <w:r>
              <w:rPr>
                <w:noProof/>
                <w:webHidden/>
              </w:rPr>
            </w:r>
            <w:r>
              <w:rPr>
                <w:noProof/>
                <w:webHidden/>
              </w:rPr>
              <w:fldChar w:fldCharType="separate"/>
            </w:r>
            <w:r>
              <w:rPr>
                <w:noProof/>
                <w:webHidden/>
              </w:rPr>
              <w:t>9</w:t>
            </w:r>
            <w:r>
              <w:rPr>
                <w:noProof/>
                <w:webHidden/>
              </w:rPr>
              <w:fldChar w:fldCharType="end"/>
            </w:r>
          </w:hyperlink>
        </w:p>
        <w:p w14:paraId="1B775370" w14:textId="4784421A" w:rsidR="00885D37" w:rsidRDefault="00885D37">
          <w:pPr>
            <w:pStyle w:val="TOC2"/>
            <w:rPr>
              <w:rFonts w:asciiTheme="minorHAnsi" w:eastAsiaTheme="minorEastAsia" w:hAnsiTheme="minorHAnsi" w:cstheme="minorBidi"/>
              <w:b w:val="0"/>
              <w:noProof/>
              <w:sz w:val="22"/>
              <w:lang w:eastAsia="en-AU"/>
            </w:rPr>
          </w:pPr>
          <w:hyperlink w:anchor="_Toc34901636" w:history="1">
            <w:r w:rsidRPr="001B4048">
              <w:rPr>
                <w:rStyle w:val="Hyperlink"/>
                <w:noProof/>
              </w:rPr>
              <w:t>III. Submission overview and risk/benefit assessment</w:t>
            </w:r>
            <w:r>
              <w:rPr>
                <w:noProof/>
                <w:webHidden/>
              </w:rPr>
              <w:tab/>
            </w:r>
            <w:r>
              <w:rPr>
                <w:noProof/>
                <w:webHidden/>
              </w:rPr>
              <w:fldChar w:fldCharType="begin"/>
            </w:r>
            <w:r>
              <w:rPr>
                <w:noProof/>
                <w:webHidden/>
              </w:rPr>
              <w:instrText xml:space="preserve"> PAGEREF _Toc34901636 \h </w:instrText>
            </w:r>
            <w:r>
              <w:rPr>
                <w:noProof/>
                <w:webHidden/>
              </w:rPr>
            </w:r>
            <w:r>
              <w:rPr>
                <w:noProof/>
                <w:webHidden/>
              </w:rPr>
              <w:fldChar w:fldCharType="separate"/>
            </w:r>
            <w:r>
              <w:rPr>
                <w:noProof/>
                <w:webHidden/>
              </w:rPr>
              <w:t>10</w:t>
            </w:r>
            <w:r>
              <w:rPr>
                <w:noProof/>
                <w:webHidden/>
              </w:rPr>
              <w:fldChar w:fldCharType="end"/>
            </w:r>
          </w:hyperlink>
        </w:p>
        <w:p w14:paraId="4BC8BF7C" w14:textId="1C87AE84" w:rsidR="00885D37" w:rsidRDefault="00885D37">
          <w:pPr>
            <w:pStyle w:val="TOC3"/>
            <w:rPr>
              <w:rFonts w:asciiTheme="minorHAnsi" w:eastAsiaTheme="minorEastAsia" w:hAnsiTheme="minorHAnsi" w:cstheme="minorBidi"/>
              <w:noProof/>
              <w:lang w:eastAsia="en-AU"/>
            </w:rPr>
          </w:pPr>
          <w:hyperlink w:anchor="_Toc34901637" w:history="1">
            <w:r w:rsidRPr="001B4048">
              <w:rPr>
                <w:rStyle w:val="Hyperlink"/>
                <w:noProof/>
              </w:rPr>
              <w:t>Quality</w:t>
            </w:r>
            <w:r>
              <w:rPr>
                <w:noProof/>
                <w:webHidden/>
              </w:rPr>
              <w:tab/>
            </w:r>
            <w:r>
              <w:rPr>
                <w:noProof/>
                <w:webHidden/>
              </w:rPr>
              <w:fldChar w:fldCharType="begin"/>
            </w:r>
            <w:r>
              <w:rPr>
                <w:noProof/>
                <w:webHidden/>
              </w:rPr>
              <w:instrText xml:space="preserve"> PAGEREF _Toc34901637 \h </w:instrText>
            </w:r>
            <w:r>
              <w:rPr>
                <w:noProof/>
                <w:webHidden/>
              </w:rPr>
            </w:r>
            <w:r>
              <w:rPr>
                <w:noProof/>
                <w:webHidden/>
              </w:rPr>
              <w:fldChar w:fldCharType="separate"/>
            </w:r>
            <w:r>
              <w:rPr>
                <w:noProof/>
                <w:webHidden/>
              </w:rPr>
              <w:t>10</w:t>
            </w:r>
            <w:r>
              <w:rPr>
                <w:noProof/>
                <w:webHidden/>
              </w:rPr>
              <w:fldChar w:fldCharType="end"/>
            </w:r>
          </w:hyperlink>
        </w:p>
        <w:p w14:paraId="6F66E30B" w14:textId="0B871315" w:rsidR="00885D37" w:rsidRDefault="00885D37">
          <w:pPr>
            <w:pStyle w:val="TOC3"/>
            <w:rPr>
              <w:rFonts w:asciiTheme="minorHAnsi" w:eastAsiaTheme="minorEastAsia" w:hAnsiTheme="minorHAnsi" w:cstheme="minorBidi"/>
              <w:noProof/>
              <w:lang w:eastAsia="en-AU"/>
            </w:rPr>
          </w:pPr>
          <w:hyperlink w:anchor="_Toc34901638" w:history="1">
            <w:r w:rsidRPr="001B4048">
              <w:rPr>
                <w:rStyle w:val="Hyperlink"/>
                <w:noProof/>
              </w:rPr>
              <w:t>Nonclinical</w:t>
            </w:r>
            <w:r>
              <w:rPr>
                <w:noProof/>
                <w:webHidden/>
              </w:rPr>
              <w:tab/>
            </w:r>
            <w:r>
              <w:rPr>
                <w:noProof/>
                <w:webHidden/>
              </w:rPr>
              <w:fldChar w:fldCharType="begin"/>
            </w:r>
            <w:r>
              <w:rPr>
                <w:noProof/>
                <w:webHidden/>
              </w:rPr>
              <w:instrText xml:space="preserve"> PAGEREF _Toc34901638 \h </w:instrText>
            </w:r>
            <w:r>
              <w:rPr>
                <w:noProof/>
                <w:webHidden/>
              </w:rPr>
            </w:r>
            <w:r>
              <w:rPr>
                <w:noProof/>
                <w:webHidden/>
              </w:rPr>
              <w:fldChar w:fldCharType="separate"/>
            </w:r>
            <w:r>
              <w:rPr>
                <w:noProof/>
                <w:webHidden/>
              </w:rPr>
              <w:t>10</w:t>
            </w:r>
            <w:r>
              <w:rPr>
                <w:noProof/>
                <w:webHidden/>
              </w:rPr>
              <w:fldChar w:fldCharType="end"/>
            </w:r>
          </w:hyperlink>
        </w:p>
        <w:p w14:paraId="59210585" w14:textId="3E52732A" w:rsidR="00885D37" w:rsidRDefault="00885D37">
          <w:pPr>
            <w:pStyle w:val="TOC3"/>
            <w:rPr>
              <w:rFonts w:asciiTheme="minorHAnsi" w:eastAsiaTheme="minorEastAsia" w:hAnsiTheme="minorHAnsi" w:cstheme="minorBidi"/>
              <w:noProof/>
              <w:lang w:eastAsia="en-AU"/>
            </w:rPr>
          </w:pPr>
          <w:hyperlink w:anchor="_Toc34901639" w:history="1">
            <w:r w:rsidRPr="001B4048">
              <w:rPr>
                <w:rStyle w:val="Hyperlink"/>
                <w:noProof/>
              </w:rPr>
              <w:t>Clinical</w:t>
            </w:r>
            <w:r>
              <w:rPr>
                <w:noProof/>
                <w:webHidden/>
              </w:rPr>
              <w:tab/>
            </w:r>
            <w:r>
              <w:rPr>
                <w:noProof/>
                <w:webHidden/>
              </w:rPr>
              <w:fldChar w:fldCharType="begin"/>
            </w:r>
            <w:r>
              <w:rPr>
                <w:noProof/>
                <w:webHidden/>
              </w:rPr>
              <w:instrText xml:space="preserve"> PAGEREF _Toc34901639 \h </w:instrText>
            </w:r>
            <w:r>
              <w:rPr>
                <w:noProof/>
                <w:webHidden/>
              </w:rPr>
            </w:r>
            <w:r>
              <w:rPr>
                <w:noProof/>
                <w:webHidden/>
              </w:rPr>
              <w:fldChar w:fldCharType="separate"/>
            </w:r>
            <w:r>
              <w:rPr>
                <w:noProof/>
                <w:webHidden/>
              </w:rPr>
              <w:t>11</w:t>
            </w:r>
            <w:r>
              <w:rPr>
                <w:noProof/>
                <w:webHidden/>
              </w:rPr>
              <w:fldChar w:fldCharType="end"/>
            </w:r>
          </w:hyperlink>
        </w:p>
        <w:p w14:paraId="62DDA824" w14:textId="57E19BF1" w:rsidR="00885D37" w:rsidRDefault="00885D37">
          <w:pPr>
            <w:pStyle w:val="TOC3"/>
            <w:rPr>
              <w:rFonts w:asciiTheme="minorHAnsi" w:eastAsiaTheme="minorEastAsia" w:hAnsiTheme="minorHAnsi" w:cstheme="minorBidi"/>
              <w:noProof/>
              <w:lang w:eastAsia="en-AU"/>
            </w:rPr>
          </w:pPr>
          <w:hyperlink w:anchor="_Toc34901640" w:history="1">
            <w:r w:rsidRPr="001B4048">
              <w:rPr>
                <w:rStyle w:val="Hyperlink"/>
                <w:noProof/>
                <w:lang w:eastAsia="en-AU"/>
              </w:rPr>
              <w:t>Risk management plan</w:t>
            </w:r>
            <w:r>
              <w:rPr>
                <w:noProof/>
                <w:webHidden/>
              </w:rPr>
              <w:tab/>
            </w:r>
            <w:r>
              <w:rPr>
                <w:noProof/>
                <w:webHidden/>
              </w:rPr>
              <w:fldChar w:fldCharType="begin"/>
            </w:r>
            <w:r>
              <w:rPr>
                <w:noProof/>
                <w:webHidden/>
              </w:rPr>
              <w:instrText xml:space="preserve"> PAGEREF _Toc34901640 \h </w:instrText>
            </w:r>
            <w:r>
              <w:rPr>
                <w:noProof/>
                <w:webHidden/>
              </w:rPr>
            </w:r>
            <w:r>
              <w:rPr>
                <w:noProof/>
                <w:webHidden/>
              </w:rPr>
              <w:fldChar w:fldCharType="separate"/>
            </w:r>
            <w:r>
              <w:rPr>
                <w:noProof/>
                <w:webHidden/>
              </w:rPr>
              <w:t>15</w:t>
            </w:r>
            <w:r>
              <w:rPr>
                <w:noProof/>
                <w:webHidden/>
              </w:rPr>
              <w:fldChar w:fldCharType="end"/>
            </w:r>
          </w:hyperlink>
        </w:p>
        <w:p w14:paraId="6C884B56" w14:textId="57D00062" w:rsidR="00885D37" w:rsidRDefault="00885D37">
          <w:pPr>
            <w:pStyle w:val="TOC3"/>
            <w:rPr>
              <w:rFonts w:asciiTheme="minorHAnsi" w:eastAsiaTheme="minorEastAsia" w:hAnsiTheme="minorHAnsi" w:cstheme="minorBidi"/>
              <w:noProof/>
              <w:lang w:eastAsia="en-AU"/>
            </w:rPr>
          </w:pPr>
          <w:hyperlink w:anchor="_Toc34901641" w:history="1">
            <w:r w:rsidRPr="001B4048">
              <w:rPr>
                <w:rStyle w:val="Hyperlink"/>
                <w:noProof/>
              </w:rPr>
              <w:t>Risk-benefit analysis</w:t>
            </w:r>
            <w:r>
              <w:rPr>
                <w:noProof/>
                <w:webHidden/>
              </w:rPr>
              <w:tab/>
            </w:r>
            <w:r>
              <w:rPr>
                <w:noProof/>
                <w:webHidden/>
              </w:rPr>
              <w:fldChar w:fldCharType="begin"/>
            </w:r>
            <w:r>
              <w:rPr>
                <w:noProof/>
                <w:webHidden/>
              </w:rPr>
              <w:instrText xml:space="preserve"> PAGEREF _Toc34901641 \h </w:instrText>
            </w:r>
            <w:r>
              <w:rPr>
                <w:noProof/>
                <w:webHidden/>
              </w:rPr>
            </w:r>
            <w:r>
              <w:rPr>
                <w:noProof/>
                <w:webHidden/>
              </w:rPr>
              <w:fldChar w:fldCharType="separate"/>
            </w:r>
            <w:r>
              <w:rPr>
                <w:noProof/>
                <w:webHidden/>
              </w:rPr>
              <w:t>17</w:t>
            </w:r>
            <w:r>
              <w:rPr>
                <w:noProof/>
                <w:webHidden/>
              </w:rPr>
              <w:fldChar w:fldCharType="end"/>
            </w:r>
          </w:hyperlink>
        </w:p>
        <w:p w14:paraId="43BF0F6A" w14:textId="7B4023D3" w:rsidR="00885D37" w:rsidRDefault="00885D37">
          <w:pPr>
            <w:pStyle w:val="TOC3"/>
            <w:rPr>
              <w:rFonts w:asciiTheme="minorHAnsi" w:eastAsiaTheme="minorEastAsia" w:hAnsiTheme="minorHAnsi" w:cstheme="minorBidi"/>
              <w:noProof/>
              <w:lang w:eastAsia="en-AU"/>
            </w:rPr>
          </w:pPr>
          <w:hyperlink w:anchor="_Toc34901642" w:history="1">
            <w:r w:rsidRPr="001B4048">
              <w:rPr>
                <w:rStyle w:val="Hyperlink"/>
                <w:noProof/>
              </w:rPr>
              <w:t>Outcome</w:t>
            </w:r>
            <w:r>
              <w:rPr>
                <w:noProof/>
                <w:webHidden/>
              </w:rPr>
              <w:tab/>
            </w:r>
            <w:r>
              <w:rPr>
                <w:noProof/>
                <w:webHidden/>
              </w:rPr>
              <w:fldChar w:fldCharType="begin"/>
            </w:r>
            <w:r>
              <w:rPr>
                <w:noProof/>
                <w:webHidden/>
              </w:rPr>
              <w:instrText xml:space="preserve"> PAGEREF _Toc34901642 \h </w:instrText>
            </w:r>
            <w:r>
              <w:rPr>
                <w:noProof/>
                <w:webHidden/>
              </w:rPr>
            </w:r>
            <w:r>
              <w:rPr>
                <w:noProof/>
                <w:webHidden/>
              </w:rPr>
              <w:fldChar w:fldCharType="separate"/>
            </w:r>
            <w:r>
              <w:rPr>
                <w:noProof/>
                <w:webHidden/>
              </w:rPr>
              <w:t>24</w:t>
            </w:r>
            <w:r>
              <w:rPr>
                <w:noProof/>
                <w:webHidden/>
              </w:rPr>
              <w:fldChar w:fldCharType="end"/>
            </w:r>
          </w:hyperlink>
        </w:p>
        <w:p w14:paraId="13BF2203" w14:textId="0D520E55" w:rsidR="00885D37" w:rsidRDefault="00885D37">
          <w:pPr>
            <w:pStyle w:val="TOC2"/>
            <w:rPr>
              <w:rFonts w:asciiTheme="minorHAnsi" w:eastAsiaTheme="minorEastAsia" w:hAnsiTheme="minorHAnsi" w:cstheme="minorBidi"/>
              <w:b w:val="0"/>
              <w:noProof/>
              <w:sz w:val="22"/>
              <w:lang w:eastAsia="en-AU"/>
            </w:rPr>
          </w:pPr>
          <w:hyperlink w:anchor="_Toc34901643" w:history="1">
            <w:r w:rsidRPr="001B4048">
              <w:rPr>
                <w:rStyle w:val="Hyperlink"/>
                <w:noProof/>
              </w:rPr>
              <w:t>Attachment 1. Product Information</w:t>
            </w:r>
            <w:r>
              <w:rPr>
                <w:noProof/>
                <w:webHidden/>
              </w:rPr>
              <w:tab/>
            </w:r>
            <w:r>
              <w:rPr>
                <w:noProof/>
                <w:webHidden/>
              </w:rPr>
              <w:fldChar w:fldCharType="begin"/>
            </w:r>
            <w:r>
              <w:rPr>
                <w:noProof/>
                <w:webHidden/>
              </w:rPr>
              <w:instrText xml:space="preserve"> PAGEREF _Toc34901643 \h </w:instrText>
            </w:r>
            <w:r>
              <w:rPr>
                <w:noProof/>
                <w:webHidden/>
              </w:rPr>
            </w:r>
            <w:r>
              <w:rPr>
                <w:noProof/>
                <w:webHidden/>
              </w:rPr>
              <w:fldChar w:fldCharType="separate"/>
            </w:r>
            <w:r>
              <w:rPr>
                <w:noProof/>
                <w:webHidden/>
              </w:rPr>
              <w:t>25</w:t>
            </w:r>
            <w:r>
              <w:rPr>
                <w:noProof/>
                <w:webHidden/>
              </w:rPr>
              <w:fldChar w:fldCharType="end"/>
            </w:r>
          </w:hyperlink>
        </w:p>
        <w:p w14:paraId="79495526" w14:textId="5EDD849C" w:rsidR="003A7F6C" w:rsidRPr="00B811C6" w:rsidRDefault="00960520" w:rsidP="00B811C6">
          <w:pPr>
            <w:pStyle w:val="TOC2"/>
          </w:pPr>
          <w:r>
            <w:fldChar w:fldCharType="end"/>
          </w:r>
        </w:p>
      </w:sdtContent>
    </w:sdt>
    <w:bookmarkStart w:id="3" w:name="_Toc314842482" w:displacedByCustomXml="prev"/>
    <w:p w14:paraId="0D54841A" w14:textId="77777777" w:rsidR="00FD119B" w:rsidRDefault="00FD119B">
      <w:pPr>
        <w:spacing w:before="0" w:after="200" w:line="0" w:lineRule="auto"/>
      </w:pPr>
      <w:r>
        <w:br w:type="page"/>
      </w:r>
    </w:p>
    <w:p w14:paraId="7E5C7F21"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34901629"/>
      <w:r>
        <w:lastRenderedPageBreak/>
        <w:t>Common</w:t>
      </w:r>
      <w:r w:rsidR="00FD119B" w:rsidRPr="00FD119B">
        <w:t xml:space="preserve"> abbreviations</w:t>
      </w:r>
      <w:bookmarkEnd w:id="4"/>
      <w:bookmarkEnd w:id="5"/>
      <w:bookmarkEnd w:id="6"/>
      <w:bookmarkEnd w:id="7"/>
      <w:bookmarkEnd w:id="8"/>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90"/>
        <w:gridCol w:w="6830"/>
      </w:tblGrid>
      <w:tr w:rsidR="004C6FA8" w14:paraId="73C476A4" w14:textId="77777777" w:rsidTr="004C6FA8">
        <w:trPr>
          <w:tblHeader/>
        </w:trPr>
        <w:tc>
          <w:tcPr>
            <w:tcW w:w="1890" w:type="dxa"/>
            <w:tcBorders>
              <w:top w:val="single" w:sz="8" w:space="0" w:color="000000"/>
              <w:left w:val="single" w:sz="8" w:space="0" w:color="000000"/>
              <w:bottom w:val="single" w:sz="8" w:space="0" w:color="000000"/>
              <w:right w:val="nil"/>
              <w:tl2br w:val="nil"/>
              <w:tr2bl w:val="nil"/>
            </w:tcBorders>
            <w:shd w:val="clear" w:color="auto" w:fill="006DA7"/>
          </w:tcPr>
          <w:p w14:paraId="3D862334" w14:textId="77777777" w:rsidR="004C6FA8" w:rsidRPr="00E04B6E" w:rsidRDefault="004C6FA8" w:rsidP="00E235AE">
            <w:pPr>
              <w:ind w:left="170" w:right="170"/>
              <w:rPr>
                <w:b/>
                <w:color w:val="FFFFFF" w:themeColor="background1"/>
                <w:lang w:eastAsia="en-AU"/>
              </w:rPr>
            </w:pPr>
            <w:r w:rsidRPr="00E04B6E">
              <w:rPr>
                <w:b/>
                <w:color w:val="FFFFFF" w:themeColor="background1"/>
                <w:lang w:eastAsia="en-AU"/>
              </w:rPr>
              <w:t>Abbreviation</w:t>
            </w:r>
          </w:p>
        </w:tc>
        <w:tc>
          <w:tcPr>
            <w:tcW w:w="6830" w:type="dxa"/>
            <w:tcBorders>
              <w:top w:val="single" w:sz="8" w:space="0" w:color="000000"/>
              <w:left w:val="nil"/>
              <w:bottom w:val="single" w:sz="8" w:space="0" w:color="000000"/>
              <w:right w:val="single" w:sz="8" w:space="0" w:color="000000"/>
              <w:tl2br w:val="nil"/>
              <w:tr2bl w:val="nil"/>
            </w:tcBorders>
            <w:shd w:val="clear" w:color="auto" w:fill="006DA7"/>
          </w:tcPr>
          <w:p w14:paraId="5E015270" w14:textId="77777777" w:rsidR="004C6FA8" w:rsidRPr="00E04B6E" w:rsidRDefault="004C6FA8" w:rsidP="00E235AE">
            <w:pPr>
              <w:ind w:left="170" w:right="170"/>
              <w:rPr>
                <w:b/>
                <w:color w:val="FFFFFF" w:themeColor="background1"/>
                <w:lang w:eastAsia="en-AU"/>
              </w:rPr>
            </w:pPr>
            <w:r w:rsidRPr="00E04B6E">
              <w:rPr>
                <w:b/>
                <w:color w:val="FFFFFF" w:themeColor="background1"/>
                <w:lang w:eastAsia="en-AU"/>
              </w:rPr>
              <w:t>Meaning</w:t>
            </w:r>
          </w:p>
        </w:tc>
      </w:tr>
      <w:tr w:rsidR="005C28FF" w14:paraId="715677C8" w14:textId="77777777" w:rsidTr="004C6FA8">
        <w:tc>
          <w:tcPr>
            <w:tcW w:w="1890" w:type="dxa"/>
            <w:shd w:val="clear" w:color="auto" w:fill="auto"/>
          </w:tcPr>
          <w:p w14:paraId="37BDF1C0" w14:textId="1D3E1750" w:rsidR="005C28FF" w:rsidRDefault="005C28FF" w:rsidP="00E235AE">
            <w:pPr>
              <w:ind w:left="170" w:right="170"/>
              <w:rPr>
                <w:color w:val="000000"/>
                <w:lang w:eastAsia="en-AU"/>
              </w:rPr>
            </w:pPr>
            <w:r>
              <w:rPr>
                <w:color w:val="000000"/>
                <w:lang w:eastAsia="en-AU"/>
              </w:rPr>
              <w:t>ACM</w:t>
            </w:r>
          </w:p>
        </w:tc>
        <w:tc>
          <w:tcPr>
            <w:tcW w:w="6830" w:type="dxa"/>
            <w:shd w:val="clear" w:color="auto" w:fill="auto"/>
          </w:tcPr>
          <w:p w14:paraId="0CF014B1" w14:textId="721121DD" w:rsidR="005C28FF" w:rsidRDefault="005C28FF" w:rsidP="00E235AE">
            <w:pPr>
              <w:ind w:left="170" w:right="170"/>
              <w:rPr>
                <w:color w:val="000000"/>
                <w:lang w:eastAsia="en-AU"/>
              </w:rPr>
            </w:pPr>
            <w:r>
              <w:rPr>
                <w:color w:val="000000"/>
                <w:lang w:eastAsia="en-AU"/>
              </w:rPr>
              <w:t>Advisory Committee on Medicines</w:t>
            </w:r>
          </w:p>
        </w:tc>
      </w:tr>
      <w:tr w:rsidR="00FD5F2E" w14:paraId="1252FD7C" w14:textId="77777777" w:rsidTr="004C6FA8">
        <w:tc>
          <w:tcPr>
            <w:tcW w:w="1890" w:type="dxa"/>
            <w:shd w:val="clear" w:color="auto" w:fill="auto"/>
          </w:tcPr>
          <w:p w14:paraId="53085741" w14:textId="77777777" w:rsidR="00FD5F2E" w:rsidRDefault="00FD5F2E" w:rsidP="00E235AE">
            <w:pPr>
              <w:ind w:left="170" w:right="170"/>
              <w:rPr>
                <w:color w:val="000000"/>
                <w:lang w:eastAsia="en-AU"/>
              </w:rPr>
            </w:pPr>
            <w:r>
              <w:rPr>
                <w:color w:val="000000"/>
                <w:lang w:eastAsia="en-AU"/>
              </w:rPr>
              <w:t>AE</w:t>
            </w:r>
          </w:p>
        </w:tc>
        <w:tc>
          <w:tcPr>
            <w:tcW w:w="6830" w:type="dxa"/>
            <w:shd w:val="clear" w:color="auto" w:fill="auto"/>
          </w:tcPr>
          <w:p w14:paraId="02084530" w14:textId="77777777" w:rsidR="00FD5F2E" w:rsidRDefault="00FD5F2E" w:rsidP="00E235AE">
            <w:pPr>
              <w:ind w:left="170" w:right="170"/>
              <w:rPr>
                <w:color w:val="000000"/>
                <w:lang w:eastAsia="en-AU"/>
              </w:rPr>
            </w:pPr>
            <w:r>
              <w:rPr>
                <w:color w:val="000000"/>
                <w:lang w:eastAsia="en-AU"/>
              </w:rPr>
              <w:t>Adverse event</w:t>
            </w:r>
          </w:p>
        </w:tc>
      </w:tr>
      <w:tr w:rsidR="004C6FA8" w14:paraId="7A56F5F2" w14:textId="77777777" w:rsidTr="004C6FA8">
        <w:tc>
          <w:tcPr>
            <w:tcW w:w="1890" w:type="dxa"/>
            <w:shd w:val="clear" w:color="auto" w:fill="auto"/>
          </w:tcPr>
          <w:p w14:paraId="14D3369F" w14:textId="77777777" w:rsidR="004C6FA8" w:rsidRPr="00E958FF" w:rsidRDefault="004C6FA8" w:rsidP="00E235AE">
            <w:pPr>
              <w:ind w:left="170" w:right="170"/>
              <w:rPr>
                <w:color w:val="000000"/>
                <w:lang w:eastAsia="en-AU"/>
              </w:rPr>
            </w:pPr>
            <w:r>
              <w:rPr>
                <w:color w:val="000000"/>
                <w:lang w:eastAsia="en-AU"/>
              </w:rPr>
              <w:t>ALS</w:t>
            </w:r>
          </w:p>
        </w:tc>
        <w:tc>
          <w:tcPr>
            <w:tcW w:w="6830" w:type="dxa"/>
            <w:shd w:val="clear" w:color="auto" w:fill="auto"/>
          </w:tcPr>
          <w:p w14:paraId="05E34190" w14:textId="77777777" w:rsidR="004C6FA8" w:rsidRPr="00E958FF" w:rsidRDefault="004C6FA8" w:rsidP="00E235AE">
            <w:pPr>
              <w:ind w:left="170" w:right="170"/>
              <w:rPr>
                <w:color w:val="000000"/>
                <w:lang w:eastAsia="en-AU"/>
              </w:rPr>
            </w:pPr>
            <w:r>
              <w:rPr>
                <w:color w:val="000000"/>
                <w:lang w:eastAsia="en-AU"/>
              </w:rPr>
              <w:t>Acid labile subunit</w:t>
            </w:r>
          </w:p>
        </w:tc>
      </w:tr>
      <w:tr w:rsidR="005C28FF" w14:paraId="1A2B85A3" w14:textId="77777777" w:rsidTr="004C6FA8">
        <w:tc>
          <w:tcPr>
            <w:tcW w:w="1890" w:type="dxa"/>
            <w:shd w:val="clear" w:color="auto" w:fill="auto"/>
          </w:tcPr>
          <w:p w14:paraId="0DA1DBFD" w14:textId="12B2743E" w:rsidR="005C28FF" w:rsidRPr="00E958FF" w:rsidRDefault="005C28FF" w:rsidP="00E235AE">
            <w:pPr>
              <w:ind w:left="170" w:right="170"/>
              <w:rPr>
                <w:color w:val="000000"/>
                <w:lang w:eastAsia="en-AU"/>
              </w:rPr>
            </w:pPr>
            <w:r>
              <w:rPr>
                <w:color w:val="000000"/>
                <w:lang w:eastAsia="en-AU"/>
              </w:rPr>
              <w:t>ARTG</w:t>
            </w:r>
          </w:p>
        </w:tc>
        <w:tc>
          <w:tcPr>
            <w:tcW w:w="6830" w:type="dxa"/>
            <w:shd w:val="clear" w:color="auto" w:fill="auto"/>
          </w:tcPr>
          <w:p w14:paraId="15813DC6" w14:textId="63222093" w:rsidR="005C28FF" w:rsidRPr="00E958FF" w:rsidRDefault="005C28FF" w:rsidP="00E235AE">
            <w:pPr>
              <w:ind w:left="170" w:right="170"/>
              <w:rPr>
                <w:color w:val="000000"/>
                <w:lang w:eastAsia="en-AU"/>
              </w:rPr>
            </w:pPr>
            <w:r>
              <w:rPr>
                <w:color w:val="000000"/>
                <w:lang w:eastAsia="en-AU"/>
              </w:rPr>
              <w:t>Australian Register of Therapeutic Goods</w:t>
            </w:r>
          </w:p>
        </w:tc>
      </w:tr>
      <w:tr w:rsidR="004C6FA8" w14:paraId="1A6221ED" w14:textId="77777777" w:rsidTr="004C6FA8">
        <w:tc>
          <w:tcPr>
            <w:tcW w:w="1890" w:type="dxa"/>
            <w:shd w:val="clear" w:color="auto" w:fill="auto"/>
          </w:tcPr>
          <w:p w14:paraId="75262D70" w14:textId="77777777" w:rsidR="004C6FA8" w:rsidRPr="00E958FF" w:rsidRDefault="004C6FA8" w:rsidP="00E235AE">
            <w:pPr>
              <w:ind w:left="170" w:right="170"/>
              <w:rPr>
                <w:color w:val="000000"/>
                <w:lang w:eastAsia="en-AU"/>
              </w:rPr>
            </w:pPr>
            <w:r w:rsidRPr="00E958FF">
              <w:rPr>
                <w:color w:val="000000"/>
                <w:lang w:eastAsia="en-AU"/>
              </w:rPr>
              <w:t>ASA</w:t>
            </w:r>
          </w:p>
        </w:tc>
        <w:tc>
          <w:tcPr>
            <w:tcW w:w="6830" w:type="dxa"/>
            <w:shd w:val="clear" w:color="auto" w:fill="auto"/>
          </w:tcPr>
          <w:p w14:paraId="54AA0A83" w14:textId="2B168D93" w:rsidR="004C6FA8" w:rsidRPr="00E958FF" w:rsidRDefault="004C6FA8" w:rsidP="00E235AE">
            <w:pPr>
              <w:ind w:left="170" w:right="170"/>
              <w:rPr>
                <w:color w:val="000000"/>
                <w:lang w:eastAsia="en-AU"/>
              </w:rPr>
            </w:pPr>
            <w:r w:rsidRPr="00E958FF">
              <w:rPr>
                <w:color w:val="000000"/>
                <w:lang w:eastAsia="en-AU"/>
              </w:rPr>
              <w:t xml:space="preserve">Australian </w:t>
            </w:r>
            <w:r w:rsidR="00C47949">
              <w:rPr>
                <w:color w:val="000000"/>
                <w:lang w:eastAsia="en-AU"/>
              </w:rPr>
              <w:t>s</w:t>
            </w:r>
            <w:r w:rsidRPr="00E958FF">
              <w:rPr>
                <w:color w:val="000000"/>
                <w:lang w:eastAsia="en-AU"/>
              </w:rPr>
              <w:t>pecific Annex</w:t>
            </w:r>
          </w:p>
        </w:tc>
      </w:tr>
      <w:tr w:rsidR="004C6FA8" w14:paraId="30A28AEA" w14:textId="77777777" w:rsidTr="004C6FA8">
        <w:tc>
          <w:tcPr>
            <w:tcW w:w="1890" w:type="dxa"/>
            <w:shd w:val="clear" w:color="auto" w:fill="auto"/>
          </w:tcPr>
          <w:p w14:paraId="41BC4EE0" w14:textId="77777777" w:rsidR="004C6FA8" w:rsidRDefault="004C6FA8" w:rsidP="00E235AE">
            <w:pPr>
              <w:ind w:left="170" w:right="170"/>
              <w:rPr>
                <w:color w:val="000000"/>
                <w:lang w:eastAsia="en-AU"/>
              </w:rPr>
            </w:pPr>
            <w:r>
              <w:rPr>
                <w:color w:val="000000"/>
                <w:lang w:eastAsia="en-AU"/>
              </w:rPr>
              <w:t>BA</w:t>
            </w:r>
          </w:p>
        </w:tc>
        <w:tc>
          <w:tcPr>
            <w:tcW w:w="6830" w:type="dxa"/>
            <w:shd w:val="clear" w:color="auto" w:fill="auto"/>
          </w:tcPr>
          <w:p w14:paraId="702AAFAE" w14:textId="77777777" w:rsidR="004C6FA8" w:rsidRDefault="004C6FA8" w:rsidP="00E235AE">
            <w:pPr>
              <w:ind w:left="170" w:right="170"/>
              <w:rPr>
                <w:color w:val="000000"/>
                <w:lang w:eastAsia="en-AU"/>
              </w:rPr>
            </w:pPr>
            <w:r>
              <w:rPr>
                <w:color w:val="000000"/>
                <w:lang w:eastAsia="en-AU"/>
              </w:rPr>
              <w:t>Benzyl alcohol</w:t>
            </w:r>
          </w:p>
        </w:tc>
      </w:tr>
      <w:tr w:rsidR="004C6FA8" w14:paraId="42545141" w14:textId="77777777" w:rsidTr="004C6FA8">
        <w:tc>
          <w:tcPr>
            <w:tcW w:w="1890" w:type="dxa"/>
            <w:shd w:val="clear" w:color="auto" w:fill="auto"/>
          </w:tcPr>
          <w:p w14:paraId="66B811A4" w14:textId="685404AF" w:rsidR="004C6FA8" w:rsidRPr="00E958FF" w:rsidRDefault="00C47949" w:rsidP="00E235AE">
            <w:pPr>
              <w:ind w:left="170" w:right="170"/>
              <w:rPr>
                <w:color w:val="000000"/>
                <w:lang w:eastAsia="en-AU"/>
              </w:rPr>
            </w:pPr>
            <w:r>
              <w:rPr>
                <w:color w:val="000000"/>
                <w:lang w:eastAsia="en-AU"/>
              </w:rPr>
              <w:t>BD</w:t>
            </w:r>
          </w:p>
        </w:tc>
        <w:tc>
          <w:tcPr>
            <w:tcW w:w="6830" w:type="dxa"/>
            <w:shd w:val="clear" w:color="auto" w:fill="auto"/>
          </w:tcPr>
          <w:p w14:paraId="3E89AA3A" w14:textId="3EBF69EA" w:rsidR="004C6FA8" w:rsidRPr="00E958FF" w:rsidRDefault="004C6FA8" w:rsidP="00E235AE">
            <w:pPr>
              <w:ind w:left="170" w:right="170"/>
              <w:rPr>
                <w:color w:val="000000"/>
                <w:lang w:eastAsia="en-AU"/>
              </w:rPr>
            </w:pPr>
            <w:r>
              <w:rPr>
                <w:color w:val="000000"/>
                <w:lang w:eastAsia="en-AU"/>
              </w:rPr>
              <w:t>Twice daily</w:t>
            </w:r>
            <w:r w:rsidR="005C28FF">
              <w:rPr>
                <w:color w:val="000000"/>
                <w:lang w:eastAsia="en-AU"/>
              </w:rPr>
              <w:t xml:space="preserve"> (Latin: </w:t>
            </w:r>
            <w:proofErr w:type="spellStart"/>
            <w:r w:rsidR="005C28FF" w:rsidRPr="00E235AE">
              <w:rPr>
                <w:i/>
                <w:color w:val="000000"/>
                <w:lang w:eastAsia="en-AU"/>
              </w:rPr>
              <w:t>bis</w:t>
            </w:r>
            <w:proofErr w:type="spellEnd"/>
            <w:r w:rsidR="005C28FF" w:rsidRPr="00E235AE">
              <w:rPr>
                <w:i/>
                <w:color w:val="000000"/>
                <w:lang w:eastAsia="en-AU"/>
              </w:rPr>
              <w:t xml:space="preserve"> in die</w:t>
            </w:r>
            <w:r w:rsidR="005C28FF">
              <w:rPr>
                <w:color w:val="000000"/>
                <w:lang w:eastAsia="en-AU"/>
              </w:rPr>
              <w:t>)</w:t>
            </w:r>
          </w:p>
        </w:tc>
      </w:tr>
      <w:tr w:rsidR="00FD5F2E" w14:paraId="0D3DEFEA" w14:textId="77777777" w:rsidTr="004C6FA8">
        <w:tc>
          <w:tcPr>
            <w:tcW w:w="1890" w:type="dxa"/>
            <w:shd w:val="clear" w:color="auto" w:fill="auto"/>
          </w:tcPr>
          <w:p w14:paraId="37BE10D1" w14:textId="77777777" w:rsidR="00FD5F2E" w:rsidRDefault="00FD5F2E" w:rsidP="00E235AE">
            <w:pPr>
              <w:ind w:left="170" w:right="170"/>
              <w:rPr>
                <w:color w:val="000000"/>
                <w:lang w:eastAsia="en-AU"/>
              </w:rPr>
            </w:pPr>
            <w:r>
              <w:rPr>
                <w:color w:val="000000"/>
                <w:lang w:eastAsia="en-AU"/>
              </w:rPr>
              <w:t>CI</w:t>
            </w:r>
          </w:p>
        </w:tc>
        <w:tc>
          <w:tcPr>
            <w:tcW w:w="6830" w:type="dxa"/>
            <w:shd w:val="clear" w:color="auto" w:fill="auto"/>
          </w:tcPr>
          <w:p w14:paraId="1197F27A" w14:textId="77777777" w:rsidR="00FD5F2E" w:rsidRDefault="00FD5F2E" w:rsidP="00E235AE">
            <w:pPr>
              <w:ind w:left="170" w:right="170"/>
              <w:rPr>
                <w:color w:val="000000"/>
                <w:lang w:eastAsia="en-AU"/>
              </w:rPr>
            </w:pPr>
            <w:r>
              <w:rPr>
                <w:color w:val="000000"/>
                <w:lang w:eastAsia="en-AU"/>
              </w:rPr>
              <w:t>Confidence interval</w:t>
            </w:r>
          </w:p>
        </w:tc>
      </w:tr>
      <w:tr w:rsidR="00FD5F2E" w14:paraId="284C63F6" w14:textId="77777777" w:rsidTr="004C6FA8">
        <w:tc>
          <w:tcPr>
            <w:tcW w:w="1890" w:type="dxa"/>
            <w:shd w:val="clear" w:color="auto" w:fill="auto"/>
          </w:tcPr>
          <w:p w14:paraId="1C29A353" w14:textId="77777777" w:rsidR="00FD5F2E" w:rsidRDefault="00FD5F2E" w:rsidP="00E235AE">
            <w:pPr>
              <w:ind w:left="170" w:right="170"/>
              <w:rPr>
                <w:color w:val="000000"/>
                <w:lang w:eastAsia="en-AU"/>
              </w:rPr>
            </w:pPr>
            <w:r>
              <w:rPr>
                <w:color w:val="000000"/>
                <w:lang w:eastAsia="en-AU"/>
              </w:rPr>
              <w:t>CNS</w:t>
            </w:r>
          </w:p>
        </w:tc>
        <w:tc>
          <w:tcPr>
            <w:tcW w:w="6830" w:type="dxa"/>
            <w:shd w:val="clear" w:color="auto" w:fill="auto"/>
          </w:tcPr>
          <w:p w14:paraId="046B6D4A" w14:textId="77777777" w:rsidR="00FD5F2E" w:rsidRDefault="00FD5F2E" w:rsidP="00E235AE">
            <w:pPr>
              <w:ind w:left="170" w:right="170"/>
              <w:rPr>
                <w:color w:val="000000"/>
                <w:lang w:eastAsia="en-AU"/>
              </w:rPr>
            </w:pPr>
            <w:r>
              <w:rPr>
                <w:color w:val="000000"/>
                <w:lang w:eastAsia="en-AU"/>
              </w:rPr>
              <w:t>Central nervous system</w:t>
            </w:r>
          </w:p>
        </w:tc>
      </w:tr>
      <w:tr w:rsidR="00664BCE" w14:paraId="1C818E06" w14:textId="77777777" w:rsidTr="004C6FA8">
        <w:tc>
          <w:tcPr>
            <w:tcW w:w="1890" w:type="dxa"/>
            <w:shd w:val="clear" w:color="auto" w:fill="auto"/>
          </w:tcPr>
          <w:p w14:paraId="15A39110" w14:textId="77777777" w:rsidR="00664BCE" w:rsidRDefault="00664BCE" w:rsidP="00E235AE">
            <w:pPr>
              <w:ind w:left="170" w:right="170"/>
              <w:rPr>
                <w:color w:val="000000"/>
                <w:lang w:eastAsia="en-AU"/>
              </w:rPr>
            </w:pPr>
            <w:r w:rsidRPr="00FD5F2E">
              <w:t>DLP</w:t>
            </w:r>
          </w:p>
        </w:tc>
        <w:tc>
          <w:tcPr>
            <w:tcW w:w="6830" w:type="dxa"/>
            <w:shd w:val="clear" w:color="auto" w:fill="auto"/>
          </w:tcPr>
          <w:p w14:paraId="3F00CB3C" w14:textId="77777777" w:rsidR="00664BCE" w:rsidRDefault="00664BCE" w:rsidP="00E235AE">
            <w:pPr>
              <w:ind w:left="170" w:right="170"/>
              <w:rPr>
                <w:color w:val="000000"/>
                <w:lang w:eastAsia="en-AU"/>
              </w:rPr>
            </w:pPr>
            <w:r>
              <w:t>Data lock point</w:t>
            </w:r>
          </w:p>
        </w:tc>
      </w:tr>
      <w:tr w:rsidR="004C6FA8" w14:paraId="73757D76" w14:textId="77777777" w:rsidTr="004C6FA8">
        <w:tc>
          <w:tcPr>
            <w:tcW w:w="1890" w:type="dxa"/>
            <w:shd w:val="clear" w:color="auto" w:fill="auto"/>
          </w:tcPr>
          <w:p w14:paraId="31322BC3" w14:textId="77777777" w:rsidR="004C6FA8" w:rsidRPr="00E958FF" w:rsidRDefault="004C6FA8" w:rsidP="00E235AE">
            <w:pPr>
              <w:ind w:left="170" w:right="170"/>
              <w:rPr>
                <w:color w:val="000000"/>
                <w:lang w:eastAsia="en-AU"/>
              </w:rPr>
            </w:pPr>
            <w:r w:rsidRPr="00E958FF">
              <w:rPr>
                <w:color w:val="000000"/>
                <w:lang w:eastAsia="en-AU"/>
              </w:rPr>
              <w:t>EMA</w:t>
            </w:r>
          </w:p>
        </w:tc>
        <w:tc>
          <w:tcPr>
            <w:tcW w:w="6830" w:type="dxa"/>
            <w:shd w:val="clear" w:color="auto" w:fill="auto"/>
          </w:tcPr>
          <w:p w14:paraId="6CC5986D" w14:textId="7D270C0C" w:rsidR="004C6FA8" w:rsidRPr="00E958FF" w:rsidRDefault="004C6FA8" w:rsidP="00E235AE">
            <w:pPr>
              <w:ind w:left="170" w:right="170"/>
              <w:rPr>
                <w:color w:val="000000"/>
                <w:lang w:eastAsia="en-AU"/>
              </w:rPr>
            </w:pPr>
            <w:r w:rsidRPr="00E958FF">
              <w:rPr>
                <w:color w:val="000000"/>
                <w:lang w:eastAsia="en-AU"/>
              </w:rPr>
              <w:t>European Medicine Agency</w:t>
            </w:r>
            <w:r w:rsidR="00C47949">
              <w:rPr>
                <w:color w:val="000000"/>
                <w:lang w:eastAsia="en-AU"/>
              </w:rPr>
              <w:t xml:space="preserve"> (EU)</w:t>
            </w:r>
          </w:p>
        </w:tc>
      </w:tr>
      <w:tr w:rsidR="00C47949" w14:paraId="51CDCD5D" w14:textId="77777777" w:rsidTr="004C6FA8">
        <w:tc>
          <w:tcPr>
            <w:tcW w:w="1890" w:type="dxa"/>
            <w:shd w:val="clear" w:color="auto" w:fill="auto"/>
          </w:tcPr>
          <w:p w14:paraId="5B90F2DF" w14:textId="5F4C3C54" w:rsidR="00C47949" w:rsidRPr="00E958FF" w:rsidRDefault="00C47949" w:rsidP="00E235AE">
            <w:pPr>
              <w:ind w:left="170" w:right="170"/>
              <w:rPr>
                <w:color w:val="000000"/>
                <w:lang w:eastAsia="en-AU"/>
              </w:rPr>
            </w:pPr>
            <w:r>
              <w:rPr>
                <w:color w:val="000000"/>
                <w:lang w:eastAsia="en-AU"/>
              </w:rPr>
              <w:t>EU</w:t>
            </w:r>
          </w:p>
        </w:tc>
        <w:tc>
          <w:tcPr>
            <w:tcW w:w="6830" w:type="dxa"/>
            <w:shd w:val="clear" w:color="auto" w:fill="auto"/>
          </w:tcPr>
          <w:p w14:paraId="62C24494" w14:textId="0AB350AA" w:rsidR="00C47949" w:rsidRPr="00E958FF" w:rsidRDefault="00C47949" w:rsidP="00E235AE">
            <w:pPr>
              <w:ind w:left="170" w:right="170"/>
              <w:rPr>
                <w:color w:val="000000"/>
                <w:lang w:eastAsia="en-AU"/>
              </w:rPr>
            </w:pPr>
            <w:r>
              <w:rPr>
                <w:color w:val="000000"/>
                <w:lang w:eastAsia="en-AU"/>
              </w:rPr>
              <w:t>European Union</w:t>
            </w:r>
          </w:p>
        </w:tc>
      </w:tr>
      <w:tr w:rsidR="00664BCE" w14:paraId="0985263E" w14:textId="77777777" w:rsidTr="004C6FA8">
        <w:tc>
          <w:tcPr>
            <w:tcW w:w="1890" w:type="dxa"/>
            <w:shd w:val="clear" w:color="auto" w:fill="auto"/>
          </w:tcPr>
          <w:p w14:paraId="7D5B1F69" w14:textId="77777777" w:rsidR="00664BCE" w:rsidRPr="00E958FF" w:rsidRDefault="00664BCE" w:rsidP="00E235AE">
            <w:pPr>
              <w:ind w:left="170" w:right="170"/>
              <w:rPr>
                <w:color w:val="000000"/>
                <w:lang w:eastAsia="en-AU"/>
              </w:rPr>
            </w:pPr>
            <w:r w:rsidRPr="00FD5F2E">
              <w:t>EU-RMP</w:t>
            </w:r>
          </w:p>
        </w:tc>
        <w:tc>
          <w:tcPr>
            <w:tcW w:w="6830" w:type="dxa"/>
            <w:shd w:val="clear" w:color="auto" w:fill="auto"/>
          </w:tcPr>
          <w:p w14:paraId="2BD0EF9D" w14:textId="3F152EFD" w:rsidR="00664BCE" w:rsidRPr="00E958FF" w:rsidRDefault="00664BCE" w:rsidP="00E235AE">
            <w:pPr>
              <w:ind w:left="170" w:right="170"/>
              <w:rPr>
                <w:color w:val="000000"/>
                <w:lang w:eastAsia="en-AU"/>
              </w:rPr>
            </w:pPr>
            <w:r>
              <w:t>European Union-</w:t>
            </w:r>
            <w:r w:rsidR="00C47949">
              <w:t>risk management plan</w:t>
            </w:r>
          </w:p>
        </w:tc>
      </w:tr>
      <w:tr w:rsidR="00FD5F2E" w14:paraId="7FAD3A11" w14:textId="77777777" w:rsidTr="004C6FA8">
        <w:tc>
          <w:tcPr>
            <w:tcW w:w="1890" w:type="dxa"/>
            <w:shd w:val="clear" w:color="auto" w:fill="auto"/>
          </w:tcPr>
          <w:p w14:paraId="5418C195" w14:textId="77777777" w:rsidR="00FD5F2E" w:rsidRPr="00E958FF" w:rsidRDefault="00FD5F2E" w:rsidP="00E235AE">
            <w:pPr>
              <w:ind w:left="170" w:right="170"/>
              <w:rPr>
                <w:color w:val="000000"/>
                <w:lang w:eastAsia="en-AU"/>
              </w:rPr>
            </w:pPr>
            <w:r>
              <w:rPr>
                <w:color w:val="000000"/>
                <w:lang w:eastAsia="en-AU"/>
              </w:rPr>
              <w:t>FDA</w:t>
            </w:r>
          </w:p>
        </w:tc>
        <w:tc>
          <w:tcPr>
            <w:tcW w:w="6830" w:type="dxa"/>
            <w:shd w:val="clear" w:color="auto" w:fill="auto"/>
          </w:tcPr>
          <w:p w14:paraId="54C75FA6" w14:textId="77777777" w:rsidR="00FD5F2E" w:rsidRPr="00E958FF" w:rsidRDefault="00FD5F2E" w:rsidP="00E235AE">
            <w:pPr>
              <w:ind w:left="170" w:right="170"/>
              <w:rPr>
                <w:color w:val="000000"/>
                <w:lang w:eastAsia="en-AU"/>
              </w:rPr>
            </w:pPr>
            <w:r>
              <w:rPr>
                <w:color w:val="000000"/>
                <w:lang w:eastAsia="en-AU"/>
              </w:rPr>
              <w:t>Food and Drug Administration (USA)</w:t>
            </w:r>
          </w:p>
        </w:tc>
      </w:tr>
      <w:tr w:rsidR="004C6FA8" w14:paraId="469D5CE1" w14:textId="77777777" w:rsidTr="004C6FA8">
        <w:tc>
          <w:tcPr>
            <w:tcW w:w="1890" w:type="dxa"/>
            <w:shd w:val="clear" w:color="auto" w:fill="auto"/>
          </w:tcPr>
          <w:p w14:paraId="3399AB6B" w14:textId="77777777" w:rsidR="004C6FA8" w:rsidRPr="00E958FF" w:rsidRDefault="004C6FA8" w:rsidP="00E235AE">
            <w:pPr>
              <w:ind w:left="170" w:right="170"/>
              <w:rPr>
                <w:color w:val="000000"/>
                <w:lang w:eastAsia="en-AU"/>
              </w:rPr>
            </w:pPr>
            <w:r w:rsidRPr="00E958FF">
              <w:rPr>
                <w:color w:val="000000"/>
                <w:lang w:eastAsia="en-AU"/>
              </w:rPr>
              <w:t>GH</w:t>
            </w:r>
          </w:p>
        </w:tc>
        <w:tc>
          <w:tcPr>
            <w:tcW w:w="6830" w:type="dxa"/>
            <w:shd w:val="clear" w:color="auto" w:fill="auto"/>
          </w:tcPr>
          <w:p w14:paraId="2951EA7C" w14:textId="711A39E1" w:rsidR="004C6FA8" w:rsidRPr="00E958FF" w:rsidRDefault="004C6FA8" w:rsidP="00E235AE">
            <w:pPr>
              <w:ind w:left="170" w:right="170"/>
              <w:rPr>
                <w:color w:val="000000"/>
                <w:lang w:eastAsia="en-AU"/>
              </w:rPr>
            </w:pPr>
            <w:r w:rsidRPr="00E958FF">
              <w:rPr>
                <w:color w:val="000000"/>
                <w:lang w:eastAsia="en-AU"/>
              </w:rPr>
              <w:t xml:space="preserve">Growth </w:t>
            </w:r>
            <w:r w:rsidR="00C47949">
              <w:rPr>
                <w:color w:val="000000"/>
                <w:lang w:eastAsia="en-AU"/>
              </w:rPr>
              <w:t>h</w:t>
            </w:r>
            <w:r w:rsidRPr="00E958FF">
              <w:rPr>
                <w:color w:val="000000"/>
                <w:lang w:eastAsia="en-AU"/>
              </w:rPr>
              <w:t>ormone</w:t>
            </w:r>
          </w:p>
        </w:tc>
      </w:tr>
      <w:tr w:rsidR="004C6FA8" w14:paraId="75F321E4" w14:textId="77777777" w:rsidTr="004C6FA8">
        <w:tc>
          <w:tcPr>
            <w:tcW w:w="1890" w:type="dxa"/>
            <w:shd w:val="clear" w:color="auto" w:fill="auto"/>
          </w:tcPr>
          <w:p w14:paraId="1E0108AB" w14:textId="77777777" w:rsidR="004C6FA8" w:rsidRPr="00E958FF" w:rsidRDefault="004C6FA8" w:rsidP="00E235AE">
            <w:pPr>
              <w:ind w:left="170" w:right="170"/>
              <w:rPr>
                <w:color w:val="000000"/>
                <w:lang w:eastAsia="en-AU"/>
              </w:rPr>
            </w:pPr>
            <w:r w:rsidRPr="00E958FF">
              <w:rPr>
                <w:color w:val="000000"/>
                <w:lang w:eastAsia="en-AU"/>
              </w:rPr>
              <w:t>GHR</w:t>
            </w:r>
          </w:p>
        </w:tc>
        <w:tc>
          <w:tcPr>
            <w:tcW w:w="6830" w:type="dxa"/>
            <w:shd w:val="clear" w:color="auto" w:fill="auto"/>
          </w:tcPr>
          <w:p w14:paraId="28B6554D" w14:textId="0D57EC1A" w:rsidR="004C6FA8" w:rsidRPr="00E958FF" w:rsidRDefault="004C6FA8" w:rsidP="00E235AE">
            <w:pPr>
              <w:ind w:left="170" w:right="170"/>
              <w:rPr>
                <w:color w:val="000000"/>
                <w:lang w:eastAsia="en-AU"/>
              </w:rPr>
            </w:pPr>
            <w:r w:rsidRPr="00E958FF">
              <w:rPr>
                <w:color w:val="000000"/>
                <w:lang w:eastAsia="en-AU"/>
              </w:rPr>
              <w:t xml:space="preserve">Growth </w:t>
            </w:r>
            <w:r w:rsidR="00C47949">
              <w:rPr>
                <w:color w:val="000000"/>
                <w:lang w:eastAsia="en-AU"/>
              </w:rPr>
              <w:t>h</w:t>
            </w:r>
            <w:r w:rsidRPr="00E958FF">
              <w:rPr>
                <w:color w:val="000000"/>
                <w:lang w:eastAsia="en-AU"/>
              </w:rPr>
              <w:t>ormone receptor</w:t>
            </w:r>
          </w:p>
        </w:tc>
      </w:tr>
      <w:tr w:rsidR="004C6FA8" w14:paraId="2836152D" w14:textId="77777777" w:rsidTr="004C6FA8">
        <w:tc>
          <w:tcPr>
            <w:tcW w:w="1890" w:type="dxa"/>
            <w:shd w:val="clear" w:color="auto" w:fill="auto"/>
          </w:tcPr>
          <w:p w14:paraId="0B682D81" w14:textId="77777777" w:rsidR="004C6FA8" w:rsidRPr="00E958FF" w:rsidRDefault="004C6FA8" w:rsidP="00E235AE">
            <w:pPr>
              <w:ind w:left="170" w:right="170"/>
              <w:rPr>
                <w:color w:val="000000"/>
                <w:lang w:eastAsia="en-AU"/>
              </w:rPr>
            </w:pPr>
            <w:r w:rsidRPr="00E958FF">
              <w:rPr>
                <w:color w:val="000000"/>
                <w:lang w:eastAsia="en-AU"/>
              </w:rPr>
              <w:t>IGF-1</w:t>
            </w:r>
          </w:p>
        </w:tc>
        <w:tc>
          <w:tcPr>
            <w:tcW w:w="6830" w:type="dxa"/>
            <w:shd w:val="clear" w:color="auto" w:fill="auto"/>
          </w:tcPr>
          <w:p w14:paraId="36A66323" w14:textId="77777777" w:rsidR="004C6FA8" w:rsidRPr="00E958FF" w:rsidRDefault="004C6FA8" w:rsidP="00E235AE">
            <w:pPr>
              <w:ind w:left="170" w:right="170"/>
              <w:rPr>
                <w:color w:val="000000"/>
                <w:lang w:eastAsia="en-AU"/>
              </w:rPr>
            </w:pPr>
            <w:r w:rsidRPr="00E958FF">
              <w:rPr>
                <w:color w:val="000000"/>
                <w:lang w:eastAsia="en-AU"/>
              </w:rPr>
              <w:t>Insulin-like growth factor 1</w:t>
            </w:r>
          </w:p>
        </w:tc>
      </w:tr>
      <w:tr w:rsidR="004C6FA8" w14:paraId="4CC7F895" w14:textId="77777777" w:rsidTr="004C6FA8">
        <w:tc>
          <w:tcPr>
            <w:tcW w:w="1890" w:type="dxa"/>
            <w:shd w:val="clear" w:color="auto" w:fill="auto"/>
          </w:tcPr>
          <w:p w14:paraId="3DD7228F" w14:textId="77777777" w:rsidR="004C6FA8" w:rsidRPr="00E958FF" w:rsidRDefault="004C6FA8" w:rsidP="00E235AE">
            <w:pPr>
              <w:ind w:left="170" w:right="170"/>
              <w:rPr>
                <w:color w:val="000000"/>
                <w:lang w:eastAsia="en-AU"/>
              </w:rPr>
            </w:pPr>
            <w:r>
              <w:rPr>
                <w:color w:val="000000"/>
                <w:lang w:eastAsia="en-AU"/>
              </w:rPr>
              <w:t>IGF-BP3</w:t>
            </w:r>
          </w:p>
        </w:tc>
        <w:tc>
          <w:tcPr>
            <w:tcW w:w="6830" w:type="dxa"/>
            <w:shd w:val="clear" w:color="auto" w:fill="auto"/>
          </w:tcPr>
          <w:p w14:paraId="01559F2B" w14:textId="695B2C82" w:rsidR="004C6FA8" w:rsidRPr="00E958FF" w:rsidRDefault="004C6FA8" w:rsidP="00E235AE">
            <w:pPr>
              <w:ind w:left="170" w:right="170"/>
              <w:rPr>
                <w:color w:val="000000"/>
                <w:lang w:eastAsia="en-AU"/>
              </w:rPr>
            </w:pPr>
            <w:r>
              <w:rPr>
                <w:color w:val="000000"/>
                <w:lang w:eastAsia="en-AU"/>
              </w:rPr>
              <w:t>I</w:t>
            </w:r>
            <w:r w:rsidR="00C47949">
              <w:rPr>
                <w:color w:val="000000"/>
                <w:lang w:eastAsia="en-AU"/>
              </w:rPr>
              <w:t xml:space="preserve">nsulin-like growth factor </w:t>
            </w:r>
            <w:r>
              <w:rPr>
                <w:color w:val="000000"/>
                <w:lang w:eastAsia="en-AU"/>
              </w:rPr>
              <w:t>binding protein 3</w:t>
            </w:r>
          </w:p>
        </w:tc>
      </w:tr>
      <w:tr w:rsidR="004C6FA8" w14:paraId="535004E9" w14:textId="77777777" w:rsidTr="004C6FA8">
        <w:tc>
          <w:tcPr>
            <w:tcW w:w="1890" w:type="dxa"/>
            <w:shd w:val="clear" w:color="auto" w:fill="auto"/>
          </w:tcPr>
          <w:p w14:paraId="2E983C4E" w14:textId="77777777" w:rsidR="004C6FA8" w:rsidRPr="00E958FF" w:rsidRDefault="004C6FA8" w:rsidP="00E235AE">
            <w:pPr>
              <w:ind w:left="170" w:right="170"/>
              <w:rPr>
                <w:color w:val="000000"/>
                <w:lang w:eastAsia="en-AU"/>
              </w:rPr>
            </w:pPr>
            <w:r w:rsidRPr="00E958FF">
              <w:rPr>
                <w:color w:val="000000"/>
                <w:lang w:eastAsia="en-AU"/>
              </w:rPr>
              <w:t>IGFD</w:t>
            </w:r>
          </w:p>
        </w:tc>
        <w:tc>
          <w:tcPr>
            <w:tcW w:w="6830" w:type="dxa"/>
            <w:shd w:val="clear" w:color="auto" w:fill="auto"/>
          </w:tcPr>
          <w:p w14:paraId="214E48EA" w14:textId="48471E1F" w:rsidR="004C6FA8" w:rsidRPr="00E958FF" w:rsidRDefault="004C6FA8" w:rsidP="00E235AE">
            <w:pPr>
              <w:ind w:left="170" w:right="170"/>
              <w:rPr>
                <w:color w:val="000000"/>
                <w:lang w:eastAsia="en-AU"/>
              </w:rPr>
            </w:pPr>
            <w:r w:rsidRPr="00E958FF">
              <w:rPr>
                <w:color w:val="000000"/>
                <w:lang w:eastAsia="en-AU"/>
              </w:rPr>
              <w:t xml:space="preserve">Insulin-like </w:t>
            </w:r>
            <w:r w:rsidR="00C47949" w:rsidRPr="00E958FF">
              <w:rPr>
                <w:color w:val="000000"/>
                <w:lang w:eastAsia="en-AU"/>
              </w:rPr>
              <w:t>growth factor 1 deficiency</w:t>
            </w:r>
          </w:p>
        </w:tc>
      </w:tr>
      <w:tr w:rsidR="00FD5F2E" w14:paraId="54DFDC1F" w14:textId="77777777" w:rsidTr="004C6FA8">
        <w:tc>
          <w:tcPr>
            <w:tcW w:w="1890" w:type="dxa"/>
            <w:shd w:val="clear" w:color="auto" w:fill="auto"/>
          </w:tcPr>
          <w:p w14:paraId="3FD9388F" w14:textId="77777777" w:rsidR="00FD5F2E" w:rsidRPr="00E958FF" w:rsidRDefault="00FD5F2E" w:rsidP="00E235AE">
            <w:pPr>
              <w:ind w:left="170" w:right="170"/>
              <w:rPr>
                <w:color w:val="000000"/>
                <w:lang w:eastAsia="en-AU"/>
              </w:rPr>
            </w:pPr>
            <w:r>
              <w:rPr>
                <w:color w:val="000000"/>
                <w:lang w:eastAsia="en-AU"/>
              </w:rPr>
              <w:t>IV</w:t>
            </w:r>
          </w:p>
        </w:tc>
        <w:tc>
          <w:tcPr>
            <w:tcW w:w="6830" w:type="dxa"/>
            <w:shd w:val="clear" w:color="auto" w:fill="auto"/>
          </w:tcPr>
          <w:p w14:paraId="0B5B9E98" w14:textId="77777777" w:rsidR="00FD5F2E" w:rsidRPr="00E958FF" w:rsidRDefault="00FD5F2E" w:rsidP="00E235AE">
            <w:pPr>
              <w:ind w:left="170" w:right="170"/>
              <w:rPr>
                <w:color w:val="000000"/>
                <w:lang w:eastAsia="en-AU"/>
              </w:rPr>
            </w:pPr>
            <w:r>
              <w:rPr>
                <w:color w:val="000000"/>
                <w:lang w:eastAsia="en-AU"/>
              </w:rPr>
              <w:t>Intravenous</w:t>
            </w:r>
          </w:p>
        </w:tc>
      </w:tr>
      <w:tr w:rsidR="004C6FA8" w14:paraId="279E92B6" w14:textId="77777777" w:rsidTr="004C6FA8">
        <w:tc>
          <w:tcPr>
            <w:tcW w:w="1890" w:type="dxa"/>
            <w:shd w:val="clear" w:color="auto" w:fill="auto"/>
          </w:tcPr>
          <w:p w14:paraId="2B0C863A" w14:textId="77777777" w:rsidR="004C6FA8" w:rsidRPr="00E958FF" w:rsidRDefault="004C6FA8" w:rsidP="00E235AE">
            <w:pPr>
              <w:ind w:left="170" w:right="170"/>
              <w:rPr>
                <w:color w:val="000000"/>
                <w:lang w:eastAsia="en-AU"/>
              </w:rPr>
            </w:pPr>
            <w:r w:rsidRPr="00E958FF">
              <w:rPr>
                <w:color w:val="000000"/>
                <w:lang w:eastAsia="en-AU"/>
              </w:rPr>
              <w:t>PIGFD</w:t>
            </w:r>
          </w:p>
        </w:tc>
        <w:tc>
          <w:tcPr>
            <w:tcW w:w="6830" w:type="dxa"/>
            <w:shd w:val="clear" w:color="auto" w:fill="auto"/>
          </w:tcPr>
          <w:p w14:paraId="1A86274E" w14:textId="1192537E" w:rsidR="004C6FA8" w:rsidRPr="00E958FF" w:rsidRDefault="00C47949" w:rsidP="00E235AE">
            <w:pPr>
              <w:ind w:left="170" w:right="170"/>
              <w:rPr>
                <w:color w:val="000000"/>
                <w:lang w:eastAsia="en-AU"/>
              </w:rPr>
            </w:pPr>
            <w:r>
              <w:rPr>
                <w:color w:val="000000"/>
                <w:lang w:eastAsia="en-AU"/>
              </w:rPr>
              <w:t>P</w:t>
            </w:r>
            <w:r w:rsidRPr="00E958FF">
              <w:rPr>
                <w:color w:val="000000"/>
                <w:lang w:eastAsia="en-AU"/>
              </w:rPr>
              <w:t>rimary insulin-like growth factor deficiency</w:t>
            </w:r>
          </w:p>
        </w:tc>
      </w:tr>
      <w:tr w:rsidR="004C6FA8" w14:paraId="1CC8D035" w14:textId="77777777" w:rsidTr="004C6FA8">
        <w:tc>
          <w:tcPr>
            <w:tcW w:w="1890" w:type="dxa"/>
            <w:shd w:val="clear" w:color="auto" w:fill="auto"/>
          </w:tcPr>
          <w:p w14:paraId="096F0C83" w14:textId="77777777" w:rsidR="004C6FA8" w:rsidRPr="00E958FF" w:rsidRDefault="004C6FA8" w:rsidP="00E235AE">
            <w:pPr>
              <w:ind w:left="170" w:right="170"/>
              <w:rPr>
                <w:color w:val="000000"/>
                <w:lang w:eastAsia="en-AU"/>
              </w:rPr>
            </w:pPr>
            <w:r w:rsidRPr="00E958FF">
              <w:rPr>
                <w:color w:val="000000"/>
                <w:lang w:eastAsia="en-AU"/>
              </w:rPr>
              <w:t>PK</w:t>
            </w:r>
          </w:p>
        </w:tc>
        <w:tc>
          <w:tcPr>
            <w:tcW w:w="6830" w:type="dxa"/>
            <w:shd w:val="clear" w:color="auto" w:fill="auto"/>
          </w:tcPr>
          <w:p w14:paraId="043FC081" w14:textId="40843306" w:rsidR="004C6FA8" w:rsidRPr="00E958FF" w:rsidRDefault="004C6FA8" w:rsidP="00E235AE">
            <w:pPr>
              <w:ind w:left="170" w:right="170"/>
              <w:rPr>
                <w:color w:val="000000"/>
                <w:lang w:eastAsia="en-AU"/>
              </w:rPr>
            </w:pPr>
            <w:r w:rsidRPr="00E958FF">
              <w:rPr>
                <w:color w:val="000000"/>
                <w:lang w:eastAsia="en-AU"/>
              </w:rPr>
              <w:t>Pharmacokinetic</w:t>
            </w:r>
            <w:r w:rsidR="00C47949">
              <w:rPr>
                <w:color w:val="000000"/>
                <w:lang w:eastAsia="en-AU"/>
              </w:rPr>
              <w:t>(s)</w:t>
            </w:r>
          </w:p>
        </w:tc>
      </w:tr>
      <w:tr w:rsidR="004C6FA8" w14:paraId="509F0297" w14:textId="77777777" w:rsidTr="004C6FA8">
        <w:tc>
          <w:tcPr>
            <w:tcW w:w="1890" w:type="dxa"/>
            <w:shd w:val="clear" w:color="auto" w:fill="auto"/>
          </w:tcPr>
          <w:p w14:paraId="5EE855B2" w14:textId="77777777" w:rsidR="004C6FA8" w:rsidRPr="00E958FF" w:rsidRDefault="004C6FA8" w:rsidP="00E235AE">
            <w:pPr>
              <w:ind w:left="170" w:right="170"/>
              <w:rPr>
                <w:color w:val="000000"/>
                <w:lang w:eastAsia="en-AU"/>
              </w:rPr>
            </w:pPr>
            <w:r w:rsidRPr="00E958FF">
              <w:rPr>
                <w:color w:val="000000"/>
                <w:lang w:eastAsia="en-AU"/>
              </w:rPr>
              <w:t>rhIGF-1</w:t>
            </w:r>
          </w:p>
        </w:tc>
        <w:tc>
          <w:tcPr>
            <w:tcW w:w="6830" w:type="dxa"/>
            <w:shd w:val="clear" w:color="auto" w:fill="auto"/>
          </w:tcPr>
          <w:p w14:paraId="122C82B5" w14:textId="23772D8B" w:rsidR="004C6FA8" w:rsidRPr="00E958FF" w:rsidRDefault="00BB05B7" w:rsidP="00E235AE">
            <w:pPr>
              <w:ind w:left="170" w:right="170"/>
              <w:rPr>
                <w:color w:val="000000"/>
                <w:lang w:eastAsia="en-AU"/>
              </w:rPr>
            </w:pPr>
            <w:r>
              <w:rPr>
                <w:rFonts w:asciiTheme="minorHAnsi" w:hAnsiTheme="minorHAnsi"/>
              </w:rPr>
              <w:t>R</w:t>
            </w:r>
            <w:r w:rsidRPr="008E2592">
              <w:rPr>
                <w:rFonts w:asciiTheme="minorHAnsi" w:hAnsiTheme="minorHAnsi"/>
              </w:rPr>
              <w:t>ecombinant huma</w:t>
            </w:r>
            <w:r>
              <w:rPr>
                <w:rFonts w:asciiTheme="minorHAnsi" w:hAnsiTheme="minorHAnsi"/>
              </w:rPr>
              <w:t>n insulin-like growth factor-1</w:t>
            </w:r>
          </w:p>
        </w:tc>
      </w:tr>
      <w:tr w:rsidR="005C28FF" w14:paraId="788FD8CD" w14:textId="77777777" w:rsidTr="004C6FA8">
        <w:tc>
          <w:tcPr>
            <w:tcW w:w="1890" w:type="dxa"/>
            <w:shd w:val="clear" w:color="auto" w:fill="auto"/>
          </w:tcPr>
          <w:p w14:paraId="01B2FD6C" w14:textId="417D2A88" w:rsidR="005C28FF" w:rsidRPr="00E958FF" w:rsidRDefault="005C28FF" w:rsidP="00E235AE">
            <w:pPr>
              <w:ind w:left="170" w:right="170"/>
              <w:rPr>
                <w:color w:val="000000"/>
                <w:lang w:eastAsia="en-AU"/>
              </w:rPr>
            </w:pPr>
            <w:r>
              <w:rPr>
                <w:color w:val="000000"/>
                <w:lang w:eastAsia="en-AU"/>
              </w:rPr>
              <w:t>RMP</w:t>
            </w:r>
          </w:p>
        </w:tc>
        <w:tc>
          <w:tcPr>
            <w:tcW w:w="6830" w:type="dxa"/>
            <w:shd w:val="clear" w:color="auto" w:fill="auto"/>
          </w:tcPr>
          <w:p w14:paraId="4AB0B801" w14:textId="79D57932" w:rsidR="005C28FF" w:rsidRPr="00E958FF" w:rsidRDefault="005C28FF" w:rsidP="00E235AE">
            <w:pPr>
              <w:ind w:left="170" w:right="170"/>
              <w:rPr>
                <w:color w:val="000000"/>
                <w:lang w:eastAsia="en-AU"/>
              </w:rPr>
            </w:pPr>
            <w:r>
              <w:rPr>
                <w:color w:val="000000"/>
                <w:lang w:eastAsia="en-AU"/>
              </w:rPr>
              <w:t>Risk management plan</w:t>
            </w:r>
          </w:p>
        </w:tc>
      </w:tr>
      <w:tr w:rsidR="004C6FA8" w14:paraId="02EB190A" w14:textId="77777777" w:rsidTr="004C6FA8">
        <w:tc>
          <w:tcPr>
            <w:tcW w:w="1890" w:type="dxa"/>
            <w:shd w:val="clear" w:color="auto" w:fill="auto"/>
          </w:tcPr>
          <w:p w14:paraId="7F333477" w14:textId="77777777" w:rsidR="004C6FA8" w:rsidRPr="00E958FF" w:rsidRDefault="005608C9" w:rsidP="00E235AE">
            <w:pPr>
              <w:ind w:left="170" w:right="170"/>
              <w:rPr>
                <w:color w:val="000000"/>
                <w:lang w:eastAsia="en-AU"/>
              </w:rPr>
            </w:pPr>
            <w:r>
              <w:rPr>
                <w:color w:val="000000"/>
                <w:lang w:eastAsia="en-AU"/>
              </w:rPr>
              <w:t>SC</w:t>
            </w:r>
          </w:p>
        </w:tc>
        <w:tc>
          <w:tcPr>
            <w:tcW w:w="6830" w:type="dxa"/>
            <w:shd w:val="clear" w:color="auto" w:fill="auto"/>
          </w:tcPr>
          <w:p w14:paraId="6A70C2B9" w14:textId="77777777" w:rsidR="004C6FA8" w:rsidRPr="00E958FF" w:rsidRDefault="007E0FF1" w:rsidP="00E235AE">
            <w:pPr>
              <w:ind w:left="170" w:right="170"/>
              <w:rPr>
                <w:color w:val="000000"/>
                <w:lang w:eastAsia="en-AU"/>
              </w:rPr>
            </w:pPr>
            <w:r>
              <w:rPr>
                <w:color w:val="000000"/>
                <w:lang w:eastAsia="en-AU"/>
              </w:rPr>
              <w:t>S</w:t>
            </w:r>
            <w:r w:rsidR="004C6FA8">
              <w:rPr>
                <w:color w:val="000000"/>
                <w:lang w:eastAsia="en-AU"/>
              </w:rPr>
              <w:t>ubcutaneous</w:t>
            </w:r>
          </w:p>
        </w:tc>
      </w:tr>
      <w:tr w:rsidR="004C6FA8" w14:paraId="678C1447" w14:textId="77777777" w:rsidTr="004C6FA8">
        <w:tc>
          <w:tcPr>
            <w:tcW w:w="1890" w:type="dxa"/>
            <w:shd w:val="clear" w:color="auto" w:fill="auto"/>
          </w:tcPr>
          <w:p w14:paraId="102C4258" w14:textId="77777777" w:rsidR="004C6FA8" w:rsidRPr="00E958FF" w:rsidRDefault="004C6FA8" w:rsidP="00E235AE">
            <w:pPr>
              <w:ind w:left="170" w:right="170"/>
              <w:rPr>
                <w:color w:val="000000"/>
                <w:lang w:eastAsia="en-AU"/>
              </w:rPr>
            </w:pPr>
            <w:r w:rsidRPr="00E958FF">
              <w:rPr>
                <w:color w:val="000000"/>
                <w:lang w:eastAsia="en-AU"/>
              </w:rPr>
              <w:lastRenderedPageBreak/>
              <w:t>SD</w:t>
            </w:r>
          </w:p>
        </w:tc>
        <w:tc>
          <w:tcPr>
            <w:tcW w:w="6830" w:type="dxa"/>
            <w:shd w:val="clear" w:color="auto" w:fill="auto"/>
          </w:tcPr>
          <w:p w14:paraId="0CF9D5CF" w14:textId="7A26C37A" w:rsidR="004C6FA8" w:rsidRPr="00E958FF" w:rsidRDefault="004C6FA8" w:rsidP="00E235AE">
            <w:pPr>
              <w:ind w:left="170" w:right="170"/>
              <w:rPr>
                <w:color w:val="000000"/>
                <w:lang w:eastAsia="en-AU"/>
              </w:rPr>
            </w:pPr>
            <w:r w:rsidRPr="00E958FF">
              <w:rPr>
                <w:color w:val="000000"/>
                <w:lang w:eastAsia="en-AU"/>
              </w:rPr>
              <w:t xml:space="preserve">Standard </w:t>
            </w:r>
            <w:r w:rsidR="00C47949">
              <w:rPr>
                <w:color w:val="000000"/>
                <w:lang w:eastAsia="en-AU"/>
              </w:rPr>
              <w:t>d</w:t>
            </w:r>
            <w:r w:rsidRPr="00E958FF">
              <w:rPr>
                <w:color w:val="000000"/>
                <w:lang w:eastAsia="en-AU"/>
              </w:rPr>
              <w:t>eviation</w:t>
            </w:r>
          </w:p>
        </w:tc>
      </w:tr>
      <w:tr w:rsidR="00FF7059" w14:paraId="28195562" w14:textId="77777777" w:rsidTr="004C6FA8">
        <w:tc>
          <w:tcPr>
            <w:tcW w:w="1890" w:type="dxa"/>
            <w:shd w:val="clear" w:color="auto" w:fill="auto"/>
          </w:tcPr>
          <w:p w14:paraId="03F2DCD6" w14:textId="77777777" w:rsidR="00FF7059" w:rsidRPr="00E958FF" w:rsidRDefault="00FF7059" w:rsidP="00E235AE">
            <w:pPr>
              <w:ind w:left="170" w:right="170"/>
              <w:rPr>
                <w:color w:val="000000"/>
                <w:lang w:eastAsia="en-AU"/>
              </w:rPr>
            </w:pPr>
            <w:r>
              <w:rPr>
                <w:color w:val="000000"/>
                <w:lang w:eastAsia="en-AU"/>
              </w:rPr>
              <w:t>SDS</w:t>
            </w:r>
          </w:p>
        </w:tc>
        <w:tc>
          <w:tcPr>
            <w:tcW w:w="6830" w:type="dxa"/>
            <w:shd w:val="clear" w:color="auto" w:fill="auto"/>
          </w:tcPr>
          <w:p w14:paraId="170EA695" w14:textId="77777777" w:rsidR="00FF7059" w:rsidRPr="00FF7059" w:rsidRDefault="00FF7059" w:rsidP="00E235AE">
            <w:pPr>
              <w:ind w:left="170" w:right="170"/>
            </w:pPr>
            <w:r w:rsidRPr="00FF7059">
              <w:t>Standard deviation score</w:t>
            </w:r>
          </w:p>
        </w:tc>
      </w:tr>
    </w:tbl>
    <w:p w14:paraId="0377C8E1"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5621491" w14:textId="77777777" w:rsidR="008E7846" w:rsidRDefault="00F53C07" w:rsidP="008E7846">
      <w:pPr>
        <w:pStyle w:val="Heading2"/>
      </w:pPr>
      <w:bookmarkStart w:id="9" w:name="_Toc34901630"/>
      <w:r>
        <w:lastRenderedPageBreak/>
        <w:t>I.</w:t>
      </w:r>
      <w:r w:rsidR="008E7846">
        <w:t xml:space="preserve"> Introduction to product submission</w:t>
      </w:r>
      <w:bookmarkEnd w:id="3"/>
      <w:bookmarkEnd w:id="0"/>
      <w:bookmarkEnd w:id="9"/>
    </w:p>
    <w:p w14:paraId="3EBBB453" w14:textId="77777777" w:rsidR="008E7846" w:rsidRDefault="008E7846" w:rsidP="008E7846">
      <w:pPr>
        <w:pStyle w:val="Heading3"/>
        <w:rPr>
          <w:lang w:eastAsia="en-AU"/>
        </w:rPr>
      </w:pPr>
      <w:bookmarkStart w:id="10" w:name="_Toc247691502"/>
      <w:bookmarkStart w:id="11" w:name="_Toc314842483"/>
      <w:bookmarkStart w:id="12" w:name="_Toc34901631"/>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3CD0443E" w14:textId="77777777" w:rsidTr="003735BC">
        <w:tc>
          <w:tcPr>
            <w:tcW w:w="2907" w:type="dxa"/>
          </w:tcPr>
          <w:p w14:paraId="4201B017"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55CD3753" w14:textId="77777777" w:rsidR="008E7846" w:rsidRPr="003D1E62" w:rsidRDefault="008E7846" w:rsidP="00BB05B7">
            <w:r w:rsidRPr="003D1E62">
              <w:t xml:space="preserve">New </w:t>
            </w:r>
            <w:r w:rsidR="0091657B">
              <w:t>biological</w:t>
            </w:r>
            <w:r w:rsidRPr="003D1E62">
              <w:t xml:space="preserve"> </w:t>
            </w:r>
            <w:r w:rsidR="001B5C90">
              <w:t>e</w:t>
            </w:r>
            <w:r w:rsidR="0091657B">
              <w:t>ntity</w:t>
            </w:r>
          </w:p>
        </w:tc>
      </w:tr>
      <w:tr w:rsidR="008E7846" w:rsidRPr="003D1E62" w14:paraId="6083E288" w14:textId="77777777" w:rsidTr="003735BC">
        <w:tc>
          <w:tcPr>
            <w:tcW w:w="2907" w:type="dxa"/>
          </w:tcPr>
          <w:p w14:paraId="1CD6D73E" w14:textId="77777777" w:rsidR="008E7846" w:rsidRPr="003D1E62" w:rsidRDefault="008E7846" w:rsidP="003D1E62">
            <w:r w:rsidRPr="003D1E62">
              <w:rPr>
                <w:i/>
              </w:rPr>
              <w:t>Decision</w:t>
            </w:r>
            <w:r w:rsidRPr="003D1E62">
              <w:t>:</w:t>
            </w:r>
          </w:p>
        </w:tc>
        <w:tc>
          <w:tcPr>
            <w:tcW w:w="6307" w:type="dxa"/>
          </w:tcPr>
          <w:p w14:paraId="790C1B65" w14:textId="608DB347" w:rsidR="008E7846" w:rsidRPr="003D1E62" w:rsidRDefault="00BB05B7" w:rsidP="00BB05B7">
            <w:r>
              <w:t>Approved</w:t>
            </w:r>
          </w:p>
        </w:tc>
      </w:tr>
      <w:tr w:rsidR="0091657B" w:rsidRPr="003D1E62" w14:paraId="21EB774A" w14:textId="77777777" w:rsidTr="003735BC">
        <w:tc>
          <w:tcPr>
            <w:tcW w:w="2907" w:type="dxa"/>
          </w:tcPr>
          <w:p w14:paraId="3E966A86" w14:textId="77777777" w:rsidR="0091657B" w:rsidRPr="003D1E62" w:rsidRDefault="0091657B" w:rsidP="0091657B">
            <w:pPr>
              <w:rPr>
                <w:i/>
              </w:rPr>
            </w:pPr>
            <w:r w:rsidRPr="003D1E62">
              <w:rPr>
                <w:i/>
              </w:rPr>
              <w:t xml:space="preserve">Date of </w:t>
            </w:r>
            <w:r>
              <w:rPr>
                <w:i/>
              </w:rPr>
              <w:t>d</w:t>
            </w:r>
            <w:r w:rsidRPr="003D1E62">
              <w:rPr>
                <w:i/>
              </w:rPr>
              <w:t>ecision:</w:t>
            </w:r>
          </w:p>
        </w:tc>
        <w:tc>
          <w:tcPr>
            <w:tcW w:w="6307" w:type="dxa"/>
          </w:tcPr>
          <w:p w14:paraId="2B817ED5" w14:textId="77777777" w:rsidR="0091657B" w:rsidRPr="00D75678" w:rsidRDefault="0091657B" w:rsidP="00BB05B7">
            <w:pPr>
              <w:rPr>
                <w:rFonts w:eastAsia="Calibri"/>
              </w:rPr>
            </w:pPr>
            <w:r w:rsidRPr="00BE4D41">
              <w:rPr>
                <w:rFonts w:eastAsia="Calibri"/>
              </w:rPr>
              <w:t>19 November 2019</w:t>
            </w:r>
          </w:p>
        </w:tc>
      </w:tr>
      <w:tr w:rsidR="0091657B" w:rsidRPr="003D1E62" w14:paraId="76675DC1" w14:textId="77777777" w:rsidTr="003735BC">
        <w:tc>
          <w:tcPr>
            <w:tcW w:w="2907" w:type="dxa"/>
          </w:tcPr>
          <w:p w14:paraId="614C176A" w14:textId="77777777" w:rsidR="0091657B" w:rsidRPr="00441C3F" w:rsidRDefault="0091657B" w:rsidP="0091657B">
            <w:pPr>
              <w:rPr>
                <w:i/>
              </w:rPr>
            </w:pPr>
            <w:r w:rsidRPr="00441C3F">
              <w:rPr>
                <w:i/>
              </w:rPr>
              <w:t>Date of entry onto ARTG</w:t>
            </w:r>
            <w:r>
              <w:rPr>
                <w:i/>
              </w:rPr>
              <w:t>:</w:t>
            </w:r>
          </w:p>
        </w:tc>
        <w:tc>
          <w:tcPr>
            <w:tcW w:w="6307" w:type="dxa"/>
          </w:tcPr>
          <w:p w14:paraId="3F2B2CED" w14:textId="77777777" w:rsidR="0091657B" w:rsidRPr="00905A31" w:rsidRDefault="0091657B" w:rsidP="00BB05B7">
            <w:pPr>
              <w:rPr>
                <w:rFonts w:eastAsia="Calibri"/>
              </w:rPr>
            </w:pPr>
            <w:r w:rsidRPr="00905A31">
              <w:rPr>
                <w:rFonts w:eastAsia="Calibri"/>
              </w:rPr>
              <w:t>22 November 2019</w:t>
            </w:r>
          </w:p>
        </w:tc>
      </w:tr>
      <w:tr w:rsidR="00500337" w:rsidRPr="003D1E62" w14:paraId="6D7C5792" w14:textId="77777777" w:rsidTr="003735BC">
        <w:tc>
          <w:tcPr>
            <w:tcW w:w="2907" w:type="dxa"/>
          </w:tcPr>
          <w:p w14:paraId="7684B743" w14:textId="77777777" w:rsidR="00500337" w:rsidRPr="00441C3F" w:rsidRDefault="00FD5F2E" w:rsidP="001B5C90">
            <w:pPr>
              <w:rPr>
                <w:i/>
              </w:rPr>
            </w:pPr>
            <w:r>
              <w:rPr>
                <w:i/>
              </w:rPr>
              <w:t>ARTG number</w:t>
            </w:r>
            <w:r w:rsidR="00500337">
              <w:rPr>
                <w:i/>
              </w:rPr>
              <w:t>:</w:t>
            </w:r>
          </w:p>
        </w:tc>
        <w:tc>
          <w:tcPr>
            <w:tcW w:w="6307" w:type="dxa"/>
          </w:tcPr>
          <w:p w14:paraId="5C7772CF" w14:textId="77777777" w:rsidR="00500337" w:rsidRPr="00441C3F" w:rsidRDefault="0091657B" w:rsidP="00BB05B7">
            <w:r w:rsidRPr="00BE4D41">
              <w:rPr>
                <w:rFonts w:eastAsia="Calibri"/>
              </w:rPr>
              <w:t>308494</w:t>
            </w:r>
          </w:p>
        </w:tc>
      </w:tr>
      <w:tr w:rsidR="003735BC" w:rsidRPr="003D1E62" w14:paraId="20522B73" w14:textId="77777777" w:rsidTr="003735BC">
        <w:tc>
          <w:tcPr>
            <w:tcW w:w="2907" w:type="dxa"/>
          </w:tcPr>
          <w:p w14:paraId="56387D37"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50288683" w14:textId="5641E4D9" w:rsidR="0091657B" w:rsidRDefault="00BB05B7" w:rsidP="0091657B">
            <w:r>
              <w:t>Yes</w:t>
            </w:r>
          </w:p>
          <w:p w14:paraId="3DBD4022" w14:textId="77777777" w:rsidR="003735BC" w:rsidRPr="00487162" w:rsidRDefault="003735BC" w:rsidP="0091657B">
            <w:r>
              <w:t xml:space="preserve">This product will remain in the scheme for 5 years, starting on the date the product is first supplied in </w:t>
            </w:r>
            <w:r w:rsidR="0091657B">
              <w:t>Australia.</w:t>
            </w:r>
          </w:p>
        </w:tc>
      </w:tr>
      <w:tr w:rsidR="008E7846" w:rsidRPr="00487162" w14:paraId="37B5487E" w14:textId="77777777" w:rsidTr="00BF1190">
        <w:tc>
          <w:tcPr>
            <w:tcW w:w="2907" w:type="dxa"/>
          </w:tcPr>
          <w:p w14:paraId="0839E831" w14:textId="77777777" w:rsidR="008E7846" w:rsidRPr="00487162" w:rsidRDefault="00FD5F2E" w:rsidP="00E45619">
            <w:pPr>
              <w:rPr>
                <w:i/>
              </w:rPr>
            </w:pPr>
            <w:r>
              <w:rPr>
                <w:i/>
              </w:rPr>
              <w:t>Active ingredient</w:t>
            </w:r>
            <w:r w:rsidR="001B5C90">
              <w:rPr>
                <w:i/>
              </w:rPr>
              <w:t>:</w:t>
            </w:r>
          </w:p>
        </w:tc>
        <w:tc>
          <w:tcPr>
            <w:tcW w:w="6307" w:type="dxa"/>
          </w:tcPr>
          <w:p w14:paraId="308D4C4F" w14:textId="77777777" w:rsidR="008E7846" w:rsidRPr="00487162" w:rsidRDefault="0091657B" w:rsidP="00E55CB0">
            <w:proofErr w:type="spellStart"/>
            <w:r>
              <w:t>M</w:t>
            </w:r>
            <w:r w:rsidRPr="007F072F">
              <w:t>ecasermin</w:t>
            </w:r>
            <w:proofErr w:type="spellEnd"/>
          </w:p>
        </w:tc>
      </w:tr>
      <w:tr w:rsidR="008E7846" w:rsidRPr="00487162" w14:paraId="6C289F58" w14:textId="77777777" w:rsidTr="00BF1190">
        <w:tc>
          <w:tcPr>
            <w:tcW w:w="2907" w:type="dxa"/>
          </w:tcPr>
          <w:p w14:paraId="40AAE2CA" w14:textId="77777777" w:rsidR="008E7846" w:rsidRPr="00487162" w:rsidRDefault="008E7846" w:rsidP="001B5C90">
            <w:pPr>
              <w:rPr>
                <w:i/>
              </w:rPr>
            </w:pPr>
            <w:r w:rsidRPr="00487162">
              <w:rPr>
                <w:i/>
              </w:rPr>
              <w:t>Product</w:t>
            </w:r>
            <w:r w:rsidR="00FD5F2E">
              <w:rPr>
                <w:i/>
              </w:rPr>
              <w:t xml:space="preserve"> name</w:t>
            </w:r>
            <w:r w:rsidR="001B5C90">
              <w:rPr>
                <w:i/>
              </w:rPr>
              <w:t>:</w:t>
            </w:r>
          </w:p>
        </w:tc>
        <w:tc>
          <w:tcPr>
            <w:tcW w:w="6307" w:type="dxa"/>
          </w:tcPr>
          <w:p w14:paraId="76CB3120" w14:textId="77777777" w:rsidR="008E7846" w:rsidRPr="00487162" w:rsidRDefault="0091657B" w:rsidP="0091657B">
            <w:proofErr w:type="spellStart"/>
            <w:r w:rsidRPr="007F072F">
              <w:t>Increlex</w:t>
            </w:r>
            <w:proofErr w:type="spellEnd"/>
          </w:p>
        </w:tc>
      </w:tr>
      <w:tr w:rsidR="0091657B" w:rsidRPr="00487162" w14:paraId="5D017B0B" w14:textId="77777777" w:rsidTr="00BF1190">
        <w:tc>
          <w:tcPr>
            <w:tcW w:w="2907" w:type="dxa"/>
          </w:tcPr>
          <w:p w14:paraId="6D75E395" w14:textId="77777777" w:rsidR="0091657B" w:rsidRPr="00487162" w:rsidRDefault="0091657B" w:rsidP="0091657B">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5EA8CBA1" w14:textId="77777777" w:rsidR="0091657B" w:rsidRPr="007F072F" w:rsidRDefault="0091657B" w:rsidP="0091657B">
            <w:pPr>
              <w:rPr>
                <w:lang w:eastAsia="en-AU"/>
              </w:rPr>
            </w:pPr>
            <w:proofErr w:type="spellStart"/>
            <w:r w:rsidRPr="007F072F">
              <w:rPr>
                <w:lang w:eastAsia="en-AU"/>
              </w:rPr>
              <w:t>Ipsen</w:t>
            </w:r>
            <w:proofErr w:type="spellEnd"/>
            <w:r w:rsidRPr="007F072F">
              <w:rPr>
                <w:lang w:eastAsia="en-AU"/>
              </w:rPr>
              <w:t xml:space="preserve"> Pty Ltd</w:t>
            </w:r>
          </w:p>
          <w:p w14:paraId="0C98CD1D" w14:textId="77777777" w:rsidR="0091657B" w:rsidRPr="004943CA" w:rsidRDefault="0091657B" w:rsidP="0091657B">
            <w:r w:rsidRPr="007F072F">
              <w:rPr>
                <w:lang w:eastAsia="en-AU"/>
              </w:rPr>
              <w:t>540 Springvale Road, Glen Waverley VIC 3150</w:t>
            </w:r>
          </w:p>
        </w:tc>
      </w:tr>
      <w:tr w:rsidR="0091657B" w:rsidRPr="00487162" w14:paraId="65F281B0" w14:textId="77777777" w:rsidTr="00BF1190">
        <w:tc>
          <w:tcPr>
            <w:tcW w:w="2907" w:type="dxa"/>
          </w:tcPr>
          <w:p w14:paraId="1CDA46F7" w14:textId="77777777" w:rsidR="0091657B" w:rsidRPr="00487162" w:rsidRDefault="00FD5F2E" w:rsidP="0091657B">
            <w:pPr>
              <w:rPr>
                <w:i/>
              </w:rPr>
            </w:pPr>
            <w:r>
              <w:rPr>
                <w:i/>
              </w:rPr>
              <w:t>Dose form</w:t>
            </w:r>
            <w:r w:rsidR="0091657B">
              <w:rPr>
                <w:i/>
              </w:rPr>
              <w:t>:</w:t>
            </w:r>
          </w:p>
        </w:tc>
        <w:tc>
          <w:tcPr>
            <w:tcW w:w="6307" w:type="dxa"/>
          </w:tcPr>
          <w:p w14:paraId="7CE12FC5" w14:textId="77777777" w:rsidR="0091657B" w:rsidRPr="00CB1096" w:rsidRDefault="0091657B" w:rsidP="0091657B">
            <w:pPr>
              <w:rPr>
                <w:highlight w:val="lightGray"/>
              </w:rPr>
            </w:pPr>
            <w:r w:rsidRPr="00BE4D41">
              <w:t>Solution for injection</w:t>
            </w:r>
          </w:p>
        </w:tc>
      </w:tr>
      <w:tr w:rsidR="0091657B" w:rsidRPr="00487162" w14:paraId="78190AE2" w14:textId="77777777" w:rsidTr="00BF1190">
        <w:tc>
          <w:tcPr>
            <w:tcW w:w="2907" w:type="dxa"/>
          </w:tcPr>
          <w:p w14:paraId="23663726" w14:textId="77777777" w:rsidR="0091657B" w:rsidRPr="00487162" w:rsidRDefault="00FD5F2E" w:rsidP="0091657B">
            <w:pPr>
              <w:rPr>
                <w:i/>
              </w:rPr>
            </w:pPr>
            <w:r>
              <w:rPr>
                <w:i/>
              </w:rPr>
              <w:t>Strength</w:t>
            </w:r>
            <w:r w:rsidR="0091657B" w:rsidRPr="00487162">
              <w:rPr>
                <w:i/>
              </w:rPr>
              <w:t xml:space="preserve">: </w:t>
            </w:r>
          </w:p>
        </w:tc>
        <w:tc>
          <w:tcPr>
            <w:tcW w:w="6307" w:type="dxa"/>
          </w:tcPr>
          <w:p w14:paraId="235E6A19" w14:textId="77777777" w:rsidR="0091657B" w:rsidRPr="00CB1096" w:rsidRDefault="0091657B" w:rsidP="0091657B">
            <w:pPr>
              <w:rPr>
                <w:highlight w:val="lightGray"/>
              </w:rPr>
            </w:pPr>
            <w:r w:rsidRPr="007F072F">
              <w:t>10 mg/mL</w:t>
            </w:r>
          </w:p>
        </w:tc>
      </w:tr>
      <w:tr w:rsidR="0091657B" w:rsidRPr="00487162" w14:paraId="4A6C16E4" w14:textId="77777777" w:rsidTr="00BF1190">
        <w:tc>
          <w:tcPr>
            <w:tcW w:w="2907" w:type="dxa"/>
          </w:tcPr>
          <w:p w14:paraId="73C37D14" w14:textId="77777777" w:rsidR="0091657B" w:rsidRPr="00487162" w:rsidRDefault="00FD5F2E" w:rsidP="0091657B">
            <w:pPr>
              <w:rPr>
                <w:i/>
              </w:rPr>
            </w:pPr>
            <w:r>
              <w:rPr>
                <w:i/>
              </w:rPr>
              <w:t>Container</w:t>
            </w:r>
            <w:r w:rsidR="0091657B" w:rsidRPr="00487162">
              <w:rPr>
                <w:i/>
              </w:rPr>
              <w:t>:</w:t>
            </w:r>
          </w:p>
        </w:tc>
        <w:tc>
          <w:tcPr>
            <w:tcW w:w="6307" w:type="dxa"/>
          </w:tcPr>
          <w:p w14:paraId="2DA26792" w14:textId="77777777" w:rsidR="0091657B" w:rsidRPr="00CB1096" w:rsidRDefault="0091657B" w:rsidP="0091657B">
            <w:pPr>
              <w:rPr>
                <w:highlight w:val="lightGray"/>
              </w:rPr>
            </w:pPr>
            <w:r>
              <w:t>Vial</w:t>
            </w:r>
          </w:p>
        </w:tc>
      </w:tr>
      <w:tr w:rsidR="0091657B" w:rsidRPr="00487162" w14:paraId="78B61870" w14:textId="77777777" w:rsidTr="00BF1190">
        <w:tc>
          <w:tcPr>
            <w:tcW w:w="2907" w:type="dxa"/>
          </w:tcPr>
          <w:p w14:paraId="2FB71447" w14:textId="77777777" w:rsidR="0091657B" w:rsidRPr="00487162" w:rsidRDefault="00FD5F2E" w:rsidP="0091657B">
            <w:pPr>
              <w:rPr>
                <w:i/>
              </w:rPr>
            </w:pPr>
            <w:r>
              <w:rPr>
                <w:i/>
              </w:rPr>
              <w:t>Pack size</w:t>
            </w:r>
            <w:r w:rsidR="0091657B" w:rsidRPr="00487162">
              <w:rPr>
                <w:i/>
              </w:rPr>
              <w:t>:</w:t>
            </w:r>
          </w:p>
        </w:tc>
        <w:tc>
          <w:tcPr>
            <w:tcW w:w="6307" w:type="dxa"/>
          </w:tcPr>
          <w:p w14:paraId="1D91AD67" w14:textId="77777777" w:rsidR="0091657B" w:rsidRPr="00CB1096" w:rsidRDefault="0091657B" w:rsidP="0091657B">
            <w:pPr>
              <w:rPr>
                <w:highlight w:val="lightGray"/>
              </w:rPr>
            </w:pPr>
            <w:r>
              <w:t>1</w:t>
            </w:r>
          </w:p>
        </w:tc>
      </w:tr>
      <w:tr w:rsidR="0091657B" w:rsidRPr="00487162" w14:paraId="1646C4FB" w14:textId="77777777" w:rsidTr="00BF1190">
        <w:tc>
          <w:tcPr>
            <w:tcW w:w="2907" w:type="dxa"/>
          </w:tcPr>
          <w:p w14:paraId="7CD48096" w14:textId="77777777" w:rsidR="0091657B" w:rsidRPr="00487162" w:rsidRDefault="0091657B" w:rsidP="0091657B">
            <w:pPr>
              <w:rPr>
                <w:i/>
              </w:rPr>
            </w:pPr>
            <w:r w:rsidRPr="00487162">
              <w:rPr>
                <w:i/>
              </w:rPr>
              <w:t xml:space="preserve">Approved </w:t>
            </w:r>
            <w:r>
              <w:rPr>
                <w:i/>
              </w:rPr>
              <w:t>t</w:t>
            </w:r>
            <w:r w:rsidRPr="00487162">
              <w:rPr>
                <w:i/>
              </w:rPr>
              <w:t>herapeutic use:</w:t>
            </w:r>
          </w:p>
        </w:tc>
        <w:tc>
          <w:tcPr>
            <w:tcW w:w="6307" w:type="dxa"/>
          </w:tcPr>
          <w:p w14:paraId="7F55FD17" w14:textId="77777777" w:rsidR="0091657B" w:rsidRPr="007F072F" w:rsidRDefault="0091657B" w:rsidP="0091657B">
            <w:pPr>
              <w:ind w:left="99" w:hanging="99"/>
              <w:rPr>
                <w:i/>
              </w:rPr>
            </w:pPr>
            <w:r w:rsidRPr="007F072F">
              <w:rPr>
                <w:i/>
              </w:rPr>
              <w:t>For the long-term treatment of growth failure in children and adolescents from 2 to 18 years with severe primary insulin-like growth factor 1 deficiency (Primary IGFD).</w:t>
            </w:r>
          </w:p>
          <w:p w14:paraId="20DB4C46" w14:textId="77777777" w:rsidR="0091657B" w:rsidRPr="007F072F" w:rsidRDefault="0091657B" w:rsidP="0091657B">
            <w:pPr>
              <w:ind w:left="99" w:hanging="99"/>
              <w:rPr>
                <w:i/>
              </w:rPr>
            </w:pPr>
            <w:r w:rsidRPr="007F072F">
              <w:rPr>
                <w:i/>
              </w:rPr>
              <w:t>Severe Primary IGFD is defined by:</w:t>
            </w:r>
          </w:p>
          <w:p w14:paraId="1809E915" w14:textId="77777777" w:rsidR="0091657B" w:rsidRPr="0091657B" w:rsidRDefault="0091657B" w:rsidP="0091657B">
            <w:pPr>
              <w:pStyle w:val="ListBullet"/>
              <w:rPr>
                <w:i/>
              </w:rPr>
            </w:pPr>
            <w:r w:rsidRPr="0091657B">
              <w:rPr>
                <w:i/>
              </w:rPr>
              <w:t>Height standard deviation score ≤ –3.0 and</w:t>
            </w:r>
          </w:p>
          <w:p w14:paraId="4F3F8153" w14:textId="77777777" w:rsidR="0091657B" w:rsidRPr="0091657B" w:rsidRDefault="0091657B" w:rsidP="0091657B">
            <w:pPr>
              <w:pStyle w:val="ListBullet"/>
              <w:rPr>
                <w:i/>
              </w:rPr>
            </w:pPr>
            <w:r w:rsidRPr="0091657B">
              <w:rPr>
                <w:i/>
              </w:rPr>
              <w:t>Baseline height velocity less than the 25th percentile for bone age, based on two measurements over 12 months and</w:t>
            </w:r>
          </w:p>
          <w:p w14:paraId="52513DEB" w14:textId="77777777" w:rsidR="0091657B" w:rsidRPr="0091657B" w:rsidRDefault="0091657B" w:rsidP="0091657B">
            <w:pPr>
              <w:pStyle w:val="ListBullet"/>
              <w:rPr>
                <w:i/>
              </w:rPr>
            </w:pPr>
            <w:r w:rsidRPr="0091657B">
              <w:rPr>
                <w:i/>
              </w:rPr>
              <w:t>Basal IGF-1 levels below the 2.5th percentile for age and gender and</w:t>
            </w:r>
          </w:p>
          <w:p w14:paraId="11C14860" w14:textId="77777777" w:rsidR="0091657B" w:rsidRPr="0091657B" w:rsidRDefault="0091657B" w:rsidP="0091657B">
            <w:pPr>
              <w:pStyle w:val="ListBullet"/>
              <w:rPr>
                <w:i/>
              </w:rPr>
            </w:pPr>
            <w:r w:rsidRPr="0091657B">
              <w:rPr>
                <w:i/>
              </w:rPr>
              <w:t>GH sufficiency.</w:t>
            </w:r>
          </w:p>
          <w:p w14:paraId="3F0242D9" w14:textId="77777777" w:rsidR="0091657B" w:rsidRPr="0091657B" w:rsidRDefault="0091657B" w:rsidP="0091657B">
            <w:pPr>
              <w:pStyle w:val="ListBullet"/>
              <w:rPr>
                <w:i/>
              </w:rPr>
            </w:pPr>
            <w:r w:rsidRPr="0091657B">
              <w:rPr>
                <w:i/>
              </w:rPr>
              <w:t>Exclusion of secondary forms of IGF-1 deficiency, such as malnutrition, hypopituitarism, hypothyroidism, or chronic treatment with pharmacologic doses of anti-inflammatory steroids.</w:t>
            </w:r>
          </w:p>
          <w:p w14:paraId="54CB4C9B" w14:textId="77777777" w:rsidR="0091657B" w:rsidRPr="00487162" w:rsidRDefault="0091657B" w:rsidP="0091657B">
            <w:pPr>
              <w:pStyle w:val="ListBullet"/>
              <w:rPr>
                <w:rFonts w:eastAsia="MS Mincho"/>
                <w:lang w:eastAsia="ja-JP"/>
              </w:rPr>
            </w:pPr>
            <w:r w:rsidRPr="0091657B">
              <w:rPr>
                <w:i/>
              </w:rPr>
              <w:t>IGF-1 and GH levels must be performed using validated assays with paediatric normal ranges.</w:t>
            </w:r>
          </w:p>
        </w:tc>
      </w:tr>
      <w:tr w:rsidR="0091657B" w:rsidRPr="00487162" w14:paraId="0B5D74B7" w14:textId="77777777" w:rsidTr="00BF1190">
        <w:tc>
          <w:tcPr>
            <w:tcW w:w="2907" w:type="dxa"/>
          </w:tcPr>
          <w:p w14:paraId="33FF8F86" w14:textId="77777777" w:rsidR="0091657B" w:rsidRPr="00487162" w:rsidRDefault="00FD5F2E" w:rsidP="0091657B">
            <w:pPr>
              <w:rPr>
                <w:i/>
              </w:rPr>
            </w:pPr>
            <w:r>
              <w:rPr>
                <w:i/>
              </w:rPr>
              <w:lastRenderedPageBreak/>
              <w:t>Route</w:t>
            </w:r>
            <w:r w:rsidR="0091657B" w:rsidRPr="00487162">
              <w:rPr>
                <w:i/>
              </w:rPr>
              <w:t xml:space="preserve"> of administration:</w:t>
            </w:r>
          </w:p>
        </w:tc>
        <w:tc>
          <w:tcPr>
            <w:tcW w:w="6307" w:type="dxa"/>
          </w:tcPr>
          <w:p w14:paraId="6E31E650" w14:textId="77777777" w:rsidR="0091657B" w:rsidRPr="00487162" w:rsidRDefault="0091657B" w:rsidP="0091657B">
            <w:r>
              <w:t>Subcutaneous (SC)</w:t>
            </w:r>
          </w:p>
        </w:tc>
      </w:tr>
      <w:tr w:rsidR="0091657B" w:rsidRPr="00487162" w14:paraId="6151C496" w14:textId="77777777" w:rsidTr="00BF1190">
        <w:tc>
          <w:tcPr>
            <w:tcW w:w="2907" w:type="dxa"/>
          </w:tcPr>
          <w:p w14:paraId="1B534874" w14:textId="77777777" w:rsidR="0091657B" w:rsidRPr="00487162" w:rsidRDefault="0091657B" w:rsidP="0091657B">
            <w:pPr>
              <w:rPr>
                <w:i/>
              </w:rPr>
            </w:pPr>
            <w:r w:rsidRPr="00487162">
              <w:rPr>
                <w:i/>
              </w:rPr>
              <w:t>Dosage:</w:t>
            </w:r>
          </w:p>
        </w:tc>
        <w:tc>
          <w:tcPr>
            <w:tcW w:w="6307" w:type="dxa"/>
          </w:tcPr>
          <w:p w14:paraId="650F57EA" w14:textId="77777777" w:rsidR="0091657B" w:rsidRDefault="0091657B" w:rsidP="0091657B">
            <w:proofErr w:type="spellStart"/>
            <w:r>
              <w:t>Increlex</w:t>
            </w:r>
            <w:proofErr w:type="spellEnd"/>
            <w:r>
              <w:t xml:space="preserve"> is supplied as a multi-dose solution. Each vial is for use in one patient only.</w:t>
            </w:r>
          </w:p>
          <w:p w14:paraId="18AC9AAE" w14:textId="77777777" w:rsidR="0091657B" w:rsidRDefault="0091657B" w:rsidP="0091657B">
            <w:r>
              <w:t xml:space="preserve">Treatment with </w:t>
            </w:r>
            <w:proofErr w:type="spellStart"/>
            <w:r>
              <w:t>mecasermin</w:t>
            </w:r>
            <w:proofErr w:type="spellEnd"/>
            <w:r>
              <w:t xml:space="preserve"> should be under the supervision of a paediatric endocrinologist.</w:t>
            </w:r>
          </w:p>
          <w:p w14:paraId="30B6C38D" w14:textId="2D3B5F79" w:rsidR="0091657B" w:rsidRDefault="0091657B" w:rsidP="0091657B">
            <w:r>
              <w:t xml:space="preserve">There should be documented confirmation of the diagnosis of severe IGF-1 deficiency at initiation of treatment, in line with guidance in the prescribing information (see </w:t>
            </w:r>
            <w:r w:rsidR="00C47949">
              <w:t xml:space="preserve">Section </w:t>
            </w:r>
            <w:r>
              <w:t xml:space="preserve">4.1 Therapeutic Indications in </w:t>
            </w:r>
            <w:r w:rsidR="00C47949">
              <w:t xml:space="preserve">the </w:t>
            </w:r>
            <w:r>
              <w:t xml:space="preserve">Product Information). </w:t>
            </w:r>
            <w:r w:rsidR="008A27FF">
              <w:t>Ideally,</w:t>
            </w:r>
            <w:r>
              <w:t xml:space="preserve"> this will also include confirmation of mutation in the growth hormone/IGF signalling pathway consistent with severe IGF-1 deficiency.</w:t>
            </w:r>
          </w:p>
          <w:p w14:paraId="6E78D6DB" w14:textId="7DC02E9D" w:rsidR="0091657B" w:rsidRDefault="0091657B" w:rsidP="0091657B">
            <w:r>
              <w:t xml:space="preserve">The dose should be individualised for each patient. The recommended starting dose of </w:t>
            </w:r>
            <w:proofErr w:type="spellStart"/>
            <w:r>
              <w:t>mecasermin</w:t>
            </w:r>
            <w:proofErr w:type="spellEnd"/>
            <w:r>
              <w:t xml:space="preserve"> is 0.04 mg/kg of body weight twice daily by subcutaneous injection. If no significant adverse reactions occur for at least one week, the dose may be raised in increments of 0.04 mg/kg to the maximum dose of 0.12 mg/kg given twice daily. In the clinical trials, optimal growth response was seen with doses between 0.08</w:t>
            </w:r>
            <w:r w:rsidR="00C47949">
              <w:t> </w:t>
            </w:r>
            <w:r>
              <w:t>mg/kg and 0.12 mg/kg twice daily. Lower doses were less effective. Higher doses were more often associated with hypoglycaemia. Doses greater than 0.12 mg/kg twice daily should not be exceeded as this may increase the risk of neoplasia. (See Section 4.4 S</w:t>
            </w:r>
            <w:r w:rsidRPr="005043DF">
              <w:t>pecial warnings and precautions for use</w:t>
            </w:r>
            <w:r>
              <w:t xml:space="preserve"> in Product Information). If the recommended dose is not tolerated by the patient, treatment with a lower dose can be considered. Treatment success should be evaluated based on height velocities.</w:t>
            </w:r>
          </w:p>
          <w:p w14:paraId="2CD77936" w14:textId="77777777" w:rsidR="0091657B" w:rsidRPr="00D75678" w:rsidRDefault="0091657B" w:rsidP="0091657B">
            <w:r>
              <w:t xml:space="preserve">For further </w:t>
            </w:r>
            <w:r w:rsidR="005D0B23">
              <w:t>information,</w:t>
            </w:r>
            <w:r>
              <w:t xml:space="preserve"> refer to the Product Information.</w:t>
            </w:r>
          </w:p>
        </w:tc>
      </w:tr>
    </w:tbl>
    <w:p w14:paraId="18EFA2A2" w14:textId="77777777" w:rsidR="008E7846" w:rsidRDefault="008E7846" w:rsidP="008E7846">
      <w:pPr>
        <w:pStyle w:val="Heading3"/>
      </w:pPr>
      <w:bookmarkStart w:id="13" w:name="_Toc247691503"/>
      <w:bookmarkStart w:id="14" w:name="_Toc314842484"/>
      <w:bookmarkStart w:id="15" w:name="_Toc34901632"/>
      <w:r>
        <w:t>Product background</w:t>
      </w:r>
      <w:bookmarkEnd w:id="13"/>
      <w:bookmarkEnd w:id="14"/>
      <w:bookmarkEnd w:id="15"/>
    </w:p>
    <w:p w14:paraId="3C3EE928" w14:textId="77777777" w:rsidR="008E7846" w:rsidRPr="005608C9" w:rsidRDefault="00940A89" w:rsidP="005608C9">
      <w:r w:rsidRPr="00940A89">
        <w:t xml:space="preserve">This AusPAR describes the application by </w:t>
      </w:r>
      <w:proofErr w:type="spellStart"/>
      <w:r w:rsidR="00FD5F2E" w:rsidRPr="007F072F">
        <w:rPr>
          <w:lang w:eastAsia="en-AU"/>
        </w:rPr>
        <w:t>Ipsen</w:t>
      </w:r>
      <w:proofErr w:type="spellEnd"/>
      <w:r w:rsidR="00FD5F2E" w:rsidRPr="007F072F">
        <w:rPr>
          <w:lang w:eastAsia="en-AU"/>
        </w:rPr>
        <w:t xml:space="preserve"> Pty Ltd</w:t>
      </w:r>
      <w:r w:rsidR="00FD5F2E" w:rsidRPr="00940A89">
        <w:t xml:space="preserve"> </w:t>
      </w:r>
      <w:r w:rsidR="00FD5F2E">
        <w:t>(</w:t>
      </w:r>
      <w:r w:rsidRPr="00940A89">
        <w:t>the sponsor</w:t>
      </w:r>
      <w:r w:rsidR="00FD5F2E">
        <w:t>)</w:t>
      </w:r>
      <w:r w:rsidRPr="00940A89">
        <w:t xml:space="preserve"> to register </w:t>
      </w:r>
      <w:proofErr w:type="spellStart"/>
      <w:r w:rsidR="005608C9">
        <w:rPr>
          <w:rFonts w:cstheme="majorHAnsi"/>
          <w:color w:val="000000"/>
        </w:rPr>
        <w:t>mecasermin</w:t>
      </w:r>
      <w:proofErr w:type="spellEnd"/>
      <w:r w:rsidR="00AD1922">
        <w:rPr>
          <w:rFonts w:cstheme="majorHAnsi"/>
          <w:color w:val="000000"/>
        </w:rPr>
        <w:t>,</w:t>
      </w:r>
      <w:r w:rsidR="005608C9" w:rsidRPr="00940A89">
        <w:t xml:space="preserve"> </w:t>
      </w:r>
      <w:r w:rsidR="005608C9">
        <w:t xml:space="preserve">a new </w:t>
      </w:r>
      <w:r w:rsidR="005608C9" w:rsidRPr="005608C9">
        <w:t>biological entity</w:t>
      </w:r>
      <w:r w:rsidR="00AD1922">
        <w:t>,</w:t>
      </w:r>
      <w:r w:rsidR="005608C9" w:rsidRPr="005608C9">
        <w:t xml:space="preserve"> as </w:t>
      </w:r>
      <w:proofErr w:type="spellStart"/>
      <w:r w:rsidR="005608C9" w:rsidRPr="005608C9">
        <w:t>Increlex</w:t>
      </w:r>
      <w:proofErr w:type="spellEnd"/>
      <w:r w:rsidRPr="005608C9">
        <w:t xml:space="preserve"> for the following </w:t>
      </w:r>
      <w:r w:rsidR="00FD5F2E">
        <w:t xml:space="preserve">proposed </w:t>
      </w:r>
      <w:r w:rsidRPr="005608C9">
        <w:t>indication</w:t>
      </w:r>
      <w:r w:rsidR="00AD1922">
        <w:t>s</w:t>
      </w:r>
      <w:r w:rsidR="005608C9" w:rsidRPr="005608C9">
        <w:t>:</w:t>
      </w:r>
    </w:p>
    <w:p w14:paraId="5483883C" w14:textId="77777777" w:rsidR="005608C9" w:rsidRPr="00B655E9" w:rsidRDefault="005608C9" w:rsidP="00B655E9">
      <w:pPr>
        <w:ind w:left="360"/>
        <w:rPr>
          <w:i/>
        </w:rPr>
      </w:pPr>
      <w:r w:rsidRPr="00B655E9">
        <w:rPr>
          <w:i/>
        </w:rPr>
        <w:t>For the long-term treatment of growth failure in children and adolescents from 2 to 18 years with severe primary insulin-like growth factor 1 deficiency (Primary IGFD). Severe Primary IGFD is defined by:</w:t>
      </w:r>
    </w:p>
    <w:p w14:paraId="550E446E" w14:textId="77777777" w:rsidR="005608C9" w:rsidRPr="00B655E9" w:rsidRDefault="005608C9" w:rsidP="00B655E9">
      <w:pPr>
        <w:pStyle w:val="ListBullet"/>
        <w:ind w:left="720"/>
        <w:rPr>
          <w:i/>
        </w:rPr>
      </w:pPr>
      <w:r w:rsidRPr="00B655E9">
        <w:rPr>
          <w:i/>
        </w:rPr>
        <w:t xml:space="preserve">Height standard deviation score </w:t>
      </w:r>
      <w:r w:rsidRPr="00B655E9">
        <w:rPr>
          <w:rFonts w:hint="eastAsia"/>
          <w:i/>
        </w:rPr>
        <w:t>≤</w:t>
      </w:r>
      <w:r w:rsidRPr="00B655E9">
        <w:rPr>
          <w:i/>
        </w:rPr>
        <w:t xml:space="preserve"> </w:t>
      </w:r>
      <w:r w:rsidRPr="00B655E9">
        <w:rPr>
          <w:rFonts w:hint="eastAsia"/>
          <w:i/>
        </w:rPr>
        <w:t>–</w:t>
      </w:r>
      <w:r w:rsidRPr="00B655E9">
        <w:rPr>
          <w:i/>
        </w:rPr>
        <w:t>3.0 and</w:t>
      </w:r>
    </w:p>
    <w:p w14:paraId="1F64199D" w14:textId="49C4705D" w:rsidR="005608C9" w:rsidRPr="00B655E9" w:rsidRDefault="00127854" w:rsidP="00B655E9">
      <w:pPr>
        <w:pStyle w:val="ListBullet"/>
        <w:ind w:left="720"/>
        <w:rPr>
          <w:i/>
        </w:rPr>
      </w:pPr>
      <w:r>
        <w:rPr>
          <w:i/>
        </w:rPr>
        <w:t>B</w:t>
      </w:r>
      <w:r w:rsidRPr="00B655E9">
        <w:rPr>
          <w:i/>
        </w:rPr>
        <w:t>asal</w:t>
      </w:r>
      <w:r w:rsidR="005608C9" w:rsidRPr="00B655E9">
        <w:rPr>
          <w:i/>
        </w:rPr>
        <w:t xml:space="preserve"> IGF-1 levels below the 2.5th percentile for age and gender and</w:t>
      </w:r>
    </w:p>
    <w:p w14:paraId="5E3753DB" w14:textId="77777777" w:rsidR="005608C9" w:rsidRPr="00B655E9" w:rsidRDefault="005608C9" w:rsidP="00B655E9">
      <w:pPr>
        <w:pStyle w:val="ListBullet"/>
        <w:ind w:left="720"/>
        <w:rPr>
          <w:i/>
        </w:rPr>
      </w:pPr>
      <w:r w:rsidRPr="00B655E9">
        <w:rPr>
          <w:i/>
        </w:rPr>
        <w:t>GH sufficiency;</w:t>
      </w:r>
    </w:p>
    <w:p w14:paraId="0B98DEC4" w14:textId="77777777" w:rsidR="005608C9" w:rsidRPr="00B655E9" w:rsidRDefault="005608C9" w:rsidP="00B655E9">
      <w:pPr>
        <w:pStyle w:val="ListBullet"/>
        <w:ind w:left="720"/>
        <w:rPr>
          <w:i/>
        </w:rPr>
      </w:pPr>
      <w:r w:rsidRPr="00B655E9">
        <w:rPr>
          <w:i/>
        </w:rPr>
        <w:t>Exclusion of secondary forms of IGF-1 deficiency, such as malnutrition, hypothyroidism, or chronic treatment with pharmacologic doses of anti-inflammatory steroids.</w:t>
      </w:r>
    </w:p>
    <w:p w14:paraId="02A6AF64" w14:textId="77777777" w:rsidR="00B655E9" w:rsidRDefault="00B655E9" w:rsidP="00B655E9">
      <w:pPr>
        <w:pStyle w:val="ListBullet"/>
        <w:numPr>
          <w:ilvl w:val="0"/>
          <w:numId w:val="0"/>
        </w:numPr>
      </w:pPr>
      <w:proofErr w:type="spellStart"/>
      <w:r w:rsidRPr="007F072F">
        <w:t>Mecasermin</w:t>
      </w:r>
      <w:proofErr w:type="spellEnd"/>
      <w:r w:rsidRPr="007F072F">
        <w:t xml:space="preserve"> is a recombinant </w:t>
      </w:r>
      <w:r w:rsidRPr="00B655E9">
        <w:t xml:space="preserve">deoxyribonucleic acid (DNA) </w:t>
      </w:r>
      <w:r w:rsidRPr="007F072F">
        <w:t>derived human insu</w:t>
      </w:r>
      <w:r>
        <w:t xml:space="preserve">lin-like growth factor-1(IGF-1) </w:t>
      </w:r>
      <w:r w:rsidRPr="007F072F">
        <w:t xml:space="preserve">produced in </w:t>
      </w:r>
      <w:r w:rsidRPr="00BE4D41">
        <w:rPr>
          <w:i/>
        </w:rPr>
        <w:t>Escherichia coli</w:t>
      </w:r>
      <w:r w:rsidRPr="007F072F">
        <w:t>.</w:t>
      </w:r>
    </w:p>
    <w:p w14:paraId="4FA34CEB" w14:textId="6AD53505" w:rsidR="00B655E9" w:rsidRPr="00B655E9" w:rsidRDefault="00B655E9" w:rsidP="00B655E9">
      <w:pPr>
        <w:pStyle w:val="ListBullet"/>
        <w:numPr>
          <w:ilvl w:val="0"/>
          <w:numId w:val="0"/>
        </w:numPr>
      </w:pPr>
      <w:r w:rsidRPr="00B655E9">
        <w:t xml:space="preserve">IGF-1 is a 70 amino acid </w:t>
      </w:r>
      <w:r w:rsidR="005D0B23" w:rsidRPr="00B655E9">
        <w:t>peptide</w:t>
      </w:r>
      <w:r w:rsidR="005D0B23">
        <w:t>, which</w:t>
      </w:r>
      <w:r w:rsidR="00E04B6E">
        <w:t xml:space="preserve"> is 45 to </w:t>
      </w:r>
      <w:r w:rsidRPr="00B655E9">
        <w:t>52% homologous to human insulin and 67% homologous to human IGF-2. In normal individuals</w:t>
      </w:r>
      <w:r w:rsidR="00E04B6E">
        <w:t>,</w:t>
      </w:r>
      <w:r w:rsidRPr="00B655E9">
        <w:t xml:space="preserve"> IGF-1 circulates as a complex </w:t>
      </w:r>
      <w:r w:rsidRPr="00B655E9">
        <w:lastRenderedPageBreak/>
        <w:t>with an acid-labile subunit (ALS) and a binding protein</w:t>
      </w:r>
      <w:r w:rsidR="0092130E">
        <w:t>, insulin-like growth factor protein 3</w:t>
      </w:r>
      <w:r w:rsidRPr="00B655E9">
        <w:t xml:space="preserve"> (IGFBP-3), which </w:t>
      </w:r>
      <w:r w:rsidR="005D0B23" w:rsidRPr="00B655E9">
        <w:t>are</w:t>
      </w:r>
      <w:r w:rsidRPr="00B655E9">
        <w:t xml:space="preserve"> </w:t>
      </w:r>
      <w:r w:rsidR="008A27FF" w:rsidRPr="00B655E9">
        <w:t>dependent</w:t>
      </w:r>
      <w:r w:rsidRPr="00B655E9">
        <w:t xml:space="preserve"> on </w:t>
      </w:r>
      <w:r w:rsidR="008E2592">
        <w:t>growth hormone (</w:t>
      </w:r>
      <w:r w:rsidRPr="00B655E9">
        <w:t>GH</w:t>
      </w:r>
      <w:r w:rsidR="008E2592">
        <w:t>)</w:t>
      </w:r>
      <w:r w:rsidRPr="00B655E9">
        <w:t>. In target tissues</w:t>
      </w:r>
      <w:r w:rsidR="00E04B6E">
        <w:t>,</w:t>
      </w:r>
      <w:r w:rsidRPr="00B655E9">
        <w:t xml:space="preserve"> IGF</w:t>
      </w:r>
      <w:r w:rsidR="0092130E">
        <w:noBreakHyphen/>
      </w:r>
      <w:r w:rsidRPr="00B655E9">
        <w:t xml:space="preserve">1 has one specific receptor, </w:t>
      </w:r>
      <w:r w:rsidR="0092130E">
        <w:t>the insulin-like growth factor receptor 1 (</w:t>
      </w:r>
      <w:r w:rsidRPr="00B655E9">
        <w:t>IGFR1</w:t>
      </w:r>
      <w:r w:rsidR="0092130E">
        <w:t>)</w:t>
      </w:r>
      <w:r w:rsidRPr="00B655E9">
        <w:t>. IGF</w:t>
      </w:r>
      <w:r w:rsidRPr="00B655E9">
        <w:noBreakHyphen/>
        <w:t xml:space="preserve">1 is recognised to have anabolic, </w:t>
      </w:r>
      <w:proofErr w:type="spellStart"/>
      <w:r w:rsidRPr="00B655E9">
        <w:t>mitogenic</w:t>
      </w:r>
      <w:proofErr w:type="spellEnd"/>
      <w:r w:rsidRPr="00B655E9">
        <w:t xml:space="preserve"> and metabolic activities.</w:t>
      </w:r>
    </w:p>
    <w:p w14:paraId="46CAB90D" w14:textId="77777777" w:rsidR="00B655E9" w:rsidRPr="00BE4D41" w:rsidRDefault="00B655E9" w:rsidP="00B655E9">
      <w:pPr>
        <w:pStyle w:val="ListBullet"/>
        <w:numPr>
          <w:ilvl w:val="0"/>
          <w:numId w:val="0"/>
        </w:numPr>
      </w:pPr>
      <w:r>
        <w:t xml:space="preserve">IGF-1 is the principal hormonal mediator of </w:t>
      </w:r>
      <w:proofErr w:type="spellStart"/>
      <w:r>
        <w:t>statural</w:t>
      </w:r>
      <w:proofErr w:type="spellEnd"/>
      <w:r>
        <w:t xml:space="preserve"> growth. Under normal circumstances, GH binds to its receptor in the liver and other tissues and stimulates the synthesis/secretion of IGF-1. In target tissues</w:t>
      </w:r>
      <w:r w:rsidR="00AD1922">
        <w:t>,</w:t>
      </w:r>
      <w:r>
        <w:t xml:space="preserve"> the Type 1 IGF-1 receptor, which is homologous to the insulin receptor is activated by IGF-1, leading to intracellular signalling which stimulates multiple processes leading to </w:t>
      </w:r>
      <w:proofErr w:type="spellStart"/>
      <w:r>
        <w:t>statural</w:t>
      </w:r>
      <w:proofErr w:type="spellEnd"/>
      <w:r>
        <w:t xml:space="preserve"> growth. The metabolic actions of IGF-1 are in part directed at stimulating the uptake of glucose, fatty acids, and amino acids so that metabolism supports growing tissues.</w:t>
      </w:r>
    </w:p>
    <w:p w14:paraId="6A2A04DB" w14:textId="301BB1B2" w:rsidR="005608C9" w:rsidRPr="005608C9" w:rsidRDefault="005608C9" w:rsidP="005608C9">
      <w:r w:rsidRPr="005608C9">
        <w:t xml:space="preserve">Severe </w:t>
      </w:r>
      <w:r w:rsidR="0092130E">
        <w:t>p</w:t>
      </w:r>
      <w:r w:rsidRPr="005608C9">
        <w:t>rimary</w:t>
      </w:r>
      <w:r w:rsidR="0092130E">
        <w:t xml:space="preserve"> </w:t>
      </w:r>
      <w:r w:rsidR="0092130E" w:rsidRPr="0092130E">
        <w:t>insulin-like growth factor 1 deficiency</w:t>
      </w:r>
      <w:r w:rsidR="00E235AE">
        <w:t xml:space="preserve"> </w:t>
      </w:r>
      <w:r w:rsidR="0092130E">
        <w:t>(</w:t>
      </w:r>
      <w:r w:rsidRPr="005608C9">
        <w:t>IGFD</w:t>
      </w:r>
      <w:r w:rsidR="0092130E">
        <w:t>)</w:t>
      </w:r>
      <w:r w:rsidRPr="005608C9">
        <w:t xml:space="preserve"> includes patients with mutations in the GH receptor (GHR), post-GHR signalling pathway, and IGF 1 gene defects; they are not GH deficient, and therefore, they cannot be expected to respond adequately to exogenous GH treatment.</w:t>
      </w:r>
    </w:p>
    <w:p w14:paraId="69093D4B" w14:textId="50BA3C46" w:rsidR="00075FAE" w:rsidRPr="005608C9" w:rsidRDefault="00075FAE" w:rsidP="005608C9">
      <w:r w:rsidRPr="005608C9">
        <w:t xml:space="preserve">Primary IGFD is a group of rare disorders of severe short stature. The most </w:t>
      </w:r>
      <w:proofErr w:type="spellStart"/>
      <w:r w:rsidR="005D0B23" w:rsidRPr="005608C9">
        <w:t>well</w:t>
      </w:r>
      <w:r w:rsidR="005D0B23">
        <w:t xml:space="preserve"> known</w:t>
      </w:r>
      <w:proofErr w:type="spellEnd"/>
      <w:r w:rsidRPr="005608C9">
        <w:t xml:space="preserve"> example would be Laron </w:t>
      </w:r>
      <w:r w:rsidR="0092130E">
        <w:t>s</w:t>
      </w:r>
      <w:r w:rsidR="0092130E" w:rsidRPr="005608C9">
        <w:t>yndrome</w:t>
      </w:r>
      <w:r w:rsidR="005D0B23" w:rsidRPr="005608C9">
        <w:t>, which</w:t>
      </w:r>
      <w:r w:rsidRPr="005608C9">
        <w:t xml:space="preserve"> is due to defects in the GH receptor. P</w:t>
      </w:r>
      <w:r w:rsidR="0092130E">
        <w:t xml:space="preserve">rimary </w:t>
      </w:r>
      <w:r w:rsidRPr="005608C9">
        <w:t xml:space="preserve">IGFD may also arise due to post-GHR signalling pathway defects, defects in the IGF-1 gene expression or </w:t>
      </w:r>
      <w:r w:rsidRPr="00E04B6E">
        <w:t>IGF</w:t>
      </w:r>
      <w:r w:rsidR="00E04B6E">
        <w:noBreakHyphen/>
        <w:t>1</w:t>
      </w:r>
      <w:r w:rsidRPr="00E04B6E">
        <w:t xml:space="preserve"> </w:t>
      </w:r>
      <w:r w:rsidRPr="005608C9">
        <w:t xml:space="preserve">production or antibodies to GH. These disorders are usually diagnosed clinically </w:t>
      </w:r>
      <w:r w:rsidR="005D0B23" w:rsidRPr="005608C9">
        <w:t>based on</w:t>
      </w:r>
      <w:r w:rsidRPr="005608C9">
        <w:t xml:space="preserve"> severe short stature</w:t>
      </w:r>
      <w:r w:rsidR="005608C9" w:rsidRPr="005608C9">
        <w:t>.</w:t>
      </w:r>
    </w:p>
    <w:p w14:paraId="22814A21" w14:textId="082731B2" w:rsidR="00075FAE" w:rsidRPr="00B655E9" w:rsidRDefault="00075FAE" w:rsidP="00B655E9">
      <w:r w:rsidRPr="00B655E9">
        <w:t>The clinical expression in affected individuals varies. Affected individuals are close to normal size at birth but experience slow growth from early childhood resulting in very short statue. In Laron syndrome typically adult males reach a maximum height of 137</w:t>
      </w:r>
      <w:r w:rsidR="0092130E">
        <w:t> </w:t>
      </w:r>
      <w:r w:rsidRPr="00B655E9">
        <w:t>cm</w:t>
      </w:r>
      <w:r w:rsidR="0092130E">
        <w:t xml:space="preserve"> (</w:t>
      </w:r>
      <w:r w:rsidRPr="00B655E9">
        <w:t xml:space="preserve">range 116 </w:t>
      </w:r>
      <w:r w:rsidR="00B655E9" w:rsidRPr="00B655E9">
        <w:t>to</w:t>
      </w:r>
      <w:r w:rsidRPr="00B655E9">
        <w:t xml:space="preserve"> 142 cm</w:t>
      </w:r>
      <w:r w:rsidR="0092130E">
        <w:t>)</w:t>
      </w:r>
      <w:r w:rsidRPr="00B655E9">
        <w:t xml:space="preserve"> and females 122 cm</w:t>
      </w:r>
      <w:r w:rsidR="0092130E">
        <w:t xml:space="preserve"> (</w:t>
      </w:r>
      <w:r w:rsidRPr="00B655E9">
        <w:t xml:space="preserve">range 108 </w:t>
      </w:r>
      <w:r w:rsidR="00B655E9" w:rsidRPr="00B655E9">
        <w:t>to</w:t>
      </w:r>
      <w:r w:rsidRPr="00B655E9">
        <w:t xml:space="preserve"> 136 cm</w:t>
      </w:r>
      <w:r w:rsidR="0092130E">
        <w:t>)</w:t>
      </w:r>
      <w:r w:rsidRPr="00B655E9">
        <w:t>.</w:t>
      </w:r>
      <w:r w:rsidR="00B40544">
        <w:rPr>
          <w:rStyle w:val="FootnoteReference"/>
        </w:rPr>
        <w:footnoteReference w:id="1"/>
      </w:r>
      <w:r w:rsidRPr="00B655E9">
        <w:t xml:space="preserve"> Affected individuals have short limbs, small hands and small feet. Other features may include reduced muscle strength and endurance, hypoglycaemia, delayed puberty, dental abnormalities, a facial appearance with protruding forehead and sunken bridge of the nose and blue sclera. Adults have a normal lifespan and whilst they tend to develop obesity</w:t>
      </w:r>
      <w:r w:rsidR="005D0B23">
        <w:t>,</w:t>
      </w:r>
      <w:r w:rsidRPr="00B655E9">
        <w:t xml:space="preserve"> may have a reduced risk of </w:t>
      </w:r>
      <w:r w:rsidR="0092130E">
        <w:t>t</w:t>
      </w:r>
      <w:r w:rsidR="0092130E" w:rsidRPr="00B655E9">
        <w:t xml:space="preserve">ype </w:t>
      </w:r>
      <w:r w:rsidRPr="00B655E9">
        <w:t xml:space="preserve">2 </w:t>
      </w:r>
      <w:r w:rsidR="0092130E">
        <w:t>d</w:t>
      </w:r>
      <w:r w:rsidR="0092130E" w:rsidRPr="00B655E9">
        <w:t xml:space="preserve">iabetes </w:t>
      </w:r>
      <w:r w:rsidR="0092130E">
        <w:t xml:space="preserve">mellitus </w:t>
      </w:r>
      <w:r w:rsidRPr="00B655E9">
        <w:t>and cancer.</w:t>
      </w:r>
    </w:p>
    <w:p w14:paraId="55058C55" w14:textId="77777777" w:rsidR="008E7846" w:rsidRPr="003F31A2" w:rsidRDefault="00386150" w:rsidP="008E7846">
      <w:pPr>
        <w:pStyle w:val="Heading3"/>
      </w:pPr>
      <w:bookmarkStart w:id="16" w:name="_Toc314842485"/>
      <w:bookmarkStart w:id="17" w:name="_Toc247691504"/>
      <w:bookmarkStart w:id="18" w:name="_Toc34901633"/>
      <w:r>
        <w:t>Regulatory s</w:t>
      </w:r>
      <w:r w:rsidR="008E7846">
        <w:t>tatus</w:t>
      </w:r>
      <w:bookmarkEnd w:id="16"/>
      <w:bookmarkEnd w:id="17"/>
      <w:bookmarkEnd w:id="18"/>
    </w:p>
    <w:p w14:paraId="50E5897F" w14:textId="77777777" w:rsidR="004124B2" w:rsidRDefault="004124B2" w:rsidP="00940A89">
      <w:bookmarkStart w:id="19" w:name="_Toc247691505"/>
      <w:bookmarkStart w:id="20" w:name="_Toc314842486"/>
      <w:r>
        <w:t>This is an application to register a new biological entity for Australian regulatory purposes.</w:t>
      </w:r>
    </w:p>
    <w:p w14:paraId="10D8A734" w14:textId="3C4702AF" w:rsidR="00B655E9" w:rsidRPr="00B655E9" w:rsidRDefault="005D0B23" w:rsidP="00B655E9">
      <w:r w:rsidRPr="00B66369">
        <w:t xml:space="preserve">The </w:t>
      </w:r>
      <w:r w:rsidR="0092130E">
        <w:t>United States (US) Food and Drug Administration (</w:t>
      </w:r>
      <w:r w:rsidRPr="00B66369">
        <w:t>FDA</w:t>
      </w:r>
      <w:r w:rsidR="0092130E">
        <w:t>)</w:t>
      </w:r>
      <w:r w:rsidRPr="00B66369">
        <w:t xml:space="preserve"> approved </w:t>
      </w:r>
      <w:proofErr w:type="spellStart"/>
      <w:r w:rsidRPr="00B66369">
        <w:t>Increlex</w:t>
      </w:r>
      <w:proofErr w:type="spellEnd"/>
      <w:r w:rsidR="00B655E9" w:rsidRPr="00B66369">
        <w:t xml:space="preserve"> on 30</w:t>
      </w:r>
      <w:r w:rsidR="0092130E">
        <w:t> </w:t>
      </w:r>
      <w:r w:rsidR="00B655E9" w:rsidRPr="00B66369">
        <w:t xml:space="preserve">August 2005 for the treatment of growth failure in </w:t>
      </w:r>
      <w:r w:rsidR="00B655E9" w:rsidRPr="00B655E9">
        <w:t xml:space="preserve">children with severe </w:t>
      </w:r>
      <w:r w:rsidR="0092130E">
        <w:t xml:space="preserve">primary </w:t>
      </w:r>
      <w:r w:rsidR="00B655E9" w:rsidRPr="00B655E9">
        <w:t>IGFD, or those with GH gene deletion who have developed neutralising antibodies to GH.</w:t>
      </w:r>
    </w:p>
    <w:p w14:paraId="6293361A" w14:textId="44671131" w:rsidR="00B655E9" w:rsidRPr="00B655E9" w:rsidRDefault="00B655E9" w:rsidP="00B655E9">
      <w:proofErr w:type="spellStart"/>
      <w:r w:rsidRPr="00B655E9">
        <w:t>Increlex</w:t>
      </w:r>
      <w:proofErr w:type="spellEnd"/>
      <w:r w:rsidRPr="00B655E9">
        <w:t xml:space="preserve"> was approved by the European </w:t>
      </w:r>
      <w:r w:rsidR="00AD1922">
        <w:t>Medicine Agency (EMA)</w:t>
      </w:r>
      <w:r w:rsidRPr="00B655E9">
        <w:t xml:space="preserve"> on 3 August 2007 through the Centralised Procedure under </w:t>
      </w:r>
      <w:r w:rsidR="0092130E">
        <w:t>e</w:t>
      </w:r>
      <w:r w:rsidRPr="00B655E9">
        <w:t xml:space="preserve">xceptional </w:t>
      </w:r>
      <w:r w:rsidR="0092130E">
        <w:t>c</w:t>
      </w:r>
      <w:r w:rsidRPr="00B655E9">
        <w:t xml:space="preserve">ircumstances (evaluated by a Rapporteur (Finland) and Co-Rapporteur (Hungary)) for the long-term treatment of growth failure in children and adolescents from 2 to 18 years with severe </w:t>
      </w:r>
      <w:r w:rsidR="0092130E">
        <w:t xml:space="preserve">primary </w:t>
      </w:r>
      <w:r w:rsidRPr="00B655E9">
        <w:t xml:space="preserve">IGFD. </w:t>
      </w:r>
      <w:proofErr w:type="spellStart"/>
      <w:r w:rsidRPr="00B655E9">
        <w:t>Increlex</w:t>
      </w:r>
      <w:proofErr w:type="spellEnd"/>
      <w:r w:rsidRPr="00B655E9">
        <w:t xml:space="preserve"> was launched in the EU on 31 October 2007.</w:t>
      </w:r>
    </w:p>
    <w:p w14:paraId="448F76D6" w14:textId="77777777" w:rsidR="00B655E9" w:rsidRPr="00B655E9" w:rsidRDefault="00B655E9" w:rsidP="00B655E9">
      <w:r w:rsidRPr="00B655E9">
        <w:t>In Japan</w:t>
      </w:r>
      <w:r w:rsidR="00AD1922">
        <w:t xml:space="preserve">, </w:t>
      </w:r>
      <w:proofErr w:type="spellStart"/>
      <w:r w:rsidR="00AD1922">
        <w:t>m</w:t>
      </w:r>
      <w:r w:rsidRPr="00B655E9">
        <w:t>ecasermin</w:t>
      </w:r>
      <w:proofErr w:type="spellEnd"/>
      <w:r w:rsidRPr="00B655E9">
        <w:t xml:space="preserve"> (</w:t>
      </w:r>
      <w:proofErr w:type="spellStart"/>
      <w:r w:rsidRPr="00B655E9">
        <w:t>Somazon</w:t>
      </w:r>
      <w:proofErr w:type="spellEnd"/>
      <w:r w:rsidRPr="00B655E9">
        <w:t>) has been available since 1995.</w:t>
      </w:r>
    </w:p>
    <w:p w14:paraId="4ECEBF17" w14:textId="5E293A32" w:rsidR="00B655E9" w:rsidRPr="00B655E9" w:rsidRDefault="00B655E9" w:rsidP="00E04B6E">
      <w:r w:rsidRPr="00B655E9">
        <w:t xml:space="preserve">There are differences between US versus EU criteria for severe </w:t>
      </w:r>
      <w:r w:rsidR="0092130E">
        <w:t xml:space="preserve">primary </w:t>
      </w:r>
      <w:r w:rsidRPr="00B655E9">
        <w:t xml:space="preserve">IGFD definition in relation to the circulating IGF-1 level (≤ </w:t>
      </w:r>
      <w:r>
        <w:t xml:space="preserve">-3.0 </w:t>
      </w:r>
      <w:r w:rsidR="0092130E">
        <w:t>standard deviation (</w:t>
      </w:r>
      <w:r>
        <w:t>SD</w:t>
      </w:r>
      <w:r w:rsidR="0092130E">
        <w:t>)</w:t>
      </w:r>
      <w:r>
        <w:t xml:space="preserve"> score in the US versus &lt; </w:t>
      </w:r>
      <w:r w:rsidRPr="00B655E9">
        <w:t xml:space="preserve">2.5 percentile for age and gender in the EU). However, both require </w:t>
      </w:r>
      <w:r w:rsidR="0092130E">
        <w:t xml:space="preserve">a </w:t>
      </w:r>
      <w:r w:rsidRPr="00B655E9">
        <w:t>height SD</w:t>
      </w:r>
      <w:r w:rsidR="0092130E">
        <w:t> </w:t>
      </w:r>
      <w:r w:rsidRPr="00B655E9">
        <w:t xml:space="preserve">score ≤ -3.0, GH to be sufficient and additionally in the EU, for exclusion of secondary </w:t>
      </w:r>
      <w:r w:rsidRPr="00B655E9">
        <w:lastRenderedPageBreak/>
        <w:t>forms of IGFD. The FDA indication also includes patients with GH gene defects who have developed anti-GH antibodies.</w:t>
      </w:r>
    </w:p>
    <w:p w14:paraId="6C85BCE7" w14:textId="77777777" w:rsidR="008E7846" w:rsidRDefault="008E7846" w:rsidP="00940A89">
      <w:pPr>
        <w:pStyle w:val="Heading3"/>
      </w:pPr>
      <w:bookmarkStart w:id="21" w:name="_Toc34901634"/>
      <w:r>
        <w:t>Product Information</w:t>
      </w:r>
      <w:bookmarkEnd w:id="19"/>
      <w:bookmarkEnd w:id="20"/>
      <w:bookmarkEnd w:id="21"/>
    </w:p>
    <w:p w14:paraId="61ACEB2B"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41C6B733" w14:textId="77777777" w:rsidR="00500337" w:rsidRDefault="00FD5F2E" w:rsidP="00500337">
      <w:pPr>
        <w:pStyle w:val="Heading2"/>
      </w:pPr>
      <w:bookmarkStart w:id="24" w:name="_Toc504480011"/>
      <w:bookmarkStart w:id="25" w:name="_Toc34901635"/>
      <w:r>
        <w:t>II. Registration time</w:t>
      </w:r>
      <w:r w:rsidR="00500337">
        <w:t>line</w:t>
      </w:r>
      <w:bookmarkEnd w:id="24"/>
      <w:bookmarkEnd w:id="25"/>
    </w:p>
    <w:p w14:paraId="7F6EEC8D" w14:textId="77777777" w:rsidR="00500337" w:rsidRDefault="00500337" w:rsidP="00500337">
      <w:r>
        <w:t>The following table captures the key steps and dates for this application and which are detailed and discussed in this AusPAR.</w:t>
      </w:r>
    </w:p>
    <w:p w14:paraId="5D75D2EF" w14:textId="77777777" w:rsidR="006A58A8" w:rsidRPr="006A58A8" w:rsidRDefault="006A58A8" w:rsidP="006A58A8">
      <w:pPr>
        <w:pStyle w:val="TableTitle"/>
      </w:pPr>
      <w:r w:rsidRPr="006A58A8">
        <w:t>Table 1</w:t>
      </w:r>
      <w:r w:rsidR="00E04B6E">
        <w:t>:</w:t>
      </w:r>
      <w:r w:rsidRPr="006A58A8">
        <w:t xml:space="preserve"> Timeline for Submission PM-201</w:t>
      </w:r>
      <w:r w:rsidR="0091657B">
        <w:t>8</w:t>
      </w:r>
      <w:r w:rsidRPr="006A58A8">
        <w:t>-</w:t>
      </w:r>
      <w:r w:rsidR="0091657B">
        <w:t>03520-1-5</w:t>
      </w:r>
    </w:p>
    <w:tbl>
      <w:tblPr>
        <w:tblStyle w:val="TableTGAblue"/>
        <w:tblW w:w="8613" w:type="dxa"/>
        <w:tblLook w:val="04A0" w:firstRow="1" w:lastRow="0" w:firstColumn="1" w:lastColumn="0" w:noHBand="0" w:noVBand="1"/>
      </w:tblPr>
      <w:tblGrid>
        <w:gridCol w:w="6062"/>
        <w:gridCol w:w="2551"/>
      </w:tblGrid>
      <w:tr w:rsidR="0091657B" w:rsidRPr="0092130E" w14:paraId="7BD9443B" w14:textId="77777777" w:rsidTr="00084506">
        <w:trPr>
          <w:cnfStyle w:val="100000000000" w:firstRow="1" w:lastRow="0" w:firstColumn="0" w:lastColumn="0" w:oddVBand="0" w:evenVBand="0" w:oddHBand="0" w:evenHBand="0" w:firstRowFirstColumn="0" w:firstRowLastColumn="0" w:lastRowFirstColumn="0" w:lastRowLastColumn="0"/>
        </w:trPr>
        <w:tc>
          <w:tcPr>
            <w:tcW w:w="6062" w:type="dxa"/>
          </w:tcPr>
          <w:p w14:paraId="0C2A0274" w14:textId="77777777" w:rsidR="0091657B" w:rsidRPr="00084506" w:rsidRDefault="0091657B" w:rsidP="00E235AE">
            <w:pPr>
              <w:rPr>
                <w:b w:val="0"/>
                <w:szCs w:val="22"/>
                <w:lang w:eastAsia="en-US"/>
              </w:rPr>
            </w:pPr>
            <w:r w:rsidRPr="00084506">
              <w:t>Description</w:t>
            </w:r>
          </w:p>
        </w:tc>
        <w:tc>
          <w:tcPr>
            <w:tcW w:w="2551" w:type="dxa"/>
          </w:tcPr>
          <w:p w14:paraId="42ACD7A2" w14:textId="77777777" w:rsidR="0091657B" w:rsidRPr="00084506" w:rsidRDefault="0091657B" w:rsidP="00E235AE">
            <w:pPr>
              <w:rPr>
                <w:b w:val="0"/>
                <w:szCs w:val="22"/>
                <w:lang w:eastAsia="en-US"/>
              </w:rPr>
            </w:pPr>
            <w:r w:rsidRPr="00084506">
              <w:t>Date</w:t>
            </w:r>
          </w:p>
        </w:tc>
      </w:tr>
      <w:tr w:rsidR="0091657B" w:rsidRPr="0092130E" w14:paraId="6EEC652C" w14:textId="77777777" w:rsidTr="00084506">
        <w:tc>
          <w:tcPr>
            <w:tcW w:w="6062" w:type="dxa"/>
          </w:tcPr>
          <w:p w14:paraId="591B783A" w14:textId="77777777" w:rsidR="0091657B" w:rsidRPr="00E235AE" w:rsidRDefault="0091657B" w:rsidP="00E235AE">
            <w:r w:rsidRPr="0092130E">
              <w:t>Orphan designation</w:t>
            </w:r>
          </w:p>
        </w:tc>
        <w:tc>
          <w:tcPr>
            <w:tcW w:w="2551" w:type="dxa"/>
          </w:tcPr>
          <w:p w14:paraId="0DE03F63" w14:textId="77777777" w:rsidR="0091657B" w:rsidRPr="00E235AE" w:rsidRDefault="0091657B" w:rsidP="00E235AE">
            <w:r w:rsidRPr="0092130E">
              <w:t>17 July 2018</w:t>
            </w:r>
          </w:p>
        </w:tc>
      </w:tr>
      <w:tr w:rsidR="0091657B" w:rsidRPr="0092130E" w14:paraId="22BF1E16" w14:textId="77777777" w:rsidTr="00084506">
        <w:tc>
          <w:tcPr>
            <w:tcW w:w="6062" w:type="dxa"/>
          </w:tcPr>
          <w:p w14:paraId="7DF22944" w14:textId="77777777" w:rsidR="0091657B" w:rsidRPr="00E235AE" w:rsidRDefault="0091657B" w:rsidP="00E235AE">
            <w:r w:rsidRPr="0092130E">
              <w:t>Submission dossier accepted and first round evaluation commenced</w:t>
            </w:r>
          </w:p>
        </w:tc>
        <w:tc>
          <w:tcPr>
            <w:tcW w:w="2551" w:type="dxa"/>
          </w:tcPr>
          <w:p w14:paraId="4E25FF47" w14:textId="77777777" w:rsidR="0091657B" w:rsidRPr="00E235AE" w:rsidRDefault="0091657B" w:rsidP="00E235AE">
            <w:r w:rsidRPr="0092130E">
              <w:t>3 October 2018</w:t>
            </w:r>
          </w:p>
        </w:tc>
      </w:tr>
      <w:tr w:rsidR="0091657B" w:rsidRPr="0092130E" w14:paraId="62CAC7DE" w14:textId="77777777" w:rsidTr="00084506">
        <w:tc>
          <w:tcPr>
            <w:tcW w:w="6062" w:type="dxa"/>
          </w:tcPr>
          <w:p w14:paraId="18F1FCEC" w14:textId="77777777" w:rsidR="0091657B" w:rsidRPr="00E235AE" w:rsidRDefault="0091657B" w:rsidP="00E235AE">
            <w:r w:rsidRPr="0092130E">
              <w:t>First round evaluation completed</w:t>
            </w:r>
          </w:p>
        </w:tc>
        <w:tc>
          <w:tcPr>
            <w:tcW w:w="2551" w:type="dxa"/>
          </w:tcPr>
          <w:p w14:paraId="1680B5CA" w14:textId="77777777" w:rsidR="0091657B" w:rsidRPr="00E235AE" w:rsidRDefault="0091657B" w:rsidP="00E235AE">
            <w:r w:rsidRPr="0092130E">
              <w:t>1 March 2019</w:t>
            </w:r>
          </w:p>
        </w:tc>
      </w:tr>
      <w:tr w:rsidR="0091657B" w:rsidRPr="0092130E" w14:paraId="0E6952D1" w14:textId="77777777" w:rsidTr="00084506">
        <w:tc>
          <w:tcPr>
            <w:tcW w:w="6062" w:type="dxa"/>
          </w:tcPr>
          <w:p w14:paraId="1862866A" w14:textId="77777777" w:rsidR="0091657B" w:rsidRPr="00E235AE" w:rsidRDefault="0091657B" w:rsidP="00E235AE">
            <w:r w:rsidRPr="0092130E">
              <w:t>Sponsor provides responses on questions raised in first round evaluation</w:t>
            </w:r>
          </w:p>
        </w:tc>
        <w:tc>
          <w:tcPr>
            <w:tcW w:w="2551" w:type="dxa"/>
          </w:tcPr>
          <w:p w14:paraId="16CB402A" w14:textId="77777777" w:rsidR="0091657B" w:rsidRPr="00E235AE" w:rsidRDefault="0091657B" w:rsidP="00E235AE">
            <w:r w:rsidRPr="0092130E">
              <w:t>1 May 2019</w:t>
            </w:r>
          </w:p>
        </w:tc>
      </w:tr>
      <w:tr w:rsidR="0091657B" w:rsidRPr="0092130E" w14:paraId="50164BB0" w14:textId="77777777" w:rsidTr="00084506">
        <w:tc>
          <w:tcPr>
            <w:tcW w:w="6062" w:type="dxa"/>
          </w:tcPr>
          <w:p w14:paraId="799AE14E" w14:textId="77777777" w:rsidR="0091657B" w:rsidRPr="00E235AE" w:rsidRDefault="0091657B" w:rsidP="00E235AE">
            <w:r w:rsidRPr="0092130E">
              <w:t>Second round evaluation completed</w:t>
            </w:r>
          </w:p>
        </w:tc>
        <w:tc>
          <w:tcPr>
            <w:tcW w:w="2551" w:type="dxa"/>
          </w:tcPr>
          <w:p w14:paraId="45C2752E" w14:textId="77777777" w:rsidR="0091657B" w:rsidRPr="00E235AE" w:rsidRDefault="0091657B" w:rsidP="00E235AE">
            <w:r w:rsidRPr="0092130E">
              <w:t>17 July 2019</w:t>
            </w:r>
          </w:p>
        </w:tc>
      </w:tr>
      <w:tr w:rsidR="0091657B" w:rsidRPr="0092130E" w14:paraId="5BC46234" w14:textId="77777777" w:rsidTr="00084506">
        <w:tc>
          <w:tcPr>
            <w:tcW w:w="6062" w:type="dxa"/>
          </w:tcPr>
          <w:p w14:paraId="026280F3" w14:textId="77777777" w:rsidR="0091657B" w:rsidRPr="00E235AE" w:rsidRDefault="0091657B" w:rsidP="00E235AE">
            <w:r w:rsidRPr="0092130E">
              <w:t>Delegate’s Overall benefit-risk assessment and request for Advisory Committee advice</w:t>
            </w:r>
          </w:p>
        </w:tc>
        <w:tc>
          <w:tcPr>
            <w:tcW w:w="2551" w:type="dxa"/>
          </w:tcPr>
          <w:p w14:paraId="17F98DDF" w14:textId="77777777" w:rsidR="0091657B" w:rsidRPr="00E235AE" w:rsidRDefault="0091657B" w:rsidP="00E235AE">
            <w:r w:rsidRPr="0092130E">
              <w:t>28 August 2019</w:t>
            </w:r>
          </w:p>
        </w:tc>
      </w:tr>
      <w:tr w:rsidR="0091657B" w:rsidRPr="0092130E" w14:paraId="13756279" w14:textId="77777777" w:rsidTr="00084506">
        <w:tc>
          <w:tcPr>
            <w:tcW w:w="6062" w:type="dxa"/>
          </w:tcPr>
          <w:p w14:paraId="17F84C98" w14:textId="77777777" w:rsidR="0091657B" w:rsidRPr="00E235AE" w:rsidRDefault="0091657B" w:rsidP="00E235AE">
            <w:r w:rsidRPr="0092130E">
              <w:t>Sponsor’s pre-Advisory Committee response</w:t>
            </w:r>
          </w:p>
        </w:tc>
        <w:tc>
          <w:tcPr>
            <w:tcW w:w="2551" w:type="dxa"/>
          </w:tcPr>
          <w:p w14:paraId="2B9F25AF" w14:textId="77777777" w:rsidR="0091657B" w:rsidRPr="00E235AE" w:rsidRDefault="0091657B" w:rsidP="00E235AE">
            <w:r w:rsidRPr="0092130E">
              <w:t>16 September 2019</w:t>
            </w:r>
          </w:p>
        </w:tc>
      </w:tr>
      <w:tr w:rsidR="0091657B" w:rsidRPr="0092130E" w14:paraId="4C3FB5D1" w14:textId="77777777" w:rsidTr="00084506">
        <w:tc>
          <w:tcPr>
            <w:tcW w:w="6062" w:type="dxa"/>
          </w:tcPr>
          <w:p w14:paraId="194F82C4" w14:textId="77777777" w:rsidR="0091657B" w:rsidRPr="00E235AE" w:rsidRDefault="0091657B" w:rsidP="00E235AE">
            <w:r w:rsidRPr="0092130E">
              <w:t>Advisory Committee meeting</w:t>
            </w:r>
          </w:p>
        </w:tc>
        <w:tc>
          <w:tcPr>
            <w:tcW w:w="2551" w:type="dxa"/>
          </w:tcPr>
          <w:p w14:paraId="1A5865A2" w14:textId="77777777" w:rsidR="0091657B" w:rsidRPr="00E235AE" w:rsidRDefault="0091657B" w:rsidP="00E235AE">
            <w:r w:rsidRPr="0092130E">
              <w:t>4 October 2019</w:t>
            </w:r>
          </w:p>
        </w:tc>
      </w:tr>
      <w:tr w:rsidR="0091657B" w:rsidRPr="0092130E" w14:paraId="053D10A2" w14:textId="77777777" w:rsidTr="00084506">
        <w:tc>
          <w:tcPr>
            <w:tcW w:w="6062" w:type="dxa"/>
          </w:tcPr>
          <w:p w14:paraId="432EF515" w14:textId="77777777" w:rsidR="0091657B" w:rsidRPr="00E235AE" w:rsidRDefault="0091657B" w:rsidP="00E235AE">
            <w:r w:rsidRPr="0092130E">
              <w:t>Registration decision (Outcome)</w:t>
            </w:r>
          </w:p>
        </w:tc>
        <w:tc>
          <w:tcPr>
            <w:tcW w:w="2551" w:type="dxa"/>
          </w:tcPr>
          <w:p w14:paraId="7B7CFE84" w14:textId="77777777" w:rsidR="0091657B" w:rsidRPr="00E235AE" w:rsidRDefault="0091657B" w:rsidP="00E235AE">
            <w:r w:rsidRPr="0092130E">
              <w:t>19 November 2019</w:t>
            </w:r>
          </w:p>
        </w:tc>
      </w:tr>
      <w:tr w:rsidR="0091657B" w:rsidRPr="0092130E" w14:paraId="1B3C1913" w14:textId="77777777" w:rsidTr="00084506">
        <w:tc>
          <w:tcPr>
            <w:tcW w:w="6062" w:type="dxa"/>
          </w:tcPr>
          <w:p w14:paraId="12B3C1F0" w14:textId="75314C7D" w:rsidR="0091657B" w:rsidRPr="0092130E" w:rsidRDefault="0091657B" w:rsidP="00E235AE">
            <w:pPr>
              <w:rPr>
                <w:color w:val="auto"/>
                <w:szCs w:val="22"/>
                <w:lang w:eastAsia="en-US"/>
              </w:rPr>
            </w:pPr>
            <w:r w:rsidRPr="0092130E">
              <w:t xml:space="preserve">Completion of administrative activities and registration on </w:t>
            </w:r>
            <w:r w:rsidR="0092130E">
              <w:t xml:space="preserve">the </w:t>
            </w:r>
            <w:r w:rsidRPr="0092130E">
              <w:t>ARTG</w:t>
            </w:r>
          </w:p>
        </w:tc>
        <w:tc>
          <w:tcPr>
            <w:tcW w:w="2551" w:type="dxa"/>
          </w:tcPr>
          <w:p w14:paraId="1523D8AD" w14:textId="77777777" w:rsidR="0091657B" w:rsidRPr="00E235AE" w:rsidRDefault="0091657B" w:rsidP="00E235AE">
            <w:r w:rsidRPr="0092130E">
              <w:t>22 November 2019</w:t>
            </w:r>
          </w:p>
        </w:tc>
      </w:tr>
      <w:tr w:rsidR="0091657B" w:rsidRPr="0092130E" w14:paraId="62BEAF52" w14:textId="77777777" w:rsidTr="00084506">
        <w:tc>
          <w:tcPr>
            <w:tcW w:w="6062" w:type="dxa"/>
          </w:tcPr>
          <w:p w14:paraId="6B9AB887" w14:textId="77777777" w:rsidR="0091657B" w:rsidRPr="00E235AE" w:rsidRDefault="0091657B" w:rsidP="00E235AE">
            <w:r w:rsidRPr="0092130E">
              <w:t>Number of working days from submission dossier acceptance to registration decision*</w:t>
            </w:r>
          </w:p>
        </w:tc>
        <w:tc>
          <w:tcPr>
            <w:tcW w:w="2551" w:type="dxa"/>
          </w:tcPr>
          <w:p w14:paraId="29A60FF3" w14:textId="77777777" w:rsidR="0091657B" w:rsidRPr="00E235AE" w:rsidRDefault="0091657B" w:rsidP="00E235AE">
            <w:r w:rsidRPr="0092130E">
              <w:t>220</w:t>
            </w:r>
          </w:p>
        </w:tc>
      </w:tr>
    </w:tbl>
    <w:p w14:paraId="4858D905" w14:textId="77777777" w:rsidR="0091657B" w:rsidRPr="00D75678" w:rsidRDefault="0091657B" w:rsidP="0091657B">
      <w:pPr>
        <w:pStyle w:val="TableDescription"/>
      </w:pPr>
      <w:r>
        <w:t>*</w:t>
      </w:r>
      <w:r w:rsidRPr="00BF3774">
        <w:t xml:space="preserve">Statutory </w:t>
      </w:r>
      <w:r>
        <w:t>timeframe for standard applications is 255 working days</w:t>
      </w:r>
    </w:p>
    <w:p w14:paraId="138A74CD" w14:textId="77777777" w:rsidR="008E7846" w:rsidRPr="00792A32" w:rsidRDefault="00456765" w:rsidP="00885D37">
      <w:pPr>
        <w:pStyle w:val="Heading2"/>
        <w:pageBreakBefore/>
      </w:pPr>
      <w:bookmarkStart w:id="26" w:name="_Toc196046504"/>
      <w:bookmarkStart w:id="27" w:name="_Toc247691527"/>
      <w:bookmarkStart w:id="28" w:name="_Toc314842510"/>
      <w:bookmarkStart w:id="29" w:name="_Toc163441390"/>
      <w:bookmarkStart w:id="30" w:name="_Toc34901636"/>
      <w:bookmarkEnd w:id="22"/>
      <w:bookmarkEnd w:id="23"/>
      <w:bookmarkEnd w:id="1"/>
      <w:r>
        <w:lastRenderedPageBreak/>
        <w:t>I</w:t>
      </w:r>
      <w:r w:rsidR="00DA64CB">
        <w:t>I</w:t>
      </w:r>
      <w:r w:rsidR="008E7846">
        <w:t xml:space="preserve">I. </w:t>
      </w:r>
      <w:r w:rsidR="00664BCE">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41AFAA19" w14:textId="77777777" w:rsidR="008E7846" w:rsidRDefault="008E7846" w:rsidP="008E7846">
      <w:bookmarkStart w:id="31" w:name="_Toc247691528"/>
      <w:r>
        <w:t xml:space="preserve">The submission was summarised in the following </w:t>
      </w:r>
      <w:r w:rsidRPr="00EF5C48">
        <w:t xml:space="preserve">Delegate’s </w:t>
      </w:r>
      <w:r>
        <w:t>overview</w:t>
      </w:r>
      <w:r w:rsidRPr="00EF5C48">
        <w:t xml:space="preserve"> and recommendation</w:t>
      </w:r>
      <w:r w:rsidR="00FD5F2E">
        <w:t>s.</w:t>
      </w:r>
    </w:p>
    <w:p w14:paraId="0B1D61D1" w14:textId="77777777" w:rsidR="008E7846" w:rsidRDefault="008E7846" w:rsidP="008E7846">
      <w:pPr>
        <w:pStyle w:val="Heading3"/>
      </w:pPr>
      <w:bookmarkStart w:id="32" w:name="_Toc314842511"/>
      <w:bookmarkStart w:id="33" w:name="_Toc34901637"/>
      <w:r>
        <w:t>Quality</w:t>
      </w:r>
      <w:bookmarkEnd w:id="31"/>
      <w:bookmarkEnd w:id="32"/>
      <w:bookmarkEnd w:id="33"/>
    </w:p>
    <w:p w14:paraId="013E5583" w14:textId="44ED2CD9" w:rsidR="00AD1922" w:rsidRDefault="00075FAE" w:rsidP="00FD5F2E">
      <w:proofErr w:type="spellStart"/>
      <w:r w:rsidRPr="00B66369">
        <w:t>Mecasermin</w:t>
      </w:r>
      <w:proofErr w:type="spellEnd"/>
      <w:r w:rsidRPr="00B66369">
        <w:t xml:space="preserve"> is a single</w:t>
      </w:r>
      <w:r>
        <w:t xml:space="preserve"> </w:t>
      </w:r>
      <w:r w:rsidRPr="00B66369">
        <w:t xml:space="preserve">chain, non-glycosylated basic polypeptide produced by </w:t>
      </w:r>
      <w:r w:rsidRPr="00B655E9">
        <w:rPr>
          <w:i/>
        </w:rPr>
        <w:t>Escherichia</w:t>
      </w:r>
      <w:r w:rsidR="0092130E">
        <w:rPr>
          <w:i/>
        </w:rPr>
        <w:t> </w:t>
      </w:r>
      <w:r w:rsidRPr="00B655E9">
        <w:rPr>
          <w:i/>
        </w:rPr>
        <w:t>coli</w:t>
      </w:r>
      <w:r w:rsidR="00AD1922">
        <w:t xml:space="preserve"> fermentation.</w:t>
      </w:r>
    </w:p>
    <w:p w14:paraId="4F633A1C" w14:textId="77777777" w:rsidR="00AD1922" w:rsidRDefault="00075FAE" w:rsidP="00FD5F2E">
      <w:r w:rsidRPr="00B66369">
        <w:t xml:space="preserve">The drug product is a sterile liquid formulation containing a preservative and is intended for multiple administrations by </w:t>
      </w:r>
      <w:r>
        <w:t xml:space="preserve">subcutaneous </w:t>
      </w:r>
      <w:r w:rsidR="00B655E9">
        <w:t xml:space="preserve">(SC) </w:t>
      </w:r>
      <w:r w:rsidRPr="00B66369">
        <w:t>injection. It is supplied in glass vials with an elastomer stopper</w:t>
      </w:r>
      <w:r w:rsidR="008E2592">
        <w:t>.</w:t>
      </w:r>
    </w:p>
    <w:p w14:paraId="2CB934DE" w14:textId="77777777" w:rsidR="00AD1922" w:rsidRDefault="00AD1922" w:rsidP="00FD5F2E">
      <w:r>
        <w:t xml:space="preserve">Each mL of </w:t>
      </w:r>
      <w:proofErr w:type="spellStart"/>
      <w:r>
        <w:t>Increlex</w:t>
      </w:r>
      <w:proofErr w:type="spellEnd"/>
      <w:r>
        <w:t xml:space="preserve"> contains 10 mg of </w:t>
      </w:r>
      <w:proofErr w:type="spellStart"/>
      <w:r>
        <w:t>mecasermin</w:t>
      </w:r>
      <w:proofErr w:type="spellEnd"/>
      <w:r>
        <w:t>.</w:t>
      </w:r>
    </w:p>
    <w:p w14:paraId="582DEEC8" w14:textId="77777777" w:rsidR="00AD1922" w:rsidRPr="00B66369" w:rsidRDefault="00AD1922" w:rsidP="00FD5F2E">
      <w:r>
        <w:t xml:space="preserve">Each </w:t>
      </w:r>
      <w:proofErr w:type="spellStart"/>
      <w:r>
        <w:t>Increlex</w:t>
      </w:r>
      <w:proofErr w:type="spellEnd"/>
      <w:r>
        <w:t xml:space="preserve"> vial of 4 mL of contains 40 mg of </w:t>
      </w:r>
      <w:proofErr w:type="spellStart"/>
      <w:r>
        <w:t>mecasermin</w:t>
      </w:r>
      <w:proofErr w:type="spellEnd"/>
      <w:r>
        <w:t>.</w:t>
      </w:r>
    </w:p>
    <w:p w14:paraId="752E4917" w14:textId="46F64286" w:rsidR="00075FAE" w:rsidRDefault="005D0B23" w:rsidP="00FD5F2E">
      <w:proofErr w:type="spellStart"/>
      <w:r>
        <w:t>Increlex</w:t>
      </w:r>
      <w:proofErr w:type="spellEnd"/>
      <w:r w:rsidR="00075FAE" w:rsidRPr="00B66369">
        <w:t xml:space="preserve"> contains benzyl alcohol </w:t>
      </w:r>
      <w:r w:rsidR="0092130E">
        <w:t xml:space="preserve">(BA) </w:t>
      </w:r>
      <w:r w:rsidR="00075FAE" w:rsidRPr="00B66369">
        <w:t>as a preservative.</w:t>
      </w:r>
    </w:p>
    <w:p w14:paraId="0BB700C7" w14:textId="77777777" w:rsidR="00075FAE" w:rsidRPr="00B66369" w:rsidRDefault="00075FAE" w:rsidP="00FD5F2E">
      <w:r w:rsidRPr="00B66369">
        <w:t xml:space="preserve">The quality evaluator recommended approval on the condition that </w:t>
      </w:r>
      <w:r w:rsidR="00B655E9">
        <w:t>Good Manufacturing Practice (</w:t>
      </w:r>
      <w:r w:rsidRPr="00B66369">
        <w:t>GMP</w:t>
      </w:r>
      <w:r w:rsidR="00B655E9">
        <w:t>)</w:t>
      </w:r>
      <w:r w:rsidRPr="00B66369">
        <w:t xml:space="preserve"> clearance</w:t>
      </w:r>
      <w:r w:rsidR="00BD322D">
        <w:t>s</w:t>
      </w:r>
      <w:r w:rsidRPr="00B66369">
        <w:t xml:space="preserve"> w</w:t>
      </w:r>
      <w:r w:rsidR="00BD322D">
        <w:t>ere</w:t>
      </w:r>
      <w:r w:rsidRPr="00B66369">
        <w:t xml:space="preserve"> obtained </w:t>
      </w:r>
      <w:r w:rsidR="00BD322D">
        <w:t>from</w:t>
      </w:r>
      <w:r w:rsidRPr="00B66369">
        <w:t xml:space="preserve"> all relevant sites.</w:t>
      </w:r>
    </w:p>
    <w:p w14:paraId="06A58ADE" w14:textId="77777777" w:rsidR="008E7846" w:rsidRDefault="008E7846" w:rsidP="008E7846">
      <w:pPr>
        <w:pStyle w:val="Heading3"/>
      </w:pPr>
      <w:bookmarkStart w:id="34" w:name="_Toc314842512"/>
      <w:bookmarkStart w:id="35" w:name="_Toc34901638"/>
      <w:r>
        <w:t>Nonclinical</w:t>
      </w:r>
      <w:bookmarkEnd w:id="34"/>
      <w:bookmarkEnd w:id="35"/>
    </w:p>
    <w:p w14:paraId="17CD1F72" w14:textId="77777777" w:rsidR="00075FAE" w:rsidRPr="00B66369" w:rsidRDefault="00075FAE" w:rsidP="00BD322D">
      <w:pPr>
        <w:pStyle w:val="ListBullet"/>
      </w:pPr>
      <w:r>
        <w:t>D</w:t>
      </w:r>
      <w:r w:rsidRPr="00B66369">
        <w:t xml:space="preserve">ose-dependent increases in bone growth with SC </w:t>
      </w:r>
      <w:proofErr w:type="spellStart"/>
      <w:r w:rsidR="00BD322D">
        <w:t>m</w:t>
      </w:r>
      <w:r w:rsidRPr="00B66369">
        <w:t>ecasermin</w:t>
      </w:r>
      <w:proofErr w:type="spellEnd"/>
      <w:r w:rsidRPr="00B66369">
        <w:t xml:space="preserve"> treatment were shown in two rat models of growth deficiency. The models used (hypophysectomised and mutant dwarf rats) show growt</w:t>
      </w:r>
      <w:r w:rsidR="00FD5F2E">
        <w:t>h hormone and IGF</w:t>
      </w:r>
      <w:r w:rsidR="00FD5F2E">
        <w:noBreakHyphen/>
        <w:t>1 deficiency.</w:t>
      </w:r>
    </w:p>
    <w:p w14:paraId="333C261E" w14:textId="77777777" w:rsidR="00075FAE" w:rsidRPr="00B66369" w:rsidRDefault="00075FAE" w:rsidP="00BD322D">
      <w:pPr>
        <w:pStyle w:val="ListBullet"/>
      </w:pPr>
      <w:r w:rsidRPr="00B66369">
        <w:t xml:space="preserve">Significant reductions in plasma glucose/hypoglycaemia following SC and/or </w:t>
      </w:r>
      <w:r w:rsidR="00BD322D">
        <w:t>intravenous (</w:t>
      </w:r>
      <w:r w:rsidRPr="00B66369">
        <w:t>IV</w:t>
      </w:r>
      <w:r w:rsidR="00BD322D">
        <w:t>)</w:t>
      </w:r>
      <w:r w:rsidRPr="00B66369">
        <w:t xml:space="preserve"> administration of </w:t>
      </w:r>
      <w:proofErr w:type="spellStart"/>
      <w:r w:rsidR="00BD322D">
        <w:t>m</w:t>
      </w:r>
      <w:r w:rsidRPr="00B66369">
        <w:t>ecasermin</w:t>
      </w:r>
      <w:proofErr w:type="spellEnd"/>
      <w:r w:rsidRPr="00B66369">
        <w:t xml:space="preserve"> were demonstrated in secondary </w:t>
      </w:r>
      <w:proofErr w:type="spellStart"/>
      <w:r w:rsidRPr="00B66369">
        <w:t>pharmacodynamic</w:t>
      </w:r>
      <w:proofErr w:type="spellEnd"/>
      <w:r w:rsidRPr="00B66369">
        <w:t xml:space="preserve"> studies in rats, rabbits and monkeys. This is consistent with the insulin-like action of IGF</w:t>
      </w:r>
      <w:r w:rsidRPr="00B66369">
        <w:noBreakHyphen/>
        <w:t xml:space="preserve">1 to stimulate glucose uptake in muscle. The observed hypoglycaemic effects in rats occurred at doses of </w:t>
      </w:r>
      <w:proofErr w:type="spellStart"/>
      <w:r w:rsidR="00BD322D">
        <w:t>m</w:t>
      </w:r>
      <w:r w:rsidRPr="00B66369">
        <w:t>ecasermin</w:t>
      </w:r>
      <w:proofErr w:type="spellEnd"/>
      <w:r w:rsidRPr="00B66369">
        <w:t xml:space="preserve"> higher than that required for its growth-promoting activity. Dose-dependent increases in body weight and stimulation of immune function were also demonstrated in </w:t>
      </w:r>
      <w:proofErr w:type="spellStart"/>
      <w:r w:rsidR="00BD322D">
        <w:t>m</w:t>
      </w:r>
      <w:r w:rsidRPr="00B66369">
        <w:t>ecasermin</w:t>
      </w:r>
      <w:proofErr w:type="spellEnd"/>
      <w:r w:rsidRPr="00B66369">
        <w:t>-treated animals.</w:t>
      </w:r>
    </w:p>
    <w:p w14:paraId="258F0E3D" w14:textId="77777777" w:rsidR="00075FAE" w:rsidRPr="00B66369" w:rsidRDefault="00075FAE" w:rsidP="00BD322D">
      <w:pPr>
        <w:pStyle w:val="ListBullet"/>
      </w:pPr>
      <w:proofErr w:type="spellStart"/>
      <w:r w:rsidRPr="00B66369">
        <w:t>Mecasermin</w:t>
      </w:r>
      <w:proofErr w:type="spellEnd"/>
      <w:r w:rsidRPr="00B66369">
        <w:t xml:space="preserve"> had no notable effects on </w:t>
      </w:r>
      <w:r w:rsidR="00BD322D">
        <w:t>the central nervous system (</w:t>
      </w:r>
      <w:r w:rsidRPr="00B66369">
        <w:t>CNS</w:t>
      </w:r>
      <w:r w:rsidR="00BD322D">
        <w:t>)</w:t>
      </w:r>
      <w:r w:rsidRPr="00B66369">
        <w:t>, cardiovascular or respiratory function in treated animals.</w:t>
      </w:r>
    </w:p>
    <w:p w14:paraId="7C21FC9E" w14:textId="094C7CAF" w:rsidR="00075FAE" w:rsidRPr="00B66369" w:rsidRDefault="00075FAE" w:rsidP="00BD322D">
      <w:pPr>
        <w:pStyle w:val="ListBullet"/>
      </w:pPr>
      <w:r w:rsidRPr="00B66369">
        <w:t xml:space="preserve">Absorption of </w:t>
      </w:r>
      <w:proofErr w:type="spellStart"/>
      <w:r w:rsidR="00BD322D">
        <w:t>m</w:t>
      </w:r>
      <w:r w:rsidRPr="00B66369">
        <w:t>ecasermin</w:t>
      </w:r>
      <w:proofErr w:type="spellEnd"/>
      <w:r w:rsidRPr="00B66369">
        <w:t xml:space="preserve"> following SC administration was rapid in rats and rabbits, and moderately fast in dogs, similar to humans. Peak and overall exposure were less than dose-proportional in the key laboratory animal species (rats and dogs)</w:t>
      </w:r>
      <w:r w:rsidR="005D0B23">
        <w:t xml:space="preserve"> like in </w:t>
      </w:r>
      <w:r w:rsidR="005D0B23" w:rsidRPr="00B66369">
        <w:t>humans</w:t>
      </w:r>
      <w:r w:rsidR="005D0B23">
        <w:t>;</w:t>
      </w:r>
      <w:r w:rsidRPr="00B66369">
        <w:t xml:space="preserve"> this is seen to be related to saturation of plasma protein binding (involving multiple IGF</w:t>
      </w:r>
      <w:r w:rsidRPr="00B66369">
        <w:noBreakHyphen/>
        <w:t>1 binding proteins) and faster clearance of unbound drug. Bioavailability by the SC route was moderate (</w:t>
      </w:r>
      <w:r w:rsidR="00BD322D">
        <w:t xml:space="preserve">approximately </w:t>
      </w:r>
      <w:r w:rsidRPr="00B66369">
        <w:t xml:space="preserve">50%) in rats and rabbits </w:t>
      </w:r>
      <w:r w:rsidR="007911A7">
        <w:t>(</w:t>
      </w:r>
      <w:r w:rsidRPr="00B66369">
        <w:t>not examined in other species</w:t>
      </w:r>
      <w:r w:rsidR="007911A7">
        <w:t>)</w:t>
      </w:r>
      <w:r w:rsidRPr="00B66369">
        <w:t>. A limited volume of distribution was evident in rats, like humans. Penetration of the blood-brain barrier was low.</w:t>
      </w:r>
    </w:p>
    <w:p w14:paraId="3EE53E06" w14:textId="77777777" w:rsidR="00075FAE" w:rsidRPr="00B66369" w:rsidRDefault="00075FAE" w:rsidP="00BD322D">
      <w:pPr>
        <w:pStyle w:val="ListBullet"/>
      </w:pPr>
      <w:proofErr w:type="spellStart"/>
      <w:r w:rsidRPr="00B66369">
        <w:t>Mecasermin</w:t>
      </w:r>
      <w:proofErr w:type="spellEnd"/>
      <w:r w:rsidRPr="00B66369">
        <w:t xml:space="preserve"> showed significant acute toxicity in rats and dogs. Deaths and clinical signs were related to (</w:t>
      </w:r>
      <w:r w:rsidR="005D0B23" w:rsidRPr="00B66369">
        <w:t>pharmacologically mediated</w:t>
      </w:r>
      <w:r w:rsidRPr="00B66369">
        <w:t>) hypoglycaemia.</w:t>
      </w:r>
    </w:p>
    <w:p w14:paraId="7B893322" w14:textId="77777777" w:rsidR="00075FAE" w:rsidRPr="00B66369" w:rsidRDefault="00075FAE" w:rsidP="00BD322D">
      <w:pPr>
        <w:pStyle w:val="ListBullet"/>
      </w:pPr>
      <w:proofErr w:type="spellStart"/>
      <w:r w:rsidRPr="00B66369">
        <w:t>Mecasermin</w:t>
      </w:r>
      <w:proofErr w:type="spellEnd"/>
      <w:r w:rsidRPr="00B66369">
        <w:t xml:space="preserve"> was not </w:t>
      </w:r>
      <w:proofErr w:type="spellStart"/>
      <w:r w:rsidRPr="00B66369">
        <w:t>clastogenic</w:t>
      </w:r>
      <w:proofErr w:type="spellEnd"/>
      <w:r w:rsidRPr="00B66369">
        <w:t xml:space="preserve"> </w:t>
      </w:r>
      <w:r w:rsidRPr="00B66369">
        <w:rPr>
          <w:i/>
        </w:rPr>
        <w:t>in vitro</w:t>
      </w:r>
      <w:r w:rsidRPr="00B66369">
        <w:t xml:space="preserve"> or </w:t>
      </w:r>
      <w:r w:rsidRPr="00B66369">
        <w:rPr>
          <w:i/>
        </w:rPr>
        <w:t>in vivo</w:t>
      </w:r>
      <w:r w:rsidRPr="00B66369">
        <w:t>.</w:t>
      </w:r>
    </w:p>
    <w:p w14:paraId="597BA014" w14:textId="77777777" w:rsidR="00075FAE" w:rsidRPr="00B66369" w:rsidRDefault="00075FAE" w:rsidP="00BD322D">
      <w:pPr>
        <w:pStyle w:val="ListBullet"/>
      </w:pPr>
      <w:r w:rsidRPr="00B66369">
        <w:t xml:space="preserve">Repeat-dose toxicity studies by the clinical route (SC) of up to 6 months duration were conducted in rats and dogs, together with shorter studies (up to 13 weeks) by the IV </w:t>
      </w:r>
      <w:r w:rsidRPr="00B66369">
        <w:lastRenderedPageBreak/>
        <w:t xml:space="preserve">route in the two species. Rat and dogs are seen to be appropriate models for the investigation of </w:t>
      </w:r>
      <w:proofErr w:type="spellStart"/>
      <w:r w:rsidR="00BD322D">
        <w:t>m</w:t>
      </w:r>
      <w:r w:rsidRPr="00B66369">
        <w:t>ecasermin</w:t>
      </w:r>
      <w:proofErr w:type="spellEnd"/>
      <w:r w:rsidRPr="00B66369">
        <w:t xml:space="preserve"> toxicity on </w:t>
      </w:r>
      <w:proofErr w:type="spellStart"/>
      <w:r w:rsidRPr="00B66369">
        <w:t>pharmacodynamic</w:t>
      </w:r>
      <w:proofErr w:type="spellEnd"/>
      <w:r w:rsidRPr="00B66369">
        <w:t xml:space="preserve"> and pharmacokinetic grounds, and with immunogenicity (to human protein) not or rarely encountered. Key treatment-related histopathological changes in the pivotal 6</w:t>
      </w:r>
      <w:r w:rsidR="00BD322D">
        <w:t xml:space="preserve"> </w:t>
      </w:r>
      <w:r w:rsidRPr="00B66369">
        <w:t>month studies were limited to the thymus (increased cortex area in male rats) and adrenal (mild medullary hyperplasia with fibrosis in dogs). These and other findings in the studies are consistent with the known pharmacological effects of IGF</w:t>
      </w:r>
      <w:r w:rsidRPr="00B66369">
        <w:noBreakHyphen/>
        <w:t>1 (</w:t>
      </w:r>
      <w:r w:rsidR="00BD322D">
        <w:t>for example,</w:t>
      </w:r>
      <w:r w:rsidRPr="00B66369">
        <w:t xml:space="preserve"> stimulation of </w:t>
      </w:r>
      <w:proofErr w:type="spellStart"/>
      <w:r w:rsidRPr="00B66369">
        <w:t>thymopoiesis</w:t>
      </w:r>
      <w:proofErr w:type="spellEnd"/>
      <w:r w:rsidRPr="00B66369">
        <w:t xml:space="preserve"> and adrenal cell proliferation; and hypoglycaemia, with stimulation of adrenal catecholamine production/secretion as a response).</w:t>
      </w:r>
    </w:p>
    <w:p w14:paraId="76B8FB80" w14:textId="520328F4" w:rsidR="00075FAE" w:rsidRPr="00B66369" w:rsidRDefault="00075FAE" w:rsidP="00BD322D">
      <w:pPr>
        <w:pStyle w:val="ListBullet"/>
      </w:pPr>
      <w:r w:rsidRPr="00B66369">
        <w:t>A 2</w:t>
      </w:r>
      <w:r w:rsidR="00BD322D">
        <w:t xml:space="preserve"> </w:t>
      </w:r>
      <w:r w:rsidRPr="00B66369">
        <w:t xml:space="preserve">year SC carcinogenicity study in rats revealed treatment-related increases in adrenal </w:t>
      </w:r>
      <w:proofErr w:type="spellStart"/>
      <w:r w:rsidRPr="00B66369">
        <w:t>phaeochromocytoma</w:t>
      </w:r>
      <w:proofErr w:type="spellEnd"/>
      <w:r w:rsidRPr="00B66369">
        <w:t xml:space="preserve"> (both sexes), </w:t>
      </w:r>
      <w:proofErr w:type="spellStart"/>
      <w:r w:rsidRPr="00B66369">
        <w:t>keratoacanthoma</w:t>
      </w:r>
      <w:proofErr w:type="spellEnd"/>
      <w:r w:rsidRPr="00B66369">
        <w:t xml:space="preserve"> in skin (males) and mammary gland carcinoma (both sexes). The </w:t>
      </w:r>
      <w:r w:rsidR="007911A7">
        <w:t xml:space="preserve">no </w:t>
      </w:r>
      <w:r w:rsidR="00BD322D">
        <w:t>observable adverse effect levels (</w:t>
      </w:r>
      <w:r w:rsidRPr="00B66369">
        <w:t>NOAELs</w:t>
      </w:r>
      <w:r w:rsidR="00BD322D">
        <w:t>)</w:t>
      </w:r>
      <w:r w:rsidRPr="00B66369">
        <w:t xml:space="preserve"> for carcinogenicity are associated with exposure levels below that of patients. IGF</w:t>
      </w:r>
      <w:r w:rsidRPr="00B66369">
        <w:noBreakHyphen/>
        <w:t>1 is a known mitogen.</w:t>
      </w:r>
    </w:p>
    <w:p w14:paraId="31954E58" w14:textId="77777777" w:rsidR="00075FAE" w:rsidRPr="00B66369" w:rsidRDefault="00075FAE" w:rsidP="00BD322D">
      <w:pPr>
        <w:pStyle w:val="ListBullet"/>
      </w:pPr>
      <w:r w:rsidRPr="00B66369">
        <w:t xml:space="preserve">Key safety concerns identified from the nonclinical data set relate to hypoglycaemia, and potential carcinogenicity and </w:t>
      </w:r>
      <w:proofErr w:type="spellStart"/>
      <w:r w:rsidRPr="00B66369">
        <w:t>embryofetal</w:t>
      </w:r>
      <w:proofErr w:type="spellEnd"/>
      <w:r w:rsidRPr="00B66369">
        <w:t xml:space="preserve"> toxicity. It is noted</w:t>
      </w:r>
      <w:r w:rsidR="005D0B23">
        <w:t xml:space="preserve"> however</w:t>
      </w:r>
      <w:r w:rsidRPr="00B66369">
        <w:t xml:space="preserve"> that the carcinogenic risk posed by </w:t>
      </w:r>
      <w:proofErr w:type="spellStart"/>
      <w:r w:rsidR="00BD322D">
        <w:t>m</w:t>
      </w:r>
      <w:r w:rsidRPr="00B66369">
        <w:t>ecasermin</w:t>
      </w:r>
      <w:proofErr w:type="spellEnd"/>
      <w:r w:rsidRPr="00B66369">
        <w:t xml:space="preserve"> treatment in patients is mitigated by the context of its use as replacement therapy to normalise IGF</w:t>
      </w:r>
      <w:r w:rsidRPr="00B66369">
        <w:noBreakHyphen/>
        <w:t>1 levels.</w:t>
      </w:r>
    </w:p>
    <w:p w14:paraId="47EB4EB9" w14:textId="77777777" w:rsidR="008E7846" w:rsidRDefault="00075FAE" w:rsidP="00BD322D">
      <w:pPr>
        <w:pStyle w:val="ListBullet"/>
      </w:pPr>
      <w:r w:rsidRPr="00B66369">
        <w:t xml:space="preserve">There were no objections on nonclinical grounds to the registration of </w:t>
      </w:r>
      <w:proofErr w:type="spellStart"/>
      <w:r w:rsidR="00BD322D">
        <w:t>m</w:t>
      </w:r>
      <w:r w:rsidRPr="00B66369">
        <w:t>ecasermin</w:t>
      </w:r>
      <w:proofErr w:type="spellEnd"/>
      <w:r w:rsidRPr="00B66369">
        <w:t xml:space="preserve"> for the proposed indication.</w:t>
      </w:r>
    </w:p>
    <w:p w14:paraId="2937F75C" w14:textId="77777777" w:rsidR="008E7846" w:rsidRDefault="008E7846" w:rsidP="008E7846">
      <w:pPr>
        <w:pStyle w:val="Heading3"/>
      </w:pPr>
      <w:bookmarkStart w:id="36" w:name="_Toc247691530"/>
      <w:bookmarkStart w:id="37" w:name="_Toc314842513"/>
      <w:bookmarkStart w:id="38" w:name="_Toc34901639"/>
      <w:r>
        <w:t>Clinical</w:t>
      </w:r>
      <w:bookmarkEnd w:id="36"/>
      <w:bookmarkEnd w:id="37"/>
      <w:bookmarkEnd w:id="38"/>
    </w:p>
    <w:p w14:paraId="63194A54" w14:textId="77777777" w:rsidR="00075FAE" w:rsidRPr="00BD322D" w:rsidRDefault="00075FAE" w:rsidP="00BD322D">
      <w:bookmarkStart w:id="39" w:name="_Toc314842514"/>
      <w:r w:rsidRPr="00BD322D">
        <w:t xml:space="preserve">The clinical dossier contained information from a range of sources. These included the initial studies of </w:t>
      </w:r>
      <w:proofErr w:type="spellStart"/>
      <w:r w:rsidR="005D0B23" w:rsidRPr="00BD322D">
        <w:t>mecasermin</w:t>
      </w:r>
      <w:proofErr w:type="spellEnd"/>
      <w:r w:rsidR="005D0B23" w:rsidRPr="00BD322D">
        <w:t xml:space="preserve"> that</w:t>
      </w:r>
      <w:r w:rsidRPr="00BD322D">
        <w:t xml:space="preserve"> supported registration in the FDA and EMA, as well as the follow</w:t>
      </w:r>
      <w:r w:rsidR="00BD322D">
        <w:t>-</w:t>
      </w:r>
      <w:r w:rsidRPr="00BD322D">
        <w:t>on studies. It also included the results of supporting studies of different indications, registry studies, post marketing safety assessments and literature references.</w:t>
      </w:r>
    </w:p>
    <w:p w14:paraId="5C456469" w14:textId="77777777" w:rsidR="00075FAE" w:rsidRPr="00BD322D" w:rsidRDefault="00075FAE" w:rsidP="00BD322D">
      <w:r w:rsidRPr="00BD322D">
        <w:t>The information available in the dossier was limited in several aspects. This is not uncommon in the registration of medicines that have been available internationally for some time and for the treatment of a rare disease, however it does make the evaluation difficult.</w:t>
      </w:r>
    </w:p>
    <w:p w14:paraId="6D29FF8F" w14:textId="77777777" w:rsidR="00075FAE" w:rsidRPr="00B66369" w:rsidRDefault="00BD322D" w:rsidP="00BD322D">
      <w:pPr>
        <w:pStyle w:val="Heading4"/>
      </w:pPr>
      <w:r w:rsidRPr="00B66369">
        <w:t>Pharmacology</w:t>
      </w:r>
    </w:p>
    <w:p w14:paraId="7F3E14F8" w14:textId="77777777" w:rsidR="00075FAE" w:rsidRPr="00B66369" w:rsidRDefault="00075FAE" w:rsidP="00CB1584">
      <w:r w:rsidRPr="00B66369">
        <w:t xml:space="preserve">There were 8 </w:t>
      </w:r>
      <w:r w:rsidR="00BD322D">
        <w:t>pharmacokinetic (PK)</w:t>
      </w:r>
      <w:r w:rsidRPr="00B66369">
        <w:t xml:space="preserve"> studies including studies in healthy subjects and those with IGF-1 deficiency.</w:t>
      </w:r>
    </w:p>
    <w:p w14:paraId="0BB77066" w14:textId="77777777" w:rsidR="00075FAE" w:rsidRPr="00B66369" w:rsidRDefault="00075FAE" w:rsidP="00CB1584">
      <w:r w:rsidRPr="00B66369">
        <w:t xml:space="preserve">There were 2 bioequivalence studies demonstrating similar PK profiles of the IGF-1 produced from changes in </w:t>
      </w:r>
      <w:r>
        <w:t xml:space="preserve">the </w:t>
      </w:r>
      <w:r w:rsidRPr="00B66369">
        <w:t>manufacturing processes.</w:t>
      </w:r>
    </w:p>
    <w:p w14:paraId="175FA7BD" w14:textId="77777777" w:rsidR="00075FAE" w:rsidRPr="00B66369" w:rsidRDefault="00075FAE" w:rsidP="00CB1584">
      <w:r w:rsidRPr="00B66369">
        <w:t xml:space="preserve">Bioavailability is affected by </w:t>
      </w:r>
      <w:r w:rsidR="00FF7267" w:rsidRPr="00B66369">
        <w:t>binding-to-binding</w:t>
      </w:r>
      <w:r w:rsidRPr="00B66369">
        <w:t xml:space="preserve"> proteins and body size. Patients with</w:t>
      </w:r>
      <w:r>
        <w:t xml:space="preserve"> </w:t>
      </w:r>
      <w:r w:rsidRPr="00B66369">
        <w:t>severe IGF-1 deficiency have lower levels of IGF-BP3 thus higher clearance of IGF-1 and need twice daily dosing. Patients with adequate levels of IGF binding proteins and high baseline IGF-1 require lower doses and may respond to daily administration.</w:t>
      </w:r>
    </w:p>
    <w:p w14:paraId="4BB2B75B" w14:textId="77777777" w:rsidR="00075FAE" w:rsidRDefault="00CB1584" w:rsidP="00CB1584">
      <w:pPr>
        <w:pStyle w:val="Heading4"/>
      </w:pPr>
      <w:r w:rsidRPr="00B66369">
        <w:t>Efficacy</w:t>
      </w:r>
    </w:p>
    <w:p w14:paraId="2230F2A8" w14:textId="77777777" w:rsidR="001B7E1C" w:rsidRPr="001B7E1C" w:rsidRDefault="001B7E1C" w:rsidP="001B7E1C">
      <w:pPr>
        <w:pStyle w:val="Heading5"/>
      </w:pPr>
      <w:r>
        <w:t>Study 11419</w:t>
      </w:r>
    </w:p>
    <w:p w14:paraId="4AD9CD47" w14:textId="3262C80C" w:rsidR="00075FAE" w:rsidRPr="00B66369" w:rsidRDefault="00075FAE" w:rsidP="00075FAE">
      <w:pPr>
        <w:rPr>
          <w:rFonts w:asciiTheme="minorHAnsi" w:hAnsiTheme="minorHAnsi"/>
        </w:rPr>
      </w:pPr>
      <w:r w:rsidRPr="00B66369">
        <w:rPr>
          <w:rFonts w:asciiTheme="minorHAnsi" w:hAnsiTheme="minorHAnsi"/>
        </w:rPr>
        <w:t xml:space="preserve">The main efficacy </w:t>
      </w:r>
      <w:r w:rsidRPr="008E2592">
        <w:rPr>
          <w:rFonts w:asciiTheme="minorHAnsi" w:hAnsiTheme="minorHAnsi"/>
        </w:rPr>
        <w:t xml:space="preserve">study was </w:t>
      </w:r>
      <w:r w:rsidR="00CB1584" w:rsidRPr="008E2592">
        <w:rPr>
          <w:rFonts w:asciiTheme="minorHAnsi" w:hAnsiTheme="minorHAnsi"/>
        </w:rPr>
        <w:t>S</w:t>
      </w:r>
      <w:r w:rsidRPr="008E2592">
        <w:rPr>
          <w:rFonts w:asciiTheme="minorHAnsi" w:hAnsiTheme="minorHAnsi"/>
        </w:rPr>
        <w:t xml:space="preserve">tudy 11419. This was a long-term study of </w:t>
      </w:r>
      <w:r w:rsidR="007911A7">
        <w:rPr>
          <w:rFonts w:asciiTheme="minorHAnsi" w:hAnsiTheme="minorHAnsi"/>
        </w:rPr>
        <w:t xml:space="preserve">the use of </w:t>
      </w:r>
      <w:r w:rsidRPr="008E2592">
        <w:rPr>
          <w:rFonts w:asciiTheme="minorHAnsi" w:hAnsiTheme="minorHAnsi"/>
        </w:rPr>
        <w:t xml:space="preserve">recombinant human insulin-like growth factor-1 (rhIGF-1) </w:t>
      </w:r>
      <w:r w:rsidR="007911A7">
        <w:rPr>
          <w:rFonts w:asciiTheme="minorHAnsi" w:hAnsiTheme="minorHAnsi"/>
        </w:rPr>
        <w:t xml:space="preserve">in the </w:t>
      </w:r>
      <w:r w:rsidRPr="008E2592">
        <w:rPr>
          <w:rFonts w:asciiTheme="minorHAnsi" w:hAnsiTheme="minorHAnsi"/>
        </w:rPr>
        <w:t>treatment of children with short statue due to severe primary IGF-1</w:t>
      </w:r>
      <w:r w:rsidRPr="008E2592">
        <w:rPr>
          <w:rFonts w:asciiTheme="minorHAnsi" w:hAnsiTheme="minorHAnsi"/>
          <w:spacing w:val="-2"/>
        </w:rPr>
        <w:t xml:space="preserve"> </w:t>
      </w:r>
      <w:r w:rsidRPr="008E2592">
        <w:rPr>
          <w:rFonts w:asciiTheme="minorHAnsi" w:hAnsiTheme="minorHAnsi"/>
        </w:rPr>
        <w:t>deficiency.</w:t>
      </w:r>
      <w:r w:rsidRPr="00B66369">
        <w:rPr>
          <w:rFonts w:asciiTheme="minorHAnsi" w:hAnsiTheme="minorHAnsi"/>
        </w:rPr>
        <w:t xml:space="preserve"> It included patients treated in previous sponsor initiated trials, subjects who had previous</w:t>
      </w:r>
      <w:r>
        <w:rPr>
          <w:rFonts w:asciiTheme="minorHAnsi" w:hAnsiTheme="minorHAnsi"/>
        </w:rPr>
        <w:t>ly</w:t>
      </w:r>
      <w:r w:rsidRPr="00B66369">
        <w:rPr>
          <w:rFonts w:asciiTheme="minorHAnsi" w:hAnsiTheme="minorHAnsi"/>
        </w:rPr>
        <w:t xml:space="preserve"> received </w:t>
      </w:r>
      <w:proofErr w:type="spellStart"/>
      <w:r w:rsidRPr="00B66369">
        <w:rPr>
          <w:rFonts w:asciiTheme="minorHAnsi" w:hAnsiTheme="minorHAnsi"/>
        </w:rPr>
        <w:t>mecasermin</w:t>
      </w:r>
      <w:proofErr w:type="spellEnd"/>
      <w:r w:rsidRPr="00B66369">
        <w:rPr>
          <w:rFonts w:asciiTheme="minorHAnsi" w:hAnsiTheme="minorHAnsi"/>
        </w:rPr>
        <w:t xml:space="preserve"> from other sources, and treatment naïve children.</w:t>
      </w:r>
    </w:p>
    <w:p w14:paraId="20A50A1E" w14:textId="77777777" w:rsidR="00075FAE" w:rsidRPr="00B66369" w:rsidRDefault="00075FAE" w:rsidP="00075FAE">
      <w:pPr>
        <w:rPr>
          <w:rFonts w:asciiTheme="minorHAnsi" w:hAnsiTheme="minorHAnsi"/>
        </w:rPr>
      </w:pPr>
      <w:r w:rsidRPr="00B66369">
        <w:rPr>
          <w:rFonts w:asciiTheme="minorHAnsi" w:hAnsiTheme="minorHAnsi"/>
        </w:rPr>
        <w:lastRenderedPageBreak/>
        <w:t>The inclusion criteria were as follows:</w:t>
      </w:r>
    </w:p>
    <w:p w14:paraId="7681D4E5" w14:textId="38FEBA4F" w:rsidR="00075FAE" w:rsidRPr="00B66369" w:rsidRDefault="007911A7" w:rsidP="00CB1584">
      <w:pPr>
        <w:pStyle w:val="ListBullet"/>
      </w:pPr>
      <w:r>
        <w:t>g</w:t>
      </w:r>
      <w:r w:rsidRPr="00B66369">
        <w:t xml:space="preserve">rowth </w:t>
      </w:r>
      <w:r w:rsidR="00075FAE" w:rsidRPr="00B66369">
        <w:t>failure associated with GH receptor defects, GH gene deletion defects and anti-GH antibodies</w:t>
      </w:r>
      <w:r w:rsidR="00CB1584">
        <w:t>;</w:t>
      </w:r>
    </w:p>
    <w:p w14:paraId="6DD157A4" w14:textId="7A6F9FFF" w:rsidR="00075FAE" w:rsidRPr="00B66369" w:rsidRDefault="007911A7" w:rsidP="00CB1584">
      <w:pPr>
        <w:pStyle w:val="ListBullet"/>
      </w:pPr>
      <w:r>
        <w:t>h</w:t>
      </w:r>
      <w:r w:rsidRPr="00B66369">
        <w:t xml:space="preserve">eight </w:t>
      </w:r>
      <w:r w:rsidR="00075FAE" w:rsidRPr="00B66369">
        <w:t>SD score &lt;-2.0 for age and gender</w:t>
      </w:r>
      <w:r w:rsidR="00CB1584">
        <w:t>;</w:t>
      </w:r>
    </w:p>
    <w:p w14:paraId="131C1190" w14:textId="77777777" w:rsidR="00075FAE" w:rsidRPr="00B66369" w:rsidRDefault="00075FAE" w:rsidP="00CB1584">
      <w:pPr>
        <w:pStyle w:val="ListBullet"/>
      </w:pPr>
      <w:r w:rsidRPr="00B66369">
        <w:t xml:space="preserve">IGF-1 </w:t>
      </w:r>
      <w:r w:rsidR="00CB1584">
        <w:t>SD score &lt;-2 for age and gender;</w:t>
      </w:r>
    </w:p>
    <w:p w14:paraId="36DA72D7" w14:textId="43D7D681" w:rsidR="00075FAE" w:rsidRPr="00B66369" w:rsidRDefault="00E235AE" w:rsidP="00CB1584">
      <w:pPr>
        <w:pStyle w:val="ListBullet"/>
      </w:pPr>
      <w:r>
        <w:t>g</w:t>
      </w:r>
      <w:r w:rsidR="007911A7" w:rsidRPr="00B66369">
        <w:t xml:space="preserve">rowth </w:t>
      </w:r>
      <w:r w:rsidR="00075FAE" w:rsidRPr="00B66369">
        <w:t>rate &lt;50 percentile for age and gender for &gt;6 months prior to study start</w:t>
      </w:r>
      <w:r w:rsidR="00CB1584">
        <w:t>;</w:t>
      </w:r>
    </w:p>
    <w:p w14:paraId="75747E6A" w14:textId="40AB1B54" w:rsidR="00075FAE" w:rsidRPr="00B66369" w:rsidRDefault="007911A7" w:rsidP="00CB1584">
      <w:pPr>
        <w:pStyle w:val="ListBullet"/>
      </w:pPr>
      <w:r>
        <w:t>o</w:t>
      </w:r>
      <w:r w:rsidRPr="00B66369">
        <w:t xml:space="preserve">pen </w:t>
      </w:r>
      <w:r w:rsidR="00075FAE" w:rsidRPr="00B66369">
        <w:t>epiphyses</w:t>
      </w:r>
      <w:r w:rsidR="00CB1584">
        <w:t>;</w:t>
      </w:r>
    </w:p>
    <w:p w14:paraId="1122A052" w14:textId="62DD4FF5" w:rsidR="00CB1584" w:rsidRDefault="007911A7" w:rsidP="00E04B6E">
      <w:pPr>
        <w:pStyle w:val="ListBullet"/>
      </w:pPr>
      <w:r>
        <w:t>r</w:t>
      </w:r>
      <w:r w:rsidRPr="00CB1584">
        <w:t xml:space="preserve">andom </w:t>
      </w:r>
      <w:r w:rsidR="00075FAE" w:rsidRPr="00CB1584">
        <w:t>or stimulated GH &gt;10</w:t>
      </w:r>
      <w:r>
        <w:t xml:space="preserve"> </w:t>
      </w:r>
      <w:r w:rsidR="00075FAE" w:rsidRPr="00CB1584">
        <w:t>ng/m</w:t>
      </w:r>
      <w:r w:rsidR="00CB1584">
        <w:t>L;</w:t>
      </w:r>
    </w:p>
    <w:p w14:paraId="786D2E58" w14:textId="675143DF" w:rsidR="00075FAE" w:rsidRPr="00E235AE" w:rsidRDefault="007911A7" w:rsidP="00E235AE">
      <w:pPr>
        <w:pStyle w:val="ListBullet"/>
      </w:pPr>
      <w:r>
        <w:t>f</w:t>
      </w:r>
      <w:r w:rsidRPr="007911A7">
        <w:t xml:space="preserve">ailure </w:t>
      </w:r>
      <w:r w:rsidR="00075FAE" w:rsidRPr="007911A7">
        <w:t>to increase IGF-1 by 50 ng/m</w:t>
      </w:r>
      <w:r>
        <w:t>L</w:t>
      </w:r>
      <w:r w:rsidR="00075FAE" w:rsidRPr="007911A7">
        <w:t xml:space="preserve"> in response to exogenous GH during an IGF-1 generation test (</w:t>
      </w:r>
      <w:r>
        <w:t>growth hormone</w:t>
      </w:r>
      <w:r w:rsidRPr="007911A7">
        <w:t xml:space="preserve"> </w:t>
      </w:r>
      <w:r w:rsidR="00075FAE" w:rsidRPr="007911A7">
        <w:t xml:space="preserve">insensitivity </w:t>
      </w:r>
      <w:r>
        <w:t>s</w:t>
      </w:r>
      <w:r w:rsidR="00075FAE" w:rsidRPr="007911A7">
        <w:t>ynd</w:t>
      </w:r>
      <w:r w:rsidR="00CB1584" w:rsidRPr="007911A7">
        <w:t xml:space="preserve">rome (GHIS) and Laron </w:t>
      </w:r>
      <w:r>
        <w:t>s</w:t>
      </w:r>
      <w:r w:rsidRPr="007911A7">
        <w:t>yndrome</w:t>
      </w:r>
      <w:r w:rsidR="00CB1584" w:rsidRPr="007911A7">
        <w:t xml:space="preserve">); </w:t>
      </w:r>
      <w:r w:rsidR="00CB1584" w:rsidRPr="00E235AE">
        <w:t>or</w:t>
      </w:r>
    </w:p>
    <w:p w14:paraId="0F97EDE4" w14:textId="5699CC7A" w:rsidR="00075FAE" w:rsidRPr="00B66369" w:rsidRDefault="00075FAE" w:rsidP="00CB1584">
      <w:pPr>
        <w:pStyle w:val="ListBullet"/>
      </w:pPr>
      <w:r w:rsidRPr="00B66369">
        <w:t>GH antibodies to exogenous GH with a binding capacity of &gt;</w:t>
      </w:r>
      <w:r w:rsidR="007911A7">
        <w:t xml:space="preserve"> </w:t>
      </w:r>
      <w:r w:rsidRPr="00B66369">
        <w:t xml:space="preserve">10 </w:t>
      </w:r>
      <w:r w:rsidRPr="00B66369">
        <w:rPr>
          <w:bCs/>
        </w:rPr>
        <w:t>µg</w:t>
      </w:r>
      <w:r w:rsidRPr="00B66369">
        <w:t>/m</w:t>
      </w:r>
      <w:r w:rsidR="00CB1584">
        <w:t>L</w:t>
      </w:r>
      <w:r w:rsidRPr="00B66369">
        <w:t xml:space="preserve"> (GHIS and GH gene deletion)</w:t>
      </w:r>
      <w:r w:rsidR="00CB1584">
        <w:t>.</w:t>
      </w:r>
    </w:p>
    <w:p w14:paraId="528E0A7C" w14:textId="51756BF5" w:rsidR="00075FAE" w:rsidRPr="00B66369" w:rsidRDefault="00075FAE" w:rsidP="00075FAE">
      <w:pPr>
        <w:rPr>
          <w:rFonts w:asciiTheme="minorHAnsi" w:hAnsiTheme="minorHAnsi"/>
        </w:rPr>
      </w:pPr>
      <w:r w:rsidRPr="00B66369">
        <w:rPr>
          <w:rFonts w:asciiTheme="minorHAnsi" w:hAnsiTheme="minorHAnsi"/>
        </w:rPr>
        <w:t>This was an open labelled uncontrolled study. Patients received a range of doses, from 60</w:t>
      </w:r>
      <w:r w:rsidR="00CB1584">
        <w:rPr>
          <w:rFonts w:asciiTheme="minorHAnsi" w:hAnsiTheme="minorHAnsi"/>
        </w:rPr>
        <w:t xml:space="preserve"> to </w:t>
      </w:r>
      <w:r w:rsidRPr="00B66369">
        <w:rPr>
          <w:rFonts w:asciiTheme="minorHAnsi" w:hAnsiTheme="minorHAnsi"/>
        </w:rPr>
        <w:t>120</w:t>
      </w:r>
      <w:r w:rsidR="00CB1584">
        <w:rPr>
          <w:rFonts w:asciiTheme="minorHAnsi" w:hAnsiTheme="minorHAnsi"/>
        </w:rPr>
        <w:t xml:space="preserve"> </w:t>
      </w:r>
      <w:r w:rsidRPr="00B66369">
        <w:rPr>
          <w:rFonts w:asciiTheme="minorHAnsi" w:hAnsiTheme="minorHAnsi"/>
        </w:rPr>
        <w:t>µg/kg. There were also 21 subjects who received leuprolide.</w:t>
      </w:r>
      <w:r w:rsidR="007911A7">
        <w:rPr>
          <w:rStyle w:val="FootnoteReference"/>
          <w:rFonts w:asciiTheme="minorHAnsi" w:hAnsiTheme="minorHAnsi"/>
        </w:rPr>
        <w:footnoteReference w:id="2"/>
      </w:r>
    </w:p>
    <w:p w14:paraId="2E351BE7" w14:textId="77777777" w:rsidR="00075FAE" w:rsidRPr="00B66369" w:rsidRDefault="00075FAE" w:rsidP="00075FAE">
      <w:pPr>
        <w:rPr>
          <w:rFonts w:asciiTheme="minorHAnsi" w:hAnsiTheme="minorHAnsi"/>
          <w:lang w:val="en-US"/>
        </w:rPr>
      </w:pPr>
      <w:r w:rsidRPr="001B7E1C">
        <w:rPr>
          <w:rStyle w:val="Heading6Char"/>
          <w:rFonts w:eastAsia="Cambria"/>
        </w:rPr>
        <w:t>Primary efficacy endpoints</w:t>
      </w:r>
      <w:r w:rsidRPr="00B66369">
        <w:rPr>
          <w:rFonts w:asciiTheme="minorHAnsi" w:hAnsiTheme="minorHAnsi"/>
          <w:lang w:val="en-US"/>
        </w:rPr>
        <w:t xml:space="preserve"> were height velocity and final adult height (near final adult height was define</w:t>
      </w:r>
      <w:r>
        <w:rPr>
          <w:rFonts w:asciiTheme="minorHAnsi" w:hAnsiTheme="minorHAnsi"/>
          <w:lang w:val="en-US"/>
        </w:rPr>
        <w:t>d</w:t>
      </w:r>
      <w:r w:rsidRPr="00B66369">
        <w:rPr>
          <w:rFonts w:asciiTheme="minorHAnsi" w:hAnsiTheme="minorHAnsi"/>
          <w:lang w:val="en-US"/>
        </w:rPr>
        <w:t xml:space="preserve"> as a bone age of 14 for girls and 16 for boys).</w:t>
      </w:r>
    </w:p>
    <w:p w14:paraId="467C3320" w14:textId="164A2979" w:rsidR="00075FAE" w:rsidRPr="00B66369" w:rsidRDefault="00075FAE" w:rsidP="00075FAE">
      <w:pPr>
        <w:rPr>
          <w:rFonts w:asciiTheme="minorHAnsi" w:hAnsiTheme="minorHAnsi"/>
          <w:lang w:val="en-US"/>
        </w:rPr>
      </w:pPr>
      <w:r w:rsidRPr="001B7E1C">
        <w:rPr>
          <w:rStyle w:val="Heading6Char"/>
          <w:rFonts w:eastAsia="Cambria"/>
        </w:rPr>
        <w:t>Secondary endpoints</w:t>
      </w:r>
      <w:r w:rsidRPr="00B66369">
        <w:rPr>
          <w:rFonts w:asciiTheme="minorHAnsi" w:hAnsiTheme="minorHAnsi"/>
          <w:lang w:val="en-US"/>
        </w:rPr>
        <w:t xml:space="preserve"> were height </w:t>
      </w:r>
      <w:r w:rsidR="007911A7">
        <w:rPr>
          <w:rFonts w:asciiTheme="minorHAnsi" w:hAnsiTheme="minorHAnsi"/>
          <w:lang w:val="en-US"/>
        </w:rPr>
        <w:t>SD</w:t>
      </w:r>
      <w:r w:rsidRPr="00B66369">
        <w:rPr>
          <w:rFonts w:asciiTheme="minorHAnsi" w:hAnsiTheme="minorHAnsi"/>
          <w:lang w:val="en-US"/>
        </w:rPr>
        <w:t xml:space="preserve"> score and height velocity </w:t>
      </w:r>
      <w:r w:rsidR="007911A7">
        <w:rPr>
          <w:rFonts w:asciiTheme="minorHAnsi" w:hAnsiTheme="minorHAnsi"/>
          <w:lang w:val="en-US"/>
        </w:rPr>
        <w:t>SD</w:t>
      </w:r>
      <w:r w:rsidRPr="00B66369">
        <w:rPr>
          <w:rFonts w:asciiTheme="minorHAnsi" w:hAnsiTheme="minorHAnsi"/>
          <w:lang w:val="en-US"/>
        </w:rPr>
        <w:t xml:space="preserve"> score.</w:t>
      </w:r>
    </w:p>
    <w:p w14:paraId="25C23409" w14:textId="77777777" w:rsidR="00075FAE" w:rsidRPr="00B66369" w:rsidRDefault="00075FAE" w:rsidP="00075FAE">
      <w:pPr>
        <w:rPr>
          <w:rFonts w:asciiTheme="minorHAnsi" w:hAnsiTheme="minorHAnsi"/>
        </w:rPr>
      </w:pPr>
      <w:r w:rsidRPr="00B66369">
        <w:rPr>
          <w:rFonts w:asciiTheme="minorHAnsi" w:hAnsiTheme="minorHAnsi"/>
        </w:rPr>
        <w:t>The sample size was determined from the number of available subjects</w:t>
      </w:r>
      <w:r w:rsidR="001B7E1C">
        <w:rPr>
          <w:rFonts w:asciiTheme="minorHAnsi" w:hAnsiTheme="minorHAnsi"/>
        </w:rPr>
        <w:t>;</w:t>
      </w:r>
      <w:r w:rsidRPr="00B66369">
        <w:rPr>
          <w:rFonts w:asciiTheme="minorHAnsi" w:hAnsiTheme="minorHAnsi"/>
        </w:rPr>
        <w:t xml:space="preserve"> </w:t>
      </w:r>
      <w:r w:rsidR="001B7E1C">
        <w:rPr>
          <w:rFonts w:asciiTheme="minorHAnsi" w:hAnsiTheme="minorHAnsi"/>
        </w:rPr>
        <w:t>91</w:t>
      </w:r>
      <w:r w:rsidRPr="00B66369">
        <w:rPr>
          <w:rFonts w:asciiTheme="minorHAnsi" w:hAnsiTheme="minorHAnsi"/>
        </w:rPr>
        <w:t xml:space="preserve"> subjects were enrolled in </w:t>
      </w:r>
      <w:r w:rsidR="001B7E1C">
        <w:rPr>
          <w:rFonts w:asciiTheme="minorHAnsi" w:hAnsiTheme="minorHAnsi"/>
        </w:rPr>
        <w:t>S</w:t>
      </w:r>
      <w:r w:rsidRPr="00B66369">
        <w:rPr>
          <w:rFonts w:asciiTheme="minorHAnsi" w:hAnsiTheme="minorHAnsi"/>
        </w:rPr>
        <w:t>tudy 1419. Of these 26 completed the study</w:t>
      </w:r>
      <w:r w:rsidR="001B7E1C">
        <w:rPr>
          <w:rFonts w:asciiTheme="minorHAnsi" w:hAnsiTheme="minorHAnsi"/>
        </w:rPr>
        <w:t>;</w:t>
      </w:r>
      <w:r w:rsidRPr="00B66369">
        <w:rPr>
          <w:rFonts w:asciiTheme="minorHAnsi" w:hAnsiTheme="minorHAnsi"/>
        </w:rPr>
        <w:t xml:space="preserve"> </w:t>
      </w:r>
      <w:r w:rsidR="001B7E1C">
        <w:rPr>
          <w:rFonts w:asciiTheme="minorHAnsi" w:hAnsiTheme="minorHAnsi"/>
        </w:rPr>
        <w:t>2</w:t>
      </w:r>
      <w:r w:rsidRPr="00B66369">
        <w:rPr>
          <w:rFonts w:asciiTheme="minorHAnsi" w:hAnsiTheme="minorHAnsi"/>
        </w:rPr>
        <w:t xml:space="preserve"> were considered to have reached final adult height</w:t>
      </w:r>
      <w:r w:rsidR="00AD1922">
        <w:rPr>
          <w:rFonts w:asciiTheme="minorHAnsi" w:hAnsiTheme="minorHAnsi"/>
        </w:rPr>
        <w:t>;</w:t>
      </w:r>
      <w:r w:rsidRPr="00B66369">
        <w:rPr>
          <w:rFonts w:asciiTheme="minorHAnsi" w:hAnsiTheme="minorHAnsi"/>
        </w:rPr>
        <w:t xml:space="preserve"> and 24 met the criteria for near adult height.</w:t>
      </w:r>
    </w:p>
    <w:p w14:paraId="2652F5D8" w14:textId="376A7C91" w:rsidR="00075FAE" w:rsidRPr="00B66369" w:rsidRDefault="00075FAE" w:rsidP="00075FAE">
      <w:pPr>
        <w:autoSpaceDE w:val="0"/>
        <w:autoSpaceDN w:val="0"/>
        <w:spacing w:after="0" w:line="240" w:lineRule="auto"/>
        <w:rPr>
          <w:rFonts w:asciiTheme="minorHAnsi" w:hAnsiTheme="minorHAnsi" w:cs="TimesNewRoman"/>
          <w:color w:val="000000"/>
        </w:rPr>
      </w:pPr>
      <w:r w:rsidRPr="00B66369">
        <w:rPr>
          <w:rFonts w:asciiTheme="minorHAnsi" w:hAnsiTheme="minorHAnsi"/>
        </w:rPr>
        <w:t xml:space="preserve">At </w:t>
      </w:r>
      <w:r w:rsidR="007911A7">
        <w:rPr>
          <w:rFonts w:asciiTheme="minorHAnsi" w:hAnsiTheme="minorHAnsi"/>
        </w:rPr>
        <w:t>B</w:t>
      </w:r>
      <w:r w:rsidRPr="00B66369">
        <w:rPr>
          <w:rFonts w:asciiTheme="minorHAnsi" w:hAnsiTheme="minorHAnsi"/>
        </w:rPr>
        <w:t xml:space="preserve">aseline, </w:t>
      </w:r>
      <w:r w:rsidR="001B7E1C">
        <w:rPr>
          <w:rFonts w:asciiTheme="minorHAnsi" w:hAnsiTheme="minorHAnsi" w:cs="TimesNewRoman"/>
          <w:color w:val="000000"/>
        </w:rPr>
        <w:t>72</w:t>
      </w:r>
      <w:r w:rsidRPr="00B66369">
        <w:rPr>
          <w:rFonts w:asciiTheme="minorHAnsi" w:hAnsiTheme="minorHAnsi" w:cs="TimesNewRoman"/>
          <w:color w:val="000000"/>
        </w:rPr>
        <w:t xml:space="preserve"> patients had a diagnosis Laron syndrome. One subject had isolated genetic GH deficiency. Three of the seven subjects with GH gene deletion had anti-GH antibodies. The subjects with severe primary IGFD were severely short with a mean estimated baseline height SD score of -6.9 (range: -12.1 to -2.8) and a mean estimated baseline IGF-1 SD score of -3.9 (range: -9.5 to -0.6). The mean pre</w:t>
      </w:r>
      <w:r w:rsidR="007911A7">
        <w:rPr>
          <w:rFonts w:asciiTheme="minorHAnsi" w:hAnsiTheme="minorHAnsi" w:cs="TimesNewRoman"/>
          <w:color w:val="000000"/>
        </w:rPr>
        <w:noBreakHyphen/>
      </w:r>
      <w:r w:rsidRPr="00B66369">
        <w:rPr>
          <w:rFonts w:asciiTheme="minorHAnsi" w:hAnsiTheme="minorHAnsi" w:cs="TimesNewRoman"/>
          <w:color w:val="000000"/>
        </w:rPr>
        <w:t xml:space="preserve">treatment height velocity was 2.6 cm/year. The </w:t>
      </w:r>
      <w:r>
        <w:rPr>
          <w:rFonts w:asciiTheme="minorHAnsi" w:hAnsiTheme="minorHAnsi" w:cs="TimesNewRoman"/>
          <w:color w:val="000000"/>
        </w:rPr>
        <w:t xml:space="preserve">average </w:t>
      </w:r>
      <w:r w:rsidRPr="00B66369">
        <w:rPr>
          <w:rFonts w:asciiTheme="minorHAnsi" w:hAnsiTheme="minorHAnsi" w:cs="TimesNewRoman"/>
          <w:color w:val="000000"/>
        </w:rPr>
        <w:t>chronological age of the subject</w:t>
      </w:r>
      <w:r>
        <w:rPr>
          <w:rFonts w:asciiTheme="minorHAnsi" w:hAnsiTheme="minorHAnsi" w:cs="TimesNewRoman"/>
          <w:color w:val="000000"/>
        </w:rPr>
        <w:t xml:space="preserve">s at </w:t>
      </w:r>
      <w:r w:rsidR="007911A7">
        <w:rPr>
          <w:rFonts w:asciiTheme="minorHAnsi" w:hAnsiTheme="minorHAnsi" w:cs="TimesNewRoman"/>
          <w:color w:val="000000"/>
        </w:rPr>
        <w:t xml:space="preserve">Baseline </w:t>
      </w:r>
      <w:r>
        <w:rPr>
          <w:rFonts w:asciiTheme="minorHAnsi" w:hAnsiTheme="minorHAnsi" w:cs="TimesNewRoman"/>
          <w:color w:val="000000"/>
        </w:rPr>
        <w:t xml:space="preserve">was </w:t>
      </w:r>
      <w:r w:rsidRPr="00B66369">
        <w:rPr>
          <w:rFonts w:asciiTheme="minorHAnsi" w:hAnsiTheme="minorHAnsi" w:cs="TimesNewRoman"/>
          <w:color w:val="000000"/>
        </w:rPr>
        <w:t xml:space="preserve">6.8 years, whereas their average bone age (3.8 years) was </w:t>
      </w:r>
      <w:r w:rsidR="00FF7267" w:rsidRPr="00B66369">
        <w:rPr>
          <w:rFonts w:asciiTheme="minorHAnsi" w:hAnsiTheme="minorHAnsi" w:cs="TimesNewRoman"/>
          <w:color w:val="000000"/>
        </w:rPr>
        <w:t>much</w:t>
      </w:r>
      <w:r w:rsidRPr="00B66369">
        <w:rPr>
          <w:rFonts w:asciiTheme="minorHAnsi" w:hAnsiTheme="minorHAnsi" w:cs="TimesNewRoman"/>
          <w:color w:val="000000"/>
        </w:rPr>
        <w:t xml:space="preserve"> delayed. Seventy-four of the 81 subjects (91%) were reported to be pre</w:t>
      </w:r>
      <w:r>
        <w:rPr>
          <w:rFonts w:asciiTheme="minorHAnsi" w:hAnsiTheme="minorHAnsi" w:cs="TimesNewRoman"/>
          <w:color w:val="000000"/>
        </w:rPr>
        <w:t>-</w:t>
      </w:r>
      <w:r w:rsidRPr="00B66369">
        <w:rPr>
          <w:rFonts w:asciiTheme="minorHAnsi" w:hAnsiTheme="minorHAnsi" w:cs="TimesNewRoman"/>
          <w:color w:val="000000"/>
        </w:rPr>
        <w:t xml:space="preserve">pubertal (pubertal stage 1) at </w:t>
      </w:r>
      <w:r w:rsidR="007911A7">
        <w:rPr>
          <w:rFonts w:asciiTheme="minorHAnsi" w:hAnsiTheme="minorHAnsi" w:cs="TimesNewRoman"/>
          <w:color w:val="000000"/>
        </w:rPr>
        <w:t>B</w:t>
      </w:r>
      <w:r w:rsidR="007911A7" w:rsidRPr="00B66369">
        <w:rPr>
          <w:rFonts w:asciiTheme="minorHAnsi" w:hAnsiTheme="minorHAnsi" w:cs="TimesNewRoman"/>
          <w:color w:val="000000"/>
        </w:rPr>
        <w:t>aseline</w:t>
      </w:r>
      <w:r w:rsidRPr="00B66369">
        <w:rPr>
          <w:rFonts w:asciiTheme="minorHAnsi" w:hAnsiTheme="minorHAnsi" w:cs="TimesNewRoman"/>
          <w:color w:val="000000"/>
        </w:rPr>
        <w:t>.</w:t>
      </w:r>
    </w:p>
    <w:p w14:paraId="57AE1843" w14:textId="77777777" w:rsidR="00075FAE" w:rsidRDefault="00075FAE" w:rsidP="001B7E1C">
      <w:pPr>
        <w:pStyle w:val="TableTitle"/>
      </w:pPr>
      <w:r>
        <w:t>Table</w:t>
      </w:r>
      <w:r w:rsidR="001B7E1C">
        <w:t xml:space="preserve"> 2</w:t>
      </w:r>
      <w:r>
        <w:t xml:space="preserve">: Mean height velocity in treatment naïve children in </w:t>
      </w:r>
      <w:r w:rsidR="001B7E1C">
        <w:t>S</w:t>
      </w:r>
      <w:r>
        <w:t>tudy 1419</w:t>
      </w:r>
    </w:p>
    <w:p w14:paraId="4CE5B667" w14:textId="77777777" w:rsidR="00075FAE" w:rsidRPr="00B66369" w:rsidRDefault="00075FAE" w:rsidP="00075FAE">
      <w:pPr>
        <w:spacing w:before="0" w:after="0" w:line="240" w:lineRule="auto"/>
        <w:rPr>
          <w:rFonts w:asciiTheme="minorHAnsi" w:hAnsiTheme="minorHAnsi"/>
        </w:rPr>
      </w:pPr>
      <w:r w:rsidRPr="00B66369">
        <w:rPr>
          <w:rFonts w:asciiTheme="minorHAnsi" w:hAnsiTheme="minorHAnsi"/>
          <w:noProof/>
          <w:lang w:eastAsia="en-AU"/>
        </w:rPr>
        <w:drawing>
          <wp:inline distT="0" distB="0" distL="0" distR="0" wp14:anchorId="7CCA9FA3" wp14:editId="78485342">
            <wp:extent cx="5063320" cy="2140173"/>
            <wp:effectExtent l="0" t="0" r="4445" b="0"/>
            <wp:docPr id="5" name="Picture 5" descr="Mean height velocity in treatment naïve children in Study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t="13928"/>
                    <a:stretch/>
                  </pic:blipFill>
                  <pic:spPr bwMode="auto">
                    <a:xfrm>
                      <a:off x="0" y="0"/>
                      <a:ext cx="5075430" cy="2145292"/>
                    </a:xfrm>
                    <a:prstGeom prst="rect">
                      <a:avLst/>
                    </a:prstGeom>
                    <a:ln>
                      <a:noFill/>
                    </a:ln>
                    <a:extLst>
                      <a:ext uri="{53640926-AAD7-44D8-BBD7-CCE9431645EC}">
                        <a14:shadowObscured xmlns:a14="http://schemas.microsoft.com/office/drawing/2010/main"/>
                      </a:ext>
                    </a:extLst>
                  </pic:spPr>
                </pic:pic>
              </a:graphicData>
            </a:graphic>
          </wp:inline>
        </w:drawing>
      </w:r>
    </w:p>
    <w:p w14:paraId="2393751F" w14:textId="62143468" w:rsidR="00075FAE" w:rsidRPr="00B66369" w:rsidRDefault="00075FAE" w:rsidP="001B7E1C">
      <w:r w:rsidRPr="00B66369">
        <w:lastRenderedPageBreak/>
        <w:t xml:space="preserve">As can be seen in </w:t>
      </w:r>
      <w:r w:rsidR="001B7E1C">
        <w:t>Table 2</w:t>
      </w:r>
      <w:r w:rsidRPr="00B66369">
        <w:t>, treatment with IGF-1 resulted in statistically significantly improved growth velocity for 8 years after treatment. After 8 years, the number of patients continuing was low</w:t>
      </w:r>
      <w:r w:rsidR="001B7E1C">
        <w:t>;</w:t>
      </w:r>
      <w:r>
        <w:t xml:space="preserve"> the</w:t>
      </w:r>
      <w:r w:rsidRPr="00B66369">
        <w:t xml:space="preserve"> reported growth velocity remained above </w:t>
      </w:r>
      <w:r w:rsidR="007911A7">
        <w:t>B</w:t>
      </w:r>
      <w:r w:rsidR="007911A7" w:rsidRPr="00B66369">
        <w:t xml:space="preserve">aseline </w:t>
      </w:r>
      <w:r w:rsidRPr="00B66369">
        <w:t>but was not statisti</w:t>
      </w:r>
      <w:r w:rsidR="001B7E1C">
        <w:t>cally significant.</w:t>
      </w:r>
    </w:p>
    <w:p w14:paraId="6B00E8B9" w14:textId="77777777" w:rsidR="00075FAE" w:rsidRPr="00B66369" w:rsidRDefault="00075FAE" w:rsidP="001B7E1C">
      <w:r w:rsidRPr="00B66369">
        <w:t>There were 7 patients w</w:t>
      </w:r>
      <w:r w:rsidR="00FF7267">
        <w:t>ith</w:t>
      </w:r>
      <w:r w:rsidRPr="00B66369">
        <w:t xml:space="preserve"> a height velocity </w:t>
      </w:r>
      <w:r w:rsidR="00FF7267">
        <w:t xml:space="preserve">of </w:t>
      </w:r>
      <w:r w:rsidRPr="00B66369">
        <w:t>&lt; 5</w:t>
      </w:r>
      <w:r w:rsidR="00FF7267">
        <w:t xml:space="preserve"> </w:t>
      </w:r>
      <w:r w:rsidRPr="00B66369">
        <w:t xml:space="preserve">cm/year after the first year of treatment. Most of these continued </w:t>
      </w:r>
      <w:proofErr w:type="spellStart"/>
      <w:r w:rsidR="001B7E1C">
        <w:t>m</w:t>
      </w:r>
      <w:r w:rsidRPr="00B66369">
        <w:t>ecasermin</w:t>
      </w:r>
      <w:proofErr w:type="spellEnd"/>
      <w:r w:rsidRPr="00B66369">
        <w:t xml:space="preserve"> but </w:t>
      </w:r>
      <w:r w:rsidR="001B7E1C">
        <w:t>had a very poor growth outcome.</w:t>
      </w:r>
    </w:p>
    <w:p w14:paraId="1CECDF78" w14:textId="77777777" w:rsidR="00075FAE" w:rsidRPr="00B66369" w:rsidRDefault="00075FAE" w:rsidP="001B7E1C">
      <w:r w:rsidRPr="00B66369">
        <w:t>There was a significant dose effect. There was a small 0.9 year increase in chronological age for increase in bone age with treatment.</w:t>
      </w:r>
    </w:p>
    <w:p w14:paraId="4645C58D" w14:textId="77777777" w:rsidR="00075FAE" w:rsidRPr="00B66369" w:rsidRDefault="001B7E1C" w:rsidP="001B7E1C">
      <w:r>
        <w:t>Twenty-one</w:t>
      </w:r>
      <w:r w:rsidR="00075FAE" w:rsidRPr="00B66369">
        <w:t xml:space="preserve"> patients received treatment with leuprolide to delay puberty. The response to leuprolide was small. Of the 21 patients treated, the improvement in height SD ranged from -1.1 to 2.2. Only 3 subjects had a &gt; 1 SD improvement in height SD score.</w:t>
      </w:r>
    </w:p>
    <w:p w14:paraId="7DB88C95" w14:textId="3269EB14" w:rsidR="00075FAE" w:rsidRPr="00B66369" w:rsidRDefault="001B7E1C" w:rsidP="001B7E1C">
      <w:pPr>
        <w:rPr>
          <w:rFonts w:cs="TimesNewRoman"/>
          <w:color w:val="000000"/>
        </w:rPr>
      </w:pPr>
      <w:r>
        <w:rPr>
          <w:rFonts w:cs="TimesNewRoman"/>
          <w:color w:val="000000"/>
        </w:rPr>
        <w:t xml:space="preserve">Nineteen </w:t>
      </w:r>
      <w:r w:rsidR="00075FAE" w:rsidRPr="00B66369">
        <w:rPr>
          <w:rFonts w:cs="TimesNewRoman"/>
          <w:color w:val="000000"/>
        </w:rPr>
        <w:t>treatment-naïve subjec</w:t>
      </w:r>
      <w:r>
        <w:rPr>
          <w:rFonts w:cs="TimesNewRoman"/>
          <w:color w:val="000000"/>
        </w:rPr>
        <w:t xml:space="preserve">ts attained near-adult height. </w:t>
      </w:r>
      <w:r w:rsidR="00075FAE" w:rsidRPr="00B66369">
        <w:rPr>
          <w:rFonts w:cs="TimesNewRoman"/>
          <w:color w:val="000000"/>
        </w:rPr>
        <w:t xml:space="preserve">Two other treatment-naïve subjects were considered by the investigators to have completed the intended course of treatment to near-adult height. The mean ± SD of the difference between </w:t>
      </w:r>
      <w:r w:rsidR="00FF7267">
        <w:rPr>
          <w:rFonts w:cs="TimesNewRoman"/>
          <w:color w:val="000000"/>
        </w:rPr>
        <w:t xml:space="preserve">the </w:t>
      </w:r>
      <w:r w:rsidR="00075FAE" w:rsidRPr="00B66369">
        <w:rPr>
          <w:rFonts w:cs="TimesNewRoman"/>
          <w:color w:val="000000"/>
        </w:rPr>
        <w:t xml:space="preserve">observed increase in height versus that expected from Laron </w:t>
      </w:r>
      <w:r w:rsidR="007911A7">
        <w:rPr>
          <w:rFonts w:cs="TimesNewRoman"/>
          <w:color w:val="000000"/>
        </w:rPr>
        <w:t xml:space="preserve">syndrome </w:t>
      </w:r>
      <w:r w:rsidR="00075FAE" w:rsidRPr="00B66369">
        <w:rPr>
          <w:rFonts w:cs="TimesNewRoman"/>
          <w:color w:val="000000"/>
        </w:rPr>
        <w:t>was approximately 13</w:t>
      </w:r>
      <w:r w:rsidR="007911A7">
        <w:rPr>
          <w:rFonts w:cs="TimesNewRoman"/>
          <w:color w:val="000000"/>
        </w:rPr>
        <w:t> </w:t>
      </w:r>
      <w:r w:rsidR="00075FAE" w:rsidRPr="00B66369">
        <w:rPr>
          <w:rFonts w:cs="TimesNewRoman"/>
          <w:color w:val="000000"/>
        </w:rPr>
        <w:t>±</w:t>
      </w:r>
      <w:r w:rsidR="007911A7">
        <w:rPr>
          <w:rFonts w:cs="TimesNewRoman"/>
          <w:color w:val="000000"/>
        </w:rPr>
        <w:t> </w:t>
      </w:r>
      <w:r w:rsidR="00075FAE" w:rsidRPr="00B66369">
        <w:rPr>
          <w:rFonts w:cs="TimesNewRoman"/>
          <w:color w:val="000000"/>
        </w:rPr>
        <w:t>8</w:t>
      </w:r>
      <w:r w:rsidR="007911A7">
        <w:rPr>
          <w:rFonts w:cs="TimesNewRoman"/>
          <w:color w:val="000000"/>
        </w:rPr>
        <w:t> </w:t>
      </w:r>
      <w:r w:rsidR="00075FAE" w:rsidRPr="00B66369">
        <w:rPr>
          <w:rFonts w:cs="TimesNewRoman"/>
          <w:color w:val="000000"/>
        </w:rPr>
        <w:t>cm after an average of 11 years of treatment.</w:t>
      </w:r>
    </w:p>
    <w:p w14:paraId="2BF63295" w14:textId="77777777" w:rsidR="001B7E1C" w:rsidRDefault="00075FAE" w:rsidP="006F4867">
      <w:pPr>
        <w:pStyle w:val="Heading5"/>
      </w:pPr>
      <w:r w:rsidRPr="006F4867">
        <w:rPr>
          <w:rStyle w:val="Heading4Char"/>
          <w:b/>
          <w:bCs/>
        </w:rPr>
        <w:t>Study</w:t>
      </w:r>
      <w:r w:rsidRPr="001B7E1C">
        <w:rPr>
          <w:rStyle w:val="Heading5Char"/>
          <w:rFonts w:eastAsia="Cambria"/>
        </w:rPr>
        <w:t xml:space="preserve"> </w:t>
      </w:r>
      <w:r w:rsidRPr="006F4867">
        <w:rPr>
          <w:rStyle w:val="Heading4Char"/>
          <w:b/>
          <w:bCs/>
        </w:rPr>
        <w:t>MS301</w:t>
      </w:r>
    </w:p>
    <w:p w14:paraId="1EFF3AC0" w14:textId="77777777" w:rsidR="00075FAE" w:rsidRPr="00B66369" w:rsidRDefault="001B7E1C" w:rsidP="001B7E1C">
      <w:r>
        <w:t xml:space="preserve">This was </w:t>
      </w:r>
      <w:r w:rsidR="00075FAE" w:rsidRPr="00B66369">
        <w:t xml:space="preserve">a </w:t>
      </w:r>
      <w:r>
        <w:t>P</w:t>
      </w:r>
      <w:r w:rsidR="00075FAE" w:rsidRPr="00B66369">
        <w:t xml:space="preserve">hase </w:t>
      </w:r>
      <w:r>
        <w:t>III</w:t>
      </w:r>
      <w:r w:rsidR="00075FAE" w:rsidRPr="00B66369">
        <w:t xml:space="preserve">, randomised, open label, observational, multicentre parallel dose comparison trial in the US. Inclusion criteria were similar to </w:t>
      </w:r>
      <w:r>
        <w:t>S</w:t>
      </w:r>
      <w:r w:rsidR="00075FAE" w:rsidRPr="00B66369">
        <w:t xml:space="preserve">tudy 1419 except patients did not need to have </w:t>
      </w:r>
      <w:r w:rsidR="00075FAE">
        <w:t xml:space="preserve">a diagnosis of a </w:t>
      </w:r>
      <w:r w:rsidR="00075FAE" w:rsidRPr="00B66369">
        <w:t>GH receptor defects</w:t>
      </w:r>
      <w:r w:rsidR="00075FAE">
        <w:t>,</w:t>
      </w:r>
      <w:r w:rsidR="00075FAE" w:rsidRPr="00B66369">
        <w:t xml:space="preserve"> GH gene </w:t>
      </w:r>
      <w:r>
        <w:t>defects or anti –GH antibodies.</w:t>
      </w:r>
    </w:p>
    <w:p w14:paraId="407D8934" w14:textId="748C8849" w:rsidR="00075FAE" w:rsidRPr="00B66369" w:rsidRDefault="00075FAE" w:rsidP="001B7E1C">
      <w:r w:rsidRPr="00B66369">
        <w:t>Patients were initially randomised to receive 40 or 80</w:t>
      </w:r>
      <w:r w:rsidR="00FD5F2E">
        <w:t xml:space="preserve"> </w:t>
      </w:r>
      <w:r w:rsidRPr="00B66369">
        <w:t xml:space="preserve">µg/kg </w:t>
      </w:r>
      <w:proofErr w:type="spellStart"/>
      <w:r w:rsidR="001B7E1C">
        <w:t>m</w:t>
      </w:r>
      <w:r w:rsidRPr="00B66369">
        <w:t>ecasermin</w:t>
      </w:r>
      <w:proofErr w:type="spellEnd"/>
      <w:r w:rsidRPr="00B66369">
        <w:t xml:space="preserve"> </w:t>
      </w:r>
      <w:r w:rsidR="001B7E1C">
        <w:t xml:space="preserve">twice a day </w:t>
      </w:r>
      <w:r w:rsidRPr="00B66369">
        <w:t xml:space="preserve">or placebo. During the first year of the </w:t>
      </w:r>
      <w:r w:rsidR="00FF7267" w:rsidRPr="00B66369">
        <w:t>study,</w:t>
      </w:r>
      <w:r w:rsidRPr="00B66369">
        <w:t xml:space="preserve"> it became apparent that patients assigned to the 40</w:t>
      </w:r>
      <w:r w:rsidR="00AD1922">
        <w:t xml:space="preserve"> </w:t>
      </w:r>
      <w:r w:rsidRPr="00B66369">
        <w:t>µg/kg arm failed to raise the IGF-1 level into the desired range. Remaining patients had their dose increased to 120</w:t>
      </w:r>
      <w:r w:rsidR="00AD1922">
        <w:t xml:space="preserve"> </w:t>
      </w:r>
      <w:r w:rsidRPr="00B66369">
        <w:t>µg/kg and those not yet treated were commenced on a dose of 120</w:t>
      </w:r>
      <w:r w:rsidR="00AD1922">
        <w:t xml:space="preserve"> </w:t>
      </w:r>
      <w:r w:rsidRPr="00B66369">
        <w:t>µg/kg.</w:t>
      </w:r>
    </w:p>
    <w:p w14:paraId="2B05653C" w14:textId="0B2171AA" w:rsidR="00075FAE" w:rsidRPr="00B66369" w:rsidRDefault="00075FAE" w:rsidP="007E1F7C">
      <w:r w:rsidRPr="00B66369">
        <w:t>First</w:t>
      </w:r>
      <w:r w:rsidR="007911A7">
        <w:t xml:space="preserve"> </w:t>
      </w:r>
      <w:r w:rsidRPr="00B66369">
        <w:t xml:space="preserve">year mean </w:t>
      </w:r>
      <w:r w:rsidR="007911A7">
        <w:t>(</w:t>
      </w:r>
      <w:r w:rsidRPr="00B66369">
        <w:t>± SD</w:t>
      </w:r>
      <w:r w:rsidR="007911A7">
        <w:t>)</w:t>
      </w:r>
      <w:r w:rsidRPr="00B66369">
        <w:t xml:space="preserve"> height velocity was 5.2</w:t>
      </w:r>
      <w:r w:rsidR="00FD5F2E">
        <w:t xml:space="preserve"> </w:t>
      </w:r>
      <w:r w:rsidR="007911A7">
        <w:t>(</w:t>
      </w:r>
      <w:r w:rsidRPr="00B66369">
        <w:t>±</w:t>
      </w:r>
      <w:r w:rsidR="00FD5F2E">
        <w:t xml:space="preserve"> </w:t>
      </w:r>
      <w:r w:rsidRPr="00B66369">
        <w:t>1.0</w:t>
      </w:r>
      <w:r w:rsidR="007911A7">
        <w:t>)</w:t>
      </w:r>
      <w:r w:rsidRPr="00B66369">
        <w:t>, 6.9</w:t>
      </w:r>
      <w:r w:rsidR="00FD5F2E">
        <w:t xml:space="preserve"> </w:t>
      </w:r>
      <w:r w:rsidR="007911A7">
        <w:t>(</w:t>
      </w:r>
      <w:r w:rsidRPr="00B66369">
        <w:t>±</w:t>
      </w:r>
      <w:r w:rsidR="00FD5F2E">
        <w:t xml:space="preserve"> </w:t>
      </w:r>
      <w:r w:rsidRPr="00B66369">
        <w:t>1.0</w:t>
      </w:r>
      <w:r w:rsidR="007911A7">
        <w:t>)</w:t>
      </w:r>
      <w:r w:rsidRPr="00B66369">
        <w:t xml:space="preserve"> and 7.7</w:t>
      </w:r>
      <w:r w:rsidR="00FD5F2E">
        <w:t xml:space="preserve"> </w:t>
      </w:r>
      <w:r w:rsidR="007911A7">
        <w:t>(</w:t>
      </w:r>
      <w:r w:rsidRPr="00B66369">
        <w:t>±</w:t>
      </w:r>
      <w:r w:rsidR="00FD5F2E">
        <w:t xml:space="preserve"> </w:t>
      </w:r>
      <w:r w:rsidRPr="00B66369">
        <w:t>1.5</w:t>
      </w:r>
      <w:r w:rsidR="007911A7">
        <w:t>)</w:t>
      </w:r>
      <w:r w:rsidRPr="00B66369">
        <w:t xml:space="preserve"> cm/year in the untreated control, 80 and 120 </w:t>
      </w:r>
      <w:proofErr w:type="spellStart"/>
      <w:r w:rsidRPr="00B66369">
        <w:rPr>
          <w:rFonts w:cs="TimesNewRoman"/>
        </w:rPr>
        <w:t>μg</w:t>
      </w:r>
      <w:proofErr w:type="spellEnd"/>
      <w:r w:rsidRPr="00B66369">
        <w:rPr>
          <w:rFonts w:cs="TimesNewRoman"/>
        </w:rPr>
        <w:t xml:space="preserve">/kg </w:t>
      </w:r>
      <w:r w:rsidR="00A96D80">
        <w:rPr>
          <w:rFonts w:cs="TimesNewRoman"/>
        </w:rPr>
        <w:t>twice a day</w:t>
      </w:r>
      <w:r w:rsidR="00A96D80" w:rsidRPr="00B66369">
        <w:t xml:space="preserve"> </w:t>
      </w:r>
      <w:proofErr w:type="spellStart"/>
      <w:r w:rsidR="001B7E1C">
        <w:t>m</w:t>
      </w:r>
      <w:r w:rsidRPr="00B66369">
        <w:t>ecasermin</w:t>
      </w:r>
      <w:proofErr w:type="spellEnd"/>
      <w:r w:rsidRPr="00B66369">
        <w:t xml:space="preserve"> groups, respectively. Height velocity during the first year was statistically significantly greater with both doses of </w:t>
      </w:r>
      <w:proofErr w:type="spellStart"/>
      <w:r w:rsidR="001B7E1C">
        <w:t>m</w:t>
      </w:r>
      <w:r w:rsidRPr="00B66369">
        <w:t>ecasermin</w:t>
      </w:r>
      <w:proofErr w:type="spellEnd"/>
      <w:r w:rsidRPr="00B66369">
        <w:t xml:space="preserve"> (80 and 120 </w:t>
      </w:r>
      <w:proofErr w:type="spellStart"/>
      <w:r w:rsidRPr="00B66369">
        <w:rPr>
          <w:rFonts w:cs="TimesNewRoman"/>
        </w:rPr>
        <w:t>μg</w:t>
      </w:r>
      <w:proofErr w:type="spellEnd"/>
      <w:r w:rsidRPr="00B66369">
        <w:rPr>
          <w:rFonts w:cs="TimesNewRoman"/>
        </w:rPr>
        <w:t xml:space="preserve">/kg </w:t>
      </w:r>
      <w:r w:rsidR="00A96D80">
        <w:rPr>
          <w:rFonts w:cs="TimesNewRoman"/>
        </w:rPr>
        <w:t>twice a day</w:t>
      </w:r>
      <w:r w:rsidRPr="00B66369">
        <w:rPr>
          <w:rFonts w:cs="TimesNewRoman"/>
        </w:rPr>
        <w:t xml:space="preserve">) </w:t>
      </w:r>
      <w:r w:rsidRPr="00B66369">
        <w:t>than with the untreated control, with least square (LS) mean differences (95% confidence interval (CI)) versus untreated control of 1.79</w:t>
      </w:r>
      <w:r w:rsidR="00A96D80">
        <w:t> </w:t>
      </w:r>
      <w:r w:rsidRPr="00B66369">
        <w:t>cm/year (1.19, 2.39) and 2.58 cm/year (1.99, 3.16), respectively (p</w:t>
      </w:r>
      <w:r w:rsidR="00FD5F2E">
        <w:t xml:space="preserve"> </w:t>
      </w:r>
      <w:r w:rsidRPr="00B66369">
        <w:t>&lt; 0.0001 for both comparisons).</w:t>
      </w:r>
    </w:p>
    <w:p w14:paraId="0909845E" w14:textId="77777777" w:rsidR="001B7E1C" w:rsidRDefault="00075FAE" w:rsidP="001B7E1C">
      <w:pPr>
        <w:pStyle w:val="Heading5"/>
      </w:pPr>
      <w:r w:rsidRPr="00B66369">
        <w:t>Study 306</w:t>
      </w:r>
    </w:p>
    <w:p w14:paraId="4D27CE42" w14:textId="2412C8C8" w:rsidR="00075FAE" w:rsidRPr="00B66369" w:rsidRDefault="001B7E1C" w:rsidP="00075FAE">
      <w:pPr>
        <w:spacing w:before="0" w:after="0" w:line="240" w:lineRule="auto"/>
        <w:rPr>
          <w:rFonts w:asciiTheme="minorHAnsi" w:hAnsiTheme="minorHAnsi"/>
        </w:rPr>
      </w:pPr>
      <w:r>
        <w:rPr>
          <w:rFonts w:asciiTheme="minorHAnsi" w:hAnsiTheme="minorHAnsi"/>
        </w:rPr>
        <w:t>This was a</w:t>
      </w:r>
      <w:r w:rsidR="00075FAE" w:rsidRPr="00B66369">
        <w:rPr>
          <w:rFonts w:asciiTheme="minorHAnsi" w:hAnsiTheme="minorHAnsi"/>
        </w:rPr>
        <w:t xml:space="preserve">n extension of </w:t>
      </w:r>
      <w:r>
        <w:rPr>
          <w:rFonts w:asciiTheme="minorHAnsi" w:hAnsiTheme="minorHAnsi"/>
        </w:rPr>
        <w:t>S</w:t>
      </w:r>
      <w:r w:rsidR="00075FAE" w:rsidRPr="00B66369">
        <w:rPr>
          <w:rFonts w:asciiTheme="minorHAnsi" w:hAnsiTheme="minorHAnsi"/>
        </w:rPr>
        <w:t xml:space="preserve">tudy 301, with a planned duration of 5 years. Patients in the initial control group were randomised to receive 80 or 120 µg/kg </w:t>
      </w:r>
      <w:r w:rsidR="00A96D80">
        <w:rPr>
          <w:rFonts w:asciiTheme="minorHAnsi" w:hAnsiTheme="minorHAnsi"/>
        </w:rPr>
        <w:t>twice a day</w:t>
      </w:r>
      <w:r w:rsidR="007E1F7C">
        <w:rPr>
          <w:rFonts w:asciiTheme="minorHAnsi" w:hAnsiTheme="minorHAnsi"/>
        </w:rPr>
        <w:t>;</w:t>
      </w:r>
      <w:r w:rsidR="00075FAE" w:rsidRPr="00B66369">
        <w:rPr>
          <w:rFonts w:asciiTheme="minorHAnsi" w:hAnsiTheme="minorHAnsi"/>
        </w:rPr>
        <w:t xml:space="preserve"> patients in the initial 80 µg/kg group had the dose increased to 120</w:t>
      </w:r>
      <w:r w:rsidR="00A96D80">
        <w:rPr>
          <w:rFonts w:asciiTheme="minorHAnsi" w:hAnsiTheme="minorHAnsi"/>
        </w:rPr>
        <w:t xml:space="preserve"> </w:t>
      </w:r>
      <w:r w:rsidR="00075FAE" w:rsidRPr="00B66369">
        <w:rPr>
          <w:rFonts w:asciiTheme="minorHAnsi" w:hAnsiTheme="minorHAnsi"/>
        </w:rPr>
        <w:t xml:space="preserve">µg/kg. During the </w:t>
      </w:r>
      <w:r w:rsidR="00FF7267" w:rsidRPr="00B66369">
        <w:rPr>
          <w:rFonts w:asciiTheme="minorHAnsi" w:hAnsiTheme="minorHAnsi"/>
        </w:rPr>
        <w:t>study,</w:t>
      </w:r>
      <w:r w:rsidR="00075FAE" w:rsidRPr="00B66369">
        <w:rPr>
          <w:rFonts w:asciiTheme="minorHAnsi" w:hAnsiTheme="minorHAnsi"/>
        </w:rPr>
        <w:t xml:space="preserve"> there was a protocol amendment and patients had the dose increased to 160</w:t>
      </w:r>
      <w:r w:rsidR="00A96D80">
        <w:rPr>
          <w:rFonts w:asciiTheme="minorHAnsi" w:hAnsiTheme="minorHAnsi"/>
        </w:rPr>
        <w:t xml:space="preserve"> </w:t>
      </w:r>
      <w:r w:rsidR="00075FAE" w:rsidRPr="00B66369">
        <w:rPr>
          <w:rFonts w:asciiTheme="minorHAnsi" w:hAnsiTheme="minorHAnsi"/>
        </w:rPr>
        <w:t>µg/kg daily then 200</w:t>
      </w:r>
      <w:r w:rsidR="00A96D80">
        <w:rPr>
          <w:rFonts w:asciiTheme="minorHAnsi" w:hAnsiTheme="minorHAnsi"/>
        </w:rPr>
        <w:t> </w:t>
      </w:r>
      <w:r w:rsidR="00075FAE">
        <w:rPr>
          <w:rFonts w:asciiTheme="minorHAnsi" w:hAnsiTheme="minorHAnsi"/>
        </w:rPr>
        <w:t>µg/kg</w:t>
      </w:r>
      <w:r w:rsidR="00075FAE" w:rsidRPr="00B66369">
        <w:rPr>
          <w:rFonts w:asciiTheme="minorHAnsi" w:hAnsiTheme="minorHAnsi"/>
        </w:rPr>
        <w:t xml:space="preserve"> and 240</w:t>
      </w:r>
      <w:r w:rsidR="00A96D80">
        <w:rPr>
          <w:rFonts w:asciiTheme="minorHAnsi" w:hAnsiTheme="minorHAnsi"/>
        </w:rPr>
        <w:t> </w:t>
      </w:r>
      <w:r w:rsidR="00075FAE">
        <w:rPr>
          <w:rFonts w:asciiTheme="minorHAnsi" w:hAnsiTheme="minorHAnsi"/>
        </w:rPr>
        <w:t xml:space="preserve">µg/kg </w:t>
      </w:r>
      <w:r w:rsidR="00075FAE" w:rsidRPr="00B66369">
        <w:rPr>
          <w:rFonts w:asciiTheme="minorHAnsi" w:hAnsiTheme="minorHAnsi"/>
        </w:rPr>
        <w:t xml:space="preserve">daily. </w:t>
      </w:r>
      <w:r w:rsidR="00075FAE">
        <w:rPr>
          <w:rFonts w:asciiTheme="minorHAnsi" w:hAnsiTheme="minorHAnsi"/>
        </w:rPr>
        <w:t>The</w:t>
      </w:r>
      <w:r w:rsidR="00075FAE" w:rsidRPr="00B66369">
        <w:rPr>
          <w:rFonts w:asciiTheme="minorHAnsi" w:hAnsiTheme="minorHAnsi"/>
        </w:rPr>
        <w:t xml:space="preserve"> study was subsequently suspended due to a high rate of hypoglycaemia at doses above 200 µg/kg daily. Efficacy was analysed only in those who received 120</w:t>
      </w:r>
      <w:r w:rsidR="007E1F7C">
        <w:rPr>
          <w:rFonts w:asciiTheme="minorHAnsi" w:hAnsiTheme="minorHAnsi"/>
        </w:rPr>
        <w:t xml:space="preserve"> </w:t>
      </w:r>
      <w:r w:rsidR="00075FAE" w:rsidRPr="00B66369">
        <w:rPr>
          <w:rFonts w:asciiTheme="minorHAnsi" w:hAnsiTheme="minorHAnsi"/>
        </w:rPr>
        <w:t xml:space="preserve">µg/kg </w:t>
      </w:r>
      <w:r w:rsidR="00A96D80">
        <w:rPr>
          <w:rFonts w:asciiTheme="minorHAnsi" w:hAnsiTheme="minorHAnsi"/>
        </w:rPr>
        <w:t>twice a day</w:t>
      </w:r>
      <w:r w:rsidR="00075FAE" w:rsidRPr="00B66369">
        <w:rPr>
          <w:rFonts w:asciiTheme="minorHAnsi" w:hAnsiTheme="minorHAnsi"/>
        </w:rPr>
        <w:t xml:space="preserve">. In the </w:t>
      </w:r>
      <w:r w:rsidR="007E1F7C">
        <w:rPr>
          <w:rFonts w:asciiTheme="minorHAnsi" w:hAnsiTheme="minorHAnsi"/>
        </w:rPr>
        <w:t>modified intention-to-treat (</w:t>
      </w:r>
      <w:r w:rsidR="00075FAE" w:rsidRPr="00B66369">
        <w:rPr>
          <w:rFonts w:asciiTheme="minorHAnsi" w:hAnsiTheme="minorHAnsi"/>
        </w:rPr>
        <w:t>MITT</w:t>
      </w:r>
      <w:r w:rsidR="007E1F7C">
        <w:rPr>
          <w:rFonts w:asciiTheme="minorHAnsi" w:hAnsiTheme="minorHAnsi"/>
        </w:rPr>
        <w:t>)</w:t>
      </w:r>
      <w:r w:rsidR="00075FAE" w:rsidRPr="00B66369">
        <w:rPr>
          <w:rFonts w:asciiTheme="minorHAnsi" w:hAnsiTheme="minorHAnsi"/>
        </w:rPr>
        <w:t xml:space="preserve"> population, mean ±</w:t>
      </w:r>
      <w:r w:rsidR="00A96D80">
        <w:rPr>
          <w:rFonts w:asciiTheme="minorHAnsi" w:hAnsiTheme="minorHAnsi"/>
        </w:rPr>
        <w:t> </w:t>
      </w:r>
      <w:r w:rsidR="00075FAE" w:rsidRPr="00B66369">
        <w:rPr>
          <w:rFonts w:asciiTheme="minorHAnsi" w:hAnsiTheme="minorHAnsi"/>
        </w:rPr>
        <w:t>SD height velocity increased from pre-treatment (5.0</w:t>
      </w:r>
      <w:r w:rsidR="00A96D80">
        <w:rPr>
          <w:rFonts w:asciiTheme="minorHAnsi" w:hAnsiTheme="minorHAnsi"/>
        </w:rPr>
        <w:t> </w:t>
      </w:r>
      <w:r w:rsidR="00075FAE" w:rsidRPr="00B66369">
        <w:rPr>
          <w:rFonts w:asciiTheme="minorHAnsi" w:hAnsiTheme="minorHAnsi"/>
        </w:rPr>
        <w:t>±</w:t>
      </w:r>
      <w:r w:rsidR="00A96D80">
        <w:rPr>
          <w:rFonts w:asciiTheme="minorHAnsi" w:hAnsiTheme="minorHAnsi"/>
        </w:rPr>
        <w:t> </w:t>
      </w:r>
      <w:r w:rsidR="00075FAE" w:rsidRPr="00B66369">
        <w:rPr>
          <w:rFonts w:asciiTheme="minorHAnsi" w:hAnsiTheme="minorHAnsi"/>
        </w:rPr>
        <w:t>2.3 cm/year) to 7.7</w:t>
      </w:r>
      <w:r w:rsidR="00A96D80">
        <w:rPr>
          <w:rFonts w:asciiTheme="minorHAnsi" w:hAnsiTheme="minorHAnsi"/>
        </w:rPr>
        <w:t> </w:t>
      </w:r>
      <w:r w:rsidR="00075FAE" w:rsidRPr="00B66369">
        <w:rPr>
          <w:rFonts w:asciiTheme="minorHAnsi" w:hAnsiTheme="minorHAnsi"/>
        </w:rPr>
        <w:t>±</w:t>
      </w:r>
      <w:r w:rsidR="00A96D80">
        <w:rPr>
          <w:rFonts w:asciiTheme="minorHAnsi" w:hAnsiTheme="minorHAnsi"/>
        </w:rPr>
        <w:t> </w:t>
      </w:r>
      <w:r w:rsidR="00075FAE" w:rsidRPr="00B66369">
        <w:rPr>
          <w:rFonts w:asciiTheme="minorHAnsi" w:hAnsiTheme="minorHAnsi"/>
        </w:rPr>
        <w:t>1.5, 6.1</w:t>
      </w:r>
      <w:r w:rsidR="00A96D80">
        <w:rPr>
          <w:rFonts w:asciiTheme="minorHAnsi" w:hAnsiTheme="minorHAnsi"/>
        </w:rPr>
        <w:t> </w:t>
      </w:r>
      <w:r w:rsidR="00075FAE" w:rsidRPr="00B66369">
        <w:rPr>
          <w:rFonts w:asciiTheme="minorHAnsi" w:hAnsiTheme="minorHAnsi"/>
        </w:rPr>
        <w:t>±</w:t>
      </w:r>
      <w:r w:rsidR="00A96D80">
        <w:rPr>
          <w:rFonts w:asciiTheme="minorHAnsi" w:hAnsiTheme="minorHAnsi"/>
        </w:rPr>
        <w:t> </w:t>
      </w:r>
      <w:r w:rsidR="00075FAE" w:rsidRPr="00B66369">
        <w:rPr>
          <w:rFonts w:asciiTheme="minorHAnsi" w:hAnsiTheme="minorHAnsi"/>
        </w:rPr>
        <w:t>1.4 and 5.9</w:t>
      </w:r>
      <w:r w:rsidR="00A96D80">
        <w:rPr>
          <w:rFonts w:asciiTheme="minorHAnsi" w:hAnsiTheme="minorHAnsi"/>
        </w:rPr>
        <w:t> </w:t>
      </w:r>
      <w:r w:rsidR="00075FAE" w:rsidRPr="00B66369">
        <w:rPr>
          <w:rFonts w:asciiTheme="minorHAnsi" w:hAnsiTheme="minorHAnsi"/>
        </w:rPr>
        <w:t>±</w:t>
      </w:r>
      <w:r w:rsidR="00A96D80">
        <w:rPr>
          <w:rFonts w:asciiTheme="minorHAnsi" w:hAnsiTheme="minorHAnsi"/>
        </w:rPr>
        <w:t> </w:t>
      </w:r>
      <w:r w:rsidR="00075FAE" w:rsidRPr="00B66369">
        <w:rPr>
          <w:rFonts w:asciiTheme="minorHAnsi" w:hAnsiTheme="minorHAnsi"/>
        </w:rPr>
        <w:t>1.1 cm/year in Year 1, 2 and 3, respectively.</w:t>
      </w:r>
    </w:p>
    <w:p w14:paraId="0B209817" w14:textId="77777777" w:rsidR="007E1F7C" w:rsidRDefault="007E1F7C" w:rsidP="007E1F7C">
      <w:pPr>
        <w:pStyle w:val="Heading5"/>
      </w:pPr>
      <w:r>
        <w:t>Study MS308</w:t>
      </w:r>
    </w:p>
    <w:p w14:paraId="7C776339" w14:textId="2CABF18F" w:rsidR="00075FAE" w:rsidRPr="007E1F7C" w:rsidRDefault="007E1F7C" w:rsidP="007E1F7C">
      <w:r w:rsidRPr="007E1F7C">
        <w:t xml:space="preserve">This </w:t>
      </w:r>
      <w:r w:rsidR="00FF7267" w:rsidRPr="007E1F7C">
        <w:t>open labelled study</w:t>
      </w:r>
      <w:r w:rsidR="00075FAE" w:rsidRPr="007E1F7C">
        <w:t xml:space="preserve"> evaluated the effect of </w:t>
      </w:r>
      <w:proofErr w:type="spellStart"/>
      <w:r>
        <w:t>m</w:t>
      </w:r>
      <w:r w:rsidR="00075FAE" w:rsidRPr="007E1F7C">
        <w:t>ecasermin</w:t>
      </w:r>
      <w:proofErr w:type="spellEnd"/>
      <w:r w:rsidR="00075FAE" w:rsidRPr="007E1F7C">
        <w:t xml:space="preserve"> on growth in pre-pubertal patients with IGF-1 deficiency. Inclusion criteria included height </w:t>
      </w:r>
      <w:r w:rsidR="00A96D80">
        <w:t xml:space="preserve">standard deviation score (SDS) </w:t>
      </w:r>
      <w:r w:rsidR="00075FAE" w:rsidRPr="007E1F7C">
        <w:t>&lt;</w:t>
      </w:r>
      <w:r w:rsidR="00A96D80">
        <w:t> </w:t>
      </w:r>
      <w:r w:rsidR="00A96D80">
        <w:noBreakHyphen/>
      </w:r>
      <w:r w:rsidR="00075FAE" w:rsidRPr="007E1F7C">
        <w:t>2 for age and sex, IGF-1 SDS</w:t>
      </w:r>
      <w:r w:rsidR="006F4867">
        <w:t>)</w:t>
      </w:r>
      <w:r w:rsidR="00075FAE" w:rsidRPr="007E1F7C">
        <w:t xml:space="preserve"> &lt; -2, chronological age &gt;</w:t>
      </w:r>
      <w:r w:rsidR="00A96D80">
        <w:t> </w:t>
      </w:r>
      <w:r w:rsidR="00075FAE" w:rsidRPr="007E1F7C">
        <w:t>3</w:t>
      </w:r>
      <w:r w:rsidR="00A96D80">
        <w:t> </w:t>
      </w:r>
      <w:r w:rsidR="00075FAE" w:rsidRPr="007E1F7C">
        <w:t>years, chronological age or bone age &lt;</w:t>
      </w:r>
      <w:r w:rsidRPr="007E1F7C">
        <w:t> </w:t>
      </w:r>
      <w:r w:rsidR="00075FAE" w:rsidRPr="007E1F7C">
        <w:t>12 in boys and &lt;</w:t>
      </w:r>
      <w:r w:rsidR="00A96D80">
        <w:t> </w:t>
      </w:r>
      <w:r w:rsidR="00075FAE" w:rsidRPr="007E1F7C">
        <w:t>11</w:t>
      </w:r>
      <w:r w:rsidR="00A96D80">
        <w:t> </w:t>
      </w:r>
      <w:r w:rsidR="00075FAE" w:rsidRPr="007E1F7C">
        <w:t>years in girls, GH sufficiency. Patients received an initial dose of 60 µg/kg, the dose was titrated to achiev</w:t>
      </w:r>
      <w:r w:rsidRPr="007E1F7C">
        <w:t>e a serum IGF-1 level of +2</w:t>
      </w:r>
      <w:r w:rsidR="00A96D80">
        <w:t> </w:t>
      </w:r>
      <w:r w:rsidRPr="007E1F7C">
        <w:t>SD. Forty-five</w:t>
      </w:r>
      <w:r w:rsidR="00075FAE" w:rsidRPr="007E1F7C">
        <w:t xml:space="preserve"> </w:t>
      </w:r>
      <w:r w:rsidR="00075FAE" w:rsidRPr="007E1F7C">
        <w:lastRenderedPageBreak/>
        <w:t>children were enrolled, 43 subjects completed 34</w:t>
      </w:r>
      <w:r w:rsidR="00A96D80">
        <w:t> </w:t>
      </w:r>
      <w:r w:rsidR="00075FAE" w:rsidRPr="007E1F7C">
        <w:t xml:space="preserve">weeks and 30 subjects completed 86 weeks. The growth response observed was less than other studies, height velocity increase by 1.3 </w:t>
      </w:r>
      <w:r w:rsidR="00A96D80" w:rsidRPr="00B66369">
        <w:rPr>
          <w:rFonts w:asciiTheme="minorHAnsi" w:hAnsiTheme="minorHAnsi"/>
        </w:rPr>
        <w:t>±</w:t>
      </w:r>
      <w:r w:rsidR="00FD5F2E">
        <w:t xml:space="preserve"> </w:t>
      </w:r>
      <w:r w:rsidR="00075FAE" w:rsidRPr="007E1F7C">
        <w:t>3.5</w:t>
      </w:r>
      <w:r w:rsidRPr="007E1F7C">
        <w:t xml:space="preserve"> </w:t>
      </w:r>
      <w:r w:rsidR="00075FAE" w:rsidRPr="007E1F7C">
        <w:t>cm in the first year.</w:t>
      </w:r>
    </w:p>
    <w:p w14:paraId="0B267CBE" w14:textId="1660A2D9" w:rsidR="00075FAE" w:rsidRPr="00B66369" w:rsidRDefault="00075FAE" w:rsidP="007E1F7C">
      <w:pPr>
        <w:pStyle w:val="Heading5"/>
      </w:pPr>
      <w:r w:rsidRPr="00B66369">
        <w:t>E</w:t>
      </w:r>
      <w:r w:rsidR="00A96D80">
        <w:t>uropean Union</w:t>
      </w:r>
      <w:r w:rsidRPr="00B66369">
        <w:t xml:space="preserve"> registry</w:t>
      </w:r>
    </w:p>
    <w:p w14:paraId="5E8C4263" w14:textId="77777777" w:rsidR="00075FAE" w:rsidRPr="00B66369" w:rsidRDefault="00075FAE" w:rsidP="00075FAE">
      <w:pPr>
        <w:spacing w:before="0" w:after="0" w:line="240" w:lineRule="auto"/>
        <w:rPr>
          <w:rFonts w:asciiTheme="minorHAnsi" w:hAnsiTheme="minorHAnsi"/>
        </w:rPr>
      </w:pPr>
      <w:r w:rsidRPr="00B66369">
        <w:rPr>
          <w:rFonts w:asciiTheme="minorHAnsi" w:hAnsiTheme="minorHAnsi"/>
        </w:rPr>
        <w:t>This registry was established in December 2008</w:t>
      </w:r>
      <w:r>
        <w:rPr>
          <w:rFonts w:asciiTheme="minorHAnsi" w:hAnsiTheme="minorHAnsi"/>
        </w:rPr>
        <w:t>, primarily to assess safety.</w:t>
      </w:r>
      <w:r w:rsidRPr="00B66369">
        <w:rPr>
          <w:rFonts w:asciiTheme="minorHAnsi" w:hAnsiTheme="minorHAnsi"/>
        </w:rPr>
        <w:t xml:space="preserve"> The date of the data cut off f</w:t>
      </w:r>
      <w:r w:rsidR="00AD1922">
        <w:rPr>
          <w:rFonts w:asciiTheme="minorHAnsi" w:hAnsiTheme="minorHAnsi"/>
        </w:rPr>
        <w:t>or the dossier was 10 May 2017.</w:t>
      </w:r>
    </w:p>
    <w:p w14:paraId="45DBC71A" w14:textId="34FB78C5" w:rsidR="007E1F7C" w:rsidRDefault="007E1F7C" w:rsidP="007E1F7C">
      <w:r>
        <w:t xml:space="preserve">Some </w:t>
      </w:r>
      <w:r w:rsidR="00075FAE" w:rsidRPr="00B66369">
        <w:t>246 subjects were registered in the study</w:t>
      </w:r>
      <w:r>
        <w:t>;</w:t>
      </w:r>
      <w:r w:rsidR="00075FAE" w:rsidRPr="00B66369">
        <w:t xml:space="preserve"> 63 had completed treat</w:t>
      </w:r>
      <w:r>
        <w:t>ment (until final adult height) and</w:t>
      </w:r>
      <w:r w:rsidR="00075FAE" w:rsidRPr="00B66369">
        <w:t xml:space="preserve"> 139 </w:t>
      </w:r>
      <w:r w:rsidR="00AD1922">
        <w:t xml:space="preserve">subjects </w:t>
      </w:r>
      <w:r w:rsidR="00075FAE" w:rsidRPr="00B66369">
        <w:t>discontinued</w:t>
      </w:r>
      <w:r w:rsidR="00AD1922">
        <w:t xml:space="preserve"> treatment</w:t>
      </w:r>
      <w:r w:rsidR="00075FAE" w:rsidRPr="00B66369">
        <w:t>. Of those that had discontinued, 25</w:t>
      </w:r>
      <w:r w:rsidR="00A96D80">
        <w:t> </w:t>
      </w:r>
      <w:r w:rsidR="00075FAE" w:rsidRPr="00B66369">
        <w:t>had reported that treatment was ineffective. At the time of the first intake, the mean age was 9.7 years, mean height velocity 4.75</w:t>
      </w:r>
      <w:r w:rsidR="00A96D80">
        <w:t xml:space="preserve"> </w:t>
      </w:r>
      <w:r w:rsidR="00075FAE" w:rsidRPr="00B66369">
        <w:t>cm/year. After one year of treatment, the mean height velocity was 6.84</w:t>
      </w:r>
      <w:r w:rsidR="00A96D80">
        <w:t xml:space="preserve"> </w:t>
      </w:r>
      <w:r w:rsidR="00075FAE" w:rsidRPr="00B66369">
        <w:t>cm/year and mean height SDS -3.4</w:t>
      </w:r>
      <w:r w:rsidR="00FD5F2E">
        <w:t xml:space="preserve"> </w:t>
      </w:r>
      <w:r w:rsidR="00A96D80" w:rsidRPr="00B66369">
        <w:rPr>
          <w:rFonts w:asciiTheme="minorHAnsi" w:hAnsiTheme="minorHAnsi"/>
        </w:rPr>
        <w:t>±</w:t>
      </w:r>
      <w:r w:rsidR="00075FAE" w:rsidRPr="00B66369">
        <w:t xml:space="preserve"> 1.34. Twenty-five (25) subjects in treatment-naïve pre-pubertal subgroup </w:t>
      </w:r>
      <w:r w:rsidR="00075FAE" w:rsidRPr="00CE03E8">
        <w:t>reported a final adult. The mean final adult height</w:t>
      </w:r>
      <w:r w:rsidR="00075FAE" w:rsidRPr="00B66369">
        <w:t xml:space="preserve"> was 159.8</w:t>
      </w:r>
      <w:r w:rsidR="00FD5F2E">
        <w:t xml:space="preserve"> </w:t>
      </w:r>
      <w:r w:rsidR="00075FAE" w:rsidRPr="00B66369">
        <w:t>±</w:t>
      </w:r>
      <w:r w:rsidR="00FD5F2E">
        <w:t xml:space="preserve"> </w:t>
      </w:r>
      <w:r w:rsidR="00075FAE" w:rsidRPr="00B66369">
        <w:t>19.2 cm in boys (-2.3</w:t>
      </w:r>
      <w:r w:rsidR="00FD5F2E">
        <w:t xml:space="preserve"> </w:t>
      </w:r>
      <w:r w:rsidR="00075FAE" w:rsidRPr="00B66369">
        <w:t>±</w:t>
      </w:r>
      <w:r w:rsidR="00FD5F2E">
        <w:t xml:space="preserve"> </w:t>
      </w:r>
      <w:r w:rsidR="00075FAE" w:rsidRPr="00B66369">
        <w:t>1.7 in terms of height SDS) and 150.2</w:t>
      </w:r>
      <w:r w:rsidR="00A96D80">
        <w:t> </w:t>
      </w:r>
      <w:r w:rsidR="00075FAE" w:rsidRPr="00B66369">
        <w:t>±</w:t>
      </w:r>
      <w:r w:rsidR="00A96D80">
        <w:t> </w:t>
      </w:r>
      <w:r w:rsidR="00075FAE" w:rsidRPr="00B66369">
        <w:t>5.6 cm in girls (</w:t>
      </w:r>
      <w:r>
        <w:noBreakHyphen/>
      </w:r>
      <w:r w:rsidR="00075FAE" w:rsidRPr="00B66369">
        <w:t>2.3</w:t>
      </w:r>
      <w:r w:rsidR="00FD5F2E">
        <w:t xml:space="preserve"> </w:t>
      </w:r>
      <w:r w:rsidR="00075FAE" w:rsidRPr="00B66369">
        <w:t>±</w:t>
      </w:r>
      <w:r w:rsidR="00FD5F2E">
        <w:t xml:space="preserve"> </w:t>
      </w:r>
      <w:r w:rsidR="00075FAE" w:rsidRPr="00B66369">
        <w:t>0.8 in terms of height SDS).</w:t>
      </w:r>
    </w:p>
    <w:p w14:paraId="1B7202F2" w14:textId="77777777" w:rsidR="00075FAE" w:rsidRPr="00A96D80" w:rsidRDefault="00075FAE" w:rsidP="00A96D80">
      <w:pPr>
        <w:pStyle w:val="Heading4"/>
      </w:pPr>
      <w:r w:rsidRPr="00B66369">
        <w:t>Safety</w:t>
      </w:r>
    </w:p>
    <w:p w14:paraId="7FE7B0DD" w14:textId="0AC66480" w:rsidR="007E1F7C" w:rsidRDefault="00075FAE" w:rsidP="00E235AE">
      <w:r w:rsidRPr="00A96D80">
        <w:t>The</w:t>
      </w:r>
      <w:r w:rsidRPr="00B66369">
        <w:t xml:space="preserve"> information about safety comes from </w:t>
      </w:r>
      <w:r w:rsidR="007F3A69">
        <w:t xml:space="preserve">the </w:t>
      </w:r>
      <w:r w:rsidRPr="00B66369">
        <w:t xml:space="preserve">clinical </w:t>
      </w:r>
      <w:r w:rsidR="00A96D80">
        <w:t>pharmacokinetics (</w:t>
      </w:r>
      <w:r w:rsidR="007F3A69">
        <w:t>PK</w:t>
      </w:r>
      <w:r w:rsidR="00A96D80">
        <w:t>)</w:t>
      </w:r>
      <w:r w:rsidRPr="00B66369">
        <w:t>, efficacy and safety studies, post market registries and reports from experience in the real world setting.</w:t>
      </w:r>
    </w:p>
    <w:p w14:paraId="7678FBE7" w14:textId="52C73014" w:rsidR="00075FAE" w:rsidRDefault="00075FAE" w:rsidP="007E1F7C">
      <w:r w:rsidRPr="00B66369">
        <w:t xml:space="preserve">More than 1500 subjects have been exposed to </w:t>
      </w:r>
      <w:proofErr w:type="spellStart"/>
      <w:r w:rsidR="007E1F7C">
        <w:t>m</w:t>
      </w:r>
      <w:r w:rsidRPr="00B66369">
        <w:t>ecasermin</w:t>
      </w:r>
      <w:proofErr w:type="spellEnd"/>
      <w:r w:rsidRPr="00B66369">
        <w:t xml:space="preserve"> </w:t>
      </w:r>
      <w:r w:rsidR="00FF7267">
        <w:t xml:space="preserve">in </w:t>
      </w:r>
      <w:r w:rsidRPr="00B66369">
        <w:t xml:space="preserve">clinical trials for diverse indications including </w:t>
      </w:r>
      <w:r w:rsidR="00A96D80">
        <w:t>p</w:t>
      </w:r>
      <w:r w:rsidRPr="00B66369">
        <w:t>rimary IGFD. The populations in many of these studies are not representative of the proposed</w:t>
      </w:r>
      <w:r w:rsidRPr="00B66369">
        <w:rPr>
          <w:spacing w:val="-23"/>
        </w:rPr>
        <w:t xml:space="preserve"> </w:t>
      </w:r>
      <w:r w:rsidRPr="00B66369">
        <w:t xml:space="preserve">indication as they included patients with less severe short stature. </w:t>
      </w:r>
      <w:r>
        <w:t>Safety in other indications may not be representative of safety in the proposed indication for a number of reasons. Most of these studies were uncontrolled, thus it is not possible to know if the reported events were attributable to the medicine or other factors. In addition, replacement of IGF-1 to patients with a deficiency aims to achieve a physiological level of IGF-1, as opposed to treatment to achi</w:t>
      </w:r>
      <w:r w:rsidR="007E1F7C">
        <w:t>eve supra-physiological levels.</w:t>
      </w:r>
    </w:p>
    <w:p w14:paraId="1A64C33B" w14:textId="076F864F" w:rsidR="007E1F7C" w:rsidRDefault="00075FAE" w:rsidP="007E1F7C">
      <w:r w:rsidRPr="00B66369">
        <w:t xml:space="preserve">The mean duration of exposure in </w:t>
      </w:r>
      <w:r w:rsidR="007E1F7C">
        <w:t>S</w:t>
      </w:r>
      <w:r w:rsidRPr="00B66369">
        <w:t>tudy 1419 was 6.0 years with the majority taking 120</w:t>
      </w:r>
      <w:r w:rsidR="002B2092">
        <w:t> </w:t>
      </w:r>
      <w:r w:rsidRPr="00B66369">
        <w:t xml:space="preserve">µg/kg </w:t>
      </w:r>
      <w:r w:rsidR="00A96D80">
        <w:t>twice a day</w:t>
      </w:r>
      <w:r w:rsidRPr="00B66369">
        <w:t xml:space="preserve">. In the EU </w:t>
      </w:r>
      <w:r w:rsidR="00A96D80">
        <w:t>r</w:t>
      </w:r>
      <w:r w:rsidRPr="00B66369">
        <w:t xml:space="preserve">egistry </w:t>
      </w:r>
      <w:r w:rsidR="00FF7267" w:rsidRPr="00B66369">
        <w:t>study,</w:t>
      </w:r>
      <w:r w:rsidRPr="00B66369">
        <w:t xml:space="preserve"> the mean duration of exposure was 3.5</w:t>
      </w:r>
      <w:r w:rsidR="00A96D80">
        <w:t> </w:t>
      </w:r>
      <w:r w:rsidRPr="00B66369">
        <w:t>years.</w:t>
      </w:r>
      <w:r w:rsidRPr="00B66369">
        <w:rPr>
          <w:rFonts w:cs="Arial"/>
        </w:rPr>
        <w:t xml:space="preserve"> </w:t>
      </w:r>
      <w:r w:rsidRPr="00B66369">
        <w:t xml:space="preserve">In the US registry </w:t>
      </w:r>
      <w:r w:rsidR="007E1F7C">
        <w:t>S</w:t>
      </w:r>
      <w:r w:rsidRPr="00B66369">
        <w:t xml:space="preserve">tudy </w:t>
      </w:r>
      <w:r w:rsidR="00FF7267" w:rsidRPr="00B66369">
        <w:t>MS305,</w:t>
      </w:r>
      <w:r w:rsidRPr="00B66369">
        <w:t xml:space="preserve"> the m</w:t>
      </w:r>
      <w:r w:rsidR="007F3A69">
        <w:t>ean duration was 2.1 years.</w:t>
      </w:r>
    </w:p>
    <w:p w14:paraId="26A28115" w14:textId="4BC0F1FD" w:rsidR="00075FAE" w:rsidRPr="00B66369" w:rsidRDefault="007E1F7C" w:rsidP="007E1F7C">
      <w:pPr>
        <w:rPr>
          <w:b/>
        </w:rPr>
      </w:pPr>
      <w:r>
        <w:t>In S</w:t>
      </w:r>
      <w:r w:rsidR="00075FAE" w:rsidRPr="00B66369">
        <w:t xml:space="preserve">tudy 1419, the most common treatment emergent adverse events include hypoglycaemia, injection site hypertrophy, headache, snoring and pyrexia. A similar pattern of </w:t>
      </w:r>
      <w:r>
        <w:t>adverse events (</w:t>
      </w:r>
      <w:r w:rsidR="00075FAE" w:rsidRPr="00B66369">
        <w:t>AEs</w:t>
      </w:r>
      <w:r>
        <w:t>)</w:t>
      </w:r>
      <w:r w:rsidR="00075FAE" w:rsidRPr="00B66369">
        <w:t xml:space="preserve"> but different reported prevalence were see</w:t>
      </w:r>
      <w:r w:rsidR="00A96D80">
        <w:t>n</w:t>
      </w:r>
      <w:r w:rsidR="00075FAE" w:rsidRPr="00B66369">
        <w:t xml:space="preserve"> in the registry studies</w:t>
      </w:r>
      <w:r w:rsidR="002B2092">
        <w:t>.</w:t>
      </w:r>
    </w:p>
    <w:p w14:paraId="433EC384" w14:textId="77777777" w:rsidR="00075FAE" w:rsidRPr="00B66369" w:rsidRDefault="00075FAE" w:rsidP="007E1F7C">
      <w:pPr>
        <w:pStyle w:val="Heading5"/>
      </w:pPr>
      <w:r w:rsidRPr="00B66369">
        <w:t>Hypoglycaemia</w:t>
      </w:r>
    </w:p>
    <w:p w14:paraId="59DF8454" w14:textId="348C8147" w:rsidR="00075FAE" w:rsidRPr="00B66369" w:rsidRDefault="00075FAE" w:rsidP="00E235AE">
      <w:r w:rsidRPr="00B66369">
        <w:t xml:space="preserve">In </w:t>
      </w:r>
      <w:r w:rsidR="007E1F7C">
        <w:t>S</w:t>
      </w:r>
      <w:r w:rsidRPr="00B66369">
        <w:t>tudy 1419, approximately 47% of subjects experienced at least 1 episode of hypoglycaemia</w:t>
      </w:r>
      <w:r w:rsidR="007E1F7C">
        <w:t>;</w:t>
      </w:r>
      <w:r w:rsidRPr="00B66369">
        <w:t xml:space="preserve"> of these 10 were severe. Hypoglycaemic was less common in the registry studies, it is unknown if this is due to less reporting or better advice being given to patients about the timing of administration.</w:t>
      </w:r>
    </w:p>
    <w:p w14:paraId="6EE48180" w14:textId="77777777" w:rsidR="00075FAE" w:rsidRPr="00B66369" w:rsidRDefault="00075FAE" w:rsidP="00E235AE">
      <w:r w:rsidRPr="00A96D80">
        <w:t>The</w:t>
      </w:r>
      <w:r w:rsidRPr="00B66369">
        <w:t xml:space="preserve"> sponsor proposes the following advice in relation to the prevention of hypoglycaemia:</w:t>
      </w:r>
    </w:p>
    <w:p w14:paraId="4F48F66C" w14:textId="69D17E95" w:rsidR="00075FAE" w:rsidRPr="00B66369" w:rsidRDefault="00A96D80" w:rsidP="007E1F7C">
      <w:pPr>
        <w:pStyle w:val="ListBullet"/>
      </w:pPr>
      <w:proofErr w:type="spellStart"/>
      <w:r>
        <w:t>m</w:t>
      </w:r>
      <w:r w:rsidRPr="00B66369">
        <w:t>ecasermin</w:t>
      </w:r>
      <w:proofErr w:type="spellEnd"/>
      <w:r w:rsidRPr="00B66369">
        <w:t xml:space="preserve"> </w:t>
      </w:r>
      <w:r w:rsidR="00075FAE" w:rsidRPr="00B66369">
        <w:t>should be administered a short time before or after a meal or snack</w:t>
      </w:r>
      <w:r w:rsidR="007E1F7C">
        <w:t>;</w:t>
      </w:r>
    </w:p>
    <w:p w14:paraId="3D226EDE" w14:textId="5CEA2FDC" w:rsidR="00075FAE" w:rsidRPr="00B66369" w:rsidRDefault="00A96D80" w:rsidP="007E1F7C">
      <w:pPr>
        <w:pStyle w:val="ListBullet"/>
      </w:pPr>
      <w:r>
        <w:t>i</w:t>
      </w:r>
      <w:r w:rsidRPr="00B66369">
        <w:t xml:space="preserve">f </w:t>
      </w:r>
      <w:r w:rsidR="00075FAE" w:rsidRPr="00B66369">
        <w:t>a patient is unable to eat, the dose should be withheld</w:t>
      </w:r>
      <w:r w:rsidR="00517AD0">
        <w:t>;</w:t>
      </w:r>
    </w:p>
    <w:p w14:paraId="6D04081F" w14:textId="043AB526" w:rsidR="00075FAE" w:rsidRPr="00B66369" w:rsidRDefault="00A96D80" w:rsidP="007E1F7C">
      <w:pPr>
        <w:pStyle w:val="ListBullet"/>
      </w:pPr>
      <w:r>
        <w:t>t</w:t>
      </w:r>
      <w:r w:rsidRPr="00B66369">
        <w:t xml:space="preserve">herapy </w:t>
      </w:r>
      <w:r w:rsidR="00075FAE" w:rsidRPr="00B66369">
        <w:t>should be initiated at a low dose, and the patient monitored for hypoglycaemia. If no episodes have occurred for 7 days, the dose could be increased. Consider a dose reduction if hypoglycaemia occurs despite adequate oral intake</w:t>
      </w:r>
      <w:r w:rsidR="007E1F7C">
        <w:t>;</w:t>
      </w:r>
      <w:r>
        <w:t xml:space="preserve"> and</w:t>
      </w:r>
    </w:p>
    <w:p w14:paraId="4EB8866C" w14:textId="429EF5E4" w:rsidR="00075FAE" w:rsidRPr="00B66369" w:rsidRDefault="00A96D80" w:rsidP="007E1F7C">
      <w:pPr>
        <w:pStyle w:val="ListBullet"/>
      </w:pPr>
      <w:r>
        <w:t>p</w:t>
      </w:r>
      <w:r w:rsidRPr="00B66369">
        <w:t xml:space="preserve">arents </w:t>
      </w:r>
      <w:r w:rsidR="00075FAE" w:rsidRPr="00B66369">
        <w:t>should be educated about monitoring for hypoglycaemia</w:t>
      </w:r>
      <w:r w:rsidR="007E1F7C">
        <w:t>.</w:t>
      </w:r>
    </w:p>
    <w:p w14:paraId="1809AC23" w14:textId="77777777" w:rsidR="00075FAE" w:rsidRPr="00B66369" w:rsidRDefault="00075FAE" w:rsidP="007E1F7C">
      <w:pPr>
        <w:pStyle w:val="Heading5"/>
      </w:pPr>
      <w:r w:rsidRPr="00B66369">
        <w:lastRenderedPageBreak/>
        <w:t>Risk of malignancy</w:t>
      </w:r>
    </w:p>
    <w:p w14:paraId="461D7875" w14:textId="77777777" w:rsidR="00075FAE" w:rsidRPr="00B66369" w:rsidRDefault="00075FAE" w:rsidP="007E1F7C">
      <w:r w:rsidRPr="00B66369">
        <w:t xml:space="preserve">During the course of the evaluation, the sponsor provided some data in relation to a safety signal of increased risk of malignancy seen with </w:t>
      </w:r>
      <w:proofErr w:type="spellStart"/>
      <w:r w:rsidR="007E1F7C">
        <w:t>m</w:t>
      </w:r>
      <w:r w:rsidRPr="00B66369">
        <w:t>ecase</w:t>
      </w:r>
      <w:r w:rsidR="007E1F7C">
        <w:t>rmin</w:t>
      </w:r>
      <w:proofErr w:type="spellEnd"/>
      <w:r w:rsidR="007E1F7C">
        <w:t>.</w:t>
      </w:r>
    </w:p>
    <w:p w14:paraId="73A2EDC1" w14:textId="77777777" w:rsidR="00075FAE" w:rsidRPr="00B66369" w:rsidRDefault="00075FAE" w:rsidP="007E1F7C">
      <w:r w:rsidRPr="00B66369">
        <w:t>IGF-1 is known to be a mitogen. Patients with Laron syndrome have less cancer than the background population.</w:t>
      </w:r>
    </w:p>
    <w:p w14:paraId="4C87E95E" w14:textId="77777777" w:rsidR="00075FAE" w:rsidRPr="00B66369" w:rsidRDefault="00075FAE" w:rsidP="007E1F7C">
      <w:r w:rsidRPr="00B66369">
        <w:t xml:space="preserve">The sponsor reviewed their safety </w:t>
      </w:r>
      <w:r w:rsidR="00FF7267" w:rsidRPr="00B66369">
        <w:t>database</w:t>
      </w:r>
      <w:r w:rsidRPr="00B66369">
        <w:t xml:space="preserve"> and the medical literature. There had been approximately 36 cases of malignancy reported from the initial time of marketing until 2019. The number of patients exposed to </w:t>
      </w:r>
      <w:proofErr w:type="spellStart"/>
      <w:r w:rsidR="007E1F7C">
        <w:t>m</w:t>
      </w:r>
      <w:r w:rsidRPr="00B66369">
        <w:t>ecasermin</w:t>
      </w:r>
      <w:proofErr w:type="spellEnd"/>
      <w:r w:rsidRPr="00B66369">
        <w:t xml:space="preserve"> during that time is unknown. If data only from 2019 was considered when the exposure is know</w:t>
      </w:r>
      <w:r>
        <w:t>n</w:t>
      </w:r>
      <w:r w:rsidRPr="00B66369">
        <w:t xml:space="preserve">, the estimated rate of malignancy in patients exposed to </w:t>
      </w:r>
      <w:proofErr w:type="spellStart"/>
      <w:r w:rsidR="007E1F7C">
        <w:t>m</w:t>
      </w:r>
      <w:r w:rsidRPr="00B66369">
        <w:t>ecasermin</w:t>
      </w:r>
      <w:proofErr w:type="spellEnd"/>
      <w:r w:rsidRPr="00B66369">
        <w:t xml:space="preserve"> was around 4.5 times that in the background population.</w:t>
      </w:r>
    </w:p>
    <w:p w14:paraId="1510967D" w14:textId="2F6AF298" w:rsidR="00075FAE" w:rsidRPr="00B66369" w:rsidRDefault="00075FAE" w:rsidP="007E1F7C">
      <w:r w:rsidRPr="00B66369">
        <w:t>It is important to note that most of the reported cases are rare forms of malignancy, some of the patients had other factors for malignancy, or were being treated with much higher doses that that recommended</w:t>
      </w:r>
      <w:r>
        <w:t>.</w:t>
      </w:r>
    </w:p>
    <w:p w14:paraId="3869FCFF" w14:textId="77777777" w:rsidR="00075FAE" w:rsidRPr="00B66369" w:rsidRDefault="00075FAE" w:rsidP="007E1F7C">
      <w:pPr>
        <w:pStyle w:val="Heading5"/>
      </w:pPr>
      <w:r w:rsidRPr="00B66369">
        <w:t>Benzyl alcohol</w:t>
      </w:r>
    </w:p>
    <w:p w14:paraId="551B9655" w14:textId="5D360F5C" w:rsidR="00075FAE" w:rsidRPr="00B66369" w:rsidRDefault="00075FAE" w:rsidP="007E1F7C">
      <w:r>
        <w:t>B</w:t>
      </w:r>
      <w:r w:rsidRPr="00B66369">
        <w:t>enzoic acid and benzyl alcohol a</w:t>
      </w:r>
      <w:r>
        <w:t xml:space="preserve">re </w:t>
      </w:r>
      <w:r w:rsidRPr="00B66369">
        <w:t xml:space="preserve">excipients and mainly employed as solubilising agent and/or preservative in medicinal products. </w:t>
      </w:r>
      <w:r>
        <w:t>In</w:t>
      </w:r>
      <w:r w:rsidRPr="00B66369">
        <w:t xml:space="preserve"> pre-term and full-term neonates, concerns have been raised with the use of benzyl alcohol and benzoic acid. Benzyl alcohol administered </w:t>
      </w:r>
      <w:r w:rsidR="00517AD0">
        <w:t>IV</w:t>
      </w:r>
      <w:r w:rsidRPr="00B66369">
        <w:t xml:space="preserve"> has led to </w:t>
      </w:r>
      <w:r w:rsidR="007E1F7C">
        <w:t>‘</w:t>
      </w:r>
      <w:r w:rsidRPr="00B66369">
        <w:t>gasping syndrome</w:t>
      </w:r>
      <w:r w:rsidR="007E1F7C">
        <w:t>’</w:t>
      </w:r>
      <w:r w:rsidRPr="00B66369">
        <w:t xml:space="preserve"> in several pre-term neonates with metabolic acidosis involving deterioration of the neurological state, cardiovascular failure and haematological anomalies. The majority of poisonings were fatal. This syndrome was associated with the accumulation of benzyl alcohol and its metabolite, benzoic acid. Benzyl alcohol must not be used in pre-term and full-term neonates.</w:t>
      </w:r>
    </w:p>
    <w:p w14:paraId="1E631099" w14:textId="0831F6E6" w:rsidR="007E1F7C" w:rsidRDefault="00FF7059" w:rsidP="007E1F7C">
      <w:r w:rsidRPr="00FF7059">
        <w:t>The Delegate</w:t>
      </w:r>
      <w:r w:rsidR="00075FAE" w:rsidRPr="00FF7059">
        <w:t xml:space="preserve"> included a reference to an EMA report re</w:t>
      </w:r>
      <w:r w:rsidR="00084506">
        <w:t>viewing the labelling of benzoic</w:t>
      </w:r>
      <w:r w:rsidR="00075FAE" w:rsidRPr="00FF7059">
        <w:t xml:space="preserve"> acid products.</w:t>
      </w:r>
      <w:r w:rsidRPr="00FF7059">
        <w:rPr>
          <w:rStyle w:val="FootnoteReference"/>
        </w:rPr>
        <w:footnoteReference w:id="3"/>
      </w:r>
      <w:r w:rsidR="00075FAE" w:rsidRPr="00FF7059">
        <w:t xml:space="preserve"> This report describes</w:t>
      </w:r>
      <w:r w:rsidR="007E1F7C" w:rsidRPr="00FF7059">
        <w:t xml:space="preserve"> the cases reported in neonates</w:t>
      </w:r>
      <w:r w:rsidR="00075FAE" w:rsidRPr="00FF7059">
        <w:t xml:space="preserve"> </w:t>
      </w:r>
      <w:r w:rsidR="00FF7267" w:rsidRPr="00FF7059">
        <w:t>and</w:t>
      </w:r>
      <w:r w:rsidR="00075FAE" w:rsidRPr="00FF7059">
        <w:t xml:space="preserve"> two older patients given very high doses</w:t>
      </w:r>
      <w:r w:rsidR="007E1F7C" w:rsidRPr="00FF7059">
        <w:t>:</w:t>
      </w:r>
    </w:p>
    <w:p w14:paraId="59808FA1" w14:textId="4B9D3FEC" w:rsidR="007E1F7C" w:rsidRDefault="00A96D80" w:rsidP="007E1F7C">
      <w:pPr>
        <w:pStyle w:val="ListBullet"/>
      </w:pPr>
      <w:r>
        <w:t xml:space="preserve">a </w:t>
      </w:r>
      <w:r w:rsidR="00075FAE" w:rsidRPr="00B66369">
        <w:t>5 year old given 180</w:t>
      </w:r>
      <w:r w:rsidR="007E1F7C">
        <w:t xml:space="preserve"> </w:t>
      </w:r>
      <w:r w:rsidR="00075FAE" w:rsidRPr="00B66369">
        <w:t>mg/kg benzyl alcohol over 36 hours</w:t>
      </w:r>
      <w:r>
        <w:t>;</w:t>
      </w:r>
      <w:r w:rsidR="00075FAE" w:rsidRPr="00B66369">
        <w:t xml:space="preserve"> and</w:t>
      </w:r>
    </w:p>
    <w:p w14:paraId="3412E95B" w14:textId="13B7AAFB" w:rsidR="007E1F7C" w:rsidRDefault="00A96D80" w:rsidP="007E1F7C">
      <w:pPr>
        <w:pStyle w:val="ListBullet"/>
      </w:pPr>
      <w:r>
        <w:t xml:space="preserve">a </w:t>
      </w:r>
      <w:r w:rsidR="00075FAE" w:rsidRPr="00B66369">
        <w:t>53 year old man given 90</w:t>
      </w:r>
      <w:r>
        <w:t xml:space="preserve"> </w:t>
      </w:r>
      <w:r w:rsidR="00075FAE" w:rsidRPr="00B66369">
        <w:t>mg/kg as an infusion.</w:t>
      </w:r>
    </w:p>
    <w:p w14:paraId="548F280A" w14:textId="77777777" w:rsidR="00075FAE" w:rsidRDefault="00075FAE" w:rsidP="007E1F7C">
      <w:r w:rsidRPr="00B66369">
        <w:t>The EMA recommended some updates to the labelling, but still restrict use to children over 3 years.</w:t>
      </w:r>
    </w:p>
    <w:p w14:paraId="12FFFBA0" w14:textId="77777777" w:rsidR="00075FAE" w:rsidRPr="00B66369" w:rsidRDefault="00075FAE" w:rsidP="007E1F7C">
      <w:r w:rsidRPr="00B66369">
        <w:t xml:space="preserve">In the clinical trials </w:t>
      </w:r>
      <w:r>
        <w:t xml:space="preserve">for </w:t>
      </w:r>
      <w:proofErr w:type="spellStart"/>
      <w:r>
        <w:t>mecasermin</w:t>
      </w:r>
      <w:proofErr w:type="spellEnd"/>
      <w:r>
        <w:t xml:space="preserve">, </w:t>
      </w:r>
      <w:r w:rsidRPr="00B66369">
        <w:t xml:space="preserve">patients over 2 years were enrolled. </w:t>
      </w:r>
      <w:r>
        <w:t>T</w:t>
      </w:r>
      <w:r w:rsidRPr="00B66369">
        <w:t>here were no reports of problems related to benzyl alcohol in these children</w:t>
      </w:r>
      <w:r>
        <w:t>.</w:t>
      </w:r>
    </w:p>
    <w:p w14:paraId="0164E380" w14:textId="534EE7EC" w:rsidR="00075FAE" w:rsidRDefault="00075FAE" w:rsidP="007E1F7C">
      <w:r>
        <w:t xml:space="preserve">The prescribing information for </w:t>
      </w:r>
      <w:proofErr w:type="spellStart"/>
      <w:r>
        <w:t>mecasermin</w:t>
      </w:r>
      <w:proofErr w:type="spellEnd"/>
      <w:r>
        <w:t xml:space="preserve"> recommends use in children over 3 years.</w:t>
      </w:r>
      <w:r w:rsidR="0015796A">
        <w:rPr>
          <w:rStyle w:val="FootnoteReference"/>
        </w:rPr>
        <w:footnoteReference w:id="4"/>
      </w:r>
    </w:p>
    <w:p w14:paraId="167845B9" w14:textId="77777777" w:rsidR="008E7846" w:rsidRDefault="00386150" w:rsidP="007B6132">
      <w:pPr>
        <w:pStyle w:val="Heading3"/>
        <w:rPr>
          <w:lang w:eastAsia="en-AU"/>
        </w:rPr>
      </w:pPr>
      <w:bookmarkStart w:id="40" w:name="_Toc34901640"/>
      <w:r>
        <w:rPr>
          <w:lang w:eastAsia="en-AU"/>
        </w:rPr>
        <w:t>Risk m</w:t>
      </w:r>
      <w:r w:rsidR="008E7846">
        <w:rPr>
          <w:lang w:eastAsia="en-AU"/>
        </w:rPr>
        <w:t xml:space="preserve">anagement </w:t>
      </w:r>
      <w:r>
        <w:rPr>
          <w:lang w:eastAsia="en-AU"/>
        </w:rPr>
        <w:t>p</w:t>
      </w:r>
      <w:r w:rsidR="008E7846">
        <w:rPr>
          <w:lang w:eastAsia="en-AU"/>
        </w:rPr>
        <w:t>lan</w:t>
      </w:r>
      <w:bookmarkEnd w:id="39"/>
      <w:bookmarkEnd w:id="40"/>
    </w:p>
    <w:p w14:paraId="1F1781BB" w14:textId="60610B3E" w:rsidR="00FD5F2E" w:rsidRDefault="00FD5F2E" w:rsidP="007E1F7C">
      <w:r>
        <w:t>The sponsor</w:t>
      </w:r>
      <w:r w:rsidRPr="00FD5F2E">
        <w:t xml:space="preserve"> has submitted </w:t>
      </w:r>
      <w:r>
        <w:t>European Union-</w:t>
      </w:r>
      <w:r w:rsidR="00CB58B0">
        <w:t xml:space="preserve">risk management plan </w:t>
      </w:r>
      <w:r>
        <w:t>(</w:t>
      </w:r>
      <w:r w:rsidRPr="00FD5F2E">
        <w:t>EU-RMP</w:t>
      </w:r>
      <w:r>
        <w:t>)</w:t>
      </w:r>
      <w:r w:rsidRPr="00FD5F2E">
        <w:t xml:space="preserve"> version 9.3 dated 23 August 2017, </w:t>
      </w:r>
      <w:r>
        <w:t>data lock point (</w:t>
      </w:r>
      <w:r w:rsidRPr="00FD5F2E">
        <w:t>DLP</w:t>
      </w:r>
      <w:r>
        <w:t>)</w:t>
      </w:r>
      <w:r w:rsidRPr="00FD5F2E">
        <w:t xml:space="preserve"> 31 August 2016, and </w:t>
      </w:r>
      <w:r>
        <w:t xml:space="preserve">Australian </w:t>
      </w:r>
      <w:r w:rsidR="00CB58B0">
        <w:t>s</w:t>
      </w:r>
      <w:r>
        <w:t>pecific Annex (</w:t>
      </w:r>
      <w:r w:rsidRPr="00FD5F2E">
        <w:t>ASA</w:t>
      </w:r>
      <w:r>
        <w:t>)</w:t>
      </w:r>
      <w:r w:rsidRPr="00FD5F2E">
        <w:t xml:space="preserve"> version 1.0 dated 23 August 2018 in support of this application. The sponsor submitted a signal evaluation report dated 24 April 2019. </w:t>
      </w:r>
      <w:r>
        <w:t>Following the second round of evaluation,</w:t>
      </w:r>
      <w:r w:rsidRPr="00FD5F2E">
        <w:t xml:space="preserve"> the sponsor submitt</w:t>
      </w:r>
      <w:r w:rsidR="00664BCE">
        <w:t>ed the EU-RMP</w:t>
      </w:r>
      <w:r w:rsidRPr="00FD5F2E">
        <w:t xml:space="preserve"> (version 11.3, dated 22 October 2019, </w:t>
      </w:r>
      <w:r w:rsidR="00664BCE">
        <w:t>DLP</w:t>
      </w:r>
      <w:r w:rsidRPr="00FD5F2E">
        <w:t xml:space="preserve"> 31 January 2018), with </w:t>
      </w:r>
      <w:r w:rsidR="00664BCE">
        <w:t>ASA</w:t>
      </w:r>
      <w:r w:rsidRPr="00FD5F2E">
        <w:t xml:space="preserve"> (version 3.0, dated 8 November 2019).</w:t>
      </w:r>
    </w:p>
    <w:p w14:paraId="63D8B8C3" w14:textId="77777777" w:rsidR="00075FAE" w:rsidRDefault="00075FAE" w:rsidP="007E1F7C">
      <w:r w:rsidRPr="004926A6">
        <w:t>The proposed summary of safety concerns and their associated risk monitoring and mitigation strategies</w:t>
      </w:r>
      <w:r>
        <w:t xml:space="preserve"> </w:t>
      </w:r>
      <w:r w:rsidRPr="004926A6">
        <w:t>are summarised below</w:t>
      </w:r>
      <w:r w:rsidR="007E1F7C">
        <w:t xml:space="preserve"> </w:t>
      </w:r>
      <w:r w:rsidR="00517AD0">
        <w:t xml:space="preserve">in </w:t>
      </w:r>
      <w:r w:rsidR="007E1F7C">
        <w:t>Table 3.</w:t>
      </w:r>
    </w:p>
    <w:p w14:paraId="0C350086" w14:textId="77777777" w:rsidR="007E1F7C" w:rsidRPr="004926A6" w:rsidRDefault="007E1F7C" w:rsidP="007E1F7C">
      <w:pPr>
        <w:pStyle w:val="TableTitle"/>
      </w:pPr>
      <w:r>
        <w:lastRenderedPageBreak/>
        <w:t>Table 3: Summary of ongoing safety concerns</w:t>
      </w:r>
      <w:r w:rsidR="00CC3561">
        <w:rPr>
          <w:rStyle w:val="FootnoteReference"/>
        </w:rPr>
        <w:footnoteReference w:id="5"/>
      </w:r>
    </w:p>
    <w:tbl>
      <w:tblPr>
        <w:tblStyle w:val="TableTGAblue"/>
        <w:tblW w:w="8844" w:type="dxa"/>
        <w:tblInd w:w="-10" w:type="dxa"/>
        <w:tblLayout w:type="fixed"/>
        <w:tblLook w:val="04A0" w:firstRow="1" w:lastRow="0" w:firstColumn="1" w:lastColumn="0" w:noHBand="0" w:noVBand="1"/>
      </w:tblPr>
      <w:tblGrid>
        <w:gridCol w:w="1587"/>
        <w:gridCol w:w="2645"/>
        <w:gridCol w:w="1322"/>
        <w:gridCol w:w="1456"/>
        <w:gridCol w:w="925"/>
        <w:gridCol w:w="909"/>
      </w:tblGrid>
      <w:tr w:rsidR="00075FAE" w:rsidRPr="004F1C07" w14:paraId="2C7F4CEB" w14:textId="77777777" w:rsidTr="00664BCE">
        <w:trPr>
          <w:cnfStyle w:val="100000000000" w:firstRow="1" w:lastRow="0" w:firstColumn="0" w:lastColumn="0" w:oddVBand="0" w:evenVBand="0" w:oddHBand="0" w:evenHBand="0" w:firstRowFirstColumn="0" w:firstRowLastColumn="0" w:lastRowFirstColumn="0" w:lastRowLastColumn="0"/>
          <w:trHeight w:val="131"/>
        </w:trPr>
        <w:tc>
          <w:tcPr>
            <w:tcW w:w="4232" w:type="dxa"/>
            <w:gridSpan w:val="2"/>
            <w:vMerge w:val="restart"/>
          </w:tcPr>
          <w:p w14:paraId="6861D138" w14:textId="77777777" w:rsidR="00075FAE" w:rsidRPr="007E1F7C" w:rsidRDefault="00075FAE" w:rsidP="00664BCE">
            <w:pPr>
              <w:pStyle w:val="Tabletext"/>
              <w:ind w:left="0" w:right="0"/>
              <w:rPr>
                <w:sz w:val="20"/>
                <w:szCs w:val="20"/>
              </w:rPr>
            </w:pPr>
            <w:r w:rsidRPr="007E1F7C">
              <w:rPr>
                <w:sz w:val="20"/>
                <w:szCs w:val="20"/>
              </w:rPr>
              <w:t>Summary of safety concerns</w:t>
            </w:r>
          </w:p>
        </w:tc>
        <w:tc>
          <w:tcPr>
            <w:tcW w:w="2778" w:type="dxa"/>
            <w:gridSpan w:val="2"/>
          </w:tcPr>
          <w:p w14:paraId="0BA4488F" w14:textId="77777777" w:rsidR="00075FAE" w:rsidRPr="007E1F7C" w:rsidRDefault="00075FAE" w:rsidP="00664BCE">
            <w:pPr>
              <w:pStyle w:val="Tabletext"/>
              <w:ind w:left="0" w:right="0"/>
              <w:rPr>
                <w:sz w:val="20"/>
                <w:szCs w:val="20"/>
              </w:rPr>
            </w:pPr>
            <w:r w:rsidRPr="007E1F7C">
              <w:rPr>
                <w:sz w:val="20"/>
                <w:szCs w:val="20"/>
              </w:rPr>
              <w:t>Pharmacovigilance</w:t>
            </w:r>
          </w:p>
        </w:tc>
        <w:tc>
          <w:tcPr>
            <w:tcW w:w="1834" w:type="dxa"/>
            <w:gridSpan w:val="2"/>
          </w:tcPr>
          <w:p w14:paraId="3880490D" w14:textId="77777777" w:rsidR="00075FAE" w:rsidRPr="007E1F7C" w:rsidRDefault="00075FAE" w:rsidP="00664BCE">
            <w:pPr>
              <w:pStyle w:val="Tabletext"/>
              <w:ind w:left="0" w:right="0"/>
              <w:rPr>
                <w:sz w:val="20"/>
                <w:szCs w:val="20"/>
              </w:rPr>
            </w:pPr>
            <w:r w:rsidRPr="007E1F7C">
              <w:rPr>
                <w:sz w:val="20"/>
                <w:szCs w:val="20"/>
              </w:rPr>
              <w:t>Risk Minimisation</w:t>
            </w:r>
          </w:p>
        </w:tc>
      </w:tr>
      <w:tr w:rsidR="00075FAE" w:rsidRPr="004F1C07" w14:paraId="74C16CFC" w14:textId="77777777" w:rsidTr="00664BCE">
        <w:trPr>
          <w:trHeight w:val="150"/>
        </w:trPr>
        <w:tc>
          <w:tcPr>
            <w:tcW w:w="4232" w:type="dxa"/>
            <w:gridSpan w:val="2"/>
            <w:vMerge/>
          </w:tcPr>
          <w:p w14:paraId="2AB69B01" w14:textId="77777777" w:rsidR="00075FAE" w:rsidRPr="007E1F7C" w:rsidRDefault="00075FAE" w:rsidP="00664BCE">
            <w:pPr>
              <w:pStyle w:val="Tabletext"/>
              <w:ind w:left="0" w:right="0"/>
              <w:rPr>
                <w:b/>
                <w:sz w:val="20"/>
                <w:szCs w:val="20"/>
              </w:rPr>
            </w:pPr>
          </w:p>
        </w:tc>
        <w:tc>
          <w:tcPr>
            <w:tcW w:w="1322" w:type="dxa"/>
          </w:tcPr>
          <w:p w14:paraId="3A6541B7" w14:textId="77777777" w:rsidR="00075FAE" w:rsidRPr="007E1F7C" w:rsidRDefault="00075FAE" w:rsidP="00664BCE">
            <w:pPr>
              <w:pStyle w:val="Tabletext"/>
              <w:ind w:left="0" w:right="0"/>
              <w:rPr>
                <w:b/>
                <w:sz w:val="20"/>
                <w:szCs w:val="20"/>
              </w:rPr>
            </w:pPr>
            <w:r w:rsidRPr="007E1F7C">
              <w:rPr>
                <w:b/>
                <w:sz w:val="20"/>
                <w:szCs w:val="20"/>
              </w:rPr>
              <w:t>Routine</w:t>
            </w:r>
            <w:r w:rsidR="007E1F7C" w:rsidRPr="007E1F7C">
              <w:rPr>
                <w:b/>
                <w:sz w:val="20"/>
                <w:szCs w:val="20"/>
              </w:rPr>
              <w:t xml:space="preserve"> (R)</w:t>
            </w:r>
          </w:p>
        </w:tc>
        <w:tc>
          <w:tcPr>
            <w:tcW w:w="1455" w:type="dxa"/>
          </w:tcPr>
          <w:p w14:paraId="5996E6D7" w14:textId="77777777" w:rsidR="00075FAE" w:rsidRPr="007E1F7C" w:rsidRDefault="00075FAE" w:rsidP="00664BCE">
            <w:pPr>
              <w:pStyle w:val="Tabletext"/>
              <w:ind w:left="0" w:right="0"/>
              <w:rPr>
                <w:b/>
                <w:sz w:val="20"/>
                <w:szCs w:val="20"/>
              </w:rPr>
            </w:pPr>
            <w:r w:rsidRPr="007E1F7C">
              <w:rPr>
                <w:b/>
                <w:sz w:val="20"/>
                <w:szCs w:val="20"/>
              </w:rPr>
              <w:t>Additional</w:t>
            </w:r>
          </w:p>
          <w:p w14:paraId="0D22AC63" w14:textId="77777777" w:rsidR="007E1F7C" w:rsidRPr="007E1F7C" w:rsidRDefault="007E1F7C" w:rsidP="00664BCE">
            <w:pPr>
              <w:pStyle w:val="Tabletext"/>
              <w:ind w:left="0" w:right="0"/>
              <w:rPr>
                <w:b/>
                <w:sz w:val="20"/>
                <w:szCs w:val="20"/>
              </w:rPr>
            </w:pPr>
            <w:r w:rsidRPr="007E1F7C">
              <w:rPr>
                <w:b/>
                <w:sz w:val="20"/>
                <w:szCs w:val="20"/>
              </w:rPr>
              <w:t>(A)</w:t>
            </w:r>
          </w:p>
        </w:tc>
        <w:tc>
          <w:tcPr>
            <w:tcW w:w="925" w:type="dxa"/>
          </w:tcPr>
          <w:p w14:paraId="063C031F" w14:textId="77777777" w:rsidR="00075FAE" w:rsidRPr="007E1F7C" w:rsidRDefault="00075FAE" w:rsidP="00664BCE">
            <w:pPr>
              <w:pStyle w:val="Tabletext"/>
              <w:ind w:left="0" w:right="0"/>
              <w:rPr>
                <w:b/>
                <w:sz w:val="20"/>
                <w:szCs w:val="20"/>
              </w:rPr>
            </w:pPr>
            <w:r w:rsidRPr="007E1F7C">
              <w:rPr>
                <w:b/>
                <w:sz w:val="20"/>
                <w:szCs w:val="20"/>
              </w:rPr>
              <w:t>R</w:t>
            </w:r>
          </w:p>
        </w:tc>
        <w:tc>
          <w:tcPr>
            <w:tcW w:w="909" w:type="dxa"/>
          </w:tcPr>
          <w:p w14:paraId="475075BB" w14:textId="77777777" w:rsidR="00075FAE" w:rsidRPr="007E1F7C" w:rsidRDefault="007E1F7C" w:rsidP="00664BCE">
            <w:pPr>
              <w:pStyle w:val="Tabletext"/>
              <w:ind w:left="0" w:right="0"/>
              <w:rPr>
                <w:b/>
                <w:sz w:val="20"/>
                <w:szCs w:val="20"/>
              </w:rPr>
            </w:pPr>
            <w:r w:rsidRPr="007E1F7C">
              <w:rPr>
                <w:b/>
                <w:sz w:val="20"/>
                <w:szCs w:val="20"/>
              </w:rPr>
              <w:t>A</w:t>
            </w:r>
          </w:p>
        </w:tc>
      </w:tr>
      <w:tr w:rsidR="00075FAE" w:rsidRPr="004F1C07" w14:paraId="471154C3" w14:textId="77777777" w:rsidTr="00664BCE">
        <w:trPr>
          <w:trHeight w:val="137"/>
        </w:trPr>
        <w:tc>
          <w:tcPr>
            <w:tcW w:w="1587" w:type="dxa"/>
            <w:vMerge w:val="restart"/>
          </w:tcPr>
          <w:p w14:paraId="3B7EE886" w14:textId="77777777" w:rsidR="00075FAE" w:rsidRPr="007E1F7C" w:rsidRDefault="00075FAE" w:rsidP="00664BCE">
            <w:pPr>
              <w:pStyle w:val="Tabletext"/>
              <w:ind w:left="0" w:right="0"/>
              <w:rPr>
                <w:b/>
                <w:sz w:val="20"/>
                <w:szCs w:val="20"/>
              </w:rPr>
            </w:pPr>
            <w:r w:rsidRPr="007E1F7C">
              <w:rPr>
                <w:b/>
                <w:sz w:val="20"/>
                <w:szCs w:val="20"/>
              </w:rPr>
              <w:t>Important identified risks</w:t>
            </w:r>
          </w:p>
        </w:tc>
        <w:tc>
          <w:tcPr>
            <w:tcW w:w="2645" w:type="dxa"/>
          </w:tcPr>
          <w:p w14:paraId="0EAB2297"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Neoplasia</w:t>
            </w:r>
          </w:p>
        </w:tc>
        <w:tc>
          <w:tcPr>
            <w:tcW w:w="1322" w:type="dxa"/>
          </w:tcPr>
          <w:p w14:paraId="565AC063"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1</w:t>
            </w:r>
          </w:p>
        </w:tc>
        <w:tc>
          <w:tcPr>
            <w:tcW w:w="1455" w:type="dxa"/>
          </w:tcPr>
          <w:p w14:paraId="72938561"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r w:rsidRPr="007E1F7C">
              <w:rPr>
                <w:sz w:val="20"/>
                <w:szCs w:val="20"/>
                <w:vertAlign w:val="superscript"/>
              </w:rPr>
              <w:t>2, 3, 4</w:t>
            </w:r>
          </w:p>
        </w:tc>
        <w:tc>
          <w:tcPr>
            <w:tcW w:w="925" w:type="dxa"/>
          </w:tcPr>
          <w:p w14:paraId="2070DE44"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250B8C47"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w:t>
            </w:r>
          </w:p>
        </w:tc>
      </w:tr>
      <w:tr w:rsidR="00075FAE" w:rsidRPr="004F1C07" w14:paraId="4056EDE5" w14:textId="77777777" w:rsidTr="00664BCE">
        <w:trPr>
          <w:trHeight w:val="137"/>
        </w:trPr>
        <w:tc>
          <w:tcPr>
            <w:tcW w:w="1587" w:type="dxa"/>
            <w:vMerge/>
          </w:tcPr>
          <w:p w14:paraId="7EED95ED" w14:textId="77777777" w:rsidR="00075FAE" w:rsidRPr="007E1F7C" w:rsidRDefault="00075FAE" w:rsidP="00664BCE">
            <w:pPr>
              <w:pStyle w:val="Tabletext"/>
              <w:ind w:left="0" w:right="0"/>
              <w:rPr>
                <w:b/>
                <w:sz w:val="20"/>
                <w:szCs w:val="20"/>
              </w:rPr>
            </w:pPr>
          </w:p>
        </w:tc>
        <w:tc>
          <w:tcPr>
            <w:tcW w:w="2645" w:type="dxa"/>
          </w:tcPr>
          <w:p w14:paraId="7B9DA42C"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proofErr w:type="spellStart"/>
            <w:r w:rsidRPr="007E1F7C">
              <w:rPr>
                <w:rFonts w:ascii="Cambria" w:hAnsi="Cambria"/>
                <w:w w:val="105"/>
                <w:sz w:val="20"/>
                <w:szCs w:val="20"/>
              </w:rPr>
              <w:t>Hypoglycaemia</w:t>
            </w:r>
            <w:proofErr w:type="spellEnd"/>
          </w:p>
        </w:tc>
        <w:tc>
          <w:tcPr>
            <w:tcW w:w="1322" w:type="dxa"/>
          </w:tcPr>
          <w:p w14:paraId="69B02E95"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p>
        </w:tc>
        <w:tc>
          <w:tcPr>
            <w:tcW w:w="1455" w:type="dxa"/>
          </w:tcPr>
          <w:p w14:paraId="26F7FB0C"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r w:rsidRPr="007E1F7C">
              <w:rPr>
                <w:sz w:val="20"/>
                <w:szCs w:val="20"/>
                <w:vertAlign w:val="superscript"/>
              </w:rPr>
              <w:t>2</w:t>
            </w:r>
          </w:p>
        </w:tc>
        <w:tc>
          <w:tcPr>
            <w:tcW w:w="925" w:type="dxa"/>
          </w:tcPr>
          <w:p w14:paraId="1266CAF0"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0C8408EC"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5, 6, 7</w:t>
            </w:r>
          </w:p>
        </w:tc>
      </w:tr>
      <w:tr w:rsidR="00075FAE" w:rsidRPr="004F1C07" w14:paraId="2363D4A1" w14:textId="77777777" w:rsidTr="00664BCE">
        <w:trPr>
          <w:trHeight w:val="94"/>
        </w:trPr>
        <w:tc>
          <w:tcPr>
            <w:tcW w:w="1587" w:type="dxa"/>
            <w:vMerge/>
          </w:tcPr>
          <w:p w14:paraId="61F151D1" w14:textId="77777777" w:rsidR="00075FAE" w:rsidRPr="007E1F7C" w:rsidRDefault="00075FAE" w:rsidP="00664BCE">
            <w:pPr>
              <w:pStyle w:val="Tabletext"/>
              <w:ind w:left="0" w:right="0"/>
              <w:rPr>
                <w:b/>
                <w:sz w:val="20"/>
                <w:szCs w:val="20"/>
              </w:rPr>
            </w:pPr>
          </w:p>
        </w:tc>
        <w:tc>
          <w:tcPr>
            <w:tcW w:w="2645" w:type="dxa"/>
          </w:tcPr>
          <w:p w14:paraId="01DCA0C9"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proofErr w:type="spellStart"/>
            <w:r w:rsidRPr="007E1F7C">
              <w:rPr>
                <w:rFonts w:ascii="Cambria" w:hAnsi="Cambria"/>
                <w:w w:val="105"/>
                <w:sz w:val="20"/>
                <w:szCs w:val="20"/>
              </w:rPr>
              <w:t>Lipohypertrophy</w:t>
            </w:r>
            <w:proofErr w:type="spellEnd"/>
          </w:p>
        </w:tc>
        <w:tc>
          <w:tcPr>
            <w:tcW w:w="1322" w:type="dxa"/>
          </w:tcPr>
          <w:p w14:paraId="0810FB0A"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0E7B7512"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r w:rsidRPr="007E1F7C">
              <w:rPr>
                <w:sz w:val="20"/>
                <w:szCs w:val="20"/>
                <w:vertAlign w:val="superscript"/>
              </w:rPr>
              <w:t>2</w:t>
            </w:r>
          </w:p>
        </w:tc>
        <w:tc>
          <w:tcPr>
            <w:tcW w:w="925" w:type="dxa"/>
          </w:tcPr>
          <w:p w14:paraId="3146F41E"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0A100386"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5, 6</w:t>
            </w:r>
          </w:p>
        </w:tc>
      </w:tr>
      <w:tr w:rsidR="00075FAE" w:rsidRPr="004F1C07" w14:paraId="2034D7AE" w14:textId="77777777" w:rsidTr="00664BCE">
        <w:trPr>
          <w:trHeight w:val="187"/>
        </w:trPr>
        <w:tc>
          <w:tcPr>
            <w:tcW w:w="1587" w:type="dxa"/>
            <w:vMerge/>
          </w:tcPr>
          <w:p w14:paraId="47E0F560" w14:textId="77777777" w:rsidR="00075FAE" w:rsidRPr="007E1F7C" w:rsidRDefault="00075FAE" w:rsidP="00664BCE">
            <w:pPr>
              <w:pStyle w:val="Tabletext"/>
              <w:ind w:left="0" w:right="0"/>
              <w:rPr>
                <w:b/>
                <w:sz w:val="20"/>
                <w:szCs w:val="20"/>
              </w:rPr>
            </w:pPr>
          </w:p>
        </w:tc>
        <w:tc>
          <w:tcPr>
            <w:tcW w:w="2645" w:type="dxa"/>
          </w:tcPr>
          <w:p w14:paraId="1C322DA5"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Tonsillar hypertrophy and associated AEs</w:t>
            </w:r>
          </w:p>
        </w:tc>
        <w:tc>
          <w:tcPr>
            <w:tcW w:w="1322" w:type="dxa"/>
          </w:tcPr>
          <w:p w14:paraId="4C0DD2EE"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4961D2F2"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r w:rsidRPr="007E1F7C">
              <w:rPr>
                <w:sz w:val="20"/>
                <w:szCs w:val="20"/>
                <w:vertAlign w:val="superscript"/>
              </w:rPr>
              <w:t>2</w:t>
            </w:r>
          </w:p>
        </w:tc>
        <w:tc>
          <w:tcPr>
            <w:tcW w:w="925" w:type="dxa"/>
          </w:tcPr>
          <w:p w14:paraId="48E669A0"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4A6F058D"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5, 6</w:t>
            </w:r>
          </w:p>
        </w:tc>
      </w:tr>
      <w:tr w:rsidR="00075FAE" w:rsidRPr="004F1C07" w14:paraId="5707DE00" w14:textId="77777777" w:rsidTr="00664BCE">
        <w:trPr>
          <w:trHeight w:val="187"/>
        </w:trPr>
        <w:tc>
          <w:tcPr>
            <w:tcW w:w="1587" w:type="dxa"/>
            <w:vMerge/>
          </w:tcPr>
          <w:p w14:paraId="2642DF71" w14:textId="77777777" w:rsidR="00075FAE" w:rsidRPr="007E1F7C" w:rsidRDefault="00075FAE" w:rsidP="00664BCE">
            <w:pPr>
              <w:pStyle w:val="Tabletext"/>
              <w:ind w:left="0" w:right="0"/>
              <w:rPr>
                <w:b/>
                <w:sz w:val="20"/>
                <w:szCs w:val="20"/>
              </w:rPr>
            </w:pPr>
          </w:p>
        </w:tc>
        <w:tc>
          <w:tcPr>
            <w:tcW w:w="2645" w:type="dxa"/>
          </w:tcPr>
          <w:p w14:paraId="6E82B27D"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Intracranial hypertension</w:t>
            </w:r>
          </w:p>
        </w:tc>
        <w:tc>
          <w:tcPr>
            <w:tcW w:w="1322" w:type="dxa"/>
          </w:tcPr>
          <w:p w14:paraId="27064758"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36EBBE08"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r w:rsidRPr="007E1F7C">
              <w:rPr>
                <w:sz w:val="20"/>
                <w:szCs w:val="20"/>
                <w:vertAlign w:val="superscript"/>
              </w:rPr>
              <w:t>2</w:t>
            </w:r>
          </w:p>
        </w:tc>
        <w:tc>
          <w:tcPr>
            <w:tcW w:w="925" w:type="dxa"/>
          </w:tcPr>
          <w:p w14:paraId="0CE60231"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6EEEB7A3"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5, 6</w:t>
            </w:r>
          </w:p>
        </w:tc>
      </w:tr>
      <w:tr w:rsidR="00075FAE" w:rsidRPr="004F1C07" w14:paraId="07059B06" w14:textId="77777777" w:rsidTr="00664BCE">
        <w:trPr>
          <w:trHeight w:val="187"/>
        </w:trPr>
        <w:tc>
          <w:tcPr>
            <w:tcW w:w="1587" w:type="dxa"/>
            <w:vMerge/>
          </w:tcPr>
          <w:p w14:paraId="63DC9484" w14:textId="77777777" w:rsidR="00075FAE" w:rsidRPr="007E1F7C" w:rsidRDefault="00075FAE" w:rsidP="00664BCE">
            <w:pPr>
              <w:pStyle w:val="Tabletext"/>
              <w:ind w:left="0" w:right="0"/>
              <w:rPr>
                <w:b/>
                <w:sz w:val="20"/>
                <w:szCs w:val="20"/>
              </w:rPr>
            </w:pPr>
          </w:p>
        </w:tc>
        <w:tc>
          <w:tcPr>
            <w:tcW w:w="2645" w:type="dxa"/>
          </w:tcPr>
          <w:p w14:paraId="203A8916"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Hypersensitivity</w:t>
            </w:r>
          </w:p>
        </w:tc>
        <w:tc>
          <w:tcPr>
            <w:tcW w:w="1322" w:type="dxa"/>
          </w:tcPr>
          <w:p w14:paraId="00A9D182"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1</w:t>
            </w:r>
          </w:p>
        </w:tc>
        <w:tc>
          <w:tcPr>
            <w:tcW w:w="1455" w:type="dxa"/>
          </w:tcPr>
          <w:p w14:paraId="0DD72AC4" w14:textId="77777777" w:rsidR="00075FAE" w:rsidRPr="007E1F7C" w:rsidRDefault="00075FAE" w:rsidP="00664BCE">
            <w:pPr>
              <w:pStyle w:val="Tabletext"/>
              <w:ind w:left="0" w:right="0"/>
              <w:jc w:val="center"/>
              <w:rPr>
                <w:color w:val="00B050"/>
                <w:sz w:val="20"/>
                <w:szCs w:val="20"/>
              </w:rPr>
            </w:pPr>
            <w:r w:rsidRPr="007E1F7C">
              <w:rPr>
                <w:sz w:val="20"/>
                <w:szCs w:val="20"/>
              </w:rPr>
              <w:t>–</w:t>
            </w:r>
          </w:p>
        </w:tc>
        <w:tc>
          <w:tcPr>
            <w:tcW w:w="925" w:type="dxa"/>
          </w:tcPr>
          <w:p w14:paraId="12906012"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47C260BA"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w:t>
            </w:r>
          </w:p>
        </w:tc>
      </w:tr>
      <w:tr w:rsidR="00075FAE" w:rsidRPr="004F1C07" w14:paraId="7F396775" w14:textId="77777777" w:rsidTr="00664BCE">
        <w:trPr>
          <w:trHeight w:val="187"/>
        </w:trPr>
        <w:tc>
          <w:tcPr>
            <w:tcW w:w="1587" w:type="dxa"/>
            <w:vMerge/>
          </w:tcPr>
          <w:p w14:paraId="7D18F012" w14:textId="77777777" w:rsidR="00075FAE" w:rsidRPr="007E1F7C" w:rsidRDefault="00075FAE" w:rsidP="00664BCE">
            <w:pPr>
              <w:pStyle w:val="Tabletext"/>
              <w:ind w:left="0" w:right="0"/>
              <w:rPr>
                <w:b/>
                <w:sz w:val="20"/>
                <w:szCs w:val="20"/>
              </w:rPr>
            </w:pPr>
          </w:p>
        </w:tc>
        <w:tc>
          <w:tcPr>
            <w:tcW w:w="2645" w:type="dxa"/>
          </w:tcPr>
          <w:p w14:paraId="40BED9E6"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Scoliosis</w:t>
            </w:r>
          </w:p>
        </w:tc>
        <w:tc>
          <w:tcPr>
            <w:tcW w:w="1322" w:type="dxa"/>
          </w:tcPr>
          <w:p w14:paraId="74BA3407"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266AEAD4"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r w:rsidRPr="007E1F7C">
              <w:rPr>
                <w:sz w:val="20"/>
                <w:szCs w:val="20"/>
                <w:vertAlign w:val="superscript"/>
              </w:rPr>
              <w:t>2</w:t>
            </w:r>
          </w:p>
        </w:tc>
        <w:tc>
          <w:tcPr>
            <w:tcW w:w="925" w:type="dxa"/>
          </w:tcPr>
          <w:p w14:paraId="6EBF8B46"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454EE87A"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5, 6</w:t>
            </w:r>
          </w:p>
        </w:tc>
      </w:tr>
      <w:tr w:rsidR="00075FAE" w:rsidRPr="004F1C07" w14:paraId="2980BE5A" w14:textId="77777777" w:rsidTr="00664BCE">
        <w:trPr>
          <w:trHeight w:val="187"/>
        </w:trPr>
        <w:tc>
          <w:tcPr>
            <w:tcW w:w="1587" w:type="dxa"/>
            <w:vMerge/>
          </w:tcPr>
          <w:p w14:paraId="5842FD39" w14:textId="77777777" w:rsidR="00075FAE" w:rsidRPr="007E1F7C" w:rsidRDefault="00075FAE" w:rsidP="00664BCE">
            <w:pPr>
              <w:pStyle w:val="Tabletext"/>
              <w:ind w:left="0" w:right="0"/>
              <w:rPr>
                <w:b/>
                <w:sz w:val="20"/>
                <w:szCs w:val="20"/>
              </w:rPr>
            </w:pPr>
          </w:p>
        </w:tc>
        <w:tc>
          <w:tcPr>
            <w:tcW w:w="2645" w:type="dxa"/>
          </w:tcPr>
          <w:p w14:paraId="1CF94827"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Cardiomegaly</w:t>
            </w:r>
          </w:p>
        </w:tc>
        <w:tc>
          <w:tcPr>
            <w:tcW w:w="1322" w:type="dxa"/>
          </w:tcPr>
          <w:p w14:paraId="2251CED8"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377903AB"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r w:rsidRPr="007E1F7C">
              <w:rPr>
                <w:sz w:val="20"/>
                <w:szCs w:val="20"/>
                <w:vertAlign w:val="superscript"/>
              </w:rPr>
              <w:t>2</w:t>
            </w:r>
          </w:p>
        </w:tc>
        <w:tc>
          <w:tcPr>
            <w:tcW w:w="925" w:type="dxa"/>
          </w:tcPr>
          <w:p w14:paraId="388E90BC"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50535F6D"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w:t>
            </w:r>
          </w:p>
        </w:tc>
      </w:tr>
      <w:tr w:rsidR="00075FAE" w:rsidRPr="004F1C07" w14:paraId="3F4EA750" w14:textId="77777777" w:rsidTr="00664BCE">
        <w:trPr>
          <w:trHeight w:val="122"/>
        </w:trPr>
        <w:tc>
          <w:tcPr>
            <w:tcW w:w="1587" w:type="dxa"/>
            <w:vMerge w:val="restart"/>
          </w:tcPr>
          <w:p w14:paraId="4B134FCC" w14:textId="77777777" w:rsidR="00075FAE" w:rsidRPr="007E1F7C" w:rsidRDefault="00075FAE" w:rsidP="00664BCE">
            <w:pPr>
              <w:pStyle w:val="Tabletext"/>
              <w:ind w:left="0" w:right="0"/>
              <w:rPr>
                <w:b/>
                <w:sz w:val="20"/>
                <w:szCs w:val="20"/>
              </w:rPr>
            </w:pPr>
            <w:r w:rsidRPr="007E1F7C">
              <w:rPr>
                <w:b/>
                <w:sz w:val="20"/>
                <w:szCs w:val="20"/>
              </w:rPr>
              <w:t>Important potential risks</w:t>
            </w:r>
          </w:p>
        </w:tc>
        <w:tc>
          <w:tcPr>
            <w:tcW w:w="2645" w:type="dxa"/>
          </w:tcPr>
          <w:p w14:paraId="3EE91B6D"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Immunogenicity (potential reduced effect)</w:t>
            </w:r>
          </w:p>
        </w:tc>
        <w:tc>
          <w:tcPr>
            <w:tcW w:w="1322" w:type="dxa"/>
          </w:tcPr>
          <w:p w14:paraId="0FCE0808"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6E16CFCE" w14:textId="77777777" w:rsidR="00075FAE" w:rsidRPr="007E1F7C" w:rsidRDefault="00075FAE" w:rsidP="00664BCE">
            <w:pPr>
              <w:pStyle w:val="Tabletext"/>
              <w:ind w:left="0" w:right="0"/>
              <w:jc w:val="center"/>
              <w:rPr>
                <w:color w:val="00B050"/>
                <w:sz w:val="20"/>
                <w:szCs w:val="20"/>
              </w:rPr>
            </w:pPr>
            <w:r w:rsidRPr="007E1F7C">
              <w:rPr>
                <w:sz w:val="20"/>
                <w:szCs w:val="20"/>
              </w:rPr>
              <w:t>–</w:t>
            </w:r>
          </w:p>
        </w:tc>
        <w:tc>
          <w:tcPr>
            <w:tcW w:w="925" w:type="dxa"/>
          </w:tcPr>
          <w:p w14:paraId="7C2EF4D0"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3072CDD1"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w:t>
            </w:r>
          </w:p>
        </w:tc>
      </w:tr>
      <w:tr w:rsidR="00075FAE" w:rsidRPr="004F1C07" w14:paraId="4CC2214D" w14:textId="77777777" w:rsidTr="00664BCE">
        <w:trPr>
          <w:trHeight w:val="122"/>
        </w:trPr>
        <w:tc>
          <w:tcPr>
            <w:tcW w:w="1587" w:type="dxa"/>
            <w:vMerge/>
          </w:tcPr>
          <w:p w14:paraId="4775807A" w14:textId="77777777" w:rsidR="00075FAE" w:rsidRPr="007E1F7C" w:rsidRDefault="00075FAE" w:rsidP="00664BCE">
            <w:pPr>
              <w:pStyle w:val="Tabletext"/>
              <w:ind w:left="0" w:right="0"/>
              <w:rPr>
                <w:b/>
                <w:sz w:val="20"/>
                <w:szCs w:val="20"/>
              </w:rPr>
            </w:pPr>
          </w:p>
        </w:tc>
        <w:tc>
          <w:tcPr>
            <w:tcW w:w="2645" w:type="dxa"/>
          </w:tcPr>
          <w:p w14:paraId="01CEAF0D"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Slipped capital femoral epiphysis</w:t>
            </w:r>
          </w:p>
        </w:tc>
        <w:tc>
          <w:tcPr>
            <w:tcW w:w="1322" w:type="dxa"/>
          </w:tcPr>
          <w:p w14:paraId="711E3A52"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2FB04943"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r w:rsidRPr="007E1F7C">
              <w:rPr>
                <w:sz w:val="20"/>
                <w:szCs w:val="20"/>
                <w:vertAlign w:val="superscript"/>
              </w:rPr>
              <w:t>2</w:t>
            </w:r>
          </w:p>
        </w:tc>
        <w:tc>
          <w:tcPr>
            <w:tcW w:w="925" w:type="dxa"/>
          </w:tcPr>
          <w:p w14:paraId="18F76848"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66685CEF" w14:textId="77777777" w:rsidR="00075FAE" w:rsidRPr="007E1F7C" w:rsidRDefault="00075FAE" w:rsidP="00664BCE">
            <w:pPr>
              <w:pStyle w:val="Tabletext"/>
              <w:ind w:left="0" w:right="0"/>
              <w:jc w:val="center"/>
              <w:rPr>
                <w:color w:val="00B050"/>
                <w:sz w:val="20"/>
                <w:szCs w:val="20"/>
                <w:vertAlign w:val="superscript"/>
              </w:rPr>
            </w:pPr>
            <w:r w:rsidRPr="007E1F7C">
              <w:rPr>
                <w:sz w:val="20"/>
                <w:szCs w:val="20"/>
              </w:rPr>
              <w:sym w:font="Wingdings" w:char="F0FC"/>
            </w:r>
            <w:r w:rsidRPr="007E1F7C">
              <w:rPr>
                <w:sz w:val="20"/>
                <w:szCs w:val="20"/>
                <w:vertAlign w:val="superscript"/>
              </w:rPr>
              <w:t>5, 6</w:t>
            </w:r>
          </w:p>
        </w:tc>
      </w:tr>
      <w:tr w:rsidR="00075FAE" w:rsidRPr="004F1C07" w14:paraId="2AD2D453" w14:textId="77777777" w:rsidTr="00664BCE">
        <w:trPr>
          <w:trHeight w:val="112"/>
        </w:trPr>
        <w:tc>
          <w:tcPr>
            <w:tcW w:w="1587" w:type="dxa"/>
            <w:vMerge/>
          </w:tcPr>
          <w:p w14:paraId="4E847711" w14:textId="77777777" w:rsidR="00075FAE" w:rsidRPr="007E1F7C" w:rsidRDefault="00075FAE" w:rsidP="00664BCE">
            <w:pPr>
              <w:pStyle w:val="Tabletext"/>
              <w:ind w:left="0" w:right="0"/>
              <w:rPr>
                <w:b/>
                <w:sz w:val="20"/>
                <w:szCs w:val="20"/>
              </w:rPr>
            </w:pPr>
          </w:p>
        </w:tc>
        <w:tc>
          <w:tcPr>
            <w:tcW w:w="2645" w:type="dxa"/>
          </w:tcPr>
          <w:p w14:paraId="4AD896D3"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vertAlign w:val="superscript"/>
              </w:rPr>
            </w:pPr>
            <w:r w:rsidRPr="007E1F7C">
              <w:rPr>
                <w:rFonts w:ascii="Cambria" w:hAnsi="Cambria"/>
                <w:w w:val="105"/>
                <w:sz w:val="20"/>
                <w:szCs w:val="20"/>
              </w:rPr>
              <w:t>Off-label use (for indication)</w:t>
            </w:r>
          </w:p>
        </w:tc>
        <w:tc>
          <w:tcPr>
            <w:tcW w:w="1322" w:type="dxa"/>
          </w:tcPr>
          <w:p w14:paraId="721EF9B6"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295EABE3" w14:textId="77777777" w:rsidR="00075FAE" w:rsidRPr="007E1F7C" w:rsidRDefault="00075FAE" w:rsidP="00664BCE">
            <w:pPr>
              <w:pStyle w:val="Tabletext"/>
              <w:ind w:left="0" w:right="0"/>
              <w:jc w:val="center"/>
              <w:rPr>
                <w:color w:val="00B050"/>
                <w:sz w:val="20"/>
                <w:szCs w:val="20"/>
              </w:rPr>
            </w:pPr>
            <w:r w:rsidRPr="007E1F7C">
              <w:rPr>
                <w:sz w:val="20"/>
                <w:szCs w:val="20"/>
              </w:rPr>
              <w:t>–</w:t>
            </w:r>
          </w:p>
        </w:tc>
        <w:tc>
          <w:tcPr>
            <w:tcW w:w="925" w:type="dxa"/>
          </w:tcPr>
          <w:p w14:paraId="2FF4E52E" w14:textId="77777777" w:rsidR="00075FAE" w:rsidRPr="007E1F7C" w:rsidRDefault="00075FAE" w:rsidP="00664BCE">
            <w:pPr>
              <w:ind w:left="0" w:right="0"/>
              <w:jc w:val="center"/>
              <w:rPr>
                <w:sz w:val="20"/>
                <w:szCs w:val="20"/>
              </w:rPr>
            </w:pPr>
            <w:r w:rsidRPr="007E1F7C">
              <w:rPr>
                <w:sz w:val="20"/>
                <w:szCs w:val="20"/>
              </w:rPr>
              <w:t>–</w:t>
            </w:r>
          </w:p>
        </w:tc>
        <w:tc>
          <w:tcPr>
            <w:tcW w:w="909" w:type="dxa"/>
          </w:tcPr>
          <w:p w14:paraId="6108D4A6" w14:textId="77777777" w:rsidR="00075FAE" w:rsidRPr="007E1F7C" w:rsidRDefault="00075FAE" w:rsidP="00664BCE">
            <w:pPr>
              <w:ind w:left="0" w:right="0"/>
              <w:jc w:val="center"/>
              <w:rPr>
                <w:sz w:val="20"/>
                <w:szCs w:val="20"/>
              </w:rPr>
            </w:pPr>
            <w:r w:rsidRPr="007E1F7C">
              <w:rPr>
                <w:sz w:val="20"/>
                <w:szCs w:val="20"/>
              </w:rPr>
              <w:t>–</w:t>
            </w:r>
          </w:p>
        </w:tc>
      </w:tr>
      <w:tr w:rsidR="00075FAE" w:rsidRPr="004F1C07" w14:paraId="3627FA0D" w14:textId="77777777" w:rsidTr="00664BCE">
        <w:trPr>
          <w:trHeight w:val="178"/>
        </w:trPr>
        <w:tc>
          <w:tcPr>
            <w:tcW w:w="1587" w:type="dxa"/>
            <w:vMerge w:val="restart"/>
          </w:tcPr>
          <w:p w14:paraId="75283CD4" w14:textId="77777777" w:rsidR="00075FAE" w:rsidRPr="007E1F7C" w:rsidRDefault="00075FAE" w:rsidP="00664BCE">
            <w:pPr>
              <w:pStyle w:val="Tabletext"/>
              <w:ind w:left="0" w:right="0"/>
              <w:rPr>
                <w:b/>
                <w:sz w:val="20"/>
                <w:szCs w:val="20"/>
              </w:rPr>
            </w:pPr>
            <w:r w:rsidRPr="007E1F7C">
              <w:rPr>
                <w:b/>
                <w:sz w:val="20"/>
                <w:szCs w:val="20"/>
              </w:rPr>
              <w:t>Missing information</w:t>
            </w:r>
          </w:p>
        </w:tc>
        <w:tc>
          <w:tcPr>
            <w:tcW w:w="2645" w:type="dxa"/>
          </w:tcPr>
          <w:p w14:paraId="23B29890"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Children under 2 years of age</w:t>
            </w:r>
          </w:p>
        </w:tc>
        <w:tc>
          <w:tcPr>
            <w:tcW w:w="1322" w:type="dxa"/>
          </w:tcPr>
          <w:p w14:paraId="1593966B"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59FE52FF" w14:textId="77777777" w:rsidR="00075FAE" w:rsidRPr="007E1F7C" w:rsidRDefault="00075FAE" w:rsidP="00664BCE">
            <w:pPr>
              <w:pStyle w:val="Tabletext"/>
              <w:ind w:left="0" w:right="0"/>
              <w:jc w:val="center"/>
              <w:rPr>
                <w:color w:val="00B050"/>
                <w:sz w:val="20"/>
                <w:szCs w:val="20"/>
              </w:rPr>
            </w:pPr>
            <w:r w:rsidRPr="007E1F7C">
              <w:rPr>
                <w:sz w:val="20"/>
                <w:szCs w:val="20"/>
              </w:rPr>
              <w:t>–</w:t>
            </w:r>
          </w:p>
        </w:tc>
        <w:tc>
          <w:tcPr>
            <w:tcW w:w="925" w:type="dxa"/>
          </w:tcPr>
          <w:p w14:paraId="0CC2EF76"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2D6927C8" w14:textId="77777777" w:rsidR="00075FAE" w:rsidRPr="007E1F7C" w:rsidRDefault="00075FAE" w:rsidP="00664BCE">
            <w:pPr>
              <w:ind w:left="0" w:right="0"/>
              <w:jc w:val="center"/>
              <w:rPr>
                <w:sz w:val="20"/>
                <w:szCs w:val="20"/>
              </w:rPr>
            </w:pPr>
            <w:r w:rsidRPr="007E1F7C">
              <w:rPr>
                <w:sz w:val="20"/>
                <w:szCs w:val="20"/>
              </w:rPr>
              <w:t>–</w:t>
            </w:r>
          </w:p>
        </w:tc>
      </w:tr>
      <w:tr w:rsidR="00075FAE" w:rsidRPr="004F1C07" w14:paraId="2A678141" w14:textId="77777777" w:rsidTr="00664BCE">
        <w:trPr>
          <w:trHeight w:val="103"/>
        </w:trPr>
        <w:tc>
          <w:tcPr>
            <w:tcW w:w="1587" w:type="dxa"/>
            <w:vMerge/>
          </w:tcPr>
          <w:p w14:paraId="36B088C2" w14:textId="77777777" w:rsidR="00075FAE" w:rsidRPr="007E1F7C" w:rsidRDefault="00075FAE" w:rsidP="00664BCE">
            <w:pPr>
              <w:pStyle w:val="Tabletext"/>
              <w:ind w:left="0" w:right="0"/>
              <w:rPr>
                <w:sz w:val="20"/>
                <w:szCs w:val="20"/>
              </w:rPr>
            </w:pPr>
          </w:p>
        </w:tc>
        <w:tc>
          <w:tcPr>
            <w:tcW w:w="2645" w:type="dxa"/>
          </w:tcPr>
          <w:p w14:paraId="2D7B519F"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Pregnancy and lactation</w:t>
            </w:r>
          </w:p>
        </w:tc>
        <w:tc>
          <w:tcPr>
            <w:tcW w:w="1322" w:type="dxa"/>
          </w:tcPr>
          <w:p w14:paraId="6EF6FDC0"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1455" w:type="dxa"/>
          </w:tcPr>
          <w:p w14:paraId="1471A969" w14:textId="77777777" w:rsidR="00075FAE" w:rsidRPr="007E1F7C" w:rsidRDefault="00075FAE" w:rsidP="00664BCE">
            <w:pPr>
              <w:ind w:left="0" w:right="0"/>
              <w:jc w:val="center"/>
              <w:rPr>
                <w:sz w:val="20"/>
                <w:szCs w:val="20"/>
              </w:rPr>
            </w:pPr>
            <w:r w:rsidRPr="007E1F7C">
              <w:rPr>
                <w:sz w:val="20"/>
                <w:szCs w:val="20"/>
              </w:rPr>
              <w:t>–</w:t>
            </w:r>
          </w:p>
        </w:tc>
        <w:tc>
          <w:tcPr>
            <w:tcW w:w="925" w:type="dxa"/>
          </w:tcPr>
          <w:p w14:paraId="677CE1F5" w14:textId="77777777" w:rsidR="00075FAE" w:rsidRPr="007E1F7C" w:rsidRDefault="00075FAE" w:rsidP="00664BCE">
            <w:pPr>
              <w:pStyle w:val="Tabletext"/>
              <w:ind w:left="0" w:right="0"/>
              <w:jc w:val="center"/>
              <w:rPr>
                <w:color w:val="00B050"/>
                <w:sz w:val="20"/>
                <w:szCs w:val="20"/>
              </w:rPr>
            </w:pPr>
            <w:r w:rsidRPr="007E1F7C">
              <w:rPr>
                <w:sz w:val="20"/>
                <w:szCs w:val="20"/>
              </w:rPr>
              <w:sym w:font="Wingdings" w:char="F0FC"/>
            </w:r>
          </w:p>
        </w:tc>
        <w:tc>
          <w:tcPr>
            <w:tcW w:w="909" w:type="dxa"/>
          </w:tcPr>
          <w:p w14:paraId="3CF5526A" w14:textId="77777777" w:rsidR="00075FAE" w:rsidRPr="007E1F7C" w:rsidRDefault="00075FAE" w:rsidP="00664BCE">
            <w:pPr>
              <w:ind w:left="0" w:right="0"/>
              <w:jc w:val="center"/>
              <w:rPr>
                <w:sz w:val="20"/>
                <w:szCs w:val="20"/>
              </w:rPr>
            </w:pPr>
            <w:r w:rsidRPr="007E1F7C">
              <w:rPr>
                <w:sz w:val="20"/>
                <w:szCs w:val="20"/>
              </w:rPr>
              <w:t>–</w:t>
            </w:r>
          </w:p>
        </w:tc>
      </w:tr>
      <w:tr w:rsidR="00075FAE" w:rsidRPr="004F1C07" w14:paraId="443F7AAD" w14:textId="77777777" w:rsidTr="00664BCE">
        <w:trPr>
          <w:trHeight w:val="103"/>
        </w:trPr>
        <w:tc>
          <w:tcPr>
            <w:tcW w:w="1587" w:type="dxa"/>
            <w:vMerge/>
          </w:tcPr>
          <w:p w14:paraId="5FD65ECC" w14:textId="77777777" w:rsidR="00075FAE" w:rsidRPr="007E1F7C" w:rsidRDefault="00075FAE" w:rsidP="00664BCE">
            <w:pPr>
              <w:pStyle w:val="Tabletext"/>
              <w:ind w:left="0" w:right="0"/>
              <w:rPr>
                <w:sz w:val="20"/>
                <w:szCs w:val="20"/>
              </w:rPr>
            </w:pPr>
          </w:p>
        </w:tc>
        <w:tc>
          <w:tcPr>
            <w:tcW w:w="2645" w:type="dxa"/>
          </w:tcPr>
          <w:p w14:paraId="3DFF9D30"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Renal impairment</w:t>
            </w:r>
          </w:p>
        </w:tc>
        <w:tc>
          <w:tcPr>
            <w:tcW w:w="1322" w:type="dxa"/>
          </w:tcPr>
          <w:p w14:paraId="123E158E" w14:textId="77777777" w:rsidR="00075FAE" w:rsidRPr="007E1F7C" w:rsidRDefault="00075FAE" w:rsidP="00664BCE">
            <w:pPr>
              <w:ind w:left="0" w:right="0"/>
              <w:jc w:val="center"/>
              <w:rPr>
                <w:sz w:val="20"/>
                <w:szCs w:val="20"/>
              </w:rPr>
            </w:pPr>
            <w:r w:rsidRPr="007E1F7C">
              <w:rPr>
                <w:sz w:val="20"/>
                <w:szCs w:val="20"/>
              </w:rPr>
              <w:sym w:font="Wingdings" w:char="F0FC"/>
            </w:r>
          </w:p>
        </w:tc>
        <w:tc>
          <w:tcPr>
            <w:tcW w:w="1455" w:type="dxa"/>
          </w:tcPr>
          <w:p w14:paraId="72CD9743" w14:textId="77777777" w:rsidR="00075FAE" w:rsidRPr="007E1F7C" w:rsidRDefault="00075FAE" w:rsidP="00664BCE">
            <w:pPr>
              <w:ind w:left="0" w:right="0"/>
              <w:jc w:val="center"/>
              <w:rPr>
                <w:sz w:val="20"/>
                <w:szCs w:val="20"/>
              </w:rPr>
            </w:pPr>
            <w:r w:rsidRPr="007E1F7C">
              <w:rPr>
                <w:sz w:val="20"/>
                <w:szCs w:val="20"/>
              </w:rPr>
              <w:t>–</w:t>
            </w:r>
          </w:p>
        </w:tc>
        <w:tc>
          <w:tcPr>
            <w:tcW w:w="925" w:type="dxa"/>
          </w:tcPr>
          <w:p w14:paraId="5430EBC3" w14:textId="77777777" w:rsidR="00075FAE" w:rsidRPr="007E1F7C" w:rsidRDefault="00075FAE" w:rsidP="00664BCE">
            <w:pPr>
              <w:ind w:left="0" w:right="0"/>
              <w:jc w:val="center"/>
              <w:rPr>
                <w:sz w:val="20"/>
                <w:szCs w:val="20"/>
              </w:rPr>
            </w:pPr>
            <w:r w:rsidRPr="007E1F7C">
              <w:rPr>
                <w:sz w:val="20"/>
                <w:szCs w:val="20"/>
              </w:rPr>
              <w:sym w:font="Wingdings" w:char="F0FC"/>
            </w:r>
          </w:p>
        </w:tc>
        <w:tc>
          <w:tcPr>
            <w:tcW w:w="909" w:type="dxa"/>
          </w:tcPr>
          <w:p w14:paraId="73D16C95" w14:textId="77777777" w:rsidR="00075FAE" w:rsidRPr="007E1F7C" w:rsidRDefault="00075FAE" w:rsidP="00664BCE">
            <w:pPr>
              <w:ind w:left="0" w:right="0"/>
              <w:jc w:val="center"/>
              <w:rPr>
                <w:sz w:val="20"/>
                <w:szCs w:val="20"/>
              </w:rPr>
            </w:pPr>
            <w:r w:rsidRPr="007E1F7C">
              <w:rPr>
                <w:sz w:val="20"/>
                <w:szCs w:val="20"/>
              </w:rPr>
              <w:t>–</w:t>
            </w:r>
          </w:p>
        </w:tc>
      </w:tr>
      <w:tr w:rsidR="00075FAE" w:rsidRPr="004F1C07" w14:paraId="11A888EA" w14:textId="77777777" w:rsidTr="00664BCE">
        <w:trPr>
          <w:trHeight w:val="103"/>
        </w:trPr>
        <w:tc>
          <w:tcPr>
            <w:tcW w:w="1587" w:type="dxa"/>
            <w:vMerge/>
          </w:tcPr>
          <w:p w14:paraId="52522413" w14:textId="77777777" w:rsidR="00075FAE" w:rsidRPr="007E1F7C" w:rsidRDefault="00075FAE" w:rsidP="00664BCE">
            <w:pPr>
              <w:pStyle w:val="Tabletext"/>
              <w:ind w:left="0" w:right="0"/>
              <w:rPr>
                <w:sz w:val="20"/>
                <w:szCs w:val="20"/>
              </w:rPr>
            </w:pPr>
          </w:p>
        </w:tc>
        <w:tc>
          <w:tcPr>
            <w:tcW w:w="2645" w:type="dxa"/>
          </w:tcPr>
          <w:p w14:paraId="343ED5F4"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Hepatic impairment</w:t>
            </w:r>
          </w:p>
        </w:tc>
        <w:tc>
          <w:tcPr>
            <w:tcW w:w="1322" w:type="dxa"/>
          </w:tcPr>
          <w:p w14:paraId="69A2BE71" w14:textId="77777777" w:rsidR="00075FAE" w:rsidRPr="007E1F7C" w:rsidRDefault="00075FAE" w:rsidP="00664BCE">
            <w:pPr>
              <w:ind w:left="0" w:right="0"/>
              <w:jc w:val="center"/>
              <w:rPr>
                <w:sz w:val="20"/>
                <w:szCs w:val="20"/>
              </w:rPr>
            </w:pPr>
            <w:r w:rsidRPr="007E1F7C">
              <w:rPr>
                <w:sz w:val="20"/>
                <w:szCs w:val="20"/>
              </w:rPr>
              <w:sym w:font="Wingdings" w:char="F0FC"/>
            </w:r>
          </w:p>
        </w:tc>
        <w:tc>
          <w:tcPr>
            <w:tcW w:w="1455" w:type="dxa"/>
          </w:tcPr>
          <w:p w14:paraId="2370D5DC" w14:textId="77777777" w:rsidR="00075FAE" w:rsidRPr="007E1F7C" w:rsidRDefault="00075FAE" w:rsidP="00664BCE">
            <w:pPr>
              <w:ind w:left="0" w:right="0"/>
              <w:jc w:val="center"/>
              <w:rPr>
                <w:sz w:val="20"/>
                <w:szCs w:val="20"/>
              </w:rPr>
            </w:pPr>
            <w:r w:rsidRPr="007E1F7C">
              <w:rPr>
                <w:sz w:val="20"/>
                <w:szCs w:val="20"/>
              </w:rPr>
              <w:t>–</w:t>
            </w:r>
          </w:p>
        </w:tc>
        <w:tc>
          <w:tcPr>
            <w:tcW w:w="925" w:type="dxa"/>
          </w:tcPr>
          <w:p w14:paraId="3AC92679" w14:textId="77777777" w:rsidR="00075FAE" w:rsidRPr="007E1F7C" w:rsidRDefault="00075FAE" w:rsidP="00664BCE">
            <w:pPr>
              <w:ind w:left="0" w:right="0"/>
              <w:jc w:val="center"/>
              <w:rPr>
                <w:sz w:val="20"/>
                <w:szCs w:val="20"/>
              </w:rPr>
            </w:pPr>
            <w:r w:rsidRPr="007E1F7C">
              <w:rPr>
                <w:sz w:val="20"/>
                <w:szCs w:val="20"/>
              </w:rPr>
              <w:sym w:font="Wingdings" w:char="F0FC"/>
            </w:r>
          </w:p>
        </w:tc>
        <w:tc>
          <w:tcPr>
            <w:tcW w:w="909" w:type="dxa"/>
          </w:tcPr>
          <w:p w14:paraId="51D5C9B8" w14:textId="77777777" w:rsidR="00075FAE" w:rsidRPr="007E1F7C" w:rsidRDefault="00075FAE" w:rsidP="00664BCE">
            <w:pPr>
              <w:ind w:left="0" w:right="0"/>
              <w:jc w:val="center"/>
              <w:rPr>
                <w:sz w:val="20"/>
                <w:szCs w:val="20"/>
              </w:rPr>
            </w:pPr>
            <w:r w:rsidRPr="007E1F7C">
              <w:rPr>
                <w:sz w:val="20"/>
                <w:szCs w:val="20"/>
              </w:rPr>
              <w:t>–</w:t>
            </w:r>
          </w:p>
        </w:tc>
      </w:tr>
      <w:tr w:rsidR="00075FAE" w:rsidRPr="004F1C07" w14:paraId="0B51E7ED" w14:textId="77777777" w:rsidTr="00664BCE">
        <w:trPr>
          <w:trHeight w:val="140"/>
        </w:trPr>
        <w:tc>
          <w:tcPr>
            <w:tcW w:w="1587" w:type="dxa"/>
            <w:vMerge/>
          </w:tcPr>
          <w:p w14:paraId="09993029" w14:textId="77777777" w:rsidR="00075FAE" w:rsidRPr="007E1F7C" w:rsidRDefault="00075FAE" w:rsidP="00664BCE">
            <w:pPr>
              <w:pStyle w:val="Tabletext"/>
              <w:ind w:left="0" w:right="0"/>
              <w:rPr>
                <w:sz w:val="20"/>
                <w:szCs w:val="20"/>
              </w:rPr>
            </w:pPr>
          </w:p>
        </w:tc>
        <w:tc>
          <w:tcPr>
            <w:tcW w:w="2645" w:type="dxa"/>
          </w:tcPr>
          <w:p w14:paraId="54D93C61" w14:textId="77777777" w:rsidR="00075FAE" w:rsidRPr="007E1F7C" w:rsidRDefault="00075FAE" w:rsidP="00664BCE">
            <w:pPr>
              <w:pStyle w:val="TableParagraph"/>
              <w:tabs>
                <w:tab w:val="left" w:pos="804"/>
                <w:tab w:val="left" w:pos="805"/>
              </w:tabs>
              <w:spacing w:before="59"/>
              <w:ind w:left="0" w:right="0"/>
              <w:rPr>
                <w:rFonts w:ascii="Cambria" w:hAnsi="Cambria"/>
                <w:w w:val="105"/>
                <w:sz w:val="20"/>
                <w:szCs w:val="20"/>
              </w:rPr>
            </w:pPr>
            <w:r w:rsidRPr="007E1F7C">
              <w:rPr>
                <w:rFonts w:ascii="Cambria" w:hAnsi="Cambria"/>
                <w:w w:val="105"/>
                <w:sz w:val="20"/>
                <w:szCs w:val="20"/>
              </w:rPr>
              <w:t>Cardiac impairment</w:t>
            </w:r>
          </w:p>
        </w:tc>
        <w:tc>
          <w:tcPr>
            <w:tcW w:w="1322" w:type="dxa"/>
          </w:tcPr>
          <w:p w14:paraId="2CEE4AE1" w14:textId="77777777" w:rsidR="00075FAE" w:rsidRPr="007E1F7C" w:rsidRDefault="00075FAE" w:rsidP="00664BCE">
            <w:pPr>
              <w:ind w:left="0" w:right="0"/>
              <w:jc w:val="center"/>
              <w:rPr>
                <w:sz w:val="20"/>
                <w:szCs w:val="20"/>
              </w:rPr>
            </w:pPr>
            <w:r w:rsidRPr="007E1F7C">
              <w:rPr>
                <w:sz w:val="20"/>
                <w:szCs w:val="20"/>
              </w:rPr>
              <w:sym w:font="Wingdings" w:char="F0FC"/>
            </w:r>
          </w:p>
        </w:tc>
        <w:tc>
          <w:tcPr>
            <w:tcW w:w="1455" w:type="dxa"/>
          </w:tcPr>
          <w:p w14:paraId="4CBB53F5" w14:textId="77777777" w:rsidR="00075FAE" w:rsidRPr="007E1F7C" w:rsidRDefault="00075FAE" w:rsidP="00664BCE">
            <w:pPr>
              <w:ind w:left="0" w:right="0"/>
              <w:jc w:val="center"/>
              <w:rPr>
                <w:sz w:val="20"/>
                <w:szCs w:val="20"/>
              </w:rPr>
            </w:pPr>
            <w:r w:rsidRPr="007E1F7C">
              <w:rPr>
                <w:sz w:val="20"/>
                <w:szCs w:val="20"/>
              </w:rPr>
              <w:t>–</w:t>
            </w:r>
          </w:p>
        </w:tc>
        <w:tc>
          <w:tcPr>
            <w:tcW w:w="925" w:type="dxa"/>
          </w:tcPr>
          <w:p w14:paraId="4990BD03" w14:textId="77777777" w:rsidR="00075FAE" w:rsidRPr="007E1F7C" w:rsidRDefault="00075FAE" w:rsidP="00664BCE">
            <w:pPr>
              <w:ind w:left="0" w:right="0"/>
              <w:jc w:val="center"/>
              <w:rPr>
                <w:sz w:val="20"/>
                <w:szCs w:val="20"/>
              </w:rPr>
            </w:pPr>
            <w:r w:rsidRPr="007E1F7C">
              <w:rPr>
                <w:sz w:val="20"/>
                <w:szCs w:val="20"/>
              </w:rPr>
              <w:sym w:font="Wingdings" w:char="F0FC"/>
            </w:r>
          </w:p>
        </w:tc>
        <w:tc>
          <w:tcPr>
            <w:tcW w:w="909" w:type="dxa"/>
          </w:tcPr>
          <w:p w14:paraId="50B00237" w14:textId="77777777" w:rsidR="00075FAE" w:rsidRPr="007E1F7C" w:rsidRDefault="00075FAE" w:rsidP="00664BCE">
            <w:pPr>
              <w:ind w:left="0" w:right="0"/>
              <w:jc w:val="center"/>
              <w:rPr>
                <w:sz w:val="20"/>
                <w:szCs w:val="20"/>
              </w:rPr>
            </w:pPr>
            <w:r w:rsidRPr="007E1F7C">
              <w:rPr>
                <w:sz w:val="20"/>
                <w:szCs w:val="20"/>
              </w:rPr>
              <w:t>–</w:t>
            </w:r>
          </w:p>
        </w:tc>
      </w:tr>
    </w:tbl>
    <w:p w14:paraId="603B30CF" w14:textId="7854F25E" w:rsidR="00075FAE" w:rsidRPr="0021504E" w:rsidRDefault="00075FAE" w:rsidP="007E1F7C">
      <w:pPr>
        <w:pStyle w:val="TableDescription"/>
      </w:pPr>
      <w:r w:rsidRPr="00BB05B7">
        <w:t>1</w:t>
      </w:r>
      <w:r w:rsidR="00CB58B0">
        <w:t xml:space="preserve">: </w:t>
      </w:r>
      <w:r w:rsidRPr="0021504E">
        <w:t>Specific adverse reaction follow-up q</w:t>
      </w:r>
      <w:r w:rsidR="00664BCE">
        <w:t>uestionnair</w:t>
      </w:r>
      <w:r w:rsidR="00CB58B0">
        <w:rPr>
          <w:vertAlign w:val="superscript"/>
        </w:rPr>
        <w:t xml:space="preserve">e </w:t>
      </w:r>
      <w:r w:rsidR="00CB58B0">
        <w:t xml:space="preserve">2: </w:t>
      </w:r>
      <w:proofErr w:type="spellStart"/>
      <w:r w:rsidRPr="0021504E">
        <w:t>Increlex</w:t>
      </w:r>
      <w:proofErr w:type="spellEnd"/>
      <w:r w:rsidRPr="0021504E">
        <w:t xml:space="preserve"> registry</w:t>
      </w:r>
      <w:r>
        <w:t xml:space="preserve"> (</w:t>
      </w:r>
      <w:r w:rsidRPr="00CB58B0">
        <w:t>E</w:t>
      </w:r>
      <w:r w:rsidR="00CB58B0">
        <w:t>U); 3: l</w:t>
      </w:r>
      <w:r w:rsidR="00664BCE">
        <w:t>ong-term safety follow-up</w:t>
      </w:r>
      <w:r w:rsidR="00CB58B0">
        <w:t>; 4:</w:t>
      </w:r>
      <w:r w:rsidR="00CB58B0">
        <w:rPr>
          <w:vertAlign w:val="superscript"/>
        </w:rPr>
        <w:t xml:space="preserve"> </w:t>
      </w:r>
      <w:r w:rsidR="00CB58B0">
        <w:t>b</w:t>
      </w:r>
      <w:r>
        <w:t>iennial review of cases</w:t>
      </w:r>
      <w:r w:rsidR="00CB58B0">
        <w:t>; 5:</w:t>
      </w:r>
      <w:r w:rsidR="00664BCE">
        <w:t>Physician information pack</w:t>
      </w:r>
      <w:r w:rsidR="00CB58B0">
        <w:t>;</w:t>
      </w:r>
      <w:r w:rsidR="00664BCE">
        <w:t xml:space="preserve"> </w:t>
      </w:r>
      <w:r w:rsidRPr="00BB05B7">
        <w:t>6</w:t>
      </w:r>
      <w:r w:rsidR="00CB58B0">
        <w:t xml:space="preserve">: </w:t>
      </w:r>
      <w:r w:rsidR="00664BCE">
        <w:t>Patient information pack</w:t>
      </w:r>
      <w:r w:rsidR="00CB58B0">
        <w:t>;</w:t>
      </w:r>
      <w:r w:rsidR="00664BCE">
        <w:t xml:space="preserve"> </w:t>
      </w:r>
      <w:r w:rsidRPr="00BB05B7">
        <w:t>7</w:t>
      </w:r>
      <w:r w:rsidR="00CB58B0">
        <w:t>: </w:t>
      </w:r>
      <w:r w:rsidRPr="0021504E">
        <w:t>Dosing guide</w:t>
      </w:r>
      <w:r w:rsidR="00CB58B0">
        <w:t>.</w:t>
      </w:r>
    </w:p>
    <w:p w14:paraId="59CC5A80" w14:textId="77777777" w:rsidR="00075FAE" w:rsidRDefault="00075FAE" w:rsidP="007E1F7C">
      <w:pPr>
        <w:rPr>
          <w:rFonts w:asciiTheme="minorHAnsi" w:hAnsiTheme="minorHAnsi"/>
          <w:b/>
        </w:rPr>
      </w:pPr>
      <w:r>
        <w:lastRenderedPageBreak/>
        <w:t xml:space="preserve">Routine pharmacovigilance includes specific adverse reaction follow-up questionnaires. Additional pharmacovigilance consists of three ongoing overseas studies. </w:t>
      </w:r>
      <w:r w:rsidRPr="00AA3CF8">
        <w:t xml:space="preserve">The sponsor has proposed a controlled access program in the signal evaluation report </w:t>
      </w:r>
      <w:r>
        <w:t xml:space="preserve">to address the risk of neoplasia </w:t>
      </w:r>
      <w:r w:rsidRPr="00AA3CF8">
        <w:t>that includes assessment and documentation of patients and risk factors for malignancy prior to and during treatment. The program also requires enrolment of patients in a registry to ensure and document the risk minimisation activities.</w:t>
      </w:r>
    </w:p>
    <w:p w14:paraId="0FB8D085" w14:textId="77777777" w:rsidR="008E7846" w:rsidRDefault="00AA0ED0" w:rsidP="008E7846">
      <w:pPr>
        <w:pStyle w:val="Heading3"/>
      </w:pPr>
      <w:bookmarkStart w:id="41" w:name="_Toc247691531"/>
      <w:bookmarkStart w:id="42" w:name="_Toc314842515"/>
      <w:bookmarkStart w:id="43" w:name="_Toc196046505"/>
      <w:bookmarkStart w:id="44" w:name="_Toc196046949"/>
      <w:bookmarkStart w:id="45" w:name="_Toc34901641"/>
      <w:r>
        <w:t>Risk-benefit a</w:t>
      </w:r>
      <w:r w:rsidR="008E7846">
        <w:t>nalysis</w:t>
      </w:r>
      <w:bookmarkEnd w:id="41"/>
      <w:bookmarkEnd w:id="42"/>
      <w:bookmarkEnd w:id="45"/>
    </w:p>
    <w:p w14:paraId="402446FF" w14:textId="77777777" w:rsidR="00D23139" w:rsidRDefault="00D23139" w:rsidP="00D23139">
      <w:pPr>
        <w:pStyle w:val="Heading4"/>
      </w:pPr>
      <w:r w:rsidRPr="00D23139">
        <w:t>Delegate’s considerations</w:t>
      </w:r>
    </w:p>
    <w:p w14:paraId="4AC485D2" w14:textId="77777777" w:rsidR="00075FAE" w:rsidRPr="00A25880" w:rsidRDefault="00075FAE" w:rsidP="00885D37">
      <w:pPr>
        <w:pStyle w:val="Numberbullet0"/>
      </w:pPr>
      <w:r w:rsidRPr="00A25880">
        <w:t>Quality</w:t>
      </w:r>
    </w:p>
    <w:p w14:paraId="704E9351" w14:textId="77777777" w:rsidR="00075FAE" w:rsidRPr="00B66369" w:rsidRDefault="00075FAE" w:rsidP="00075FAE">
      <w:pPr>
        <w:spacing w:before="0" w:after="0" w:line="240" w:lineRule="auto"/>
        <w:rPr>
          <w:rFonts w:asciiTheme="minorHAnsi" w:hAnsiTheme="minorHAnsi"/>
        </w:rPr>
      </w:pPr>
      <w:r w:rsidRPr="00B66369">
        <w:rPr>
          <w:rFonts w:asciiTheme="minorHAnsi" w:hAnsiTheme="minorHAnsi"/>
        </w:rPr>
        <w:t xml:space="preserve">There were no major concerns about the quality of this medicine. </w:t>
      </w:r>
      <w:r>
        <w:rPr>
          <w:rFonts w:asciiTheme="minorHAnsi" w:hAnsiTheme="minorHAnsi"/>
        </w:rPr>
        <w:t>However</w:t>
      </w:r>
      <w:r w:rsidR="00A25880">
        <w:rPr>
          <w:rFonts w:asciiTheme="minorHAnsi" w:hAnsiTheme="minorHAnsi"/>
        </w:rPr>
        <w:t>,</w:t>
      </w:r>
      <w:r>
        <w:rPr>
          <w:rFonts w:asciiTheme="minorHAnsi" w:hAnsiTheme="minorHAnsi"/>
        </w:rPr>
        <w:t xml:space="preserve"> registration cannot occur until there is GMP clearance at all sites.</w:t>
      </w:r>
    </w:p>
    <w:p w14:paraId="117675F3" w14:textId="77777777" w:rsidR="00075FAE" w:rsidRPr="00A25880" w:rsidRDefault="00075FAE" w:rsidP="00A25880">
      <w:pPr>
        <w:pStyle w:val="Numberbullet0"/>
      </w:pPr>
      <w:r w:rsidRPr="00A25880">
        <w:t>Description of primary IGF-1 deficiency in the indication</w:t>
      </w:r>
    </w:p>
    <w:p w14:paraId="0897B7EF" w14:textId="77777777" w:rsidR="00075FAE" w:rsidRDefault="00075FAE" w:rsidP="00664BCE">
      <w:r w:rsidRPr="00B66369">
        <w:t xml:space="preserve">The sponsor’s description involves clinical criteria and is similar to the </w:t>
      </w:r>
      <w:r w:rsidRPr="006F4867">
        <w:t>inclusion criteria in the clinical trials. However, it is more restrictive of height criteria (with a cut</w:t>
      </w:r>
      <w:r w:rsidR="00A25880" w:rsidRPr="006F4867">
        <w:t>-</w:t>
      </w:r>
      <w:r w:rsidRPr="006F4867">
        <w:t>off of -3</w:t>
      </w:r>
      <w:r w:rsidR="00A25880" w:rsidRPr="006F4867">
        <w:t xml:space="preserve"> </w:t>
      </w:r>
      <w:r w:rsidRPr="006F4867">
        <w:t>SD</w:t>
      </w:r>
      <w:r w:rsidR="00094D2B" w:rsidRPr="006F4867">
        <w:t>S</w:t>
      </w:r>
      <w:r w:rsidRPr="006F4867">
        <w:t>) and does not specify the need for a genetic diagnosis or low levels of IGF-BP3.</w:t>
      </w:r>
    </w:p>
    <w:p w14:paraId="3F77F855" w14:textId="4E7D8C62" w:rsidR="00094D2B" w:rsidRDefault="00075FAE" w:rsidP="00664BCE">
      <w:r>
        <w:t xml:space="preserve">The </w:t>
      </w:r>
      <w:r w:rsidRPr="006F4867">
        <w:t>following is an abstract from the Endocrine Society of America guidelines on GH and IGF-1 treatment</w:t>
      </w:r>
      <w:bookmarkStart w:id="46" w:name="_Ref31724814"/>
      <w:r w:rsidR="003133CA">
        <w:t>:</w:t>
      </w:r>
      <w:r w:rsidR="006F4867" w:rsidRPr="006F4867">
        <w:rPr>
          <w:rStyle w:val="FootnoteReference"/>
        </w:rPr>
        <w:footnoteReference w:id="6"/>
      </w:r>
      <w:bookmarkEnd w:id="46"/>
    </w:p>
    <w:p w14:paraId="787EAAAB" w14:textId="67ACFCEE" w:rsidR="00075FAE" w:rsidRDefault="000003C5" w:rsidP="00FF7059">
      <w:pPr>
        <w:pStyle w:val="Heading6"/>
        <w:ind w:firstLine="720"/>
      </w:pPr>
      <w:r>
        <w:rPr>
          <w:lang w:val="en"/>
        </w:rPr>
        <w:t>‘</w:t>
      </w:r>
      <w:r w:rsidR="00094D2B">
        <w:rPr>
          <w:lang w:val="en"/>
        </w:rPr>
        <w:t>7. IGF-I Treatment of Patients with PIGFD</w:t>
      </w:r>
    </w:p>
    <w:p w14:paraId="2E666180" w14:textId="77777777" w:rsidR="00094D2B" w:rsidRPr="00094D2B" w:rsidRDefault="00094D2B" w:rsidP="00094D2B">
      <w:pPr>
        <w:ind w:left="720"/>
        <w:rPr>
          <w:i/>
          <w:lang w:val="en" w:eastAsia="en-AU"/>
        </w:rPr>
      </w:pPr>
      <w:r w:rsidRPr="00094D2B">
        <w:rPr>
          <w:lang w:val="en" w:eastAsia="en-AU"/>
        </w:rPr>
        <w:t>7.</w:t>
      </w:r>
      <w:r w:rsidRPr="00094D2B">
        <w:rPr>
          <w:i/>
          <w:lang w:val="en" w:eastAsia="en-AU"/>
        </w:rPr>
        <w:t xml:space="preserve">1. We recommend the use of IGF-I therapy to increase height in patients with severe PIGFD. (Strong recommendation, </w:t>
      </w:r>
      <w:r w:rsidRPr="00094D2B">
        <w:rPr>
          <w:rFonts w:ascii="Segoe UI Symbol" w:hAnsi="Segoe UI Symbol" w:cs="Segoe UI Symbol"/>
          <w:i/>
          <w:lang w:val="en" w:eastAsia="en-AU"/>
        </w:rPr>
        <w:t>⚫⚫⚫⚫</w:t>
      </w:r>
      <w:r w:rsidRPr="00094D2B">
        <w:rPr>
          <w:i/>
          <w:lang w:val="en" w:eastAsia="en-AU"/>
        </w:rPr>
        <w:t>)</w:t>
      </w:r>
    </w:p>
    <w:p w14:paraId="28B73D40" w14:textId="77777777" w:rsidR="00094D2B" w:rsidRPr="00094D2B" w:rsidRDefault="00094D2B" w:rsidP="00094D2B">
      <w:pPr>
        <w:ind w:left="720"/>
        <w:rPr>
          <w:i/>
          <w:lang w:val="en" w:eastAsia="en-AU"/>
        </w:rPr>
      </w:pPr>
      <w:r w:rsidRPr="00094D2B">
        <w:rPr>
          <w:i/>
          <w:lang w:val="en" w:eastAsia="en-AU"/>
        </w:rPr>
        <w:t xml:space="preserve">7.2. Given the absence of a single “best” test that predicts responsiveness to GH treatment, we suggest basing the diagnosis of PIGFD/GH insensitivity syndrome (GHIS) on a combination of factors that fall into 4 stages: (Conditional recommendation, </w:t>
      </w:r>
      <w:r w:rsidRPr="00094D2B">
        <w:rPr>
          <w:rFonts w:ascii="Segoe UI Symbol" w:hAnsi="Segoe UI Symbol" w:cs="Segoe UI Symbol"/>
          <w:i/>
          <w:lang w:val="en" w:eastAsia="en-AU"/>
        </w:rPr>
        <w:t>⚫⚫⚫⚪</w:t>
      </w:r>
      <w:r w:rsidRPr="00094D2B">
        <w:rPr>
          <w:i/>
          <w:lang w:val="en" w:eastAsia="en-AU"/>
        </w:rPr>
        <w:t>)</w:t>
      </w:r>
    </w:p>
    <w:p w14:paraId="18B57A3F" w14:textId="77777777" w:rsidR="00094D2B" w:rsidRPr="00094D2B" w:rsidRDefault="00094D2B" w:rsidP="00C87D22">
      <w:pPr>
        <w:ind w:left="993" w:hanging="142"/>
        <w:rPr>
          <w:i/>
          <w:lang w:val="en" w:eastAsia="en-AU"/>
        </w:rPr>
      </w:pPr>
      <w:r w:rsidRPr="00094D2B">
        <w:rPr>
          <w:i/>
          <w:lang w:val="en" w:eastAsia="en-AU"/>
        </w:rPr>
        <w:t>1</w:t>
      </w:r>
      <w:r w:rsidR="00C87D22">
        <w:rPr>
          <w:i/>
          <w:lang w:val="en" w:eastAsia="en-AU"/>
        </w:rPr>
        <w:t>.</w:t>
      </w:r>
      <w:r w:rsidRPr="00094D2B">
        <w:rPr>
          <w:i/>
          <w:lang w:val="en" w:eastAsia="en-AU"/>
        </w:rPr>
        <w:t xml:space="preserve"> Screening: </w:t>
      </w:r>
      <w:proofErr w:type="spellStart"/>
      <w:r w:rsidRPr="00094D2B">
        <w:rPr>
          <w:i/>
          <w:lang w:val="en" w:eastAsia="en-AU"/>
        </w:rPr>
        <w:t>auxological</w:t>
      </w:r>
      <w:proofErr w:type="spellEnd"/>
      <w:r w:rsidRPr="00094D2B">
        <w:rPr>
          <w:i/>
          <w:lang w:val="en" w:eastAsia="en-AU"/>
        </w:rPr>
        <w:t xml:space="preserve"> parameters and low IGF-I concentration</w:t>
      </w:r>
    </w:p>
    <w:p w14:paraId="051F8CFF" w14:textId="77777777" w:rsidR="00094D2B" w:rsidRPr="00094D2B" w:rsidRDefault="00094D2B" w:rsidP="00C87D22">
      <w:pPr>
        <w:ind w:left="993" w:hanging="142"/>
        <w:rPr>
          <w:i/>
          <w:lang w:val="en" w:eastAsia="en-AU"/>
        </w:rPr>
      </w:pPr>
      <w:r w:rsidRPr="00094D2B">
        <w:rPr>
          <w:i/>
          <w:lang w:val="en" w:eastAsia="en-AU"/>
        </w:rPr>
        <w:t>2</w:t>
      </w:r>
      <w:r w:rsidR="00C87D22">
        <w:rPr>
          <w:i/>
          <w:lang w:val="en" w:eastAsia="en-AU"/>
        </w:rPr>
        <w:t>.</w:t>
      </w:r>
      <w:r w:rsidRPr="00094D2B">
        <w:rPr>
          <w:i/>
          <w:lang w:val="en" w:eastAsia="en-AU"/>
        </w:rPr>
        <w:t xml:space="preserve"> Causes of secondary IGF-I deficiency must be excluded, including under-nutrition, hepatic disease, and GHD</w:t>
      </w:r>
      <w:r>
        <w:rPr>
          <w:i/>
          <w:lang w:val="en" w:eastAsia="en-AU"/>
        </w:rPr>
        <w:t>.</w:t>
      </w:r>
    </w:p>
    <w:p w14:paraId="2670B867" w14:textId="77777777" w:rsidR="00094D2B" w:rsidRPr="00094D2B" w:rsidRDefault="00094D2B" w:rsidP="00C87D22">
      <w:pPr>
        <w:ind w:left="993" w:hanging="142"/>
        <w:rPr>
          <w:i/>
          <w:lang w:val="en" w:eastAsia="en-AU"/>
        </w:rPr>
      </w:pPr>
      <w:r w:rsidRPr="00094D2B">
        <w:rPr>
          <w:i/>
          <w:lang w:val="en" w:eastAsia="en-AU"/>
        </w:rPr>
        <w:t>3</w:t>
      </w:r>
      <w:r w:rsidR="00C87D22">
        <w:rPr>
          <w:i/>
          <w:lang w:val="en" w:eastAsia="en-AU"/>
        </w:rPr>
        <w:t>.</w:t>
      </w:r>
      <w:r w:rsidRPr="00094D2B">
        <w:rPr>
          <w:i/>
          <w:lang w:val="en" w:eastAsia="en-AU"/>
        </w:rPr>
        <w:t xml:space="preserve"> Circulating levels of GH-binding protein (GHBP): very low or undetectable levels suggest Laron syndrome/GHIS while normal levels are </w:t>
      </w:r>
      <w:proofErr w:type="spellStart"/>
      <w:r w:rsidRPr="00094D2B">
        <w:rPr>
          <w:i/>
          <w:lang w:val="en" w:eastAsia="en-AU"/>
        </w:rPr>
        <w:t>noninformative</w:t>
      </w:r>
      <w:proofErr w:type="spellEnd"/>
      <w:r>
        <w:rPr>
          <w:i/>
          <w:lang w:val="en" w:eastAsia="en-AU"/>
        </w:rPr>
        <w:t>.</w:t>
      </w:r>
    </w:p>
    <w:p w14:paraId="4D5F0FE0" w14:textId="200DE0DE" w:rsidR="00094D2B" w:rsidRPr="00094D2B" w:rsidRDefault="00094D2B" w:rsidP="00C87D22">
      <w:pPr>
        <w:ind w:left="993" w:hanging="142"/>
        <w:rPr>
          <w:i/>
          <w:lang w:val="en" w:eastAsia="en-AU"/>
        </w:rPr>
      </w:pPr>
      <w:r w:rsidRPr="00094D2B">
        <w:rPr>
          <w:i/>
          <w:lang w:val="en" w:eastAsia="en-AU"/>
        </w:rPr>
        <w:t>4</w:t>
      </w:r>
      <w:r w:rsidR="00C87D22">
        <w:rPr>
          <w:i/>
          <w:lang w:val="en" w:eastAsia="en-AU"/>
        </w:rPr>
        <w:t>.</w:t>
      </w:r>
      <w:r w:rsidRPr="00094D2B">
        <w:rPr>
          <w:i/>
          <w:lang w:val="en" w:eastAsia="en-AU"/>
        </w:rPr>
        <w:t xml:space="preserve"> IGF-I generation test and mutation analyses can be helpful, but have limitations</w:t>
      </w:r>
      <w:r>
        <w:rPr>
          <w:i/>
          <w:lang w:val="en" w:eastAsia="en-AU"/>
        </w:rPr>
        <w:t>.</w:t>
      </w:r>
      <w:r w:rsidR="000003C5">
        <w:rPr>
          <w:i/>
          <w:lang w:val="en" w:eastAsia="en-AU"/>
        </w:rPr>
        <w:t>’</w:t>
      </w:r>
    </w:p>
    <w:p w14:paraId="52F0D0A7" w14:textId="77777777" w:rsidR="00075FAE" w:rsidRDefault="00094D2B" w:rsidP="00664BCE">
      <w:r>
        <w:t>In the Delegate’s</w:t>
      </w:r>
      <w:r w:rsidR="00075FAE">
        <w:t xml:space="preserve"> opinion, the indication proposed is appropriate. However</w:t>
      </w:r>
      <w:r w:rsidR="00C87D22">
        <w:t>,</w:t>
      </w:r>
      <w:r w:rsidR="00075FAE">
        <w:t xml:space="preserve"> </w:t>
      </w:r>
      <w:r>
        <w:t>the Delegate</w:t>
      </w:r>
      <w:r w:rsidR="00075FAE">
        <w:t xml:space="preserve"> would appreciate expert paediatric endocrine comments in relation to cut off values for height SDS and IGF-1.</w:t>
      </w:r>
    </w:p>
    <w:p w14:paraId="7B816D0F" w14:textId="77777777" w:rsidR="00075FAE" w:rsidRDefault="00075FAE" w:rsidP="00664BCE">
      <w:r>
        <w:t>The PI will need to specify the need for IGF-1 level to be assessed by a validated assay with a paediatric normal range.</w:t>
      </w:r>
    </w:p>
    <w:p w14:paraId="2F41C2D9" w14:textId="77777777" w:rsidR="00075FAE" w:rsidRPr="00B66369" w:rsidRDefault="00075FAE" w:rsidP="00094D2B">
      <w:pPr>
        <w:pStyle w:val="Numberbullet0"/>
      </w:pPr>
      <w:r w:rsidRPr="00B66369">
        <w:t>Efficacy</w:t>
      </w:r>
    </w:p>
    <w:p w14:paraId="08DCD5FA" w14:textId="77777777" w:rsidR="00075FAE" w:rsidRDefault="00075FAE" w:rsidP="00664BCE">
      <w:r w:rsidRPr="00B66369">
        <w:t>The efficacy studies were sub optimal in design in that they were open labelled, had small numbers, and involved variable dosing regimens. Overall, they indicate an improvement in growth velocity</w:t>
      </w:r>
      <w:r w:rsidR="00FF7267">
        <w:t>;</w:t>
      </w:r>
      <w:r w:rsidRPr="00B66369">
        <w:t xml:space="preserve"> the greatest improvement was in the first year. The effect decreases after </w:t>
      </w:r>
      <w:r w:rsidRPr="00B66369">
        <w:lastRenderedPageBreak/>
        <w:t>this. Of the patients who reached final height, the height SDS was greater than that at the start of treatment but remains well below normal. Not all patients respond. There were no clearly identifiable factors to predict poor response.</w:t>
      </w:r>
    </w:p>
    <w:p w14:paraId="1B0994D1" w14:textId="77777777" w:rsidR="00075FAE" w:rsidRPr="00B66369" w:rsidRDefault="00075FAE" w:rsidP="00664BCE">
      <w:r>
        <w:t>A number of factors may have contributed to variable response in patients, including low levels of IGF-BP3 in some patients, different diagnosis and thus pathophysiology of growth failure, different doses, nutritional factors, age, and other medical issues.</w:t>
      </w:r>
    </w:p>
    <w:p w14:paraId="599EC3DB" w14:textId="77777777" w:rsidR="00075FAE" w:rsidRPr="00B66369" w:rsidRDefault="00075FAE" w:rsidP="00C87D22">
      <w:pPr>
        <w:pStyle w:val="Numberbullet0"/>
      </w:pPr>
      <w:r w:rsidRPr="00B66369">
        <w:t>Dose</w:t>
      </w:r>
    </w:p>
    <w:p w14:paraId="3ACC8FA9" w14:textId="312AB767" w:rsidR="00075FAE" w:rsidRPr="00B66369" w:rsidRDefault="00075FAE" w:rsidP="00664BCE">
      <w:r w:rsidRPr="00B66369">
        <w:t>The dose recommended is consistent with that recommended in the EU and USA. In Japan, the recommended dose is 0.05</w:t>
      </w:r>
      <w:r w:rsidR="00D316ED">
        <w:t xml:space="preserve"> to </w:t>
      </w:r>
      <w:r w:rsidRPr="00B66369">
        <w:t>0.2</w:t>
      </w:r>
      <w:r w:rsidR="00C87D22">
        <w:t xml:space="preserve"> </w:t>
      </w:r>
      <w:r w:rsidRPr="00B66369">
        <w:t xml:space="preserve">mg/kg </w:t>
      </w:r>
      <w:r w:rsidR="00C87D22">
        <w:t>SC</w:t>
      </w:r>
      <w:r w:rsidRPr="00B66369">
        <w:t xml:space="preserve"> once daily.</w:t>
      </w:r>
    </w:p>
    <w:p w14:paraId="54B01DD6" w14:textId="044BF56F" w:rsidR="00075FAE" w:rsidRPr="00B66369" w:rsidRDefault="00075FAE" w:rsidP="00664BCE">
      <w:r w:rsidRPr="00B66369">
        <w:t>The data in support of the dosing regimen is limited. It appears that 0.04</w:t>
      </w:r>
      <w:r w:rsidR="00D316ED">
        <w:t xml:space="preserve"> to </w:t>
      </w:r>
      <w:r w:rsidRPr="00B66369">
        <w:t>0.06</w:t>
      </w:r>
      <w:r w:rsidR="00D316ED">
        <w:t xml:space="preserve"> </w:t>
      </w:r>
      <w:r>
        <w:t>mg</w:t>
      </w:r>
      <w:r w:rsidRPr="00B66369">
        <w:t>/kg is the lowest effective dose, however some patients did not respond to this. Patients respond better to higher doses. Doses over 0.2</w:t>
      </w:r>
      <w:r w:rsidR="00D316ED">
        <w:t xml:space="preserve"> </w:t>
      </w:r>
      <w:r w:rsidRPr="00B66369">
        <w:t>µg/kg are associated with hypoglycaemia.</w:t>
      </w:r>
    </w:p>
    <w:p w14:paraId="0375739C" w14:textId="77777777" w:rsidR="00075FAE" w:rsidRDefault="00075FAE" w:rsidP="00664BCE">
      <w:r>
        <w:t xml:space="preserve">The following is an </w:t>
      </w:r>
      <w:r w:rsidR="00FF7267">
        <w:t>excerpt</w:t>
      </w:r>
      <w:r>
        <w:t xml:space="preserve"> from the Paediatric Endocrine Society Guidelines</w:t>
      </w:r>
      <w:r w:rsidR="00664BCE">
        <w:t>:</w:t>
      </w:r>
      <w:r w:rsidR="006F4867" w:rsidRPr="006F4867">
        <w:rPr>
          <w:vertAlign w:val="superscript"/>
        </w:rPr>
        <w:fldChar w:fldCharType="begin"/>
      </w:r>
      <w:r w:rsidR="006F4867" w:rsidRPr="006F4867">
        <w:rPr>
          <w:vertAlign w:val="superscript"/>
        </w:rPr>
        <w:instrText xml:space="preserve"> NOTEREF _Ref31724814 \h </w:instrText>
      </w:r>
      <w:r w:rsidR="006F4867">
        <w:rPr>
          <w:vertAlign w:val="superscript"/>
        </w:rPr>
        <w:instrText xml:space="preserve"> \* MERGEFORMAT </w:instrText>
      </w:r>
      <w:r w:rsidR="006F4867" w:rsidRPr="006F4867">
        <w:rPr>
          <w:vertAlign w:val="superscript"/>
        </w:rPr>
      </w:r>
      <w:r w:rsidR="006F4867" w:rsidRPr="006F4867">
        <w:rPr>
          <w:vertAlign w:val="superscript"/>
        </w:rPr>
        <w:fldChar w:fldCharType="separate"/>
      </w:r>
      <w:r w:rsidR="006F4867" w:rsidRPr="006F4867">
        <w:rPr>
          <w:vertAlign w:val="superscript"/>
        </w:rPr>
        <w:t>3</w:t>
      </w:r>
      <w:r w:rsidR="006F4867" w:rsidRPr="006F4867">
        <w:rPr>
          <w:vertAlign w:val="superscript"/>
        </w:rPr>
        <w:fldChar w:fldCharType="end"/>
      </w:r>
    </w:p>
    <w:p w14:paraId="4BE0EB7B" w14:textId="6E259964" w:rsidR="00C87D22" w:rsidRPr="00C87D22" w:rsidRDefault="00D316ED" w:rsidP="00C87D22">
      <w:pPr>
        <w:ind w:left="720"/>
        <w:rPr>
          <w:i/>
          <w:lang w:val="en" w:eastAsia="en-AU"/>
        </w:rPr>
      </w:pPr>
      <w:r>
        <w:rPr>
          <w:i/>
          <w:lang w:val="en" w:eastAsia="en-AU"/>
        </w:rPr>
        <w:t>‘</w:t>
      </w:r>
      <w:r w:rsidR="00C87D22" w:rsidRPr="00C87D22">
        <w:rPr>
          <w:i/>
          <w:lang w:val="en" w:eastAsia="en-AU"/>
        </w:rPr>
        <w:t xml:space="preserve">7.3. We recommend a trial of GH therapy before initiating IGF-I for patients with unexplained IGF-I deficiency. Patients with hormone signaling defects known to be unresponsive to GH treatment can start directly on IGF-I replacement; these include patients with very low or undetectable levels of GHBP and/or proven GH receptor (GHR) gene mutations known to be associated with Laron syndrome/GHIS, GH-neutralizing antibodies, </w:t>
      </w:r>
      <w:r w:rsidR="00C87D22" w:rsidRPr="00C87D22">
        <w:rPr>
          <w:i/>
          <w:iCs/>
          <w:lang w:val="en" w:eastAsia="en-AU"/>
        </w:rPr>
        <w:t>STAT5b</w:t>
      </w:r>
      <w:r w:rsidR="00C87D22" w:rsidRPr="00C87D22">
        <w:rPr>
          <w:i/>
          <w:lang w:val="en" w:eastAsia="en-AU"/>
        </w:rPr>
        <w:t xml:space="preserve"> gene mutations, and </w:t>
      </w:r>
      <w:r w:rsidR="00C87D22" w:rsidRPr="00C87D22">
        <w:rPr>
          <w:i/>
          <w:iCs/>
          <w:lang w:val="en" w:eastAsia="en-AU"/>
        </w:rPr>
        <w:t>IGF1</w:t>
      </w:r>
      <w:r w:rsidR="00C87D22" w:rsidRPr="00C87D22">
        <w:rPr>
          <w:i/>
          <w:lang w:val="en" w:eastAsia="en-AU"/>
        </w:rPr>
        <w:t xml:space="preserve"> gene deletion or mutation. (Strong recommendation, </w:t>
      </w:r>
      <w:r w:rsidR="00C87D22" w:rsidRPr="00C87D22">
        <w:rPr>
          <w:rFonts w:ascii="Segoe UI Symbol" w:hAnsi="Segoe UI Symbol" w:cs="Segoe UI Symbol"/>
          <w:i/>
          <w:lang w:val="en" w:eastAsia="en-AU"/>
        </w:rPr>
        <w:t>⚫⚫⚪⚪</w:t>
      </w:r>
      <w:r w:rsidR="00C87D22" w:rsidRPr="00C87D22">
        <w:rPr>
          <w:i/>
          <w:lang w:val="en" w:eastAsia="en-AU"/>
        </w:rPr>
        <w:t>)</w:t>
      </w:r>
    </w:p>
    <w:p w14:paraId="0EB6B649" w14:textId="3D515C0E" w:rsidR="00C87D22" w:rsidRPr="00C87D22" w:rsidRDefault="00C87D22" w:rsidP="00C87D22">
      <w:pPr>
        <w:ind w:left="720"/>
        <w:rPr>
          <w:i/>
          <w:lang w:val="en" w:eastAsia="en-AU"/>
        </w:rPr>
      </w:pPr>
      <w:r w:rsidRPr="00C87D22">
        <w:rPr>
          <w:i/>
          <w:lang w:val="en" w:eastAsia="en-AU"/>
        </w:rPr>
        <w:t xml:space="preserve">7.4. We suggest an IGF-I dose of 80-120 µg/kg </w:t>
      </w:r>
      <w:proofErr w:type="spellStart"/>
      <w:r w:rsidRPr="00C87D22">
        <w:rPr>
          <w:i/>
          <w:lang w:val="en" w:eastAsia="en-AU"/>
        </w:rPr>
        <w:t>b.i.d</w:t>
      </w:r>
      <w:proofErr w:type="spellEnd"/>
      <w:r w:rsidRPr="00C87D22">
        <w:rPr>
          <w:i/>
          <w:lang w:val="en" w:eastAsia="en-AU"/>
        </w:rPr>
        <w:t xml:space="preserve">. Similar short-term outcomes were seen with 80 and 120 </w:t>
      </w:r>
      <w:r w:rsidR="00D316ED">
        <w:rPr>
          <w:i/>
          <w:lang w:val="en" w:eastAsia="en-AU"/>
        </w:rPr>
        <w:t>µ</w:t>
      </w:r>
      <w:r w:rsidRPr="00C87D22">
        <w:rPr>
          <w:i/>
          <w:lang w:val="en" w:eastAsia="en-AU"/>
        </w:rPr>
        <w:t xml:space="preserve">g, but published studies had limitations and there is no strong evidence supporting superiority of one dose over the other. (Conditional recommendation, </w:t>
      </w:r>
      <w:r w:rsidRPr="00C87D22">
        <w:rPr>
          <w:rFonts w:ascii="Segoe UI Symbol" w:hAnsi="Segoe UI Symbol" w:cs="Segoe UI Symbol"/>
          <w:i/>
          <w:lang w:val="en" w:eastAsia="en-AU"/>
        </w:rPr>
        <w:t>⚫⚫⚪⚪</w:t>
      </w:r>
      <w:r w:rsidRPr="00C87D22">
        <w:rPr>
          <w:i/>
          <w:lang w:val="en" w:eastAsia="en-AU"/>
        </w:rPr>
        <w:t>)</w:t>
      </w:r>
      <w:r w:rsidR="000050D9">
        <w:rPr>
          <w:i/>
          <w:lang w:val="en" w:eastAsia="en-AU"/>
        </w:rPr>
        <w:t>.</w:t>
      </w:r>
      <w:r w:rsidR="00D316ED">
        <w:rPr>
          <w:i/>
          <w:lang w:val="en" w:eastAsia="en-AU"/>
        </w:rPr>
        <w:t>’</w:t>
      </w:r>
    </w:p>
    <w:p w14:paraId="127BD7E1" w14:textId="77777777" w:rsidR="00075FAE" w:rsidRDefault="00075FAE" w:rsidP="00664BCE">
      <w:r>
        <w:t>The sponsor has proposed a starting dose of 0.04</w:t>
      </w:r>
      <w:r w:rsidR="00C87D22">
        <w:t xml:space="preserve"> </w:t>
      </w:r>
      <w:r>
        <w:t xml:space="preserve">mg/kg to reduce the risk of hypoglycaemia, and a slow increase in dose as tolerated. This is </w:t>
      </w:r>
      <w:r w:rsidR="00FF7267">
        <w:t>acceptable;</w:t>
      </w:r>
      <w:r>
        <w:t xml:space="preserve"> </w:t>
      </w:r>
      <w:r w:rsidR="00FF7267">
        <w:t>however,</w:t>
      </w:r>
      <w:r>
        <w:t xml:space="preserve"> </w:t>
      </w:r>
      <w:r w:rsidR="00C87D22">
        <w:t>the Delegate</w:t>
      </w:r>
      <w:r>
        <w:t xml:space="preserve"> would recommend the dosing section be amended to clarify that clinicians should aim for a target dose of at least 0.1</w:t>
      </w:r>
      <w:r w:rsidR="00C87D22">
        <w:t xml:space="preserve"> </w:t>
      </w:r>
      <w:r>
        <w:t>mg/kg for optimal response, as there was data to support this.</w:t>
      </w:r>
    </w:p>
    <w:p w14:paraId="34157F8C" w14:textId="77777777" w:rsidR="00075FAE" w:rsidRPr="00B66369" w:rsidRDefault="00075FAE" w:rsidP="00C87D22">
      <w:pPr>
        <w:pStyle w:val="Numberbullet0"/>
      </w:pPr>
      <w:r w:rsidRPr="00B66369">
        <w:t>Safety</w:t>
      </w:r>
    </w:p>
    <w:p w14:paraId="37CAE92A" w14:textId="77777777" w:rsidR="00075FAE" w:rsidRPr="00B66369" w:rsidRDefault="00075FAE" w:rsidP="00664BCE">
      <w:r w:rsidRPr="00B66369">
        <w:t>The safety of this product is similar to that GH.</w:t>
      </w:r>
    </w:p>
    <w:p w14:paraId="7E5FB8C9" w14:textId="77777777" w:rsidR="00075FAE" w:rsidRPr="009E4829" w:rsidRDefault="00075FAE" w:rsidP="00664BCE">
      <w:r w:rsidRPr="00B66369">
        <w:t xml:space="preserve">The main concern is hypoglycaemia, patients who are young and/or with severe short stature or with poor eating behaviours will be most at risk. There is information in the PI and </w:t>
      </w:r>
      <w:r w:rsidR="00C87D22">
        <w:t>Consumer Medicine Information (</w:t>
      </w:r>
      <w:r w:rsidRPr="00B66369">
        <w:t>CMI</w:t>
      </w:r>
      <w:r w:rsidR="00C87D22">
        <w:t>)</w:t>
      </w:r>
      <w:r w:rsidRPr="00B66369">
        <w:t xml:space="preserve"> recommending slow dose increase and administration of </w:t>
      </w:r>
      <w:proofErr w:type="spellStart"/>
      <w:r w:rsidR="00C87D22">
        <w:t>m</w:t>
      </w:r>
      <w:r w:rsidRPr="00B66369">
        <w:t>ecasermin</w:t>
      </w:r>
      <w:proofErr w:type="spellEnd"/>
      <w:r w:rsidRPr="00B66369">
        <w:t xml:space="preserve"> prior to meals. The sponsor has not proposed routine </w:t>
      </w:r>
      <w:r>
        <w:t xml:space="preserve">blood glucose </w:t>
      </w:r>
      <w:r w:rsidRPr="00B66369">
        <w:t>monitoring during dose titration.</w:t>
      </w:r>
      <w:r>
        <w:t xml:space="preserve"> </w:t>
      </w:r>
      <w:r w:rsidR="00C87D22">
        <w:t>The Delegate is</w:t>
      </w:r>
      <w:r>
        <w:t xml:space="preserve"> of the view that monitoring should be recommended in patients at risk.</w:t>
      </w:r>
    </w:p>
    <w:p w14:paraId="3940F0A1" w14:textId="77777777" w:rsidR="00075FAE" w:rsidRPr="00B66369" w:rsidRDefault="00075FAE" w:rsidP="00C87D22">
      <w:pPr>
        <w:pStyle w:val="Numberbullet0"/>
      </w:pPr>
      <w:r w:rsidRPr="00B66369">
        <w:t>Malignancy</w:t>
      </w:r>
    </w:p>
    <w:p w14:paraId="0B5C22D7" w14:textId="77777777" w:rsidR="00075FAE" w:rsidRPr="00B66369" w:rsidRDefault="00C87D22" w:rsidP="00664BCE">
      <w:r>
        <w:t>Non</w:t>
      </w:r>
      <w:r w:rsidR="00075FAE" w:rsidRPr="00B66369">
        <w:t xml:space="preserve">clinical and epidemiological data </w:t>
      </w:r>
      <w:r w:rsidR="00075FAE">
        <w:t>indicate that</w:t>
      </w:r>
      <w:r w:rsidR="00075FAE" w:rsidRPr="00B66369">
        <w:t xml:space="preserve"> the IGF-1 </w:t>
      </w:r>
      <w:r w:rsidR="00075FAE">
        <w:t>i</w:t>
      </w:r>
      <w:r w:rsidR="00075FAE" w:rsidRPr="00B66369">
        <w:t xml:space="preserve">s a mitogen. Thus, it is plausible that </w:t>
      </w:r>
      <w:proofErr w:type="spellStart"/>
      <w:r w:rsidR="00075FAE" w:rsidRPr="00B66369">
        <w:t>mecasermin</w:t>
      </w:r>
      <w:proofErr w:type="spellEnd"/>
      <w:r w:rsidR="00075FAE" w:rsidRPr="00B66369">
        <w:t xml:space="preserve"> may potentiate the risk of malignancy. However, in the safety update provided by the sponsor, most of the patients who developed a malignancy when using </w:t>
      </w:r>
      <w:proofErr w:type="spellStart"/>
      <w:r>
        <w:t>m</w:t>
      </w:r>
      <w:r w:rsidR="00075FAE" w:rsidRPr="00B66369">
        <w:t>ecasermin</w:t>
      </w:r>
      <w:proofErr w:type="spellEnd"/>
      <w:r w:rsidR="00075FAE" w:rsidRPr="00B66369">
        <w:t xml:space="preserve"> were using it in ways not recommended by the </w:t>
      </w:r>
      <w:r>
        <w:t>PI</w:t>
      </w:r>
      <w:r w:rsidR="00075FAE" w:rsidRPr="00B66369">
        <w:t>.</w:t>
      </w:r>
    </w:p>
    <w:p w14:paraId="68B1371E" w14:textId="77777777" w:rsidR="00075FAE" w:rsidRPr="00B66369" w:rsidRDefault="00075FAE" w:rsidP="00664BCE">
      <w:r w:rsidRPr="00B66369">
        <w:t xml:space="preserve">In </w:t>
      </w:r>
      <w:r w:rsidR="00C87D22">
        <w:t xml:space="preserve">the Delegate’s </w:t>
      </w:r>
      <w:r w:rsidRPr="00B66369">
        <w:t xml:space="preserve">opinion, the risk of malignancy in the population in which use is proposed and at the doses recommended </w:t>
      </w:r>
      <w:r>
        <w:t>remains</w:t>
      </w:r>
      <w:r w:rsidRPr="00B66369">
        <w:t xml:space="preserve"> unknown.</w:t>
      </w:r>
    </w:p>
    <w:p w14:paraId="719C6FC2" w14:textId="77777777" w:rsidR="00075FAE" w:rsidRPr="00B66369" w:rsidRDefault="00C87D22" w:rsidP="00664BCE">
      <w:r>
        <w:t xml:space="preserve">The Delegate is </w:t>
      </w:r>
      <w:r w:rsidR="00075FAE" w:rsidRPr="00B66369">
        <w:t xml:space="preserve">of the opinion that this potential risk does not prevent the registration of </w:t>
      </w:r>
      <w:proofErr w:type="spellStart"/>
      <w:r>
        <w:t>m</w:t>
      </w:r>
      <w:r w:rsidR="00075FAE" w:rsidRPr="00B66369">
        <w:t>ecasermin</w:t>
      </w:r>
      <w:proofErr w:type="spellEnd"/>
      <w:r w:rsidR="00075FAE" w:rsidRPr="00B66369">
        <w:t xml:space="preserve"> provided th</w:t>
      </w:r>
      <w:r w:rsidR="00FF7267">
        <w:t>e</w:t>
      </w:r>
      <w:r w:rsidR="00075FAE" w:rsidRPr="00B66369">
        <w:t xml:space="preserve"> information is provided in the PI and that there is ongoing pharmacovigilance for this potential risk</w:t>
      </w:r>
      <w:r w:rsidR="00664BCE">
        <w:t>.</w:t>
      </w:r>
    </w:p>
    <w:p w14:paraId="19785AF8" w14:textId="77777777" w:rsidR="00075FAE" w:rsidRPr="00B66369" w:rsidRDefault="00075FAE" w:rsidP="00C87D22">
      <w:pPr>
        <w:pStyle w:val="Numberbullet0"/>
      </w:pPr>
      <w:r w:rsidRPr="00B66369">
        <w:lastRenderedPageBreak/>
        <w:t>Off label use</w:t>
      </w:r>
    </w:p>
    <w:p w14:paraId="39468861" w14:textId="77777777" w:rsidR="00075FAE" w:rsidRPr="00B66369" w:rsidRDefault="00075FAE" w:rsidP="00664BCE">
      <w:r w:rsidRPr="00B66369">
        <w:t xml:space="preserve">The TGA is not able to regulate off label use. However, </w:t>
      </w:r>
      <w:r w:rsidR="00C87D22">
        <w:t>the Delegate</w:t>
      </w:r>
      <w:r w:rsidRPr="00B66369">
        <w:t xml:space="preserve"> consider</w:t>
      </w:r>
      <w:r w:rsidR="00C87D22">
        <w:t>s</w:t>
      </w:r>
      <w:r w:rsidRPr="00B66369">
        <w:t xml:space="preserve"> this worthy of discussion given the difficulties in the diagnosis o</w:t>
      </w:r>
      <w:r w:rsidR="00664BCE">
        <w:t>f some cases of growth failure.</w:t>
      </w:r>
    </w:p>
    <w:p w14:paraId="61EAB220" w14:textId="77777777" w:rsidR="00075FAE" w:rsidRPr="00B66369" w:rsidRDefault="00075FAE" w:rsidP="00C87D22">
      <w:pPr>
        <w:pStyle w:val="Numberbullet0"/>
      </w:pPr>
      <w:r w:rsidRPr="00B66369">
        <w:t>Funding and integration with the GH program</w:t>
      </w:r>
    </w:p>
    <w:p w14:paraId="03C05B02" w14:textId="7FA4F07D" w:rsidR="00075FAE" w:rsidRDefault="00C87D22" w:rsidP="00664BCE">
      <w:pPr>
        <w:rPr>
          <w:rFonts w:cs="TimesNewRomanPSMT"/>
        </w:rPr>
      </w:pPr>
      <w:r>
        <w:rPr>
          <w:rFonts w:cs="TimesNewRomanPSMT"/>
        </w:rPr>
        <w:t>The sponsor</w:t>
      </w:r>
      <w:r w:rsidR="00075FAE" w:rsidRPr="00B66369">
        <w:rPr>
          <w:rFonts w:cs="TimesNewRomanPSMT"/>
        </w:rPr>
        <w:t xml:space="preserve"> is i</w:t>
      </w:r>
      <w:r w:rsidR="00075FAE" w:rsidRPr="00B66369">
        <w:t xml:space="preserve">n the early stages of planning a </w:t>
      </w:r>
      <w:r>
        <w:t>Pharmaceutical Benefit Access Committee (</w:t>
      </w:r>
      <w:r w:rsidR="00075FAE" w:rsidRPr="00B66369">
        <w:t>PBAC</w:t>
      </w:r>
      <w:r>
        <w:t>)</w:t>
      </w:r>
      <w:r w:rsidR="00075FAE" w:rsidRPr="00B66369">
        <w:t xml:space="preserve"> submission for </w:t>
      </w:r>
      <w:proofErr w:type="spellStart"/>
      <w:r>
        <w:t>m</w:t>
      </w:r>
      <w:r w:rsidR="00075FAE" w:rsidRPr="00B66369">
        <w:t>ecasermin</w:t>
      </w:r>
      <w:proofErr w:type="spellEnd"/>
      <w:r w:rsidR="00075FAE" w:rsidRPr="00B66369">
        <w:t>. It is not known if it will be part of the</w:t>
      </w:r>
      <w:r w:rsidR="00075FAE" w:rsidRPr="00B66369">
        <w:rPr>
          <w:rFonts w:cs="TimesNewRomanPSMT"/>
        </w:rPr>
        <w:t xml:space="preserve"> Section</w:t>
      </w:r>
      <w:r w:rsidR="00075FAE" w:rsidRPr="00B66369">
        <w:t xml:space="preserve"> </w:t>
      </w:r>
      <w:r w:rsidR="00075FAE" w:rsidRPr="00B66369">
        <w:rPr>
          <w:rFonts w:cs="TimesNewRomanPSMT"/>
        </w:rPr>
        <w:t>100 Growth Hormone Program.</w:t>
      </w:r>
      <w:r w:rsidR="00D316ED">
        <w:rPr>
          <w:rStyle w:val="FootnoteReference"/>
          <w:rFonts w:cs="TimesNewRomanPSMT"/>
        </w:rPr>
        <w:footnoteReference w:id="7"/>
      </w:r>
      <w:r w:rsidR="00075FAE" w:rsidRPr="00B66369">
        <w:rPr>
          <w:rFonts w:cs="TimesNewRomanPSMT"/>
        </w:rPr>
        <w:t xml:space="preserve"> </w:t>
      </w:r>
      <w:r>
        <w:rPr>
          <w:rFonts w:cs="TimesNewRomanPSMT"/>
        </w:rPr>
        <w:t>The sponsor</w:t>
      </w:r>
      <w:r w:rsidR="00075FAE" w:rsidRPr="00B66369">
        <w:rPr>
          <w:rFonts w:cs="TimesNewRomanPSMT"/>
        </w:rPr>
        <w:t xml:space="preserve"> will be consulting with the Department of Health,</w:t>
      </w:r>
      <w:r w:rsidR="00075FAE" w:rsidRPr="00B66369">
        <w:t xml:space="preserve"> </w:t>
      </w:r>
      <w:r w:rsidR="00075FAE" w:rsidRPr="00B66369">
        <w:rPr>
          <w:rFonts w:cs="TimesNewRomanPSMT"/>
        </w:rPr>
        <w:t>through the pre-submission route (at a date not currently set), to assess whether this would</w:t>
      </w:r>
      <w:r w:rsidR="00075FAE" w:rsidRPr="00B66369">
        <w:t xml:space="preserve"> </w:t>
      </w:r>
      <w:r w:rsidR="00075FAE" w:rsidRPr="00B66369">
        <w:rPr>
          <w:rFonts w:cs="TimesNewRomanPSMT"/>
        </w:rPr>
        <w:t xml:space="preserve">indeed be the appropriate place for a </w:t>
      </w:r>
      <w:r w:rsidR="003133CA" w:rsidRPr="00D316ED">
        <w:t xml:space="preserve">Pharmaceutical Benefits Scheme </w:t>
      </w:r>
      <w:r w:rsidR="003133CA">
        <w:t>(</w:t>
      </w:r>
      <w:r w:rsidR="00075FAE" w:rsidRPr="00B66369">
        <w:rPr>
          <w:rFonts w:cs="TimesNewRomanPSMT"/>
        </w:rPr>
        <w:t>PBS</w:t>
      </w:r>
      <w:r w:rsidR="003133CA">
        <w:rPr>
          <w:rFonts w:cs="TimesNewRomanPSMT"/>
        </w:rPr>
        <w:t>)</w:t>
      </w:r>
      <w:r w:rsidR="00075FAE" w:rsidRPr="00B66369">
        <w:rPr>
          <w:rFonts w:cs="TimesNewRomanPSMT"/>
        </w:rPr>
        <w:t xml:space="preserve"> listing.</w:t>
      </w:r>
    </w:p>
    <w:p w14:paraId="057005FD" w14:textId="77777777" w:rsidR="00075FAE" w:rsidRPr="008A4A53" w:rsidRDefault="00075FAE" w:rsidP="00C87D22">
      <w:pPr>
        <w:pStyle w:val="Heading4"/>
      </w:pPr>
      <w:r w:rsidRPr="008A4A53">
        <w:t>Questions for the sponsor</w:t>
      </w:r>
    </w:p>
    <w:p w14:paraId="61D67D7C" w14:textId="3B22DD7F" w:rsidR="00D316ED" w:rsidRDefault="00D316ED" w:rsidP="00BB05B7">
      <w:pPr>
        <w:pStyle w:val="Heading5"/>
      </w:pPr>
      <w:r>
        <w:t>Question 1</w:t>
      </w:r>
    </w:p>
    <w:p w14:paraId="35A27F78" w14:textId="77777777" w:rsidR="00075FAE" w:rsidRDefault="00075FAE" w:rsidP="00885D37">
      <w:r>
        <w:t>What is the outcome of the safety notification in Europe?</w:t>
      </w:r>
    </w:p>
    <w:p w14:paraId="36010027" w14:textId="383C6949" w:rsidR="000050D9" w:rsidRDefault="000050D9" w:rsidP="00BB05B7">
      <w:pPr>
        <w:pStyle w:val="Heading6"/>
      </w:pPr>
      <w:r>
        <w:t>Sponsor’s response</w:t>
      </w:r>
    </w:p>
    <w:p w14:paraId="5F6F9EAD" w14:textId="77777777" w:rsidR="00517AD0" w:rsidRDefault="00517AD0" w:rsidP="00D17415">
      <w:r>
        <w:t>A Type II labelling variation was submitted to EMA 30</w:t>
      </w:r>
      <w:r>
        <w:rPr>
          <w:sz w:val="16"/>
          <w:szCs w:val="16"/>
        </w:rPr>
        <w:t xml:space="preserve"> </w:t>
      </w:r>
      <w:r>
        <w:t xml:space="preserve">May 2019; the assessment procedure </w:t>
      </w:r>
      <w:r w:rsidRPr="00517AD0">
        <w:t>commenced on 22 July 2019.</w:t>
      </w:r>
    </w:p>
    <w:p w14:paraId="582729C3" w14:textId="40A3FCF3" w:rsidR="00D17415" w:rsidRDefault="00D17415" w:rsidP="00D17415">
      <w:r>
        <w:t xml:space="preserve">Overall conclusion and impact on the </w:t>
      </w:r>
      <w:r w:rsidRPr="00D17415">
        <w:t>benefit</w:t>
      </w:r>
      <w:r>
        <w:t xml:space="preserve">/risk balance from </w:t>
      </w:r>
      <w:r w:rsidR="00D316ED">
        <w:t>the a</w:t>
      </w:r>
      <w:r>
        <w:t xml:space="preserve">ssessment </w:t>
      </w:r>
      <w:r w:rsidR="00D316ED">
        <w:t>r</w:t>
      </w:r>
      <w:r>
        <w:t>eport dated 5</w:t>
      </w:r>
      <w:r>
        <w:rPr>
          <w:sz w:val="16"/>
          <w:szCs w:val="16"/>
        </w:rPr>
        <w:t xml:space="preserve"> </w:t>
      </w:r>
      <w:r>
        <w:t>September 2019 states the following:</w:t>
      </w:r>
    </w:p>
    <w:p w14:paraId="717A12A6" w14:textId="18BE8371" w:rsidR="00D17415" w:rsidRDefault="00D316ED" w:rsidP="00D17415">
      <w:pPr>
        <w:ind w:left="567"/>
        <w:rPr>
          <w:i/>
        </w:rPr>
      </w:pPr>
      <w:r>
        <w:rPr>
          <w:i/>
        </w:rPr>
        <w:t>‘[</w:t>
      </w:r>
      <w:r w:rsidR="00D17415" w:rsidRPr="00D17415">
        <w:rPr>
          <w:i/>
        </w:rPr>
        <w:t>…</w:t>
      </w:r>
      <w:r>
        <w:rPr>
          <w:i/>
        </w:rPr>
        <w:t>] t</w:t>
      </w:r>
      <w:r w:rsidR="00D17415" w:rsidRPr="00D17415">
        <w:rPr>
          <w:i/>
        </w:rPr>
        <w:t xml:space="preserve">he proposed additional measures to ensure that the use of </w:t>
      </w:r>
      <w:proofErr w:type="spellStart"/>
      <w:r w:rsidR="00D17415" w:rsidRPr="00D17415">
        <w:rPr>
          <w:i/>
        </w:rPr>
        <w:t>mecasermin</w:t>
      </w:r>
      <w:proofErr w:type="spellEnd"/>
      <w:r w:rsidR="00D17415" w:rsidRPr="00D17415">
        <w:rPr>
          <w:i/>
        </w:rPr>
        <w:t xml:space="preserve"> is limited to approved indications only, and the approved posology is followed, are endorsed. In addition, raising awareness of this serious potential risk and extending the contraindication from pre-existing malignancies to conditions potentially increasing the risk of malignancy, is endorsed.</w:t>
      </w:r>
      <w:r w:rsidR="00D17415">
        <w:rPr>
          <w:i/>
        </w:rPr>
        <w:t xml:space="preserve"> </w:t>
      </w:r>
    </w:p>
    <w:p w14:paraId="732A7153" w14:textId="55E464B0" w:rsidR="00D17415" w:rsidRPr="00D17415" w:rsidRDefault="00D17415" w:rsidP="00D17415">
      <w:pPr>
        <w:ind w:left="567"/>
        <w:rPr>
          <w:i/>
        </w:rPr>
      </w:pPr>
      <w:r w:rsidRPr="00D17415">
        <w:rPr>
          <w:i/>
        </w:rPr>
        <w:t xml:space="preserve">In general, the proposed changes in the Product information are considered acceptable to achieve these goals. Some minor modifications in the </w:t>
      </w:r>
      <w:proofErr w:type="spellStart"/>
      <w:r w:rsidRPr="00D17415">
        <w:rPr>
          <w:i/>
        </w:rPr>
        <w:t>SmPC</w:t>
      </w:r>
      <w:proofErr w:type="spellEnd"/>
      <w:r w:rsidRPr="00D17415">
        <w:rPr>
          <w:i/>
        </w:rPr>
        <w:t xml:space="preserve">, RMP and DHPC are proposed. The benefit-risk balance of </w:t>
      </w:r>
      <w:proofErr w:type="spellStart"/>
      <w:r>
        <w:rPr>
          <w:i/>
        </w:rPr>
        <w:t>Increlex</w:t>
      </w:r>
      <w:proofErr w:type="spellEnd"/>
      <w:r w:rsidRPr="00D17415">
        <w:rPr>
          <w:i/>
        </w:rPr>
        <w:t xml:space="preserve">, </w:t>
      </w:r>
      <w:r>
        <w:rPr>
          <w:i/>
        </w:rPr>
        <w:t>remains positive.</w:t>
      </w:r>
      <w:r w:rsidR="00D316ED">
        <w:rPr>
          <w:i/>
        </w:rPr>
        <w:t>’</w:t>
      </w:r>
    </w:p>
    <w:p w14:paraId="3E4A6348" w14:textId="764BAE59" w:rsidR="00D17415" w:rsidRDefault="00D17415" w:rsidP="00D17415">
      <w:r>
        <w:t xml:space="preserve">As the assessment procedure in Europe is not due to be completed prior to the due date for this pre-ACM </w:t>
      </w:r>
      <w:r w:rsidRPr="00D17415">
        <w:t>response</w:t>
      </w:r>
      <w:r>
        <w:t xml:space="preserve">, </w:t>
      </w:r>
      <w:proofErr w:type="spellStart"/>
      <w:r>
        <w:t>Ipsen</w:t>
      </w:r>
      <w:proofErr w:type="spellEnd"/>
      <w:r>
        <w:t xml:space="preserve"> commits to providing the TGA Delegate with a further update for sharing with the </w:t>
      </w:r>
      <w:r w:rsidR="00D316ED">
        <w:t>Advisory Committee on Medicines (</w:t>
      </w:r>
      <w:r>
        <w:t>ACM</w:t>
      </w:r>
      <w:r w:rsidR="00D316ED">
        <w:t>)</w:t>
      </w:r>
      <w:r>
        <w:t>.</w:t>
      </w:r>
    </w:p>
    <w:p w14:paraId="506C86C4" w14:textId="6E7ADF66" w:rsidR="00D316ED" w:rsidRPr="00D17415" w:rsidRDefault="00D316ED" w:rsidP="00BB05B7">
      <w:pPr>
        <w:pStyle w:val="Heading5"/>
      </w:pPr>
      <w:r>
        <w:t>Question 2</w:t>
      </w:r>
    </w:p>
    <w:p w14:paraId="46CF8AD0" w14:textId="77777777" w:rsidR="00075FAE" w:rsidRDefault="00075FAE" w:rsidP="00BB05B7">
      <w:r>
        <w:t>Please provide further details of the controlled access program and patient registry. Will these be implemented in Australia?</w:t>
      </w:r>
    </w:p>
    <w:p w14:paraId="230D163F" w14:textId="61541E5B" w:rsidR="000050D9" w:rsidRDefault="000050D9" w:rsidP="00BB05B7">
      <w:pPr>
        <w:pStyle w:val="Heading6"/>
      </w:pPr>
      <w:r>
        <w:t>Sponsor’s response</w:t>
      </w:r>
    </w:p>
    <w:p w14:paraId="481B29B5" w14:textId="77777777" w:rsidR="00517AD0" w:rsidRDefault="00D17415" w:rsidP="00D17415">
      <w:r>
        <w:t>The sponsor</w:t>
      </w:r>
      <w:r w:rsidR="00517AD0">
        <w:t xml:space="preserve"> has an ongoing </w:t>
      </w:r>
      <w:proofErr w:type="spellStart"/>
      <w:r>
        <w:t>Increlex</w:t>
      </w:r>
      <w:proofErr w:type="spellEnd"/>
      <w:r w:rsidR="00517AD0">
        <w:t xml:space="preserve"> EU </w:t>
      </w:r>
      <w:r w:rsidR="00A26ABA">
        <w:t>registry that</w:t>
      </w:r>
      <w:r w:rsidR="00517AD0">
        <w:t xml:space="preserve"> commenced in December 2008 covering 10 </w:t>
      </w:r>
      <w:r w:rsidR="00517AD0" w:rsidRPr="00D17415">
        <w:t>countries</w:t>
      </w:r>
      <w:r w:rsidR="00517AD0">
        <w:t>. The details of the EU registry are summarised in the dossier submitted to TGA.</w:t>
      </w:r>
    </w:p>
    <w:p w14:paraId="551BCEC8" w14:textId="77777777" w:rsidR="00517AD0" w:rsidRDefault="00D17415" w:rsidP="00D17415">
      <w:r>
        <w:t>The sponsor</w:t>
      </w:r>
      <w:r w:rsidR="00517AD0" w:rsidRPr="00D17415">
        <w:t xml:space="preserve"> plans to set-up a similar </w:t>
      </w:r>
      <w:proofErr w:type="spellStart"/>
      <w:r>
        <w:t>Increlex</w:t>
      </w:r>
      <w:proofErr w:type="spellEnd"/>
      <w:r w:rsidR="00517AD0" w:rsidRPr="00D17415">
        <w:t xml:space="preserve"> patient registry for Australia. The Australian </w:t>
      </w:r>
      <w:proofErr w:type="spellStart"/>
      <w:r>
        <w:t>Increlex</w:t>
      </w:r>
      <w:proofErr w:type="spellEnd"/>
      <w:r w:rsidR="00517AD0" w:rsidRPr="00D17415">
        <w:t xml:space="preserve"> patient registry will be an observational, non-interventional prospective safety study. Its primary objective will be to collect long-term safety data for all patients who have been treated with </w:t>
      </w:r>
      <w:proofErr w:type="spellStart"/>
      <w:r>
        <w:t>Increlex</w:t>
      </w:r>
      <w:proofErr w:type="spellEnd"/>
      <w:r w:rsidR="00517AD0" w:rsidRPr="00D17415">
        <w:t xml:space="preserve"> in Australia, with special focus on, but not limited to its identified and potential risks. It is currently planned that this study will be part of a global </w:t>
      </w:r>
      <w:proofErr w:type="spellStart"/>
      <w:r>
        <w:lastRenderedPageBreak/>
        <w:t>Increlex</w:t>
      </w:r>
      <w:proofErr w:type="spellEnd"/>
      <w:r w:rsidR="00517AD0" w:rsidRPr="00D17415">
        <w:t xml:space="preserve"> </w:t>
      </w:r>
      <w:r w:rsidR="00A26ABA" w:rsidRPr="00D17415">
        <w:t>registry, which</w:t>
      </w:r>
      <w:r w:rsidR="00517AD0" w:rsidRPr="00D17415">
        <w:t xml:space="preserve"> will collect and analyse the worldwide safety data for </w:t>
      </w:r>
      <w:proofErr w:type="spellStart"/>
      <w:r>
        <w:t>Increlex</w:t>
      </w:r>
      <w:proofErr w:type="spellEnd"/>
      <w:r w:rsidR="00517AD0" w:rsidRPr="00D17415">
        <w:t xml:space="preserve">. The registry will follow-up patients post </w:t>
      </w:r>
      <w:proofErr w:type="spellStart"/>
      <w:r>
        <w:t>Increlex</w:t>
      </w:r>
      <w:proofErr w:type="spellEnd"/>
      <w:r w:rsidR="00517AD0" w:rsidRPr="00D17415">
        <w:t xml:space="preserve"> administration from 2</w:t>
      </w:r>
      <w:r>
        <w:t xml:space="preserve"> to </w:t>
      </w:r>
      <w:r w:rsidR="00517AD0" w:rsidRPr="00D17415">
        <w:t>5 years. Interim reports will be submitted to TGA at periods discussed and agreed upon with TGA.</w:t>
      </w:r>
      <w:r>
        <w:t xml:space="preserve"> </w:t>
      </w:r>
      <w:r w:rsidR="00517AD0" w:rsidRPr="00D17415">
        <w:t xml:space="preserve">More details and synopsis of the protocol for the Australian </w:t>
      </w:r>
      <w:proofErr w:type="spellStart"/>
      <w:r>
        <w:t>Increlex</w:t>
      </w:r>
      <w:proofErr w:type="spellEnd"/>
      <w:r w:rsidR="00517AD0" w:rsidRPr="00D17415">
        <w:t xml:space="preserve"> patient registry will</w:t>
      </w:r>
      <w:r w:rsidRPr="00D17415">
        <w:t xml:space="preserve"> </w:t>
      </w:r>
      <w:r w:rsidR="00517AD0" w:rsidRPr="00D17415">
        <w:t xml:space="preserve">be submitted to TGA </w:t>
      </w:r>
      <w:r w:rsidRPr="00D17415">
        <w:t>when available</w:t>
      </w:r>
      <w:r w:rsidR="00517AD0" w:rsidRPr="00D17415">
        <w:t>.</w:t>
      </w:r>
    </w:p>
    <w:p w14:paraId="7AD92FDB" w14:textId="790DE2A9" w:rsidR="00D316ED" w:rsidRPr="00D17415" w:rsidRDefault="00D316ED" w:rsidP="00BB05B7">
      <w:pPr>
        <w:pStyle w:val="Heading5"/>
      </w:pPr>
      <w:r>
        <w:t>Question 3</w:t>
      </w:r>
    </w:p>
    <w:p w14:paraId="26D8BA2E" w14:textId="77777777" w:rsidR="00075FAE" w:rsidRDefault="00075FAE" w:rsidP="00BB05B7">
      <w:r>
        <w:t>What is the justification for a cut</w:t>
      </w:r>
      <w:r w:rsidR="00C87D22">
        <w:t>-</w:t>
      </w:r>
      <w:r>
        <w:t xml:space="preserve">off of 3 years for use of medicines with benzyl alcohol as an </w:t>
      </w:r>
      <w:r w:rsidR="00FF7267">
        <w:t>excipient?</w:t>
      </w:r>
    </w:p>
    <w:p w14:paraId="636B4349" w14:textId="28688FE4" w:rsidR="000050D9" w:rsidRDefault="000050D9" w:rsidP="00BB05B7">
      <w:pPr>
        <w:pStyle w:val="Heading6"/>
      </w:pPr>
      <w:r>
        <w:t>Sponsor’s response</w:t>
      </w:r>
    </w:p>
    <w:p w14:paraId="250139CA" w14:textId="2D984A9D" w:rsidR="00D17415" w:rsidRDefault="00D17415" w:rsidP="00D17415">
      <w:proofErr w:type="spellStart"/>
      <w:r>
        <w:t>Increlex</w:t>
      </w:r>
      <w:proofErr w:type="spellEnd"/>
      <w:r w:rsidRPr="00D17415">
        <w:t xml:space="preserve"> is indicated for use in children from 2 </w:t>
      </w:r>
      <w:r>
        <w:t xml:space="preserve">to </w:t>
      </w:r>
      <w:r w:rsidRPr="00D17415">
        <w:t xml:space="preserve">18 years of </w:t>
      </w:r>
      <w:r w:rsidRPr="008E2592">
        <w:t xml:space="preserve">age with </w:t>
      </w:r>
      <w:r w:rsidR="00D316ED">
        <w:t>s</w:t>
      </w:r>
      <w:r w:rsidR="008E2592" w:rsidRPr="008E2592">
        <w:t xml:space="preserve">evere primary </w:t>
      </w:r>
      <w:r w:rsidR="00D316ED">
        <w:t>IGFD.</w:t>
      </w:r>
      <w:r w:rsidRPr="008E2592">
        <w:t xml:space="preserve"> It has been used in clinical trials in children from 2 years without significant concern. It is contraindicated</w:t>
      </w:r>
      <w:r>
        <w:t xml:space="preserve"> </w:t>
      </w:r>
      <w:r w:rsidRPr="00D17415">
        <w:t>in premature babies or neonates as it contains benzyl alcohol. The text initially proposed</w:t>
      </w:r>
      <w:r>
        <w:t xml:space="preserve"> </w:t>
      </w:r>
      <w:r w:rsidRPr="00D17415">
        <w:t xml:space="preserve">in the draft </w:t>
      </w:r>
      <w:r>
        <w:t>Australian</w:t>
      </w:r>
      <w:r w:rsidRPr="00D17415">
        <w:t xml:space="preserve"> PI in Section </w:t>
      </w:r>
      <w:r w:rsidRPr="00A26ABA">
        <w:rPr>
          <w:i/>
        </w:rPr>
        <w:t>4.4 Special warnings and precautions for use - Benzyl alcohol,</w:t>
      </w:r>
      <w:r>
        <w:t xml:space="preserve"> </w:t>
      </w:r>
      <w:proofErr w:type="spellStart"/>
      <w:r>
        <w:t>Increlex</w:t>
      </w:r>
      <w:proofErr w:type="spellEnd"/>
      <w:r w:rsidRPr="00D17415">
        <w:t xml:space="preserve"> with respect to a precaution for use in children under 3 years of age, was included</w:t>
      </w:r>
      <w:r>
        <w:t xml:space="preserve"> </w:t>
      </w:r>
      <w:r w:rsidRPr="00D17415">
        <w:t xml:space="preserve">to align with the same text in the </w:t>
      </w:r>
      <w:proofErr w:type="spellStart"/>
      <w:r>
        <w:t>Increlex</w:t>
      </w:r>
      <w:proofErr w:type="spellEnd"/>
      <w:r w:rsidRPr="00D17415">
        <w:t xml:space="preserve"> EU S</w:t>
      </w:r>
      <w:r>
        <w:t>ummary of Product Characteristics (</w:t>
      </w:r>
      <w:proofErr w:type="spellStart"/>
      <w:r>
        <w:t>S</w:t>
      </w:r>
      <w:r w:rsidRPr="00D17415">
        <w:t>mPC</w:t>
      </w:r>
      <w:proofErr w:type="spellEnd"/>
      <w:r>
        <w:t>)</w:t>
      </w:r>
      <w:r w:rsidRPr="00D17415">
        <w:t xml:space="preserve"> as per the 2003 EMA recommendation</w:t>
      </w:r>
      <w:r>
        <w:t xml:space="preserve"> </w:t>
      </w:r>
      <w:r w:rsidRPr="00D17415">
        <w:t xml:space="preserve">for all products containing </w:t>
      </w:r>
      <w:r w:rsidR="00D316ED">
        <w:t>benzyl alcohol</w:t>
      </w:r>
      <w:r w:rsidRPr="00D17415">
        <w:t xml:space="preserve">. The </w:t>
      </w:r>
      <w:r>
        <w:t>sponsor</w:t>
      </w:r>
      <w:r w:rsidRPr="00D17415">
        <w:t xml:space="preserve"> has updated this text as proposed by TGA, to</w:t>
      </w:r>
      <w:r>
        <w:t xml:space="preserve"> </w:t>
      </w:r>
      <w:r w:rsidRPr="00D17415">
        <w:t>remove this age specification, in line with t</w:t>
      </w:r>
      <w:r>
        <w:t>he new 2017 EMA recommendation.</w:t>
      </w:r>
    </w:p>
    <w:p w14:paraId="3B12ADEF" w14:textId="77777777" w:rsidR="00075FAE" w:rsidRDefault="00075FAE" w:rsidP="00C87D22">
      <w:pPr>
        <w:pStyle w:val="Heading4"/>
      </w:pPr>
      <w:r>
        <w:t>Questions for paediatric endocrinologist</w:t>
      </w:r>
    </w:p>
    <w:p w14:paraId="56A78277" w14:textId="77777777" w:rsidR="00075FAE" w:rsidRPr="004F412F" w:rsidRDefault="00075FAE" w:rsidP="00885D37">
      <w:pPr>
        <w:pStyle w:val="Numberbullet0"/>
        <w:numPr>
          <w:ilvl w:val="0"/>
          <w:numId w:val="44"/>
        </w:numPr>
      </w:pPr>
      <w:r>
        <w:t>Please comment on the proposed indication</w:t>
      </w:r>
    </w:p>
    <w:p w14:paraId="7344E47F" w14:textId="77777777" w:rsidR="00075FAE" w:rsidRPr="004F412F" w:rsidRDefault="00075FAE" w:rsidP="00C87D22">
      <w:pPr>
        <w:pStyle w:val="Numberbullet2"/>
      </w:pPr>
      <w:r w:rsidRPr="004F412F">
        <w:t xml:space="preserve">Is height a </w:t>
      </w:r>
      <w:r w:rsidR="00C87D22">
        <w:t>SDS score of -3 SDS appropriate?</w:t>
      </w:r>
    </w:p>
    <w:p w14:paraId="34FED11A" w14:textId="5EDE2DEB" w:rsidR="00075FAE" w:rsidRDefault="00075FAE" w:rsidP="00C87D22">
      <w:pPr>
        <w:pStyle w:val="Numberbullet2"/>
      </w:pPr>
      <w:r w:rsidRPr="004F412F">
        <w:t>Is the EU defined criteria of IGF-1 less than the 2.5</w:t>
      </w:r>
      <w:r w:rsidRPr="00BB05B7">
        <w:t>th</w:t>
      </w:r>
      <w:r w:rsidRPr="004F412F">
        <w:t xml:space="preserve"> percentile for age and sex appropriate for Australia, or should  US definition of -3</w:t>
      </w:r>
      <w:r w:rsidR="00D316ED">
        <w:t xml:space="preserve"> </w:t>
      </w:r>
      <w:r w:rsidRPr="004F412F">
        <w:t>SD b</w:t>
      </w:r>
      <w:r w:rsidR="00C87D22">
        <w:t>e used?</w:t>
      </w:r>
    </w:p>
    <w:p w14:paraId="2EA89AC1" w14:textId="56F1C080" w:rsidR="00075FAE" w:rsidRPr="004F412F" w:rsidRDefault="00075FAE" w:rsidP="00C87D22">
      <w:pPr>
        <w:pStyle w:val="Numberbullet0"/>
      </w:pPr>
      <w:r w:rsidRPr="004F412F">
        <w:t>Please comment about how IGF-1 levels are analysed and reported in Australia</w:t>
      </w:r>
      <w:r w:rsidR="00FF7267">
        <w:t>. D</w:t>
      </w:r>
      <w:r w:rsidRPr="004F412F">
        <w:t>o</w:t>
      </w:r>
      <w:r w:rsidR="00D316ED">
        <w:t> </w:t>
      </w:r>
      <w:r w:rsidRPr="004F412F">
        <w:t>they report a percentile or SDS score?</w:t>
      </w:r>
    </w:p>
    <w:p w14:paraId="15459C75" w14:textId="77777777" w:rsidR="00075FAE" w:rsidRDefault="00075FAE" w:rsidP="00C87D22">
      <w:pPr>
        <w:pStyle w:val="Numberbullet0"/>
      </w:pPr>
      <w:r w:rsidRPr="004F412F">
        <w:t>Please comment on the dose recommendations. Should more information about dose escalation be provided</w:t>
      </w:r>
      <w:r w:rsidR="00C87D22">
        <w:t>?</w:t>
      </w:r>
    </w:p>
    <w:p w14:paraId="2A8FECC7" w14:textId="77777777" w:rsidR="00075FAE" w:rsidRDefault="00075FAE" w:rsidP="00C87D22">
      <w:pPr>
        <w:pStyle w:val="Numberbullet0"/>
      </w:pPr>
      <w:r>
        <w:t>Please comment on the need for moni</w:t>
      </w:r>
      <w:r w:rsidR="00C87D22">
        <w:t>toring of blood glucose levels.</w:t>
      </w:r>
    </w:p>
    <w:p w14:paraId="6E7B5193" w14:textId="77777777" w:rsidR="00075FAE" w:rsidRDefault="00075FAE" w:rsidP="00C87D22">
      <w:pPr>
        <w:pStyle w:val="Numberbullet0"/>
      </w:pPr>
      <w:r>
        <w:t xml:space="preserve">Do you consider the cases of malignancy detected in the post market </w:t>
      </w:r>
      <w:r w:rsidR="00FF7267">
        <w:t>database</w:t>
      </w:r>
      <w:r>
        <w:t xml:space="preserve"> of sufficient concern to prevent </w:t>
      </w:r>
      <w:r w:rsidRPr="009E4829">
        <w:t>registration? Please comment on the adequacy of wording in the PI.</w:t>
      </w:r>
    </w:p>
    <w:p w14:paraId="0BF578F4" w14:textId="77777777" w:rsidR="00075FAE" w:rsidRPr="009E4829" w:rsidRDefault="00075FAE" w:rsidP="00C87D22">
      <w:pPr>
        <w:pStyle w:val="Numberbullet0"/>
      </w:pPr>
      <w:r w:rsidRPr="009E4829">
        <w:t>Please comment on the likelihood of clinicians using this medicine in patients with less severe forms of growth failure who do not respond to GH.</w:t>
      </w:r>
    </w:p>
    <w:p w14:paraId="632DE88D" w14:textId="77777777" w:rsidR="00075FAE" w:rsidRDefault="00075FAE" w:rsidP="00494229">
      <w:pPr>
        <w:pStyle w:val="Heading4"/>
      </w:pPr>
      <w:r>
        <w:t>Questions for toxicology expert</w:t>
      </w:r>
    </w:p>
    <w:p w14:paraId="733F6719" w14:textId="77777777" w:rsidR="00075FAE" w:rsidRDefault="00075FAE" w:rsidP="00494229">
      <w:pPr>
        <w:pStyle w:val="Numberbullet0"/>
        <w:numPr>
          <w:ilvl w:val="0"/>
          <w:numId w:val="45"/>
        </w:numPr>
      </w:pPr>
      <w:r>
        <w:t>Please comment on the labelling of benzyl alcohol as an excipient</w:t>
      </w:r>
      <w:r w:rsidR="00A26ABA">
        <w:t>.</w:t>
      </w:r>
    </w:p>
    <w:p w14:paraId="62633047" w14:textId="77777777" w:rsidR="00075FAE" w:rsidRDefault="00075FAE" w:rsidP="00075FAE">
      <w:pPr>
        <w:pStyle w:val="Heading4"/>
      </w:pPr>
      <w:r>
        <w:t>Summary of issues</w:t>
      </w:r>
    </w:p>
    <w:p w14:paraId="123FF9EC" w14:textId="206C93A5" w:rsidR="00075FAE" w:rsidRPr="00075FAE" w:rsidRDefault="00075FAE" w:rsidP="00494229">
      <w:pPr>
        <w:pStyle w:val="ListBullet"/>
      </w:pPr>
      <w:r w:rsidRPr="00075FAE">
        <w:t>The proposed indication is severe primary IGF-1 deficiency. This is a clinical diagnosis</w:t>
      </w:r>
      <w:r w:rsidR="00494229">
        <w:t>;</w:t>
      </w:r>
      <w:r w:rsidRPr="00075FAE">
        <w:t xml:space="preserve"> based on very short stature, low IGF-1, normal or high GH levels and exclusion of secondary causes. The clinical trial included patients with height SDS of less than -</w:t>
      </w:r>
      <w:r w:rsidR="00FF7267" w:rsidRPr="00075FAE">
        <w:t>2;</w:t>
      </w:r>
      <w:r w:rsidRPr="00075FAE">
        <w:t xml:space="preserve"> </w:t>
      </w:r>
      <w:r w:rsidR="00FF7267" w:rsidRPr="00075FAE">
        <w:t>however,</w:t>
      </w:r>
      <w:r w:rsidRPr="00075FAE">
        <w:t xml:space="preserve"> the proposed indication uses a height SDS -3. The EMA use a</w:t>
      </w:r>
      <w:r w:rsidR="00494229">
        <w:t>n</w:t>
      </w:r>
      <w:r w:rsidRPr="00075FAE">
        <w:t xml:space="preserve"> IGF-1 level of less than the 2.5</w:t>
      </w:r>
      <w:r w:rsidRPr="00BB05B7">
        <w:t>th</w:t>
      </w:r>
      <w:r w:rsidRPr="00075FAE">
        <w:t xml:space="preserve"> percentile, but FDA less than -3</w:t>
      </w:r>
      <w:r w:rsidR="007D157D">
        <w:t> </w:t>
      </w:r>
      <w:r w:rsidRPr="00075FAE">
        <w:t xml:space="preserve">SDS. The clinical trial included patients with GH gene defects and antibodies to GH. In the clinical </w:t>
      </w:r>
      <w:r w:rsidR="008A27FF" w:rsidRPr="00075FAE">
        <w:t>trials,</w:t>
      </w:r>
      <w:r w:rsidRPr="00075FAE">
        <w:t xml:space="preserve"> there was a </w:t>
      </w:r>
      <w:r w:rsidRPr="00075FAE">
        <w:lastRenderedPageBreak/>
        <w:t>poor response to low doses of 40-60 µg/kg twice daily. The PI recommends this as a starting dose with up titration as tolerated.</w:t>
      </w:r>
    </w:p>
    <w:p w14:paraId="3B639C51" w14:textId="77777777" w:rsidR="00075FAE" w:rsidRDefault="00075FAE" w:rsidP="00494229">
      <w:pPr>
        <w:pStyle w:val="ListBullet"/>
      </w:pPr>
      <w:r>
        <w:t xml:space="preserve">Hypoglycaemia can occur with IGF-1 deficiency, however is also exacerbated by treatment with IGF-1 due to the insulin like effects. The risk is mitigated by giving </w:t>
      </w:r>
      <w:proofErr w:type="spellStart"/>
      <w:r>
        <w:t>mecasermin</w:t>
      </w:r>
      <w:proofErr w:type="spellEnd"/>
      <w:r>
        <w:t xml:space="preserve"> with meals. The risk of hypoglycaemia is described in the PI with recommendations to prevent this. However</w:t>
      </w:r>
      <w:r w:rsidR="00494229">
        <w:t>,</w:t>
      </w:r>
      <w:r>
        <w:t xml:space="preserve"> the sponsor has refused to recommend monitoring due to a perceived burden on patients.</w:t>
      </w:r>
    </w:p>
    <w:p w14:paraId="77709123" w14:textId="77777777" w:rsidR="00075FAE" w:rsidRDefault="00075FAE" w:rsidP="00494229">
      <w:pPr>
        <w:pStyle w:val="ListBullet"/>
      </w:pPr>
      <w:r>
        <w:t xml:space="preserve">Cases of metabolic acidosis and death have occurred in neonates treated with high doses of benzyl alcohol. Neonates, particularly premature infants, are at higher risk of complications due to their smaller size and immature liver. The labelling of products containing benzyl alcohol recommends not administering products containing this excipient in children less than 3 years. The </w:t>
      </w:r>
      <w:proofErr w:type="spellStart"/>
      <w:r>
        <w:t>mecasermin</w:t>
      </w:r>
      <w:proofErr w:type="spellEnd"/>
      <w:r>
        <w:t xml:space="preserve"> clinical trials included patients over 2 years. Patients</w:t>
      </w:r>
      <w:r w:rsidR="00494229">
        <w:t>’</w:t>
      </w:r>
      <w:r>
        <w:t xml:space="preserve"> growth responded better to </w:t>
      </w:r>
      <w:proofErr w:type="spellStart"/>
      <w:r>
        <w:t>mecasermin</w:t>
      </w:r>
      <w:proofErr w:type="spellEnd"/>
      <w:r>
        <w:t xml:space="preserve"> when this was given early.</w:t>
      </w:r>
    </w:p>
    <w:p w14:paraId="347CD105" w14:textId="2B58F6EB" w:rsidR="00075FAE" w:rsidRDefault="00494229" w:rsidP="00494229">
      <w:pPr>
        <w:pStyle w:val="ListBullet"/>
      </w:pPr>
      <w:r>
        <w:t xml:space="preserve">In a </w:t>
      </w:r>
      <w:r w:rsidR="008A27FF">
        <w:t>post market</w:t>
      </w:r>
      <w:r w:rsidR="00075FAE">
        <w:t xml:space="preserve"> safety update, 36 cases of malignancy </w:t>
      </w:r>
      <w:r w:rsidR="008A27FF">
        <w:t xml:space="preserve">have been </w:t>
      </w:r>
      <w:r w:rsidR="00075FAE">
        <w:t xml:space="preserve">described. These have mainly occurred in patients treated in other indications and with higher doses. The number of patients exposed to </w:t>
      </w:r>
      <w:proofErr w:type="spellStart"/>
      <w:r>
        <w:t>m</w:t>
      </w:r>
      <w:r w:rsidR="00075FAE">
        <w:t>ecasermin</w:t>
      </w:r>
      <w:proofErr w:type="spellEnd"/>
      <w:r w:rsidR="00075FAE">
        <w:t xml:space="preserve"> during this time is </w:t>
      </w:r>
      <w:r w:rsidR="008A27FF">
        <w:t>unknown;</w:t>
      </w:r>
      <w:r w:rsidR="00075FAE">
        <w:t xml:space="preserve"> </w:t>
      </w:r>
      <w:r w:rsidR="008A27FF">
        <w:t>however,</w:t>
      </w:r>
      <w:r w:rsidR="00075FAE">
        <w:t xml:space="preserve"> the increased risk may be 4</w:t>
      </w:r>
      <w:r w:rsidR="007D157D">
        <w:t xml:space="preserve"> to </w:t>
      </w:r>
      <w:r w:rsidR="00075FAE">
        <w:t>5 times tha</w:t>
      </w:r>
      <w:r>
        <w:t>t of the background population.</w:t>
      </w:r>
    </w:p>
    <w:p w14:paraId="336B7679" w14:textId="77777777" w:rsidR="00D23139" w:rsidRDefault="00A22D57" w:rsidP="00D23139">
      <w:pPr>
        <w:pStyle w:val="Heading4"/>
      </w:pPr>
      <w:r>
        <w:t>Request for AC</w:t>
      </w:r>
      <w:r w:rsidR="00D23139" w:rsidRPr="00D23139">
        <w:t>M advice</w:t>
      </w:r>
    </w:p>
    <w:p w14:paraId="3CACC8A3" w14:textId="77777777" w:rsidR="00075FAE" w:rsidRPr="004F412F" w:rsidRDefault="00075FAE" w:rsidP="00494229">
      <w:pPr>
        <w:pStyle w:val="Numberbullet0"/>
        <w:numPr>
          <w:ilvl w:val="0"/>
          <w:numId w:val="46"/>
        </w:numPr>
      </w:pPr>
      <w:r>
        <w:t>Please comment on the proposed indication</w:t>
      </w:r>
      <w:r w:rsidR="00721AC9">
        <w:t>:</w:t>
      </w:r>
    </w:p>
    <w:p w14:paraId="4B99F665" w14:textId="77777777" w:rsidR="00075FAE" w:rsidRPr="004F412F" w:rsidRDefault="00075FAE" w:rsidP="00494229">
      <w:pPr>
        <w:pStyle w:val="Numberbullet2"/>
      </w:pPr>
      <w:r w:rsidRPr="004F412F">
        <w:t>Is height a SDS score of -3 SDS appropriate</w:t>
      </w:r>
      <w:r w:rsidR="00494229">
        <w:t>?</w:t>
      </w:r>
    </w:p>
    <w:p w14:paraId="6C8E7115" w14:textId="77777777" w:rsidR="00075FAE" w:rsidRDefault="00075FAE" w:rsidP="00494229">
      <w:pPr>
        <w:pStyle w:val="Numberbullet2"/>
      </w:pPr>
      <w:r w:rsidRPr="004F412F">
        <w:t>Is the EU defined criteria of IGF-1 less than the 2.5</w:t>
      </w:r>
      <w:r w:rsidRPr="00BB05B7">
        <w:t>th</w:t>
      </w:r>
      <w:r w:rsidRPr="004F412F">
        <w:t xml:space="preserve"> percentile for age and sex appropriate for Australia, or should </w:t>
      </w:r>
      <w:r w:rsidR="00721AC9">
        <w:t xml:space="preserve">the </w:t>
      </w:r>
      <w:r w:rsidR="00494229">
        <w:t>US definition of -3SD be used?</w:t>
      </w:r>
    </w:p>
    <w:p w14:paraId="2F951E27" w14:textId="51B73A1D" w:rsidR="00075FAE" w:rsidRPr="004F412F" w:rsidRDefault="00075FAE" w:rsidP="00494229">
      <w:pPr>
        <w:pStyle w:val="Numberbullet0"/>
      </w:pPr>
      <w:r w:rsidRPr="004F412F">
        <w:t>Please comment about how IGF-1 levels are analysed and reported in Australia</w:t>
      </w:r>
      <w:r w:rsidR="008A27FF">
        <w:t>. D</w:t>
      </w:r>
      <w:r w:rsidRPr="004F412F">
        <w:t>o</w:t>
      </w:r>
      <w:r w:rsidR="007D157D">
        <w:t> </w:t>
      </w:r>
      <w:r w:rsidRPr="004F412F">
        <w:t>they report a percentile or SDS score?</w:t>
      </w:r>
    </w:p>
    <w:p w14:paraId="06B28AD3" w14:textId="77777777" w:rsidR="00075FAE" w:rsidRDefault="00075FAE" w:rsidP="00494229">
      <w:pPr>
        <w:pStyle w:val="Numberbullet0"/>
      </w:pPr>
      <w:r w:rsidRPr="004F412F">
        <w:t>Please comm</w:t>
      </w:r>
      <w:r w:rsidR="00721AC9">
        <w:t>ent on the dose recommendations:</w:t>
      </w:r>
      <w:r w:rsidRPr="004F412F">
        <w:t xml:space="preserve"> Should more information about dose escalation be provided</w:t>
      </w:r>
      <w:r w:rsidR="001B146C">
        <w:t>?</w:t>
      </w:r>
    </w:p>
    <w:p w14:paraId="0A846D2A" w14:textId="77777777" w:rsidR="00075FAE" w:rsidRDefault="00075FAE" w:rsidP="00494229">
      <w:pPr>
        <w:pStyle w:val="Numberbullet0"/>
      </w:pPr>
      <w:r>
        <w:t>Please comment on the need for monitoring of blood glucose levels.</w:t>
      </w:r>
    </w:p>
    <w:p w14:paraId="155C93B1" w14:textId="77777777" w:rsidR="00075FAE" w:rsidRDefault="00075FAE" w:rsidP="00494229">
      <w:pPr>
        <w:pStyle w:val="Numberbullet0"/>
      </w:pPr>
      <w:r>
        <w:t>Please comment on the labelling of benzyl alcohol as an excipient</w:t>
      </w:r>
      <w:r w:rsidR="001B146C">
        <w:t>.</w:t>
      </w:r>
    </w:p>
    <w:p w14:paraId="1B9A9FF4" w14:textId="77777777" w:rsidR="00075FAE" w:rsidRDefault="00075FAE" w:rsidP="00494229">
      <w:pPr>
        <w:pStyle w:val="Numberbullet0"/>
      </w:pPr>
      <w:r>
        <w:t xml:space="preserve">Do you consider the cases of malignancy detected in the post market </w:t>
      </w:r>
      <w:r w:rsidR="008A27FF">
        <w:t>database</w:t>
      </w:r>
      <w:r>
        <w:t xml:space="preserve"> of sufficient concern to prevent </w:t>
      </w:r>
      <w:r w:rsidRPr="009E4829">
        <w:t>registration? Please comment on the adequacy of wording in the PI.</w:t>
      </w:r>
    </w:p>
    <w:p w14:paraId="15F72564" w14:textId="77777777" w:rsidR="00075FAE" w:rsidRPr="009E4829" w:rsidRDefault="00075FAE" w:rsidP="00494229">
      <w:pPr>
        <w:pStyle w:val="Numberbullet0"/>
      </w:pPr>
      <w:r w:rsidRPr="009E4829">
        <w:t>Please comment on the likelihood of clinicians using this medicine in patients with less severe forms of growth failure who do not respond to GH.</w:t>
      </w:r>
    </w:p>
    <w:p w14:paraId="45622753" w14:textId="77777777" w:rsidR="008E7846" w:rsidRDefault="008E7846" w:rsidP="008E7846">
      <w:pPr>
        <w:pStyle w:val="Heading4"/>
      </w:pPr>
      <w:r>
        <w:lastRenderedPageBreak/>
        <w:t>Advisory Committee Considerations</w:t>
      </w:r>
      <w:r w:rsidR="00456765">
        <w:rPr>
          <w:rStyle w:val="FootnoteReference"/>
        </w:rPr>
        <w:footnoteReference w:id="8"/>
      </w:r>
    </w:p>
    <w:p w14:paraId="618B6541" w14:textId="77777777" w:rsidR="008E7846" w:rsidRDefault="00456765" w:rsidP="008E7846">
      <w:pPr>
        <w:rPr>
          <w:bCs/>
        </w:rPr>
      </w:pPr>
      <w:r w:rsidRPr="00456765">
        <w:rPr>
          <w:bCs/>
        </w:rPr>
        <w:t>The Advisory Committee on Medicines (ACM), having considered the evaluations and the Delegate’s overview, as well as the sponsor’s response to these documents, advised the following:</w:t>
      </w:r>
    </w:p>
    <w:p w14:paraId="3BB8611B" w14:textId="77777777" w:rsidR="00075FAE" w:rsidRPr="009B6348" w:rsidRDefault="00075FAE" w:rsidP="00075FAE">
      <w:bookmarkStart w:id="47" w:name="_Toc247691532"/>
      <w:bookmarkStart w:id="48" w:name="_Toc314842516"/>
      <w:bookmarkEnd w:id="29"/>
      <w:bookmarkEnd w:id="43"/>
      <w:bookmarkEnd w:id="44"/>
      <w:r w:rsidRPr="009B6348">
        <w:t>The ACM considered this product to have an overall positive benefit-risk profile for the proposed indication:</w:t>
      </w:r>
    </w:p>
    <w:p w14:paraId="2B721144" w14:textId="77777777" w:rsidR="00075FAE" w:rsidRPr="00721AC9" w:rsidRDefault="00075FAE" w:rsidP="00721AC9">
      <w:pPr>
        <w:ind w:left="720"/>
        <w:rPr>
          <w:i/>
          <w:noProof/>
        </w:rPr>
      </w:pPr>
      <w:r w:rsidRPr="00721AC9">
        <w:rPr>
          <w:i/>
          <w:noProof/>
        </w:rPr>
        <w:t>For the long-term treatment of growth failure in children and adolescents from 2 to 18 years with severe primary insulin-like growth factor 1 deficiency (Primary IGFD).</w:t>
      </w:r>
    </w:p>
    <w:p w14:paraId="520D29FB" w14:textId="77777777" w:rsidR="00075FAE" w:rsidRPr="00721AC9" w:rsidRDefault="00075FAE" w:rsidP="00721AC9">
      <w:pPr>
        <w:ind w:left="720"/>
        <w:rPr>
          <w:i/>
          <w:noProof/>
        </w:rPr>
      </w:pPr>
      <w:r w:rsidRPr="00721AC9">
        <w:rPr>
          <w:i/>
          <w:noProof/>
        </w:rPr>
        <w:t>Severe Primary IGFD is defined by:</w:t>
      </w:r>
    </w:p>
    <w:p w14:paraId="5E105893" w14:textId="77777777" w:rsidR="00075FAE" w:rsidRPr="00721AC9" w:rsidRDefault="00075FAE" w:rsidP="00721AC9">
      <w:pPr>
        <w:pStyle w:val="ListBullet3"/>
        <w:rPr>
          <w:i/>
          <w:noProof/>
        </w:rPr>
      </w:pPr>
      <w:r w:rsidRPr="00721AC9">
        <w:rPr>
          <w:i/>
          <w:noProof/>
        </w:rPr>
        <w:t>height standard deviation score ≤ –3.0;</w:t>
      </w:r>
    </w:p>
    <w:p w14:paraId="3422E9CD" w14:textId="77777777" w:rsidR="00075FAE" w:rsidRPr="00721AC9" w:rsidRDefault="00075FAE" w:rsidP="00721AC9">
      <w:pPr>
        <w:pStyle w:val="ListBullet3"/>
        <w:rPr>
          <w:i/>
          <w:noProof/>
        </w:rPr>
      </w:pPr>
      <w:r w:rsidRPr="00721AC9">
        <w:rPr>
          <w:i/>
          <w:noProof/>
        </w:rPr>
        <w:t>baseline height velocity less than the 25</w:t>
      </w:r>
      <w:r w:rsidRPr="00721AC9">
        <w:rPr>
          <w:i/>
          <w:noProof/>
          <w:vertAlign w:val="superscript"/>
        </w:rPr>
        <w:t>th</w:t>
      </w:r>
      <w:r w:rsidRPr="00721AC9">
        <w:rPr>
          <w:i/>
          <w:noProof/>
        </w:rPr>
        <w:t xml:space="preserve"> centile for bone age, based on three measurements over 12 months; </w:t>
      </w:r>
    </w:p>
    <w:p w14:paraId="3A70349D" w14:textId="77777777" w:rsidR="00075FAE" w:rsidRPr="00721AC9" w:rsidRDefault="00075FAE" w:rsidP="00721AC9">
      <w:pPr>
        <w:pStyle w:val="ListBullet3"/>
        <w:rPr>
          <w:i/>
          <w:noProof/>
        </w:rPr>
      </w:pPr>
      <w:r w:rsidRPr="00721AC9">
        <w:rPr>
          <w:i/>
          <w:noProof/>
        </w:rPr>
        <w:t>basal IGF-1 levels below the 2.5th percentile for age and gender;</w:t>
      </w:r>
    </w:p>
    <w:p w14:paraId="7D9F4E63" w14:textId="77777777" w:rsidR="00075FAE" w:rsidRPr="00721AC9" w:rsidRDefault="00075FAE" w:rsidP="00721AC9">
      <w:pPr>
        <w:pStyle w:val="ListBullet3"/>
        <w:rPr>
          <w:i/>
          <w:noProof/>
        </w:rPr>
      </w:pPr>
      <w:r w:rsidRPr="00721AC9">
        <w:rPr>
          <w:i/>
          <w:noProof/>
        </w:rPr>
        <w:t>stimulated IFG-1 levels (via IGF Generation Test) below the 2.5</w:t>
      </w:r>
      <w:r w:rsidRPr="00721AC9">
        <w:rPr>
          <w:i/>
          <w:noProof/>
          <w:vertAlign w:val="superscript"/>
        </w:rPr>
        <w:t>th</w:t>
      </w:r>
      <w:r w:rsidRPr="00721AC9">
        <w:rPr>
          <w:i/>
          <w:noProof/>
        </w:rPr>
        <w:t xml:space="preserve"> percentile for age and gender;</w:t>
      </w:r>
    </w:p>
    <w:p w14:paraId="638F269F" w14:textId="77777777" w:rsidR="00075FAE" w:rsidRPr="00721AC9" w:rsidRDefault="00075FAE" w:rsidP="00721AC9">
      <w:pPr>
        <w:pStyle w:val="ListBullet3"/>
        <w:rPr>
          <w:i/>
          <w:noProof/>
        </w:rPr>
      </w:pPr>
      <w:r w:rsidRPr="00721AC9">
        <w:rPr>
          <w:i/>
          <w:noProof/>
        </w:rPr>
        <w:t>mutation in the growth hormone/IGF signalling pathway consistent with resultant severe IGF-1 deficiency;</w:t>
      </w:r>
    </w:p>
    <w:p w14:paraId="05C988F1" w14:textId="77777777" w:rsidR="00075FAE" w:rsidRPr="00721AC9" w:rsidRDefault="00075FAE" w:rsidP="00721AC9">
      <w:pPr>
        <w:pStyle w:val="ListBullet3"/>
        <w:rPr>
          <w:i/>
          <w:noProof/>
        </w:rPr>
      </w:pPr>
      <w:r w:rsidRPr="00721AC9">
        <w:rPr>
          <w:i/>
          <w:noProof/>
        </w:rPr>
        <w:t>GH sufficiency; and,</w:t>
      </w:r>
    </w:p>
    <w:p w14:paraId="1F973D99" w14:textId="77777777" w:rsidR="00075FAE" w:rsidRPr="00721AC9" w:rsidRDefault="00075FAE" w:rsidP="00721AC9">
      <w:pPr>
        <w:pStyle w:val="ListBullet3"/>
        <w:rPr>
          <w:i/>
          <w:noProof/>
        </w:rPr>
      </w:pPr>
      <w:r w:rsidRPr="00721AC9">
        <w:rPr>
          <w:i/>
          <w:noProof/>
        </w:rPr>
        <w:t>exclusion of secondary forms of IGF-1 deficiency, such as malnutrition, hypothyroidism, or chronic treatment with pharmacologic doses of anti-inflammatory steroids.</w:t>
      </w:r>
    </w:p>
    <w:p w14:paraId="0822EB54" w14:textId="77777777" w:rsidR="00075FAE" w:rsidRPr="00721AC9" w:rsidRDefault="00075FAE" w:rsidP="00721AC9">
      <w:pPr>
        <w:ind w:left="720"/>
        <w:rPr>
          <w:i/>
        </w:rPr>
      </w:pPr>
      <w:r w:rsidRPr="00721AC9">
        <w:rPr>
          <w:i/>
          <w:noProof/>
        </w:rPr>
        <w:t>Severe Primary IGFD includes patients with mutations in the GH receptor (GHR), post-GHR signalling pathway, and IGF 1 gene defects; they are not GH deficient, and therefore, they cannot be expected to respond adequat</w:t>
      </w:r>
      <w:r w:rsidR="00721AC9" w:rsidRPr="00721AC9">
        <w:rPr>
          <w:i/>
          <w:noProof/>
        </w:rPr>
        <w:t>ely to exogenous GH treatment.</w:t>
      </w:r>
    </w:p>
    <w:p w14:paraId="3EAAB9B3" w14:textId="77777777" w:rsidR="00075FAE" w:rsidRPr="009B6348" w:rsidRDefault="00664BCE" w:rsidP="00075FAE">
      <w:pPr>
        <w:pStyle w:val="Heading4"/>
      </w:pPr>
      <w:r>
        <w:t>Specific a</w:t>
      </w:r>
      <w:r w:rsidR="00075FAE" w:rsidRPr="009B6348">
        <w:t>dvice</w:t>
      </w:r>
    </w:p>
    <w:p w14:paraId="36A2ED1B" w14:textId="77777777" w:rsidR="00075FAE" w:rsidRPr="009B6348" w:rsidRDefault="00075FAE" w:rsidP="00075FAE">
      <w:r w:rsidRPr="009B6348">
        <w:t>The ACM advised the following in response to the Delegate’s specific request for advice:</w:t>
      </w:r>
    </w:p>
    <w:p w14:paraId="236EFFEC" w14:textId="77777777" w:rsidR="00075FAE" w:rsidRPr="00DC655E" w:rsidRDefault="00075FAE" w:rsidP="00721AC9">
      <w:pPr>
        <w:pStyle w:val="Numberbullet0"/>
        <w:numPr>
          <w:ilvl w:val="0"/>
          <w:numId w:val="47"/>
        </w:numPr>
        <w:rPr>
          <w:b/>
          <w:i/>
          <w:noProof/>
        </w:rPr>
      </w:pPr>
      <w:r w:rsidRPr="00DC655E">
        <w:rPr>
          <w:b/>
          <w:i/>
          <w:noProof/>
        </w:rPr>
        <w:t>Please comment on the proposed indication:</w:t>
      </w:r>
    </w:p>
    <w:p w14:paraId="745CD5C6" w14:textId="77777777" w:rsidR="00721AC9" w:rsidRPr="00DC655E" w:rsidRDefault="00075FAE" w:rsidP="00721AC9">
      <w:pPr>
        <w:pStyle w:val="Numberbullet2"/>
        <w:rPr>
          <w:b/>
          <w:i/>
          <w:noProof/>
        </w:rPr>
      </w:pPr>
      <w:r w:rsidRPr="00DC655E">
        <w:rPr>
          <w:b/>
          <w:i/>
          <w:noProof/>
        </w:rPr>
        <w:t>Is height a SDS score of -3 SDS appropriate?</w:t>
      </w:r>
    </w:p>
    <w:p w14:paraId="2882135A" w14:textId="77777777" w:rsidR="00721AC9" w:rsidRPr="00721AC9" w:rsidRDefault="00075FAE" w:rsidP="00721AC9">
      <w:pPr>
        <w:pStyle w:val="Numberbullet2"/>
        <w:numPr>
          <w:ilvl w:val="0"/>
          <w:numId w:val="0"/>
        </w:numPr>
        <w:ind w:left="851"/>
        <w:rPr>
          <w:b/>
          <w:noProof/>
        </w:rPr>
      </w:pPr>
      <w:r>
        <w:rPr>
          <w:noProof/>
        </w:rPr>
        <w:t>The ACM was of the view that this height score would appropriately capture children with true severe IGF deficiency/GH resistance and is consiste</w:t>
      </w:r>
      <w:r w:rsidR="00721AC9">
        <w:rPr>
          <w:noProof/>
        </w:rPr>
        <w:t>nt with international practice.</w:t>
      </w:r>
    </w:p>
    <w:p w14:paraId="212D3871" w14:textId="5F5B377F" w:rsidR="00721AC9" w:rsidRPr="00721AC9" w:rsidRDefault="00075FAE" w:rsidP="00E04B6E">
      <w:pPr>
        <w:pStyle w:val="Numberbullet2"/>
        <w:rPr>
          <w:noProof/>
        </w:rPr>
      </w:pPr>
      <w:r w:rsidRPr="00721AC9">
        <w:rPr>
          <w:noProof/>
        </w:rPr>
        <w:t>Is the EU defined criteria of IGF-1 less than the 2.5th percentile for age and sex appropriate for Australia, or should  US definition of -3</w:t>
      </w:r>
      <w:r w:rsidR="007D157D">
        <w:rPr>
          <w:noProof/>
        </w:rPr>
        <w:t xml:space="preserve"> </w:t>
      </w:r>
      <w:r w:rsidRPr="00721AC9">
        <w:rPr>
          <w:noProof/>
        </w:rPr>
        <w:t>SD be used?</w:t>
      </w:r>
    </w:p>
    <w:p w14:paraId="5EDB0B3C" w14:textId="77777777" w:rsidR="00721AC9" w:rsidRPr="007D157D" w:rsidRDefault="00075FAE" w:rsidP="00721AC9">
      <w:pPr>
        <w:pStyle w:val="Numberbullet2"/>
        <w:numPr>
          <w:ilvl w:val="0"/>
          <w:numId w:val="0"/>
        </w:numPr>
        <w:ind w:left="851"/>
        <w:rPr>
          <w:noProof/>
        </w:rPr>
      </w:pPr>
      <w:r w:rsidRPr="00721AC9">
        <w:rPr>
          <w:noProof/>
        </w:rPr>
        <w:lastRenderedPageBreak/>
        <w:t>The ACM was of the view that the EU defined criteria for IGF-1 was appropriate, noting that this is in keeping with Australian pathology lab reporting practices.</w:t>
      </w:r>
    </w:p>
    <w:p w14:paraId="5B0CABFD" w14:textId="733D3565" w:rsidR="007D157D" w:rsidRPr="00DC655E" w:rsidRDefault="00075FAE" w:rsidP="00721AC9">
      <w:pPr>
        <w:pStyle w:val="Numberbullet0"/>
        <w:rPr>
          <w:rFonts w:eastAsia="Times New Roman"/>
          <w:b/>
          <w:i/>
          <w:noProof/>
          <w:szCs w:val="20"/>
        </w:rPr>
      </w:pPr>
      <w:r w:rsidRPr="00DC655E">
        <w:rPr>
          <w:b/>
          <w:i/>
          <w:noProof/>
        </w:rPr>
        <w:t>Please comment about how IGF-1 levels are analysed and reported in Australi</w:t>
      </w:r>
      <w:r w:rsidR="007D157D" w:rsidRPr="00DC655E">
        <w:rPr>
          <w:b/>
          <w:i/>
          <w:noProof/>
        </w:rPr>
        <w:t>a. Do </w:t>
      </w:r>
      <w:r w:rsidRPr="00DC655E">
        <w:rPr>
          <w:b/>
          <w:i/>
          <w:noProof/>
        </w:rPr>
        <w:t>they report a percentile or SDS?</w:t>
      </w:r>
    </w:p>
    <w:p w14:paraId="144AE1E1" w14:textId="6F02DADE" w:rsidR="00721AC9" w:rsidRPr="00721AC9" w:rsidRDefault="00075FAE" w:rsidP="007D157D">
      <w:pPr>
        <w:pStyle w:val="Numberbullet0"/>
        <w:numPr>
          <w:ilvl w:val="0"/>
          <w:numId w:val="0"/>
        </w:numPr>
        <w:ind w:left="567"/>
        <w:rPr>
          <w:rFonts w:eastAsia="Times New Roman"/>
          <w:b/>
          <w:noProof/>
          <w:szCs w:val="20"/>
        </w:rPr>
      </w:pPr>
      <w:r w:rsidRPr="00721AC9">
        <w:t xml:space="preserve">The ACM advised that IGF-1 assays in Australia report normal ranges calibrated to </w:t>
      </w:r>
      <w:proofErr w:type="spellStart"/>
      <w:r w:rsidRPr="00721AC9">
        <w:t>Bid</w:t>
      </w:r>
      <w:r w:rsidR="007D157D">
        <w:t>l</w:t>
      </w:r>
      <w:r w:rsidRPr="00721AC9">
        <w:t>ingermaier</w:t>
      </w:r>
      <w:proofErr w:type="spellEnd"/>
      <w:r w:rsidRPr="00721AC9">
        <w:t xml:space="preserve"> et al</w:t>
      </w:r>
      <w:r w:rsidR="007D157D">
        <w:t>.;</w:t>
      </w:r>
      <w:r w:rsidR="007D157D">
        <w:rPr>
          <w:rStyle w:val="FootnoteReference"/>
        </w:rPr>
        <w:footnoteReference w:id="9"/>
      </w:r>
      <w:r w:rsidRPr="00721AC9">
        <w:t xml:space="preserve"> international standard with an upper of 97.5% and lower limit of 2.5%. The ACM noted that while these centiles can be converted to SD</w:t>
      </w:r>
      <w:r w:rsidR="00F52E99">
        <w:t>S</w:t>
      </w:r>
      <w:r w:rsidRPr="00721AC9">
        <w:t>, this is rarely done.</w:t>
      </w:r>
    </w:p>
    <w:p w14:paraId="17C8297E" w14:textId="77777777" w:rsidR="00721AC9" w:rsidRPr="00DC655E" w:rsidRDefault="00075FAE" w:rsidP="00721AC9">
      <w:pPr>
        <w:pStyle w:val="Numberbullet0"/>
        <w:rPr>
          <w:b/>
          <w:i/>
          <w:noProof/>
        </w:rPr>
      </w:pPr>
      <w:r w:rsidRPr="00DC655E">
        <w:rPr>
          <w:b/>
          <w:i/>
          <w:noProof/>
        </w:rPr>
        <w:t>Please comment on the dose recommendations. Should more information about dose escalation be provided?</w:t>
      </w:r>
    </w:p>
    <w:p w14:paraId="74EC7573" w14:textId="053F5FE1" w:rsidR="00075FAE" w:rsidRPr="00721AC9" w:rsidRDefault="00075FAE" w:rsidP="00721AC9">
      <w:pPr>
        <w:pStyle w:val="Numberbullet0"/>
        <w:numPr>
          <w:ilvl w:val="0"/>
          <w:numId w:val="0"/>
        </w:numPr>
        <w:ind w:left="567"/>
        <w:rPr>
          <w:b/>
          <w:noProof/>
        </w:rPr>
      </w:pPr>
      <w:r w:rsidRPr="006F4867">
        <w:rPr>
          <w:noProof/>
        </w:rPr>
        <w:t>The ACM was of the view that the PI section on dose escalation, based on Chernausek et al</w:t>
      </w:r>
      <w:r w:rsidR="00F52E99">
        <w:rPr>
          <w:noProof/>
        </w:rPr>
        <w:t>.;</w:t>
      </w:r>
      <w:r w:rsidR="006F4867" w:rsidRPr="006F4867">
        <w:rPr>
          <w:rStyle w:val="FootnoteReference"/>
          <w:noProof/>
        </w:rPr>
        <w:footnoteReference w:id="10"/>
      </w:r>
      <w:r w:rsidRPr="006F4867">
        <w:rPr>
          <w:noProof/>
        </w:rPr>
        <w:t xml:space="preserve"> should</w:t>
      </w:r>
      <w:r w:rsidRPr="00721AC9">
        <w:rPr>
          <w:noProof/>
        </w:rPr>
        <w:t xml:space="preserve"> be amended to say that:</w:t>
      </w:r>
    </w:p>
    <w:p w14:paraId="2E62C333" w14:textId="77777777" w:rsidR="00075FAE" w:rsidRDefault="00721AC9" w:rsidP="00BB05B7">
      <w:pPr>
        <w:pStyle w:val="ListBullet3"/>
        <w:rPr>
          <w:noProof/>
        </w:rPr>
      </w:pPr>
      <w:r>
        <w:rPr>
          <w:noProof/>
        </w:rPr>
        <w:t>‘</w:t>
      </w:r>
      <w:r w:rsidR="00075FAE" w:rsidRPr="00C83EDF">
        <w:rPr>
          <w:noProof/>
        </w:rPr>
        <w:t>If no</w:t>
      </w:r>
      <w:r w:rsidR="00075FAE">
        <w:rPr>
          <w:noProof/>
        </w:rPr>
        <w:t xml:space="preserve"> significant adverse reactions occur at least one week, </w:t>
      </w:r>
      <w:r w:rsidR="00075FAE" w:rsidRPr="00721AC9">
        <w:rPr>
          <w:i/>
          <w:noProof/>
        </w:rPr>
        <w:t>especially evidence of hypoglycaemia,</w:t>
      </w:r>
      <w:r w:rsidR="00075FAE">
        <w:rPr>
          <w:noProof/>
        </w:rPr>
        <w:t xml:space="preserve"> the dose may</w:t>
      </w:r>
      <w:r>
        <w:rPr>
          <w:noProof/>
        </w:rPr>
        <w:t xml:space="preserve"> be raised…’</w:t>
      </w:r>
    </w:p>
    <w:p w14:paraId="1DE75046" w14:textId="77777777" w:rsidR="00075FAE" w:rsidRDefault="00721AC9" w:rsidP="00075FAE">
      <w:pPr>
        <w:pStyle w:val="ListBullet"/>
        <w:numPr>
          <w:ilvl w:val="2"/>
          <w:numId w:val="40"/>
        </w:numPr>
        <w:spacing w:before="0" w:after="200" w:line="240" w:lineRule="auto"/>
        <w:contextualSpacing/>
        <w:rPr>
          <w:rFonts w:eastAsia="Times New Roman"/>
          <w:noProof/>
          <w:szCs w:val="20"/>
        </w:rPr>
      </w:pPr>
      <w:r>
        <w:rPr>
          <w:rFonts w:eastAsia="Times New Roman"/>
          <w:noProof/>
          <w:szCs w:val="20"/>
        </w:rPr>
        <w:t>‘</w:t>
      </w:r>
      <w:r w:rsidR="00075FAE">
        <w:rPr>
          <w:rFonts w:eastAsia="Times New Roman"/>
          <w:noProof/>
          <w:szCs w:val="20"/>
        </w:rPr>
        <w:t xml:space="preserve">In the clinical trials, </w:t>
      </w:r>
      <w:r w:rsidR="00075FAE" w:rsidRPr="00721AC9">
        <w:rPr>
          <w:rFonts w:eastAsia="Times New Roman"/>
          <w:i/>
          <w:noProof/>
          <w:szCs w:val="20"/>
        </w:rPr>
        <w:t>optimal</w:t>
      </w:r>
      <w:r w:rsidR="00075FAE">
        <w:rPr>
          <w:rFonts w:eastAsia="Times New Roman"/>
          <w:noProof/>
          <w:szCs w:val="20"/>
        </w:rPr>
        <w:t xml:space="preserve"> growth response was </w:t>
      </w:r>
      <w:r w:rsidR="00075FAE" w:rsidRPr="00721AC9">
        <w:rPr>
          <w:rFonts w:eastAsia="Times New Roman"/>
          <w:i/>
          <w:noProof/>
          <w:szCs w:val="20"/>
        </w:rPr>
        <w:t>seen with doses between 0.80 – 0.12mg/kg twice daily. Lower doses were less effective, while higher doses were more often associated with hypoglycaemia, and</w:t>
      </w:r>
      <w:r w:rsidR="00075FAE">
        <w:rPr>
          <w:rFonts w:eastAsia="Times New Roman"/>
          <w:noProof/>
          <w:szCs w:val="20"/>
        </w:rPr>
        <w:t xml:space="preserve"> have not been </w:t>
      </w:r>
      <w:r w:rsidR="00075FAE" w:rsidRPr="00721AC9">
        <w:rPr>
          <w:rFonts w:eastAsia="Times New Roman"/>
          <w:i/>
          <w:noProof/>
          <w:szCs w:val="20"/>
        </w:rPr>
        <w:t>formally</w:t>
      </w:r>
      <w:r w:rsidR="00075FAE">
        <w:rPr>
          <w:rFonts w:eastAsia="Times New Roman"/>
          <w:noProof/>
          <w:szCs w:val="20"/>
        </w:rPr>
        <w:t xml:space="preserve"> evaluated in children with severe primary IGFD.</w:t>
      </w:r>
      <w:r>
        <w:rPr>
          <w:rFonts w:eastAsia="Times New Roman"/>
          <w:noProof/>
          <w:szCs w:val="20"/>
        </w:rPr>
        <w:t>’</w:t>
      </w:r>
    </w:p>
    <w:p w14:paraId="4DFF519D" w14:textId="77777777" w:rsidR="00721AC9" w:rsidRPr="00DC655E" w:rsidRDefault="00075FAE" w:rsidP="00721AC9">
      <w:pPr>
        <w:pStyle w:val="Numberbullet0"/>
        <w:rPr>
          <w:b/>
          <w:i/>
          <w:noProof/>
        </w:rPr>
      </w:pPr>
      <w:r w:rsidRPr="00DC655E">
        <w:rPr>
          <w:b/>
          <w:i/>
          <w:noProof/>
        </w:rPr>
        <w:t>Please comment on the need for monitoring of blood glucose levels.</w:t>
      </w:r>
    </w:p>
    <w:p w14:paraId="56EAD91D" w14:textId="77777777" w:rsidR="00721AC9" w:rsidRDefault="00075FAE" w:rsidP="00721AC9">
      <w:pPr>
        <w:pStyle w:val="Numberbullet0"/>
        <w:numPr>
          <w:ilvl w:val="0"/>
          <w:numId w:val="0"/>
        </w:numPr>
        <w:ind w:left="567"/>
        <w:rPr>
          <w:rFonts w:eastAsia="Times New Roman"/>
          <w:noProof/>
          <w:szCs w:val="20"/>
        </w:rPr>
      </w:pPr>
      <w:r w:rsidRPr="00721AC9">
        <w:rPr>
          <w:noProof/>
        </w:rPr>
        <w:t>The ACM was of the view that blood glucose monitoring should be advised during the dose optimisation phase, as well as during periods of illness or inadequate nutritional intake. The ACM suggested that wording should be included to ensure that parents are trained in blood glucose analysis and that they have access to appropriate equipment to enable them to perform it.</w:t>
      </w:r>
    </w:p>
    <w:p w14:paraId="0A9808A7" w14:textId="77777777" w:rsidR="00721AC9" w:rsidRPr="00DC655E" w:rsidRDefault="00075FAE" w:rsidP="00721AC9">
      <w:pPr>
        <w:pStyle w:val="Numberbullet0"/>
        <w:rPr>
          <w:b/>
          <w:i/>
          <w:noProof/>
        </w:rPr>
      </w:pPr>
      <w:r w:rsidRPr="00DC655E">
        <w:rPr>
          <w:b/>
          <w:i/>
          <w:noProof/>
        </w:rPr>
        <w:t>Please comment on the labelling of benzyl alcohol as an excipient.</w:t>
      </w:r>
    </w:p>
    <w:p w14:paraId="05909D5A" w14:textId="77777777" w:rsidR="00075FAE" w:rsidRPr="009B6348" w:rsidRDefault="00075FAE" w:rsidP="00721AC9">
      <w:pPr>
        <w:pStyle w:val="Numberbullet0"/>
        <w:numPr>
          <w:ilvl w:val="0"/>
          <w:numId w:val="0"/>
        </w:numPr>
        <w:ind w:left="567"/>
        <w:rPr>
          <w:b/>
          <w:noProof/>
        </w:rPr>
      </w:pPr>
      <w:r w:rsidRPr="00721AC9">
        <w:rPr>
          <w:noProof/>
        </w:rPr>
        <w:t>The ACM agreed with the Delegate that the risk posed by the use of benzyl alcohol as an excipient was overstated. The ACM noted that current warnings were in line with EU guidelines and considered that the need for this warning could be reviewed on a wide scale basis at a later stage, but for the moment considered</w:t>
      </w:r>
      <w:r>
        <w:rPr>
          <w:noProof/>
        </w:rPr>
        <w:t xml:space="preserve"> it reasonable to retain the warning for this product, with a modification to allow for use from 2 y</w:t>
      </w:r>
      <w:r w:rsidR="00721AC9">
        <w:rPr>
          <w:noProof/>
        </w:rPr>
        <w:t>ea</w:t>
      </w:r>
      <w:r>
        <w:rPr>
          <w:noProof/>
        </w:rPr>
        <w:t>rs of age.</w:t>
      </w:r>
    </w:p>
    <w:p w14:paraId="17F13F65" w14:textId="77777777" w:rsidR="00721AC9" w:rsidRPr="00DC655E" w:rsidRDefault="00075FAE" w:rsidP="00721AC9">
      <w:pPr>
        <w:pStyle w:val="Numberbullet0"/>
        <w:rPr>
          <w:b/>
          <w:i/>
          <w:noProof/>
        </w:rPr>
      </w:pPr>
      <w:r w:rsidRPr="00DC655E">
        <w:rPr>
          <w:b/>
          <w:i/>
          <w:noProof/>
        </w:rPr>
        <w:t>Do you consider the cases of malignancy detected in the post market data base of sufficient concern to prevent registration? Please comment on the adequacy of wording in the PI.</w:t>
      </w:r>
    </w:p>
    <w:p w14:paraId="1D19B3ED" w14:textId="3C7B8FB8" w:rsidR="00721AC9" w:rsidRDefault="00075FAE" w:rsidP="00721AC9">
      <w:pPr>
        <w:pStyle w:val="Numberbullet0"/>
        <w:numPr>
          <w:ilvl w:val="0"/>
          <w:numId w:val="0"/>
        </w:numPr>
        <w:ind w:left="567"/>
        <w:rPr>
          <w:noProof/>
        </w:rPr>
      </w:pPr>
      <w:r>
        <w:rPr>
          <w:noProof/>
        </w:rPr>
        <w:t>The ACM did not consider the cases of malignancy detected in post market data to be of sufficient concern as to prevent registration. However, the ACM was of the view that the PI should be amended to emphasise the importance of monitoring IGF</w:t>
      </w:r>
      <w:r w:rsidR="00F52E99">
        <w:rPr>
          <w:noProof/>
        </w:rPr>
        <w:noBreakHyphen/>
        <w:t>1</w:t>
      </w:r>
      <w:r>
        <w:rPr>
          <w:noProof/>
        </w:rPr>
        <w:t xml:space="preserve"> levels during treatment to ensure they remain within normal range, and to advise baseline and biannnual skin surveillance while on treatment.</w:t>
      </w:r>
    </w:p>
    <w:p w14:paraId="7E184158" w14:textId="77777777" w:rsidR="00721AC9" w:rsidRPr="00DC655E" w:rsidRDefault="00075FAE" w:rsidP="00721AC9">
      <w:pPr>
        <w:pStyle w:val="Numberbullet0"/>
        <w:rPr>
          <w:b/>
          <w:i/>
        </w:rPr>
      </w:pPr>
      <w:r w:rsidRPr="00DC655E">
        <w:rPr>
          <w:b/>
          <w:i/>
          <w:noProof/>
        </w:rPr>
        <w:t>Please comment on the likelihood of clinicians using this medicine in patients with less severe forms of growth failure who do not respond to GH.</w:t>
      </w:r>
    </w:p>
    <w:p w14:paraId="038FBA4B" w14:textId="2601E6F7" w:rsidR="00075FAE" w:rsidRPr="009B6348" w:rsidRDefault="00075FAE" w:rsidP="00721AC9">
      <w:pPr>
        <w:pStyle w:val="Numberbullet0"/>
        <w:numPr>
          <w:ilvl w:val="0"/>
          <w:numId w:val="0"/>
        </w:numPr>
        <w:ind w:left="567"/>
      </w:pPr>
      <w:r w:rsidRPr="003E0320">
        <w:rPr>
          <w:noProof/>
        </w:rPr>
        <w:lastRenderedPageBreak/>
        <w:t>The ACM advised that there is significant risk of inappropriate prescribing for patients who do not have a true primary IGF</w:t>
      </w:r>
      <w:r w:rsidR="00F52E99">
        <w:rPr>
          <w:noProof/>
        </w:rPr>
        <w:t>D</w:t>
      </w:r>
      <w:r w:rsidRPr="003E0320">
        <w:rPr>
          <w:noProof/>
        </w:rPr>
        <w:t>, based on current experience in the US where this product is registered. The ACM proposed several amendments to the wording of the indication to further restrict the use of the product to those patients with a proven mutation in the GH/IGF axis, consistent with severe IGF</w:t>
      </w:r>
      <w:r w:rsidR="00F52E99">
        <w:rPr>
          <w:noProof/>
        </w:rPr>
        <w:t>D</w:t>
      </w:r>
      <w:r w:rsidRPr="003E0320">
        <w:rPr>
          <w:noProof/>
        </w:rPr>
        <w:t>. The ACM also advised that the IGF</w:t>
      </w:r>
      <w:r w:rsidR="00F52E99">
        <w:rPr>
          <w:noProof/>
        </w:rPr>
        <w:t xml:space="preserve"> g</w:t>
      </w:r>
      <w:r w:rsidRPr="003E0320">
        <w:rPr>
          <w:noProof/>
        </w:rPr>
        <w:t>eneration test should be a requirement for treatment in order to demonstrate the presence of low IGF-1, and that a criterion for baseline height velocity below the 25</w:t>
      </w:r>
      <w:r w:rsidRPr="00BB05B7">
        <w:rPr>
          <w:noProof/>
        </w:rPr>
        <w:t>th</w:t>
      </w:r>
      <w:r w:rsidRPr="003E0320">
        <w:rPr>
          <w:noProof/>
        </w:rPr>
        <w:t xml:space="preserve"> percentile should be added in order to be consistent with requirements for treatment with GH.</w:t>
      </w:r>
    </w:p>
    <w:p w14:paraId="3BEA8352" w14:textId="257D0F88" w:rsidR="00075FAE" w:rsidRPr="009B6348" w:rsidRDefault="00DC655E" w:rsidP="00FF7059">
      <w:pPr>
        <w:pStyle w:val="Heading5"/>
      </w:pPr>
      <w:r>
        <w:t>General a</w:t>
      </w:r>
      <w:r w:rsidR="00075FAE" w:rsidRPr="009B6348">
        <w:t>dvice</w:t>
      </w:r>
    </w:p>
    <w:p w14:paraId="2EBCC3D8" w14:textId="77777777" w:rsidR="00075FAE" w:rsidRPr="004E7818" w:rsidRDefault="00075FAE" w:rsidP="00075FAE">
      <w:r>
        <w:t>The ACM was of the view that the PI and CMI should be amended to more fully inform prescribers and patients of the post marketing surveillance information and risks relating to malignancy, and that appropriate prescriber education on this issue should be undertaken.</w:t>
      </w:r>
    </w:p>
    <w:p w14:paraId="1AB21441" w14:textId="77777777" w:rsidR="008E7846" w:rsidRPr="002E238E" w:rsidRDefault="008E7846" w:rsidP="008E7846">
      <w:pPr>
        <w:pStyle w:val="Heading3"/>
      </w:pPr>
      <w:bookmarkStart w:id="49" w:name="_Toc34901642"/>
      <w:r>
        <w:t>Outcome</w:t>
      </w:r>
      <w:bookmarkEnd w:id="47"/>
      <w:bookmarkEnd w:id="48"/>
      <w:bookmarkEnd w:id="49"/>
    </w:p>
    <w:p w14:paraId="3CBFD2D6" w14:textId="15409128" w:rsidR="00D23139" w:rsidRPr="00D23139" w:rsidRDefault="00D23139" w:rsidP="00D23139">
      <w:bookmarkStart w:id="50" w:name="_Toc247691533"/>
      <w:bookmarkStart w:id="51" w:name="_Toc314842517"/>
      <w:r w:rsidRPr="00D23139">
        <w:t xml:space="preserve">Based on a review of quality, safety and efficacy, </w:t>
      </w:r>
      <w:r w:rsidR="00F52E99">
        <w:t xml:space="preserve">the </w:t>
      </w:r>
      <w:r w:rsidRPr="00D23139">
        <w:t xml:space="preserve">TGA approved the registration of </w:t>
      </w:r>
      <w:proofErr w:type="spellStart"/>
      <w:r w:rsidR="00075FAE">
        <w:t>Increlex</w:t>
      </w:r>
      <w:proofErr w:type="spellEnd"/>
      <w:r w:rsidR="00075FAE">
        <w:t xml:space="preserve"> (</w:t>
      </w:r>
      <w:proofErr w:type="spellStart"/>
      <w:r w:rsidR="00075FAE" w:rsidRPr="00BE4D41">
        <w:rPr>
          <w:rFonts w:cstheme="majorHAnsi"/>
          <w:color w:val="000000"/>
        </w:rPr>
        <w:t>mecasermin</w:t>
      </w:r>
      <w:proofErr w:type="spellEnd"/>
      <w:r w:rsidR="00075FAE" w:rsidRPr="00BE4D41">
        <w:rPr>
          <w:rFonts w:cstheme="majorHAnsi"/>
          <w:color w:val="000000"/>
        </w:rPr>
        <w:t xml:space="preserve"> </w:t>
      </w:r>
      <w:r w:rsidR="00075FAE">
        <w:rPr>
          <w:rFonts w:cstheme="majorHAnsi"/>
          <w:color w:val="000000"/>
        </w:rPr>
        <w:t>10 mg/mL) solution for injection</w:t>
      </w:r>
      <w:r w:rsidRPr="00D23139">
        <w:t>, indicated:</w:t>
      </w:r>
    </w:p>
    <w:p w14:paraId="260831B0" w14:textId="77777777" w:rsidR="00075FAE" w:rsidRPr="00BB05B7" w:rsidRDefault="00075FAE" w:rsidP="00BB05B7">
      <w:pPr>
        <w:ind w:left="720"/>
        <w:rPr>
          <w:i/>
        </w:rPr>
      </w:pPr>
      <w:r w:rsidRPr="00BB05B7">
        <w:rPr>
          <w:i/>
        </w:rPr>
        <w:t>For the long-term treatment of growth failure in children and adolescents from 2 to 18 years with severe primary insulin-like growth factor 1 deficiency (Primary IGFD).</w:t>
      </w:r>
    </w:p>
    <w:p w14:paraId="2366ED87" w14:textId="77777777" w:rsidR="00075FAE" w:rsidRPr="00BB05B7" w:rsidRDefault="00075FAE" w:rsidP="00BB05B7">
      <w:pPr>
        <w:ind w:left="720"/>
        <w:rPr>
          <w:i/>
        </w:rPr>
      </w:pPr>
      <w:r w:rsidRPr="00BB05B7">
        <w:rPr>
          <w:i/>
        </w:rPr>
        <w:t>Severe Primary IGFD is defined by:</w:t>
      </w:r>
    </w:p>
    <w:p w14:paraId="3EB31D8C" w14:textId="77777777" w:rsidR="00075FAE" w:rsidRPr="00BB05B7" w:rsidRDefault="00075FAE" w:rsidP="00BB05B7">
      <w:pPr>
        <w:pStyle w:val="ListBullet"/>
        <w:ind w:left="1080"/>
        <w:rPr>
          <w:i/>
        </w:rPr>
      </w:pPr>
      <w:r w:rsidRPr="00BB05B7">
        <w:rPr>
          <w:i/>
        </w:rPr>
        <w:t>Height standard deviation score ≤ –3.0 and</w:t>
      </w:r>
    </w:p>
    <w:p w14:paraId="788164F7" w14:textId="77777777" w:rsidR="00075FAE" w:rsidRPr="00BB05B7" w:rsidRDefault="00075FAE" w:rsidP="00BB05B7">
      <w:pPr>
        <w:pStyle w:val="ListBullet"/>
        <w:ind w:left="1080"/>
        <w:rPr>
          <w:i/>
        </w:rPr>
      </w:pPr>
      <w:r w:rsidRPr="00BB05B7">
        <w:rPr>
          <w:i/>
        </w:rPr>
        <w:t>Baseline height velocity less than the 25th percentile for bone age, based on two measurements over 12 months and</w:t>
      </w:r>
    </w:p>
    <w:p w14:paraId="170B4128" w14:textId="77777777" w:rsidR="00075FAE" w:rsidRPr="00BB05B7" w:rsidRDefault="00075FAE" w:rsidP="00BB05B7">
      <w:pPr>
        <w:pStyle w:val="ListBullet"/>
        <w:ind w:left="1080"/>
        <w:rPr>
          <w:i/>
        </w:rPr>
      </w:pPr>
      <w:r w:rsidRPr="00BB05B7">
        <w:rPr>
          <w:i/>
        </w:rPr>
        <w:t>Basal IGF-1 levels below the 2.5th percentile for age and gender and</w:t>
      </w:r>
    </w:p>
    <w:p w14:paraId="25CF64E3" w14:textId="77777777" w:rsidR="00075FAE" w:rsidRPr="00BB05B7" w:rsidRDefault="00075FAE" w:rsidP="00BB05B7">
      <w:pPr>
        <w:pStyle w:val="ListBullet"/>
        <w:ind w:left="1080"/>
        <w:rPr>
          <w:i/>
        </w:rPr>
      </w:pPr>
      <w:r w:rsidRPr="00BB05B7">
        <w:rPr>
          <w:i/>
        </w:rPr>
        <w:t>GH sufficiency.</w:t>
      </w:r>
    </w:p>
    <w:p w14:paraId="205E2BA3" w14:textId="77777777" w:rsidR="00075FAE" w:rsidRPr="00BB05B7" w:rsidRDefault="00075FAE" w:rsidP="00BB05B7">
      <w:pPr>
        <w:pStyle w:val="ListBullet"/>
        <w:ind w:left="1080"/>
        <w:rPr>
          <w:i/>
        </w:rPr>
      </w:pPr>
      <w:r w:rsidRPr="00BB05B7">
        <w:rPr>
          <w:i/>
        </w:rPr>
        <w:t>Exclusion of secondary forms of IGF-1 deficiency, such as malnutrition, hypopituitarism, hypothyroidism, or chronic treatment with pharmacologic doses of anti-inflammatory steroids.</w:t>
      </w:r>
    </w:p>
    <w:p w14:paraId="57BCD784" w14:textId="77777777" w:rsidR="00075FAE" w:rsidRPr="00BB05B7" w:rsidRDefault="00075FAE" w:rsidP="00BB05B7">
      <w:pPr>
        <w:pStyle w:val="ListBullet"/>
        <w:ind w:left="1080"/>
        <w:rPr>
          <w:rFonts w:eastAsia="MS Mincho"/>
          <w:i/>
          <w:lang w:eastAsia="ja-JP"/>
        </w:rPr>
      </w:pPr>
      <w:r w:rsidRPr="00BB05B7">
        <w:rPr>
          <w:i/>
        </w:rPr>
        <w:t>IGF-1 and GH levels must be performed using validated assays with paediatric normal ranges.</w:t>
      </w:r>
    </w:p>
    <w:p w14:paraId="02A4D1DA" w14:textId="77777777" w:rsidR="00D23139" w:rsidRPr="00D23139" w:rsidRDefault="00D23139" w:rsidP="00D23139">
      <w:pPr>
        <w:pStyle w:val="Heading4"/>
      </w:pPr>
      <w:r w:rsidRPr="00D23139">
        <w:t>Specific conditions of registration applying to these goods</w:t>
      </w:r>
    </w:p>
    <w:p w14:paraId="08134515" w14:textId="186EE402" w:rsidR="004124B2" w:rsidRPr="00BE4D41" w:rsidRDefault="004124B2" w:rsidP="004124B2">
      <w:pPr>
        <w:pStyle w:val="ListBullet"/>
      </w:pPr>
      <w:proofErr w:type="spellStart"/>
      <w:r w:rsidRPr="00BE4D41">
        <w:t>Increlex</w:t>
      </w:r>
      <w:proofErr w:type="spellEnd"/>
      <w:r w:rsidRPr="00BE4D41">
        <w:t xml:space="preserve"> (</w:t>
      </w:r>
      <w:proofErr w:type="spellStart"/>
      <w:r w:rsidRPr="00BE4D41">
        <w:t>mecasermin</w:t>
      </w:r>
      <w:proofErr w:type="spellEnd"/>
      <w:r w:rsidRPr="00BE4D41">
        <w:t xml:space="preserve">) is to be included in the Black </w:t>
      </w:r>
      <w:r>
        <w:t xml:space="preserve">Triangle Scheme. The </w:t>
      </w:r>
      <w:r w:rsidR="00DC655E">
        <w:t>PI</w:t>
      </w:r>
      <w:r>
        <w:t xml:space="preserve"> and </w:t>
      </w:r>
      <w:r w:rsidR="00DC655E">
        <w:t>CMI</w:t>
      </w:r>
      <w:r>
        <w:t xml:space="preserve"> </w:t>
      </w:r>
      <w:r w:rsidRPr="00BE4D41">
        <w:t xml:space="preserve">for </w:t>
      </w:r>
      <w:proofErr w:type="spellStart"/>
      <w:r w:rsidRPr="00BE4D41">
        <w:t>Increlex</w:t>
      </w:r>
      <w:proofErr w:type="spellEnd"/>
      <w:r w:rsidRPr="00BE4D41">
        <w:t xml:space="preserve"> must include the black triangle sy</w:t>
      </w:r>
      <w:r>
        <w:t xml:space="preserve">mbol and mandatory accompanying </w:t>
      </w:r>
      <w:r w:rsidRPr="00BE4D41">
        <w:t xml:space="preserve">text for five years, which starts from the date that </w:t>
      </w:r>
      <w:r>
        <w:t xml:space="preserve">the sponsor notifies the TGA of </w:t>
      </w:r>
      <w:r w:rsidRPr="00BE4D41">
        <w:t>supply of the product.</w:t>
      </w:r>
    </w:p>
    <w:p w14:paraId="664DE28A" w14:textId="2E45D584" w:rsidR="004124B2" w:rsidRPr="00CB4585" w:rsidRDefault="004124B2" w:rsidP="004124B2">
      <w:pPr>
        <w:pStyle w:val="ListBullet"/>
      </w:pPr>
      <w:r w:rsidRPr="00CB4585">
        <w:t xml:space="preserve">The </w:t>
      </w:r>
      <w:proofErr w:type="spellStart"/>
      <w:r w:rsidRPr="00CB4585">
        <w:t>Increlex</w:t>
      </w:r>
      <w:proofErr w:type="spellEnd"/>
      <w:r w:rsidRPr="00CB4585">
        <w:t xml:space="preserve"> </w:t>
      </w:r>
      <w:proofErr w:type="spellStart"/>
      <w:r w:rsidRPr="00CB4585">
        <w:t>mecasermin</w:t>
      </w:r>
      <w:proofErr w:type="spellEnd"/>
      <w:r w:rsidRPr="00CB4585">
        <w:t xml:space="preserve"> </w:t>
      </w:r>
      <w:r w:rsidR="00DC655E">
        <w:t>EU-RMP</w:t>
      </w:r>
      <w:r w:rsidRPr="00CB4585">
        <w:t xml:space="preserve">, version 11.3, dated 22 October 2019, (data lock point 31 </w:t>
      </w:r>
      <w:r w:rsidR="00DC655E">
        <w:t>January 2018), with Australian s</w:t>
      </w:r>
      <w:r w:rsidRPr="00CB4585">
        <w:t>pecific Annex, version 3.0, dated 8 November 2019, included with submission PM-2018-03520-1-5, and any subsequent revisions, as agreed with the TGA will be implemented in Australia.</w:t>
      </w:r>
    </w:p>
    <w:p w14:paraId="54F8A389" w14:textId="77777777" w:rsidR="004124B2" w:rsidRPr="00CB4585" w:rsidRDefault="004124B2" w:rsidP="004124B2">
      <w:pPr>
        <w:pStyle w:val="ListBullet"/>
        <w:numPr>
          <w:ilvl w:val="0"/>
          <w:numId w:val="0"/>
        </w:numPr>
        <w:ind w:left="360"/>
      </w:pPr>
      <w:r w:rsidRPr="00CB4585">
        <w:t>Any changes to which the sponsor has agreed should be included in a revised RMP and ASA. However, irrespective of whether or not they are included in the currently available version of the RMP document, the agreed changes become part of the risk management system.</w:t>
      </w:r>
    </w:p>
    <w:p w14:paraId="61A6A066" w14:textId="77777777" w:rsidR="004124B2" w:rsidRDefault="004124B2" w:rsidP="004124B2">
      <w:pPr>
        <w:pStyle w:val="ListBullet"/>
        <w:numPr>
          <w:ilvl w:val="0"/>
          <w:numId w:val="0"/>
        </w:numPr>
        <w:ind w:left="360"/>
      </w:pPr>
      <w:r>
        <w:lastRenderedPageBreak/>
        <w:t>An obligatory component of risk management plans is routine pharmacovigilance. Routine pharmacovigilance includes the submission of periodic safety update reports (PSURs).</w:t>
      </w:r>
    </w:p>
    <w:p w14:paraId="50645CE5" w14:textId="77777777" w:rsidR="004124B2" w:rsidRDefault="004124B2" w:rsidP="004124B2">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this approval letter.</w:t>
      </w:r>
    </w:p>
    <w:p w14:paraId="354C8FFD" w14:textId="77777777" w:rsidR="004124B2" w:rsidRDefault="004124B2" w:rsidP="004124B2">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553CABBC" w14:textId="4E2B5C28" w:rsidR="004124B2" w:rsidRPr="00ED2FC3" w:rsidRDefault="004124B2" w:rsidP="004124B2">
      <w:pPr>
        <w:pStyle w:val="ListBullet"/>
        <w:rPr>
          <w:lang w:eastAsia="en-AU"/>
        </w:rPr>
      </w:pPr>
      <w:r>
        <w:rPr>
          <w:lang w:eastAsia="en-AU"/>
        </w:rPr>
        <w:t xml:space="preserve">For all injectable </w:t>
      </w:r>
      <w:r w:rsidR="008A27FF">
        <w:rPr>
          <w:lang w:eastAsia="en-AU"/>
        </w:rPr>
        <w:t>products,</w:t>
      </w:r>
      <w:r>
        <w:rPr>
          <w:lang w:eastAsia="en-AU"/>
        </w:rPr>
        <w:t xml:space="preserve"> the </w:t>
      </w:r>
      <w:r w:rsidR="00DC655E">
        <w:rPr>
          <w:lang w:eastAsia="en-AU"/>
        </w:rPr>
        <w:t>PI</w:t>
      </w:r>
      <w:r>
        <w:rPr>
          <w:lang w:eastAsia="en-AU"/>
        </w:rPr>
        <w:t xml:space="preserve"> must be included with the product as a package insert.</w:t>
      </w:r>
    </w:p>
    <w:p w14:paraId="13952870" w14:textId="429583F4" w:rsidR="004124B2" w:rsidRDefault="004124B2" w:rsidP="004124B2">
      <w:pPr>
        <w:pStyle w:val="ListBullet"/>
      </w:pPr>
      <w:r>
        <w:t xml:space="preserve">The </w:t>
      </w:r>
      <w:r w:rsidR="00DC655E">
        <w:t>CMI</w:t>
      </w:r>
      <w:r>
        <w:t xml:space="preserve"> must be included with the products as a package insert. The CMI should have a link to the full version of the PI on the TGA website.</w:t>
      </w:r>
    </w:p>
    <w:p w14:paraId="5C3CFBB2" w14:textId="77777777" w:rsidR="004124B2" w:rsidRDefault="004124B2" w:rsidP="004124B2">
      <w:pPr>
        <w:pStyle w:val="ListBullet"/>
      </w:pPr>
      <w:r>
        <w:t>Batch release testing &amp; compliance with Certified Product Details (CPD)</w:t>
      </w:r>
    </w:p>
    <w:p w14:paraId="2A90BF8C" w14:textId="77777777" w:rsidR="004124B2" w:rsidRDefault="004124B2" w:rsidP="004124B2">
      <w:pPr>
        <w:pStyle w:val="ListBullet2"/>
      </w:pPr>
      <w:r>
        <w:t xml:space="preserve">All batches of </w:t>
      </w:r>
      <w:proofErr w:type="spellStart"/>
      <w:r>
        <w:t>Increlex</w:t>
      </w:r>
      <w:proofErr w:type="spellEnd"/>
      <w:r>
        <w:t xml:space="preserve"> imported into/manufactured in Australia must comply with the product details and specifications approved during evaluation and detailed in the Certified Product Details (CPD).</w:t>
      </w:r>
    </w:p>
    <w:p w14:paraId="0E111635" w14:textId="77777777" w:rsidR="004124B2" w:rsidRDefault="004124B2" w:rsidP="004124B2">
      <w:pPr>
        <w:pStyle w:val="ListBullet2"/>
      </w:pPr>
      <w:r>
        <w:t xml:space="preserve">Each batch of </w:t>
      </w:r>
      <w:proofErr w:type="spellStart"/>
      <w:r>
        <w:t>Increlex</w:t>
      </w:r>
      <w:proofErr w:type="spellEnd"/>
      <w:r>
        <w:t xml:space="preserve"> imported into/manufactured in Australia is not released for sale until samples and/or the manufacturer’s release data have been assessed and endorsed for release by the TGA Laboratories Branch. Outcomes of laboratory testing are published biannually in the TGA Database of Laboratory Testing Results http://www.tga.gov.au/ws-labs-index.</w:t>
      </w:r>
    </w:p>
    <w:p w14:paraId="408DB982" w14:textId="77777777" w:rsidR="004124B2" w:rsidRDefault="004124B2" w:rsidP="005608C9">
      <w:pPr>
        <w:pStyle w:val="ListBullet2"/>
      </w:pPr>
      <w:r>
        <w:t xml:space="preserve">The sponsor should be prepared to provide product samples, reference materials and documentary evidence as defined by the TGA Laboratories Branch. The sponsor must contact Biochemistry.Testing@health.gov.au for specific material requirements related to the batch release testing/assessment of the product. More information on TGA testing of biological medicines is available at </w:t>
      </w:r>
      <w:hyperlink r:id="rId18" w:history="1">
        <w:r w:rsidRPr="001131CF">
          <w:rPr>
            <w:rStyle w:val="Hyperlink"/>
          </w:rPr>
          <w:t>https://www.tga.gov.au/publication/testing-biological-medicines</w:t>
        </w:r>
      </w:hyperlink>
      <w:r>
        <w:t>.</w:t>
      </w:r>
    </w:p>
    <w:p w14:paraId="18128A4B" w14:textId="77777777" w:rsidR="004124B2" w:rsidRDefault="004124B2" w:rsidP="004124B2">
      <w:pPr>
        <w:pStyle w:val="ListBullet2"/>
        <w:numPr>
          <w:ilvl w:val="0"/>
          <w:numId w:val="0"/>
        </w:numPr>
        <w:ind w:left="720"/>
      </w:pPr>
      <w:r>
        <w:t>This batch release condition will be reviewed and may be modified on the basis of actual batch quality and consistency. This condition remains in place until you are notified in writing of any variation.</w:t>
      </w:r>
    </w:p>
    <w:p w14:paraId="1A501F76" w14:textId="77777777" w:rsidR="008E7846" w:rsidRDefault="00A80B5B" w:rsidP="00D23139">
      <w:pPr>
        <w:pStyle w:val="Heading2"/>
      </w:pPr>
      <w:bookmarkStart w:id="52" w:name="_Toc34901643"/>
      <w:r>
        <w:t xml:space="preserve">Attachment 1. </w:t>
      </w:r>
      <w:r w:rsidR="008E7846">
        <w:t xml:space="preserve">Product </w:t>
      </w:r>
      <w:r w:rsidR="00AA0ED0">
        <w:t>I</w:t>
      </w:r>
      <w:r w:rsidR="008E7846">
        <w:t>nformation</w:t>
      </w:r>
      <w:bookmarkEnd w:id="50"/>
      <w:bookmarkEnd w:id="51"/>
      <w:bookmarkEnd w:id="52"/>
    </w:p>
    <w:p w14:paraId="0ED3BEE6" w14:textId="77777777" w:rsidR="00C80137" w:rsidRPr="001D043B" w:rsidRDefault="006136D7" w:rsidP="001E39F1">
      <w:pPr>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r w:rsidRPr="002B3624">
        <w:t xml:space="preserve">The </w:t>
      </w:r>
      <w:r>
        <w:t>PI</w:t>
      </w:r>
      <w:r w:rsidRPr="002B3624">
        <w:t xml:space="preserve"> for </w:t>
      </w:r>
      <w:proofErr w:type="spellStart"/>
      <w:r w:rsidR="004124B2">
        <w:t>Increlex</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3" w:history="1">
        <w:r w:rsidR="007C6B9B" w:rsidRPr="007C6B9B">
          <w:rPr>
            <w:rStyle w:val="Hyperlink"/>
          </w:rPr>
          <w:t>https://www.tga.gov.au/product-information-pi</w:t>
        </w:r>
      </w:hyperlink>
      <w:r w:rsidR="001E39F1">
        <w:t>&gt;.</w:t>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38663AF" w14:textId="77777777" w:rsidTr="00A05FA4">
        <w:trPr>
          <w:trHeight w:hRule="exact" w:val="704"/>
        </w:trPr>
        <w:tc>
          <w:tcPr>
            <w:tcW w:w="9175" w:type="dxa"/>
          </w:tcPr>
          <w:p w14:paraId="6C4F268A" w14:textId="77777777" w:rsidR="001C32CD" w:rsidRPr="00487162" w:rsidRDefault="001C32CD" w:rsidP="00A05FA4">
            <w:pPr>
              <w:pStyle w:val="TGASignoff"/>
            </w:pPr>
            <w:r w:rsidRPr="00487162">
              <w:lastRenderedPageBreak/>
              <w:t>Therapeutic Goods Administration</w:t>
            </w:r>
          </w:p>
        </w:tc>
      </w:tr>
      <w:tr w:rsidR="001C32CD" w:rsidRPr="004C239D" w14:paraId="14CA42EB" w14:textId="77777777" w:rsidTr="00A05FA4">
        <w:trPr>
          <w:trHeight w:val="1221"/>
        </w:trPr>
        <w:tc>
          <w:tcPr>
            <w:tcW w:w="9175" w:type="dxa"/>
            <w:tcMar>
              <w:top w:w="28" w:type="dxa"/>
            </w:tcMar>
          </w:tcPr>
          <w:p w14:paraId="45AB0B9D" w14:textId="77777777" w:rsidR="001C32CD" w:rsidRPr="00487162" w:rsidRDefault="001C32CD" w:rsidP="00A05FA4">
            <w:pPr>
              <w:pStyle w:val="Address"/>
            </w:pPr>
            <w:r w:rsidRPr="00487162">
              <w:t>PO Box 100 Woden ACT 2606 Australia</w:t>
            </w:r>
          </w:p>
          <w:p w14:paraId="4DE9541C"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Pr="00487162">
              <w:t xml:space="preserve">  Phone: 1800 020 653  Fax: 02 6232 8605</w:t>
            </w:r>
          </w:p>
          <w:p w14:paraId="0B4C9A5B" w14:textId="77777777" w:rsidR="001C32CD" w:rsidRPr="004C239D" w:rsidRDefault="004824A4"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2E75EB24"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10FDBA" w16cid:durableId="21F8E38C"/>
  <w16cid:commentId w16cid:paraId="48E28BEE" w16cid:durableId="21F8E4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6062A" w14:textId="77777777" w:rsidR="004824A4" w:rsidRDefault="004824A4" w:rsidP="00C40A36">
      <w:pPr>
        <w:spacing w:after="0"/>
      </w:pPr>
      <w:r>
        <w:separator/>
      </w:r>
    </w:p>
  </w:endnote>
  <w:endnote w:type="continuationSeparator" w:id="0">
    <w:p w14:paraId="1E4214FC" w14:textId="77777777" w:rsidR="004824A4" w:rsidRDefault="004824A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81" w:usb1="08070000" w:usb2="00000010" w:usb3="00000000" w:csb0="00020008" w:csb1="00000000"/>
  </w:font>
  <w:font w:name="Segoe UI Symbol">
    <w:panose1 w:val="020B0502040204020203"/>
    <w:charset w:val="00"/>
    <w:family w:val="swiss"/>
    <w:pitch w:val="variable"/>
    <w:sig w:usb0="800001E3" w:usb1="1200FFEF" w:usb2="0004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08F71" w14:textId="77777777" w:rsidR="004824A4" w:rsidRDefault="00482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4824A4" w:rsidRPr="00487162" w14:paraId="73DE76B9" w14:textId="77777777" w:rsidTr="00DB750B">
      <w:trPr>
        <w:trHeight w:val="269"/>
      </w:trPr>
      <w:tc>
        <w:tcPr>
          <w:tcW w:w="7371" w:type="dxa"/>
          <w:tcMar>
            <w:top w:w="142" w:type="dxa"/>
            <w:bottom w:w="0" w:type="dxa"/>
          </w:tcMar>
        </w:tcPr>
        <w:p w14:paraId="37A12E5F" w14:textId="6D2BABA3" w:rsidR="004824A4" w:rsidRPr="00487162" w:rsidRDefault="004824A4" w:rsidP="00BB05B7">
          <w:pPr>
            <w:pStyle w:val="Footer"/>
          </w:pPr>
          <w:r w:rsidRPr="00487162">
            <w:t>AusPA</w:t>
          </w:r>
          <w:r>
            <w:t xml:space="preserve">R - </w:t>
          </w:r>
          <w:proofErr w:type="spellStart"/>
          <w:r>
            <w:t>Increlex</w:t>
          </w:r>
          <w:proofErr w:type="spellEnd"/>
          <w:r>
            <w:t xml:space="preserve"> - </w:t>
          </w:r>
          <w:proofErr w:type="spellStart"/>
          <w:r w:rsidRPr="00BE4D41">
            <w:rPr>
              <w:rFonts w:cstheme="majorHAnsi"/>
              <w:color w:val="000000"/>
            </w:rPr>
            <w:t>mecasermin</w:t>
          </w:r>
          <w:proofErr w:type="spellEnd"/>
          <w:r>
            <w:rPr>
              <w:rFonts w:cstheme="majorHAnsi"/>
              <w:color w:val="000000"/>
            </w:rPr>
            <w:t xml:space="preserve"> - </w:t>
          </w:r>
          <w:proofErr w:type="spellStart"/>
          <w:r>
            <w:t>Ipsen</w:t>
          </w:r>
          <w:proofErr w:type="spellEnd"/>
          <w:r>
            <w:t xml:space="preserve"> Pty Ltd - </w:t>
          </w:r>
          <w:r w:rsidRPr="00B4662F">
            <w:t>PM-2018-03520-1-5</w:t>
          </w:r>
          <w:r>
            <w:br/>
            <w:t>FINAL 5 March 2020</w:t>
          </w:r>
        </w:p>
      </w:tc>
      <w:tc>
        <w:tcPr>
          <w:tcW w:w="1490" w:type="dxa"/>
          <w:tcMar>
            <w:top w:w="142" w:type="dxa"/>
            <w:bottom w:w="0" w:type="dxa"/>
          </w:tcMar>
        </w:tcPr>
        <w:p w14:paraId="3D7CB2A7" w14:textId="4F3D002D" w:rsidR="004824A4" w:rsidRPr="00487162" w:rsidRDefault="004824A4" w:rsidP="00DB750B">
          <w:pPr>
            <w:pStyle w:val="Footer"/>
            <w:jc w:val="right"/>
          </w:pPr>
          <w:r w:rsidRPr="00487162">
            <w:t xml:space="preserve">Page </w:t>
          </w:r>
          <w:r>
            <w:fldChar w:fldCharType="begin"/>
          </w:r>
          <w:r>
            <w:instrText xml:space="preserve"> PAGE  \* Arabic </w:instrText>
          </w:r>
          <w:r>
            <w:fldChar w:fldCharType="separate"/>
          </w:r>
          <w:r w:rsidR="00885D37">
            <w:rPr>
              <w:noProof/>
            </w:rPr>
            <w:t>3</w:t>
          </w:r>
          <w:r>
            <w:fldChar w:fldCharType="end"/>
          </w:r>
          <w:r w:rsidRPr="00487162">
            <w:t xml:space="preserve"> of </w:t>
          </w:r>
          <w:fldSimple w:instr=" NUMPAGES  \* Arabic ">
            <w:r w:rsidR="00885D37">
              <w:rPr>
                <w:noProof/>
              </w:rPr>
              <w:t>26</w:t>
            </w:r>
          </w:fldSimple>
        </w:p>
      </w:tc>
    </w:tr>
  </w:tbl>
  <w:p w14:paraId="387D910B" w14:textId="77777777" w:rsidR="004824A4" w:rsidRDefault="004824A4"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5F8C" w14:textId="77777777" w:rsidR="004824A4" w:rsidRDefault="004824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824A4" w:rsidRPr="00487162" w14:paraId="676A936A" w14:textId="77777777" w:rsidTr="00E45619">
      <w:trPr>
        <w:trHeight w:val="269"/>
      </w:trPr>
      <w:tc>
        <w:tcPr>
          <w:tcW w:w="4519" w:type="dxa"/>
          <w:tcBorders>
            <w:top w:val="single" w:sz="4" w:space="0" w:color="auto"/>
          </w:tcBorders>
          <w:tcMar>
            <w:top w:w="142" w:type="dxa"/>
            <w:bottom w:w="0" w:type="dxa"/>
          </w:tcMar>
        </w:tcPr>
        <w:p w14:paraId="4581114F" w14:textId="77777777" w:rsidR="004824A4" w:rsidRPr="00487162" w:rsidRDefault="004824A4" w:rsidP="00FE1DEE">
          <w:pPr>
            <w:pStyle w:val="Footer"/>
          </w:pPr>
          <w:r w:rsidRPr="00487162">
            <w:t>Document title, Part #, Section # - Section title</w:t>
          </w:r>
        </w:p>
        <w:p w14:paraId="0381E0D7" w14:textId="77777777" w:rsidR="004824A4" w:rsidRPr="00487162" w:rsidRDefault="004824A4" w:rsidP="00FE1DEE">
          <w:pPr>
            <w:pStyle w:val="Footer"/>
          </w:pPr>
          <w:r w:rsidRPr="00487162">
            <w:t>V1.0 October 2010</w:t>
          </w:r>
        </w:p>
      </w:tc>
      <w:tc>
        <w:tcPr>
          <w:tcW w:w="4342" w:type="dxa"/>
          <w:tcBorders>
            <w:top w:val="single" w:sz="4" w:space="0" w:color="auto"/>
          </w:tcBorders>
          <w:tcMar>
            <w:top w:w="142" w:type="dxa"/>
            <w:bottom w:w="0" w:type="dxa"/>
          </w:tcMar>
        </w:tcPr>
        <w:p w14:paraId="289B431E" w14:textId="77777777" w:rsidR="004824A4" w:rsidRPr="00487162" w:rsidRDefault="004824A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7EA62837" w14:textId="77777777" w:rsidR="004824A4" w:rsidRDefault="004824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6D59" w14:textId="77777777" w:rsidR="004824A4" w:rsidRPr="001C32CD" w:rsidRDefault="004824A4"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824A4" w14:paraId="69930B2D" w14:textId="77777777" w:rsidTr="0010601F">
      <w:trPr>
        <w:trHeight w:val="108"/>
      </w:trPr>
      <w:tc>
        <w:tcPr>
          <w:tcW w:w="8875" w:type="dxa"/>
          <w:gridSpan w:val="2"/>
          <w:tcBorders>
            <w:bottom w:val="single" w:sz="4" w:space="0" w:color="auto"/>
          </w:tcBorders>
          <w:tcMar>
            <w:right w:w="284" w:type="dxa"/>
          </w:tcMar>
        </w:tcPr>
        <w:p w14:paraId="01E7AC51" w14:textId="77777777" w:rsidR="004824A4" w:rsidRDefault="004824A4" w:rsidP="006E08B3">
          <w:pPr>
            <w:pStyle w:val="Heading3"/>
          </w:pPr>
          <w:r>
            <w:t>Copyright</w:t>
          </w:r>
        </w:p>
        <w:p w14:paraId="2FCA4C29" w14:textId="77777777" w:rsidR="004824A4" w:rsidRDefault="004824A4" w:rsidP="006E08B3">
          <w:r>
            <w:rPr>
              <w:rFonts w:cs="Arial"/>
            </w:rPr>
            <w:t>©</w:t>
          </w:r>
          <w:r>
            <w:t xml:space="preserve"> Commonwealth of Australia [add year]</w:t>
          </w:r>
        </w:p>
        <w:p w14:paraId="7ED8853A" w14:textId="77777777" w:rsidR="004824A4" w:rsidRDefault="004824A4" w:rsidP="006E08B3"/>
        <w:p w14:paraId="537C0C16" w14:textId="77777777" w:rsidR="004824A4" w:rsidRDefault="004824A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8E8984F" w14:textId="77777777" w:rsidR="004824A4" w:rsidRDefault="004824A4" w:rsidP="006E08B3"/>
        <w:p w14:paraId="6E27F340" w14:textId="77777777" w:rsidR="004824A4" w:rsidRDefault="004824A4" w:rsidP="006E08B3">
          <w:pPr>
            <w:pStyle w:val="Heading3"/>
          </w:pPr>
          <w:r>
            <w:t>Confidentiality</w:t>
          </w:r>
        </w:p>
        <w:p w14:paraId="0DABD551" w14:textId="77777777" w:rsidR="004824A4" w:rsidRDefault="004824A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42329AB" w14:textId="77777777" w:rsidR="004824A4" w:rsidRDefault="004824A4" w:rsidP="006E08B3"/>
        <w:p w14:paraId="2402432A" w14:textId="77777777" w:rsidR="004824A4" w:rsidRDefault="004824A4" w:rsidP="006E08B3">
          <w:r>
            <w:t>For submission made by individuals, all personal details, other than your name, will be removed from your submission before it is published on the TGA’s Internet site.</w:t>
          </w:r>
        </w:p>
        <w:p w14:paraId="05D76506" w14:textId="77777777" w:rsidR="004824A4" w:rsidRDefault="004824A4" w:rsidP="006E08B3"/>
        <w:p w14:paraId="334B4496" w14:textId="77777777" w:rsidR="004824A4" w:rsidRDefault="004824A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4824A4" w14:paraId="22B8471E" w14:textId="77777777" w:rsidTr="0010601F">
      <w:trPr>
        <w:trHeight w:val="417"/>
      </w:trPr>
      <w:tc>
        <w:tcPr>
          <w:tcW w:w="4519" w:type="dxa"/>
          <w:tcBorders>
            <w:top w:val="single" w:sz="4" w:space="0" w:color="auto"/>
          </w:tcBorders>
          <w:tcMar>
            <w:top w:w="142" w:type="dxa"/>
            <w:bottom w:w="0" w:type="dxa"/>
          </w:tcMar>
        </w:tcPr>
        <w:p w14:paraId="4920B1A3" w14:textId="77777777" w:rsidR="004824A4" w:rsidRDefault="004824A4" w:rsidP="006E08B3">
          <w:r>
            <w:t>Document title, Part #, Section # - Section title</w:t>
          </w:r>
        </w:p>
        <w:p w14:paraId="064B9076" w14:textId="77777777" w:rsidR="004824A4" w:rsidRDefault="004824A4" w:rsidP="006E08B3">
          <w:r>
            <w:t>V1.0 October 2010</w:t>
          </w:r>
        </w:p>
      </w:tc>
      <w:tc>
        <w:tcPr>
          <w:tcW w:w="4356" w:type="dxa"/>
          <w:tcBorders>
            <w:top w:val="single" w:sz="4" w:space="0" w:color="auto"/>
          </w:tcBorders>
          <w:tcMar>
            <w:top w:w="142" w:type="dxa"/>
            <w:bottom w:w="0" w:type="dxa"/>
          </w:tcMar>
        </w:tcPr>
        <w:p w14:paraId="1BF1B4F8" w14:textId="77777777" w:rsidR="004824A4" w:rsidRDefault="004824A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128D0625" w14:textId="77777777" w:rsidR="004824A4" w:rsidRDefault="004824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07F1D" w14:textId="77777777" w:rsidR="004824A4" w:rsidRDefault="004824A4" w:rsidP="00C40A36">
      <w:pPr>
        <w:spacing w:after="0"/>
      </w:pPr>
      <w:r>
        <w:separator/>
      </w:r>
    </w:p>
  </w:footnote>
  <w:footnote w:type="continuationSeparator" w:id="0">
    <w:p w14:paraId="65D6C2B8" w14:textId="77777777" w:rsidR="004824A4" w:rsidRDefault="004824A4" w:rsidP="00C40A36">
      <w:pPr>
        <w:spacing w:after="0"/>
      </w:pPr>
      <w:r>
        <w:continuationSeparator/>
      </w:r>
    </w:p>
  </w:footnote>
  <w:footnote w:id="1">
    <w:p w14:paraId="41F19AEF" w14:textId="7636A7AC" w:rsidR="004824A4" w:rsidRDefault="004824A4">
      <w:pPr>
        <w:pStyle w:val="FootnoteText"/>
      </w:pPr>
      <w:r>
        <w:rPr>
          <w:rStyle w:val="FootnoteReference"/>
        </w:rPr>
        <w:footnoteRef/>
      </w:r>
      <w:r>
        <w:t xml:space="preserve"> </w:t>
      </w:r>
      <w:r>
        <w:rPr>
          <w:color w:val="000000"/>
          <w:shd w:val="clear" w:color="auto" w:fill="FFFFFF"/>
        </w:rPr>
        <w:t>Laron, Z. Consequences of not treating children with Laron syndrome (primary growth hormone insensitivity</w:t>
      </w:r>
      <w:r w:rsidRPr="00BB05B7">
        <w:rPr>
          <w:i/>
          <w:color w:val="000000"/>
          <w:shd w:val="clear" w:color="auto" w:fill="FFFFFF"/>
        </w:rPr>
        <w:t>) </w:t>
      </w:r>
      <w:r w:rsidRPr="00BB05B7">
        <w:rPr>
          <w:rStyle w:val="ref-journal"/>
          <w:i/>
          <w:color w:val="000000"/>
          <w:shd w:val="clear" w:color="auto" w:fill="FFFFFF"/>
        </w:rPr>
        <w:t xml:space="preserve">J </w:t>
      </w:r>
      <w:proofErr w:type="spellStart"/>
      <w:r w:rsidRPr="00BB05B7">
        <w:rPr>
          <w:rStyle w:val="ref-journal"/>
          <w:i/>
          <w:color w:val="000000"/>
          <w:shd w:val="clear" w:color="auto" w:fill="FFFFFF"/>
        </w:rPr>
        <w:t>Pediatr</w:t>
      </w:r>
      <w:proofErr w:type="spellEnd"/>
      <w:r w:rsidRPr="00BB05B7">
        <w:rPr>
          <w:rStyle w:val="ref-journal"/>
          <w:i/>
          <w:color w:val="000000"/>
          <w:shd w:val="clear" w:color="auto" w:fill="FFFFFF"/>
        </w:rPr>
        <w:t xml:space="preserve"> </w:t>
      </w:r>
      <w:proofErr w:type="spellStart"/>
      <w:r w:rsidRPr="00BB05B7">
        <w:rPr>
          <w:rStyle w:val="ref-journal"/>
          <w:i/>
          <w:color w:val="000000"/>
          <w:shd w:val="clear" w:color="auto" w:fill="FFFFFF"/>
        </w:rPr>
        <w:t>Endocrinol</w:t>
      </w:r>
      <w:proofErr w:type="spellEnd"/>
      <w:r w:rsidRPr="00BB05B7">
        <w:rPr>
          <w:rStyle w:val="ref-journal"/>
          <w:i/>
          <w:color w:val="000000"/>
          <w:shd w:val="clear" w:color="auto" w:fill="FFFFFF"/>
        </w:rPr>
        <w:t xml:space="preserve"> </w:t>
      </w:r>
      <w:proofErr w:type="spellStart"/>
      <w:r w:rsidRPr="00BB05B7">
        <w:rPr>
          <w:rStyle w:val="ref-journal"/>
          <w:i/>
          <w:color w:val="000000"/>
          <w:shd w:val="clear" w:color="auto" w:fill="FFFFFF"/>
        </w:rPr>
        <w:t>Metab</w:t>
      </w:r>
      <w:proofErr w:type="spellEnd"/>
      <w:r>
        <w:rPr>
          <w:rStyle w:val="ref-journal"/>
          <w:color w:val="000000"/>
          <w:shd w:val="clear" w:color="auto" w:fill="FFFFFF"/>
        </w:rPr>
        <w:t>. </w:t>
      </w:r>
      <w:r>
        <w:rPr>
          <w:color w:val="000000"/>
          <w:shd w:val="clear" w:color="auto" w:fill="FFFFFF"/>
        </w:rPr>
        <w:t xml:space="preserve">2001; </w:t>
      </w:r>
      <w:r>
        <w:rPr>
          <w:rStyle w:val="ref-vol"/>
          <w:color w:val="000000"/>
          <w:shd w:val="clear" w:color="auto" w:fill="FFFFFF"/>
        </w:rPr>
        <w:t>14</w:t>
      </w:r>
      <w:r>
        <w:rPr>
          <w:color w:val="000000"/>
          <w:shd w:val="clear" w:color="auto" w:fill="FFFFFF"/>
        </w:rPr>
        <w:t>(</w:t>
      </w:r>
      <w:proofErr w:type="spellStart"/>
      <w:r>
        <w:rPr>
          <w:color w:val="000000"/>
          <w:shd w:val="clear" w:color="auto" w:fill="FFFFFF"/>
        </w:rPr>
        <w:t>Suppl</w:t>
      </w:r>
      <w:proofErr w:type="spellEnd"/>
      <w:r>
        <w:rPr>
          <w:color w:val="000000"/>
          <w:shd w:val="clear" w:color="auto" w:fill="FFFFFF"/>
        </w:rPr>
        <w:t xml:space="preserve"> 5): 1243–1248.</w:t>
      </w:r>
    </w:p>
  </w:footnote>
  <w:footnote w:id="2">
    <w:p w14:paraId="20BB6714" w14:textId="1A7684B7" w:rsidR="004824A4" w:rsidRPr="00BB05B7" w:rsidRDefault="004824A4">
      <w:pPr>
        <w:pStyle w:val="FootnoteText"/>
        <w:rPr>
          <w:lang w:val="en-GB"/>
        </w:rPr>
      </w:pPr>
      <w:r>
        <w:rPr>
          <w:rStyle w:val="FootnoteReference"/>
        </w:rPr>
        <w:footnoteRef/>
      </w:r>
      <w:r>
        <w:t xml:space="preserve"> </w:t>
      </w:r>
      <w:proofErr w:type="spellStart"/>
      <w:r w:rsidRPr="007911A7">
        <w:t>Leuprorelin</w:t>
      </w:r>
      <w:proofErr w:type="spellEnd"/>
      <w:r w:rsidRPr="007911A7">
        <w:t xml:space="preserve"> is a gonadotropin-releasing hormone (</w:t>
      </w:r>
      <w:proofErr w:type="spellStart"/>
      <w:r w:rsidRPr="007911A7">
        <w:t>GnRH</w:t>
      </w:r>
      <w:proofErr w:type="spellEnd"/>
      <w:r w:rsidRPr="007911A7">
        <w:t xml:space="preserve">) analogue acting as an agonist at pituitary </w:t>
      </w:r>
      <w:proofErr w:type="spellStart"/>
      <w:r w:rsidRPr="007911A7">
        <w:t>GnRH</w:t>
      </w:r>
      <w:proofErr w:type="spellEnd"/>
      <w:r w:rsidRPr="007911A7">
        <w:t xml:space="preserve"> receptors.</w:t>
      </w:r>
    </w:p>
  </w:footnote>
  <w:footnote w:id="3">
    <w:p w14:paraId="6CD198B1" w14:textId="19FF5461" w:rsidR="004824A4" w:rsidRDefault="004824A4" w:rsidP="00E04B6E">
      <w:pPr>
        <w:pStyle w:val="FootnoteText"/>
      </w:pPr>
      <w:r>
        <w:rPr>
          <w:rStyle w:val="FootnoteReference"/>
        </w:rPr>
        <w:footnoteRef/>
      </w:r>
      <w:r>
        <w:t xml:space="preserve"> EMA, </w:t>
      </w:r>
      <w:r w:rsidRPr="003133CA">
        <w:t>Committee for Human Medicinal Products (CHMP)</w:t>
      </w:r>
      <w:r>
        <w:t xml:space="preserve">, </w:t>
      </w:r>
      <w:r w:rsidRPr="00FF7059">
        <w:t xml:space="preserve">Benzyl alcohol and benzoic acid group used as </w:t>
      </w:r>
      <w:r>
        <w:t>excipients, EMA/CHMP/272866/2013, 9 October 2017.</w:t>
      </w:r>
    </w:p>
  </w:footnote>
  <w:footnote w:id="4">
    <w:p w14:paraId="15243828" w14:textId="357A4FFB" w:rsidR="004824A4" w:rsidRDefault="004824A4">
      <w:pPr>
        <w:pStyle w:val="FootnoteText"/>
      </w:pPr>
      <w:r>
        <w:rPr>
          <w:rStyle w:val="FootnoteReference"/>
        </w:rPr>
        <w:footnoteRef/>
      </w:r>
      <w:r>
        <w:t xml:space="preserve"> European Union, Summary of Product Characteristics: </w:t>
      </w:r>
      <w:proofErr w:type="spellStart"/>
      <w:r>
        <w:t>Increlex</w:t>
      </w:r>
      <w:proofErr w:type="spellEnd"/>
      <w:r>
        <w:t xml:space="preserve"> (</w:t>
      </w:r>
      <w:proofErr w:type="spellStart"/>
      <w:r>
        <w:t>mecasermin</w:t>
      </w:r>
      <w:proofErr w:type="spellEnd"/>
      <w:r>
        <w:t>).</w:t>
      </w:r>
    </w:p>
  </w:footnote>
  <w:footnote w:id="5">
    <w:p w14:paraId="3FDB9E49" w14:textId="77777777" w:rsidR="004824A4" w:rsidRDefault="004824A4" w:rsidP="00CC3561">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67542438" w14:textId="77777777" w:rsidR="004824A4" w:rsidRDefault="004824A4" w:rsidP="00CC3561">
      <w:pPr>
        <w:pStyle w:val="FootnoteText"/>
      </w:pPr>
      <w:r w:rsidRPr="00F12492">
        <w:rPr>
          <w:i/>
        </w:rPr>
        <w:t>Routine pharmacovigilance</w:t>
      </w:r>
      <w:r>
        <w:t xml:space="preserve"> practices involve the following activities:</w:t>
      </w:r>
    </w:p>
    <w:p w14:paraId="21FE600C" w14:textId="77777777" w:rsidR="004824A4" w:rsidRDefault="004824A4" w:rsidP="00CC3561">
      <w:pPr>
        <w:pStyle w:val="FootnoteText"/>
        <w:numPr>
          <w:ilvl w:val="0"/>
          <w:numId w:val="28"/>
        </w:numPr>
      </w:pPr>
      <w:r>
        <w:t>All suspected adverse reactions that are reported to the personnel of the company are collected and collated in an accessible manner;</w:t>
      </w:r>
    </w:p>
    <w:p w14:paraId="36B76ED2" w14:textId="77777777" w:rsidR="004824A4" w:rsidRDefault="004824A4" w:rsidP="00CC3561">
      <w:pPr>
        <w:pStyle w:val="FootnoteText"/>
        <w:numPr>
          <w:ilvl w:val="0"/>
          <w:numId w:val="28"/>
        </w:numPr>
      </w:pPr>
      <w:r>
        <w:t>Reporting to regulatory authorities;</w:t>
      </w:r>
    </w:p>
    <w:p w14:paraId="36234C8D" w14:textId="50B4076A" w:rsidR="004824A4" w:rsidRDefault="004824A4" w:rsidP="00CC3561">
      <w:pPr>
        <w:pStyle w:val="FootnoteText"/>
        <w:numPr>
          <w:ilvl w:val="0"/>
          <w:numId w:val="28"/>
        </w:numPr>
      </w:pPr>
      <w:r>
        <w:t>Continuous monitoring of the safety profiles of approved products including signal detection and updating of labelling;</w:t>
      </w:r>
    </w:p>
    <w:p w14:paraId="033C8409" w14:textId="77777777" w:rsidR="004824A4" w:rsidRDefault="004824A4" w:rsidP="00CC3561">
      <w:pPr>
        <w:pStyle w:val="FootnoteText"/>
        <w:numPr>
          <w:ilvl w:val="0"/>
          <w:numId w:val="28"/>
        </w:numPr>
      </w:pPr>
      <w:r>
        <w:t>Submission of PSURs;</w:t>
      </w:r>
    </w:p>
    <w:p w14:paraId="43A1F355" w14:textId="77777777" w:rsidR="004824A4" w:rsidRPr="00CC3561" w:rsidRDefault="004824A4" w:rsidP="00CC3561">
      <w:pPr>
        <w:pStyle w:val="FootnoteText"/>
        <w:numPr>
          <w:ilvl w:val="0"/>
          <w:numId w:val="28"/>
        </w:numPr>
        <w:rPr>
          <w:lang w:val="en-US"/>
        </w:rPr>
      </w:pPr>
      <w:r>
        <w:t>Meeting other local regulatory agency requirements.</w:t>
      </w:r>
    </w:p>
  </w:footnote>
  <w:footnote w:id="6">
    <w:p w14:paraId="3700E836" w14:textId="38D4E8E9" w:rsidR="004824A4" w:rsidRDefault="004824A4">
      <w:pPr>
        <w:pStyle w:val="FootnoteText"/>
      </w:pPr>
      <w:r>
        <w:rPr>
          <w:rStyle w:val="FootnoteReference"/>
        </w:rPr>
        <w:footnoteRef/>
      </w:r>
      <w:r>
        <w:t xml:space="preserve"> </w:t>
      </w:r>
      <w:proofErr w:type="spellStart"/>
      <w:r>
        <w:t>Grimberg</w:t>
      </w:r>
      <w:proofErr w:type="spellEnd"/>
      <w:r>
        <w:t xml:space="preserve"> A. et al. (2016). Guidelines for Growth Hormone and Insulin-Like Growth Factor-I Treatment in Children and Adolescents: Growth Hormone Deficiency, Idiopathic Short Stature, and Primary Insulin-Like Growth Factor-I Deficiency. </w:t>
      </w:r>
      <w:proofErr w:type="spellStart"/>
      <w:r w:rsidRPr="003133CA">
        <w:rPr>
          <w:i/>
        </w:rPr>
        <w:t>Horm</w:t>
      </w:r>
      <w:proofErr w:type="spellEnd"/>
      <w:r w:rsidRPr="003133CA">
        <w:rPr>
          <w:i/>
        </w:rPr>
        <w:t xml:space="preserve"> Res </w:t>
      </w:r>
      <w:proofErr w:type="spellStart"/>
      <w:r w:rsidRPr="003133CA">
        <w:rPr>
          <w:i/>
        </w:rPr>
        <w:t>Paediatr</w:t>
      </w:r>
      <w:proofErr w:type="spellEnd"/>
      <w:r>
        <w:t xml:space="preserve"> 2016; 86: 361–397</w:t>
      </w:r>
    </w:p>
  </w:footnote>
  <w:footnote w:id="7">
    <w:p w14:paraId="6906DF64" w14:textId="00D40BD4" w:rsidR="004824A4" w:rsidRPr="00BB05B7" w:rsidRDefault="004824A4">
      <w:pPr>
        <w:pStyle w:val="FootnoteText"/>
        <w:rPr>
          <w:lang w:val="en-GB"/>
        </w:rPr>
      </w:pPr>
      <w:r>
        <w:rPr>
          <w:rStyle w:val="FootnoteReference"/>
        </w:rPr>
        <w:footnoteRef/>
      </w:r>
      <w:r>
        <w:t xml:space="preserve"> </w:t>
      </w:r>
      <w:r w:rsidRPr="00D316ED">
        <w:t xml:space="preserve">The Australian Government provides Pharmaceutical Benefits Scheme (PBS) subsidised access for </w:t>
      </w:r>
      <w:proofErr w:type="spellStart"/>
      <w:r w:rsidRPr="00D316ED">
        <w:t>somatropin</w:t>
      </w:r>
      <w:proofErr w:type="spellEnd"/>
      <w:r>
        <w:t xml:space="preserve"> (recombinant growth hormone)</w:t>
      </w:r>
      <w:r w:rsidRPr="00D316ED">
        <w:t xml:space="preserve"> to eligible paediatric and adult patients through the Growth Hormone Program established under section 100 of</w:t>
      </w:r>
      <w:r>
        <w:t xml:space="preserve"> the National Health Act 1953.</w:t>
      </w:r>
    </w:p>
  </w:footnote>
  <w:footnote w:id="8">
    <w:p w14:paraId="38D9326A" w14:textId="77777777" w:rsidR="004824A4" w:rsidRDefault="004824A4"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7F6FDB54" w14:textId="77777777" w:rsidR="004824A4" w:rsidRPr="00456765" w:rsidRDefault="004824A4"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 w:id="9">
    <w:p w14:paraId="14058A89" w14:textId="6735F65B" w:rsidR="004824A4" w:rsidRPr="00F52E99" w:rsidRDefault="004824A4" w:rsidP="007D157D">
      <w:pPr>
        <w:pStyle w:val="FootnoteText"/>
      </w:pPr>
      <w:r>
        <w:rPr>
          <w:rStyle w:val="FootnoteReference"/>
        </w:rPr>
        <w:footnoteRef/>
      </w:r>
      <w:r>
        <w:t xml:space="preserve"> </w:t>
      </w:r>
      <w:proofErr w:type="spellStart"/>
      <w:r>
        <w:t>Bidlingmaier</w:t>
      </w:r>
      <w:proofErr w:type="spellEnd"/>
      <w:r>
        <w:t xml:space="preserve">, M. </w:t>
      </w:r>
      <w:r w:rsidRPr="00F52E99">
        <w:t>et al.</w:t>
      </w:r>
      <w:r>
        <w:t xml:space="preserve"> Reference intervals for insulin-like growth factor-1 (</w:t>
      </w:r>
      <w:proofErr w:type="spellStart"/>
      <w:r>
        <w:t>igf-i</w:t>
      </w:r>
      <w:proofErr w:type="spellEnd"/>
      <w:r>
        <w:t xml:space="preserve">) from birth to senescence: results from a </w:t>
      </w:r>
      <w:proofErr w:type="spellStart"/>
      <w:r>
        <w:t>multicenter</w:t>
      </w:r>
      <w:proofErr w:type="spellEnd"/>
      <w:r>
        <w:t xml:space="preserve"> study using a new automated </w:t>
      </w:r>
      <w:proofErr w:type="spellStart"/>
      <w:r>
        <w:t>chemiluminescence</w:t>
      </w:r>
      <w:proofErr w:type="spellEnd"/>
      <w:r>
        <w:t xml:space="preserve"> IGF-I immunoassay conforming to recent international recommendations. </w:t>
      </w:r>
      <w:r w:rsidRPr="00DC655E">
        <w:rPr>
          <w:i/>
        </w:rPr>
        <w:t xml:space="preserve">J </w:t>
      </w:r>
      <w:proofErr w:type="spellStart"/>
      <w:r w:rsidRPr="00DC655E">
        <w:rPr>
          <w:i/>
        </w:rPr>
        <w:t>Clin</w:t>
      </w:r>
      <w:proofErr w:type="spellEnd"/>
      <w:r w:rsidRPr="00DC655E">
        <w:rPr>
          <w:i/>
        </w:rPr>
        <w:t xml:space="preserve"> </w:t>
      </w:r>
      <w:proofErr w:type="spellStart"/>
      <w:r w:rsidRPr="00DC655E">
        <w:rPr>
          <w:i/>
        </w:rPr>
        <w:t>Endocrinol</w:t>
      </w:r>
      <w:proofErr w:type="spellEnd"/>
      <w:r w:rsidRPr="00DC655E">
        <w:rPr>
          <w:i/>
        </w:rPr>
        <w:t xml:space="preserve"> </w:t>
      </w:r>
      <w:proofErr w:type="spellStart"/>
      <w:r w:rsidRPr="00DC655E">
        <w:rPr>
          <w:i/>
        </w:rPr>
        <w:t>Metab</w:t>
      </w:r>
      <w:proofErr w:type="spellEnd"/>
      <w:r>
        <w:t>. 2014; 99(5): 1712-1721.</w:t>
      </w:r>
    </w:p>
  </w:footnote>
  <w:footnote w:id="10">
    <w:p w14:paraId="61DE1567" w14:textId="207A2BE3" w:rsidR="004824A4" w:rsidRDefault="004824A4" w:rsidP="006F4867">
      <w:pPr>
        <w:pStyle w:val="FootnoteText"/>
      </w:pPr>
      <w:r>
        <w:rPr>
          <w:rStyle w:val="FootnoteReference"/>
        </w:rPr>
        <w:footnoteRef/>
      </w:r>
      <w:r>
        <w:t xml:space="preserve"> </w:t>
      </w:r>
      <w:proofErr w:type="spellStart"/>
      <w:r>
        <w:t>Chernausek</w:t>
      </w:r>
      <w:proofErr w:type="spellEnd"/>
      <w:r>
        <w:t xml:space="preserve">, S.D. et al. Comparative pharmacokinetics of </w:t>
      </w:r>
      <w:proofErr w:type="spellStart"/>
      <w:r>
        <w:t>rhIGF</w:t>
      </w:r>
      <w:proofErr w:type="spellEnd"/>
      <w:r>
        <w:t xml:space="preserve">-I in children with growth disorders. </w:t>
      </w:r>
      <w:proofErr w:type="spellStart"/>
      <w:r w:rsidRPr="00DC655E">
        <w:rPr>
          <w:i/>
        </w:rPr>
        <w:t>Horm</w:t>
      </w:r>
      <w:proofErr w:type="spellEnd"/>
      <w:r w:rsidRPr="00DC655E">
        <w:rPr>
          <w:i/>
        </w:rPr>
        <w:t xml:space="preserve"> Res</w:t>
      </w:r>
      <w:r>
        <w:t>, 1997; 48(</w:t>
      </w:r>
      <w:proofErr w:type="spellStart"/>
      <w:r>
        <w:t>Suppl</w:t>
      </w:r>
      <w:proofErr w:type="spellEnd"/>
      <w:r>
        <w:t xml:space="preserve"> 2): 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E289" w14:textId="77777777" w:rsidR="004824A4" w:rsidRDefault="00482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99543" w14:textId="77777777" w:rsidR="004824A4" w:rsidRDefault="004824A4"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8A59" w14:textId="77777777" w:rsidR="004824A4" w:rsidRDefault="004824A4">
    <w:pPr>
      <w:rPr>
        <w:noProof/>
        <w:lang w:eastAsia="en-AU"/>
      </w:rPr>
    </w:pPr>
    <w:r w:rsidRPr="00347824">
      <w:rPr>
        <w:noProof/>
        <w:lang w:eastAsia="en-AU"/>
      </w:rPr>
      <w:drawing>
        <wp:anchor distT="0" distB="0" distL="114300" distR="114300" simplePos="0" relativeHeight="251659264" behindDoc="1" locked="0" layoutInCell="1" allowOverlap="1" wp14:anchorId="30E1D633" wp14:editId="62E3383E">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AAC6B33" w14:textId="77777777" w:rsidR="004824A4" w:rsidRDefault="004824A4"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B4E6" w14:textId="77777777" w:rsidR="004824A4" w:rsidRDefault="004824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1603" w14:textId="77777777" w:rsidR="004824A4" w:rsidRDefault="004824A4">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55E9" w14:textId="77777777" w:rsidR="004824A4" w:rsidRDefault="004824A4">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6E5B9" w14:textId="77777777" w:rsidR="004824A4" w:rsidRDefault="004824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123B" w14:textId="77777777" w:rsidR="004824A4" w:rsidRDefault="004824A4"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3068" w14:textId="77777777" w:rsidR="004824A4" w:rsidRDefault="004824A4" w:rsidP="006E08B3">
    <w:r>
      <w:t>Therapeutic Goods Administration</w:t>
    </w:r>
  </w:p>
  <w:p w14:paraId="68AC06F5" w14:textId="77777777" w:rsidR="004824A4" w:rsidRDefault="004824A4"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9D14734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A392A874"/>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709" w:hanging="426"/>
      </w:pPr>
      <w:rPr>
        <w:rFonts w:hint="default"/>
      </w:rPr>
    </w:lvl>
    <w:lvl w:ilvl="2">
      <w:start w:val="1"/>
      <w:numFmt w:val="lowerRoman"/>
      <w:pStyle w:val="Numberbullet3"/>
      <w:lvlText w:val="%3."/>
      <w:lvlJc w:val="left"/>
      <w:pPr>
        <w:ind w:left="1134" w:hanging="425"/>
      </w:pPr>
      <w:rPr>
        <w:rFonts w:hint="default"/>
      </w:rPr>
    </w:lvl>
    <w:lvl w:ilvl="3">
      <w:start w:val="1"/>
      <w:numFmt w:val="none"/>
      <w:lvlText w:val=""/>
      <w:lvlJc w:val="left"/>
      <w:pPr>
        <w:ind w:left="1134" w:hanging="425"/>
      </w:pPr>
      <w:rPr>
        <w:rFonts w:hint="default"/>
      </w:rPr>
    </w:lvl>
    <w:lvl w:ilvl="4">
      <w:start w:val="1"/>
      <w:numFmt w:val="none"/>
      <w:lvlText w:val=""/>
      <w:lvlJc w:val="left"/>
      <w:pPr>
        <w:ind w:left="1134" w:hanging="425"/>
      </w:pPr>
      <w:rPr>
        <w:rFonts w:hint="default"/>
      </w:rPr>
    </w:lvl>
    <w:lvl w:ilvl="5">
      <w:start w:val="1"/>
      <w:numFmt w:val="none"/>
      <w:lvlText w:val=""/>
      <w:lvlJc w:val="left"/>
      <w:pPr>
        <w:ind w:left="1134" w:hanging="425"/>
      </w:pPr>
      <w:rPr>
        <w:rFonts w:hint="default"/>
      </w:rPr>
    </w:lvl>
    <w:lvl w:ilvl="6">
      <w:start w:val="1"/>
      <w:numFmt w:val="none"/>
      <w:lvlText w:val="%7"/>
      <w:lvlJc w:val="left"/>
      <w:pPr>
        <w:ind w:left="1134" w:hanging="425"/>
      </w:pPr>
      <w:rPr>
        <w:rFonts w:hint="default"/>
      </w:rPr>
    </w:lvl>
    <w:lvl w:ilvl="7">
      <w:start w:val="1"/>
      <w:numFmt w:val="none"/>
      <w:lvlText w:val=""/>
      <w:lvlJc w:val="left"/>
      <w:pPr>
        <w:ind w:left="1134" w:hanging="425"/>
      </w:pPr>
      <w:rPr>
        <w:rFonts w:hint="default"/>
      </w:rPr>
    </w:lvl>
    <w:lvl w:ilvl="8">
      <w:start w:val="1"/>
      <w:numFmt w:val="none"/>
      <w:lvlText w:val=""/>
      <w:lvlJc w:val="left"/>
      <w:pPr>
        <w:ind w:left="1134" w:hanging="425"/>
      </w:pPr>
      <w:rPr>
        <w:rFonts w:hint="default"/>
      </w:rPr>
    </w:lvl>
  </w:abstractNum>
  <w:abstractNum w:abstractNumId="6" w15:restartNumberingAfterBreak="0">
    <w:nsid w:val="168F13E9"/>
    <w:multiLevelType w:val="multilevel"/>
    <w:tmpl w:val="04D6E99E"/>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E3D2E90"/>
    <w:multiLevelType w:val="hybridMultilevel"/>
    <w:tmpl w:val="4E2A0BF8"/>
    <w:lvl w:ilvl="0" w:tplc="C9381948">
      <w:start w:val="3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1752C"/>
    <w:multiLevelType w:val="hybridMultilevel"/>
    <w:tmpl w:val="BC0CD0B0"/>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EF655CC"/>
    <w:multiLevelType w:val="multilevel"/>
    <w:tmpl w:val="4AE22984"/>
    <w:lvl w:ilvl="0">
      <w:start w:val="1"/>
      <w:numFmt w:val="bullet"/>
      <w:lvlText w:val=""/>
      <w:lvlJc w:val="left"/>
      <w:pPr>
        <w:ind w:left="360" w:hanging="360"/>
      </w:pPr>
      <w:rPr>
        <w:rFonts w:ascii="Symbol" w:hAnsi="Symbol" w:hint="default"/>
      </w:rPr>
    </w:lvl>
    <w:lvl w:ilvl="1">
      <w:start w:val="2"/>
      <w:numFmt w:val="decimal"/>
      <w:lvlText w:val="%2."/>
      <w:lvlJc w:val="left"/>
      <w:pPr>
        <w:ind w:left="502" w:hanging="360"/>
      </w:pPr>
      <w:rPr>
        <w:rFonts w:hint="default"/>
        <w:b w:val="0"/>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3AF1605C"/>
    <w:multiLevelType w:val="hybridMultilevel"/>
    <w:tmpl w:val="D0944BA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9B15D7"/>
    <w:multiLevelType w:val="hybridMultilevel"/>
    <w:tmpl w:val="27E628F2"/>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F0CA5"/>
    <w:multiLevelType w:val="hybridMultilevel"/>
    <w:tmpl w:val="F03A8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6C25AF"/>
    <w:multiLevelType w:val="hybridMultilevel"/>
    <w:tmpl w:val="AD6EED58"/>
    <w:lvl w:ilvl="0" w:tplc="5170887E">
      <w:start w:val="1"/>
      <w:numFmt w:val="decimal"/>
      <w:lvlText w:val="%1."/>
      <w:lvlJc w:val="left"/>
      <w:pPr>
        <w:ind w:left="1080" w:hanging="360"/>
      </w:pPr>
      <w:rPr>
        <w:rFonts w:ascii="Cambria" w:hAnsi="Cambria" w:hint="default"/>
        <w:color w:val="6B6D6F"/>
        <w:sz w:val="1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89474FD"/>
    <w:multiLevelType w:val="hybridMultilevel"/>
    <w:tmpl w:val="CE320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186C28"/>
    <w:multiLevelType w:val="hybridMultilevel"/>
    <w:tmpl w:val="FDAC5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AD0438"/>
    <w:multiLevelType w:val="hybridMultilevel"/>
    <w:tmpl w:val="33FC9E0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DA7187"/>
    <w:multiLevelType w:val="hybridMultilevel"/>
    <w:tmpl w:val="1C24F4E2"/>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76805C8B"/>
    <w:multiLevelType w:val="hybridMultilevel"/>
    <w:tmpl w:val="F2321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A03E8E"/>
    <w:multiLevelType w:val="hybridMultilevel"/>
    <w:tmpl w:val="5C6C2ECC"/>
    <w:lvl w:ilvl="0" w:tplc="D85E22B2">
      <w:start w:val="1"/>
      <w:numFmt w:val="decimal"/>
      <w:lvlText w:val="%1."/>
      <w:lvlJc w:val="left"/>
      <w:pPr>
        <w:ind w:left="720" w:hanging="360"/>
      </w:pPr>
      <w:rPr>
        <w:rFonts w:cs="TimesNewRomanPSM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567"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20"/>
  </w:num>
  <w:num w:numId="29">
    <w:abstractNumId w:val="19"/>
  </w:num>
  <w:num w:numId="30">
    <w:abstractNumId w:val="17"/>
  </w:num>
  <w:num w:numId="31">
    <w:abstractNumId w:val="11"/>
  </w:num>
  <w:num w:numId="32">
    <w:abstractNumId w:val="12"/>
  </w:num>
  <w:num w:numId="33">
    <w:abstractNumId w:val="7"/>
  </w:num>
  <w:num w:numId="34">
    <w:abstractNumId w:val="4"/>
  </w:num>
  <w:num w:numId="35">
    <w:abstractNumId w:val="16"/>
  </w:num>
  <w:num w:numId="36">
    <w:abstractNumId w:val="21"/>
  </w:num>
  <w:num w:numId="37">
    <w:abstractNumId w:val="10"/>
  </w:num>
  <w:num w:numId="38">
    <w:abstractNumId w:val="15"/>
  </w:num>
  <w:num w:numId="39">
    <w:abstractNumId w:val="14"/>
  </w:num>
  <w:num w:numId="40">
    <w:abstractNumId w:val="9"/>
  </w:num>
  <w:num w:numId="41">
    <w:abstractNumId w:val="8"/>
  </w:num>
  <w:num w:numId="42">
    <w:abstractNumId w:val="18"/>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lvl w:ilvl="0">
        <w:start w:val="1"/>
        <w:numFmt w:val="decimal"/>
        <w:pStyle w:val="Numberbullet0"/>
        <w:lvlText w:val="%1."/>
        <w:lvlJc w:val="left"/>
        <w:pPr>
          <w:ind w:left="567"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 w:ilvl="0">
        <w:start w:val="1"/>
        <w:numFmt w:val="decimal"/>
        <w:pStyle w:val="Numberbullet0"/>
        <w:lvlText w:val="%1."/>
        <w:lvlJc w:val="left"/>
        <w:pPr>
          <w:ind w:left="567"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7B"/>
    <w:rsid w:val="000003C5"/>
    <w:rsid w:val="00002031"/>
    <w:rsid w:val="00004734"/>
    <w:rsid w:val="000050D9"/>
    <w:rsid w:val="00006B22"/>
    <w:rsid w:val="0001276A"/>
    <w:rsid w:val="000246AE"/>
    <w:rsid w:val="00025C67"/>
    <w:rsid w:val="00043731"/>
    <w:rsid w:val="00044772"/>
    <w:rsid w:val="0004541C"/>
    <w:rsid w:val="0005559E"/>
    <w:rsid w:val="000604D6"/>
    <w:rsid w:val="000734D8"/>
    <w:rsid w:val="00075FAE"/>
    <w:rsid w:val="00077775"/>
    <w:rsid w:val="00084506"/>
    <w:rsid w:val="00090471"/>
    <w:rsid w:val="00094D2B"/>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4ACD"/>
    <w:rsid w:val="00125318"/>
    <w:rsid w:val="00127854"/>
    <w:rsid w:val="001305A2"/>
    <w:rsid w:val="00133238"/>
    <w:rsid w:val="00133A1B"/>
    <w:rsid w:val="0014197B"/>
    <w:rsid w:val="001447CD"/>
    <w:rsid w:val="001516B1"/>
    <w:rsid w:val="00154EBB"/>
    <w:rsid w:val="00156316"/>
    <w:rsid w:val="0015796A"/>
    <w:rsid w:val="00161181"/>
    <w:rsid w:val="00162D14"/>
    <w:rsid w:val="00163780"/>
    <w:rsid w:val="00165389"/>
    <w:rsid w:val="0017693F"/>
    <w:rsid w:val="0018110E"/>
    <w:rsid w:val="00181684"/>
    <w:rsid w:val="001843C6"/>
    <w:rsid w:val="001850E0"/>
    <w:rsid w:val="001A03AF"/>
    <w:rsid w:val="001A2158"/>
    <w:rsid w:val="001A525F"/>
    <w:rsid w:val="001B09F9"/>
    <w:rsid w:val="001B146C"/>
    <w:rsid w:val="001B5C90"/>
    <w:rsid w:val="001B6448"/>
    <w:rsid w:val="001B7E1C"/>
    <w:rsid w:val="001C32CD"/>
    <w:rsid w:val="001D2984"/>
    <w:rsid w:val="001E07CF"/>
    <w:rsid w:val="001E39F1"/>
    <w:rsid w:val="001E59F1"/>
    <w:rsid w:val="001F2CEE"/>
    <w:rsid w:val="001F49EB"/>
    <w:rsid w:val="001F6CBA"/>
    <w:rsid w:val="00201D4E"/>
    <w:rsid w:val="002076C9"/>
    <w:rsid w:val="00220B8A"/>
    <w:rsid w:val="002257F3"/>
    <w:rsid w:val="00233456"/>
    <w:rsid w:val="002339A5"/>
    <w:rsid w:val="00257848"/>
    <w:rsid w:val="002578E8"/>
    <w:rsid w:val="0027084A"/>
    <w:rsid w:val="00280265"/>
    <w:rsid w:val="00286434"/>
    <w:rsid w:val="00286C59"/>
    <w:rsid w:val="00291957"/>
    <w:rsid w:val="002942D1"/>
    <w:rsid w:val="0029501A"/>
    <w:rsid w:val="002A3721"/>
    <w:rsid w:val="002B1638"/>
    <w:rsid w:val="002B2092"/>
    <w:rsid w:val="002B3624"/>
    <w:rsid w:val="002D0952"/>
    <w:rsid w:val="002E40B3"/>
    <w:rsid w:val="002E4C9A"/>
    <w:rsid w:val="002F11F8"/>
    <w:rsid w:val="002F3F56"/>
    <w:rsid w:val="002F44B5"/>
    <w:rsid w:val="002F5122"/>
    <w:rsid w:val="00311AC0"/>
    <w:rsid w:val="003133CA"/>
    <w:rsid w:val="003176FC"/>
    <w:rsid w:val="0032583B"/>
    <w:rsid w:val="00327883"/>
    <w:rsid w:val="00335504"/>
    <w:rsid w:val="00340C18"/>
    <w:rsid w:val="003442FD"/>
    <w:rsid w:val="00347824"/>
    <w:rsid w:val="00350567"/>
    <w:rsid w:val="003521E8"/>
    <w:rsid w:val="00370CE3"/>
    <w:rsid w:val="003728F3"/>
    <w:rsid w:val="003735BC"/>
    <w:rsid w:val="0037496E"/>
    <w:rsid w:val="00383221"/>
    <w:rsid w:val="00386150"/>
    <w:rsid w:val="003874CE"/>
    <w:rsid w:val="00390900"/>
    <w:rsid w:val="003A7F6C"/>
    <w:rsid w:val="003B4D60"/>
    <w:rsid w:val="003B7E39"/>
    <w:rsid w:val="003C58DC"/>
    <w:rsid w:val="003D1E62"/>
    <w:rsid w:val="003E0B99"/>
    <w:rsid w:val="003E2486"/>
    <w:rsid w:val="003E3208"/>
    <w:rsid w:val="003F0B04"/>
    <w:rsid w:val="0040134E"/>
    <w:rsid w:val="004124B2"/>
    <w:rsid w:val="004334C7"/>
    <w:rsid w:val="00440A2D"/>
    <w:rsid w:val="00441C3F"/>
    <w:rsid w:val="00444D1A"/>
    <w:rsid w:val="0045186A"/>
    <w:rsid w:val="004564A7"/>
    <w:rsid w:val="00456765"/>
    <w:rsid w:val="004617BF"/>
    <w:rsid w:val="00463658"/>
    <w:rsid w:val="004637A0"/>
    <w:rsid w:val="004722CC"/>
    <w:rsid w:val="004824A4"/>
    <w:rsid w:val="00490483"/>
    <w:rsid w:val="004936E4"/>
    <w:rsid w:val="00494229"/>
    <w:rsid w:val="00494E60"/>
    <w:rsid w:val="004965E8"/>
    <w:rsid w:val="00497487"/>
    <w:rsid w:val="004A2771"/>
    <w:rsid w:val="004A6189"/>
    <w:rsid w:val="004A7390"/>
    <w:rsid w:val="004B7B76"/>
    <w:rsid w:val="004C239D"/>
    <w:rsid w:val="004C2DCA"/>
    <w:rsid w:val="004C61D2"/>
    <w:rsid w:val="004C6FA8"/>
    <w:rsid w:val="004F0C4A"/>
    <w:rsid w:val="004F0F38"/>
    <w:rsid w:val="004F47D6"/>
    <w:rsid w:val="00500337"/>
    <w:rsid w:val="00501921"/>
    <w:rsid w:val="00517AD0"/>
    <w:rsid w:val="00530354"/>
    <w:rsid w:val="0053625B"/>
    <w:rsid w:val="005434C6"/>
    <w:rsid w:val="00543B39"/>
    <w:rsid w:val="00546154"/>
    <w:rsid w:val="00550096"/>
    <w:rsid w:val="00555280"/>
    <w:rsid w:val="00557FF9"/>
    <w:rsid w:val="005608C9"/>
    <w:rsid w:val="00562327"/>
    <w:rsid w:val="005711D5"/>
    <w:rsid w:val="00576378"/>
    <w:rsid w:val="00577130"/>
    <w:rsid w:val="00577945"/>
    <w:rsid w:val="00577E38"/>
    <w:rsid w:val="00585322"/>
    <w:rsid w:val="005857C6"/>
    <w:rsid w:val="00592F6E"/>
    <w:rsid w:val="00593AD1"/>
    <w:rsid w:val="005A68B6"/>
    <w:rsid w:val="005C28FF"/>
    <w:rsid w:val="005C5570"/>
    <w:rsid w:val="005C79A4"/>
    <w:rsid w:val="005D0B23"/>
    <w:rsid w:val="005D5442"/>
    <w:rsid w:val="00603F32"/>
    <w:rsid w:val="00605AD4"/>
    <w:rsid w:val="006136D7"/>
    <w:rsid w:val="00625A6E"/>
    <w:rsid w:val="00632398"/>
    <w:rsid w:val="00640FC3"/>
    <w:rsid w:val="00642020"/>
    <w:rsid w:val="006430EE"/>
    <w:rsid w:val="0065337B"/>
    <w:rsid w:val="0065419D"/>
    <w:rsid w:val="006603BC"/>
    <w:rsid w:val="006604D8"/>
    <w:rsid w:val="00664A5B"/>
    <w:rsid w:val="00664BCE"/>
    <w:rsid w:val="0066735C"/>
    <w:rsid w:val="006763D2"/>
    <w:rsid w:val="00680C08"/>
    <w:rsid w:val="006916A0"/>
    <w:rsid w:val="006931B1"/>
    <w:rsid w:val="006A15C0"/>
    <w:rsid w:val="006A58A8"/>
    <w:rsid w:val="006C3E2A"/>
    <w:rsid w:val="006C642F"/>
    <w:rsid w:val="006D03E5"/>
    <w:rsid w:val="006D5D3E"/>
    <w:rsid w:val="006E08B3"/>
    <w:rsid w:val="006F17AC"/>
    <w:rsid w:val="006F25B8"/>
    <w:rsid w:val="006F4867"/>
    <w:rsid w:val="006F572E"/>
    <w:rsid w:val="007046D6"/>
    <w:rsid w:val="00705DB0"/>
    <w:rsid w:val="00721AC9"/>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11A7"/>
    <w:rsid w:val="00793A59"/>
    <w:rsid w:val="007A46F5"/>
    <w:rsid w:val="007A6505"/>
    <w:rsid w:val="007B6132"/>
    <w:rsid w:val="007B6E9F"/>
    <w:rsid w:val="007C1216"/>
    <w:rsid w:val="007C1AF7"/>
    <w:rsid w:val="007C6B9B"/>
    <w:rsid w:val="007D157D"/>
    <w:rsid w:val="007E0FF1"/>
    <w:rsid w:val="007E1F7C"/>
    <w:rsid w:val="007F3A69"/>
    <w:rsid w:val="00805D27"/>
    <w:rsid w:val="00806DCB"/>
    <w:rsid w:val="00821776"/>
    <w:rsid w:val="008321F5"/>
    <w:rsid w:val="00832369"/>
    <w:rsid w:val="00834660"/>
    <w:rsid w:val="00836BC2"/>
    <w:rsid w:val="008444DB"/>
    <w:rsid w:val="0085156D"/>
    <w:rsid w:val="00852B28"/>
    <w:rsid w:val="0085641B"/>
    <w:rsid w:val="00857136"/>
    <w:rsid w:val="00875A6B"/>
    <w:rsid w:val="00885B11"/>
    <w:rsid w:val="00885D37"/>
    <w:rsid w:val="00886D15"/>
    <w:rsid w:val="00887DD8"/>
    <w:rsid w:val="00891BA9"/>
    <w:rsid w:val="00896018"/>
    <w:rsid w:val="008960DD"/>
    <w:rsid w:val="0089635C"/>
    <w:rsid w:val="008A27FF"/>
    <w:rsid w:val="008A2B9D"/>
    <w:rsid w:val="008A3D9F"/>
    <w:rsid w:val="008A5E0B"/>
    <w:rsid w:val="008A6D59"/>
    <w:rsid w:val="008B4B03"/>
    <w:rsid w:val="008B596F"/>
    <w:rsid w:val="008C159F"/>
    <w:rsid w:val="008C1623"/>
    <w:rsid w:val="008C1850"/>
    <w:rsid w:val="008C51A9"/>
    <w:rsid w:val="008E2592"/>
    <w:rsid w:val="008E7846"/>
    <w:rsid w:val="008F02E5"/>
    <w:rsid w:val="008F1CCC"/>
    <w:rsid w:val="008F2967"/>
    <w:rsid w:val="008F6943"/>
    <w:rsid w:val="00902A21"/>
    <w:rsid w:val="0091523F"/>
    <w:rsid w:val="0091657B"/>
    <w:rsid w:val="00920330"/>
    <w:rsid w:val="0092130E"/>
    <w:rsid w:val="009219D7"/>
    <w:rsid w:val="00922D53"/>
    <w:rsid w:val="00923B70"/>
    <w:rsid w:val="00924482"/>
    <w:rsid w:val="00930237"/>
    <w:rsid w:val="00937C17"/>
    <w:rsid w:val="00940A89"/>
    <w:rsid w:val="00941F77"/>
    <w:rsid w:val="00946EA5"/>
    <w:rsid w:val="00960520"/>
    <w:rsid w:val="00961613"/>
    <w:rsid w:val="00963C08"/>
    <w:rsid w:val="009752A5"/>
    <w:rsid w:val="0098585A"/>
    <w:rsid w:val="009A4CED"/>
    <w:rsid w:val="009A690D"/>
    <w:rsid w:val="009B1D12"/>
    <w:rsid w:val="009B416B"/>
    <w:rsid w:val="009C4BD5"/>
    <w:rsid w:val="009D7B77"/>
    <w:rsid w:val="009E0BB0"/>
    <w:rsid w:val="009E3FBB"/>
    <w:rsid w:val="009F7353"/>
    <w:rsid w:val="00A04F85"/>
    <w:rsid w:val="00A05FA4"/>
    <w:rsid w:val="00A102E4"/>
    <w:rsid w:val="00A1219C"/>
    <w:rsid w:val="00A12C42"/>
    <w:rsid w:val="00A14DF7"/>
    <w:rsid w:val="00A22D57"/>
    <w:rsid w:val="00A25880"/>
    <w:rsid w:val="00A26ABA"/>
    <w:rsid w:val="00A3246D"/>
    <w:rsid w:val="00A36FA7"/>
    <w:rsid w:val="00A44DDB"/>
    <w:rsid w:val="00A475B7"/>
    <w:rsid w:val="00A47AF7"/>
    <w:rsid w:val="00A47C3E"/>
    <w:rsid w:val="00A50226"/>
    <w:rsid w:val="00A60BAD"/>
    <w:rsid w:val="00A77F87"/>
    <w:rsid w:val="00A80B5B"/>
    <w:rsid w:val="00A84E36"/>
    <w:rsid w:val="00A964D1"/>
    <w:rsid w:val="00A96D80"/>
    <w:rsid w:val="00AA0ED0"/>
    <w:rsid w:val="00AC2B40"/>
    <w:rsid w:val="00AC2BB2"/>
    <w:rsid w:val="00AC2C3C"/>
    <w:rsid w:val="00AC512D"/>
    <w:rsid w:val="00AD0083"/>
    <w:rsid w:val="00AD1922"/>
    <w:rsid w:val="00AD3935"/>
    <w:rsid w:val="00AE65EB"/>
    <w:rsid w:val="00AE67A7"/>
    <w:rsid w:val="00AF1D94"/>
    <w:rsid w:val="00AF60C5"/>
    <w:rsid w:val="00B009C6"/>
    <w:rsid w:val="00B01548"/>
    <w:rsid w:val="00B130C5"/>
    <w:rsid w:val="00B13EBD"/>
    <w:rsid w:val="00B21D29"/>
    <w:rsid w:val="00B25034"/>
    <w:rsid w:val="00B33588"/>
    <w:rsid w:val="00B33863"/>
    <w:rsid w:val="00B37D17"/>
    <w:rsid w:val="00B40544"/>
    <w:rsid w:val="00B4175E"/>
    <w:rsid w:val="00B41C85"/>
    <w:rsid w:val="00B452CE"/>
    <w:rsid w:val="00B54C25"/>
    <w:rsid w:val="00B655E9"/>
    <w:rsid w:val="00B76B91"/>
    <w:rsid w:val="00B77EB1"/>
    <w:rsid w:val="00B811C6"/>
    <w:rsid w:val="00B855B0"/>
    <w:rsid w:val="00B92E08"/>
    <w:rsid w:val="00BB05B7"/>
    <w:rsid w:val="00BC622A"/>
    <w:rsid w:val="00BD322D"/>
    <w:rsid w:val="00BE0A78"/>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47949"/>
    <w:rsid w:val="00C52E24"/>
    <w:rsid w:val="00C6316B"/>
    <w:rsid w:val="00C634A9"/>
    <w:rsid w:val="00C64586"/>
    <w:rsid w:val="00C70D53"/>
    <w:rsid w:val="00C73D0B"/>
    <w:rsid w:val="00C74F5C"/>
    <w:rsid w:val="00C772FF"/>
    <w:rsid w:val="00C80137"/>
    <w:rsid w:val="00C801AF"/>
    <w:rsid w:val="00C80256"/>
    <w:rsid w:val="00C87D22"/>
    <w:rsid w:val="00C94CD4"/>
    <w:rsid w:val="00C9747E"/>
    <w:rsid w:val="00CB1584"/>
    <w:rsid w:val="00CB58B0"/>
    <w:rsid w:val="00CB6BC0"/>
    <w:rsid w:val="00CC1B7C"/>
    <w:rsid w:val="00CC3561"/>
    <w:rsid w:val="00CC727F"/>
    <w:rsid w:val="00CF15C3"/>
    <w:rsid w:val="00CF2B6F"/>
    <w:rsid w:val="00CF2F3E"/>
    <w:rsid w:val="00CF58B6"/>
    <w:rsid w:val="00D0062D"/>
    <w:rsid w:val="00D017ED"/>
    <w:rsid w:val="00D040D3"/>
    <w:rsid w:val="00D04C65"/>
    <w:rsid w:val="00D153D8"/>
    <w:rsid w:val="00D17415"/>
    <w:rsid w:val="00D201D2"/>
    <w:rsid w:val="00D224FE"/>
    <w:rsid w:val="00D23139"/>
    <w:rsid w:val="00D316ED"/>
    <w:rsid w:val="00D3758F"/>
    <w:rsid w:val="00D425BB"/>
    <w:rsid w:val="00D453FA"/>
    <w:rsid w:val="00D6493E"/>
    <w:rsid w:val="00D7195D"/>
    <w:rsid w:val="00D7301E"/>
    <w:rsid w:val="00D83AE1"/>
    <w:rsid w:val="00D855D4"/>
    <w:rsid w:val="00D85E23"/>
    <w:rsid w:val="00D902C9"/>
    <w:rsid w:val="00D93466"/>
    <w:rsid w:val="00DA1124"/>
    <w:rsid w:val="00DA64CB"/>
    <w:rsid w:val="00DB06B8"/>
    <w:rsid w:val="00DB6124"/>
    <w:rsid w:val="00DB750B"/>
    <w:rsid w:val="00DB75B7"/>
    <w:rsid w:val="00DC0A2F"/>
    <w:rsid w:val="00DC1948"/>
    <w:rsid w:val="00DC655E"/>
    <w:rsid w:val="00DC6E02"/>
    <w:rsid w:val="00DD28CD"/>
    <w:rsid w:val="00DE02AE"/>
    <w:rsid w:val="00DE39D1"/>
    <w:rsid w:val="00DF1D7F"/>
    <w:rsid w:val="00DF4BE4"/>
    <w:rsid w:val="00E02382"/>
    <w:rsid w:val="00E02FB4"/>
    <w:rsid w:val="00E04B6E"/>
    <w:rsid w:val="00E13FC7"/>
    <w:rsid w:val="00E20571"/>
    <w:rsid w:val="00E235AE"/>
    <w:rsid w:val="00E235F7"/>
    <w:rsid w:val="00E23659"/>
    <w:rsid w:val="00E239D4"/>
    <w:rsid w:val="00E26130"/>
    <w:rsid w:val="00E40B22"/>
    <w:rsid w:val="00E44ED1"/>
    <w:rsid w:val="00E45619"/>
    <w:rsid w:val="00E4588F"/>
    <w:rsid w:val="00E46DA3"/>
    <w:rsid w:val="00E51BB1"/>
    <w:rsid w:val="00E55CB0"/>
    <w:rsid w:val="00E624A5"/>
    <w:rsid w:val="00E64BA4"/>
    <w:rsid w:val="00E7344E"/>
    <w:rsid w:val="00E82665"/>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2E99"/>
    <w:rsid w:val="00F53C07"/>
    <w:rsid w:val="00F54B65"/>
    <w:rsid w:val="00F640B6"/>
    <w:rsid w:val="00F66DF2"/>
    <w:rsid w:val="00F80E40"/>
    <w:rsid w:val="00F848D9"/>
    <w:rsid w:val="00FA5069"/>
    <w:rsid w:val="00FA5B82"/>
    <w:rsid w:val="00FA639E"/>
    <w:rsid w:val="00FC1FCA"/>
    <w:rsid w:val="00FC25E4"/>
    <w:rsid w:val="00FC4EF7"/>
    <w:rsid w:val="00FD0824"/>
    <w:rsid w:val="00FD119B"/>
    <w:rsid w:val="00FD1EDC"/>
    <w:rsid w:val="00FD5F2E"/>
    <w:rsid w:val="00FE1DEE"/>
    <w:rsid w:val="00FF2126"/>
    <w:rsid w:val="00FF5755"/>
    <w:rsid w:val="00FF69BE"/>
    <w:rsid w:val="00FF7059"/>
    <w:rsid w:val="00FF726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F1A0DF"/>
  <w15:docId w15:val="{D323C196-36F6-4524-BA9A-D8EB54DB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5FAE"/>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824A4"/>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885D37"/>
    <w:pPr>
      <w:numPr>
        <w:numId w:val="24"/>
      </w:numPr>
      <w:ind w:left="425"/>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table" w:customStyle="1" w:styleId="TableTGAblue1">
    <w:name w:val="Table TGA blue1"/>
    <w:basedOn w:val="TableNormal"/>
    <w:uiPriority w:val="99"/>
    <w:qFormat/>
    <w:rsid w:val="0091657B"/>
    <w:pPr>
      <w:spacing w:after="0" w:line="240" w:lineRule="auto"/>
      <w:ind w:left="170" w:right="170"/>
    </w:pPr>
    <w:rPr>
      <w:rFonts w:ascii="Cambria" w:eastAsia="Calibri" w:hAnsi="Cambria" w:cs="Times New Roman"/>
      <w:color w:val="000000"/>
      <w:szCs w:val="21"/>
      <w:lang w:eastAsia="en-AU"/>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customStyle="1" w:styleId="Figuredescription0">
    <w:name w:val="Figure description"/>
    <w:basedOn w:val="Normal"/>
    <w:next w:val="Normal"/>
    <w:rsid w:val="004124B2"/>
    <w:pPr>
      <w:spacing w:after="240" w:line="180" w:lineRule="atLeast"/>
    </w:pPr>
    <w:rPr>
      <w:sz w:val="18"/>
      <w:szCs w:val="20"/>
    </w:rPr>
  </w:style>
  <w:style w:type="paragraph" w:styleId="ListParagraph">
    <w:name w:val="List Paragraph"/>
    <w:basedOn w:val="Normal"/>
    <w:uiPriority w:val="34"/>
    <w:qFormat/>
    <w:rsid w:val="00075FAE"/>
    <w:pPr>
      <w:adjustRightInd w:val="0"/>
      <w:snapToGrid w:val="0"/>
      <w:spacing w:before="180" w:after="180"/>
      <w:ind w:left="720"/>
      <w:contextualSpacing/>
    </w:pPr>
    <w:rPr>
      <w:rFonts w:eastAsia="MS Mincho"/>
      <w:szCs w:val="20"/>
      <w:lang w:eastAsia="ja-JP"/>
    </w:rPr>
  </w:style>
  <w:style w:type="paragraph" w:customStyle="1" w:styleId="Bulletpoint">
    <w:name w:val="Bullet point"/>
    <w:basedOn w:val="Normal"/>
    <w:rsid w:val="00075FAE"/>
    <w:pPr>
      <w:numPr>
        <w:numId w:val="31"/>
      </w:numPr>
      <w:tabs>
        <w:tab w:val="left" w:pos="397"/>
      </w:tabs>
      <w:spacing w:before="0" w:after="180" w:line="252" w:lineRule="auto"/>
    </w:pPr>
    <w:rPr>
      <w:rFonts w:eastAsia="Times New Roman"/>
      <w:snapToGrid w:val="0"/>
      <w:kern w:val="16"/>
      <w:szCs w:val="24"/>
    </w:rPr>
  </w:style>
  <w:style w:type="paragraph" w:styleId="BodyText">
    <w:name w:val="Body Text"/>
    <w:basedOn w:val="Normal"/>
    <w:link w:val="BodyTextChar"/>
    <w:uiPriority w:val="1"/>
    <w:qFormat/>
    <w:rsid w:val="00075FAE"/>
    <w:pPr>
      <w:widowControl w:val="0"/>
      <w:autoSpaceDE w:val="0"/>
      <w:autoSpaceDN w:val="0"/>
      <w:adjustRightInd w:val="0"/>
      <w:spacing w:before="0" w:after="0" w:line="240" w:lineRule="auto"/>
    </w:pPr>
    <w:rPr>
      <w:rFonts w:eastAsia="PMingLiU" w:cs="Cambria"/>
      <w:i/>
      <w:iCs/>
      <w:lang w:eastAsia="en-AU"/>
    </w:rPr>
  </w:style>
  <w:style w:type="character" w:customStyle="1" w:styleId="BodyTextChar">
    <w:name w:val="Body Text Char"/>
    <w:basedOn w:val="DefaultParagraphFont"/>
    <w:link w:val="BodyText"/>
    <w:uiPriority w:val="1"/>
    <w:rsid w:val="00075FAE"/>
    <w:rPr>
      <w:rFonts w:ascii="Cambria" w:eastAsia="PMingLiU" w:hAnsi="Cambria" w:cs="Cambria"/>
      <w:i/>
      <w:iCs/>
      <w:lang w:eastAsia="en-AU"/>
    </w:rPr>
  </w:style>
  <w:style w:type="paragraph" w:customStyle="1" w:styleId="Standard">
    <w:name w:val="Standard"/>
    <w:basedOn w:val="Normal"/>
    <w:link w:val="StandardChar"/>
    <w:qFormat/>
    <w:rsid w:val="00075FAE"/>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075FAE"/>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075FAE"/>
    <w:pPr>
      <w:numPr>
        <w:numId w:val="34"/>
      </w:numPr>
      <w:spacing w:after="180"/>
      <w:ind w:left="426" w:hanging="284"/>
    </w:pPr>
    <w:rPr>
      <w:kern w:val="2"/>
    </w:rPr>
  </w:style>
  <w:style w:type="character" w:customStyle="1" w:styleId="TabletextChar">
    <w:name w:val="Table text Char"/>
    <w:basedOn w:val="StandardChar"/>
    <w:link w:val="Tabletext"/>
    <w:rsid w:val="00075FAE"/>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075FAE"/>
    <w:rPr>
      <w:rFonts w:ascii="Cambria" w:eastAsia="Times New Roman" w:hAnsi="Cambria" w:cs="Times New Roman"/>
      <w:snapToGrid w:val="0"/>
      <w:kern w:val="2"/>
      <w:sz w:val="23"/>
      <w:szCs w:val="24"/>
    </w:rPr>
  </w:style>
  <w:style w:type="paragraph" w:customStyle="1" w:styleId="TableParagraph">
    <w:name w:val="Table Paragraph"/>
    <w:basedOn w:val="Normal"/>
    <w:uiPriority w:val="1"/>
    <w:qFormat/>
    <w:rsid w:val="00075FAE"/>
    <w:pPr>
      <w:widowControl w:val="0"/>
      <w:autoSpaceDE w:val="0"/>
      <w:autoSpaceDN w:val="0"/>
      <w:spacing w:before="0" w:after="0" w:line="240" w:lineRule="auto"/>
    </w:pPr>
    <w:rPr>
      <w:rFonts w:ascii="Times New Roman" w:eastAsia="Times New Roman" w:hAnsi="Times New Roman"/>
      <w:lang w:val="en-US"/>
    </w:rPr>
  </w:style>
  <w:style w:type="character" w:customStyle="1" w:styleId="ref-journal">
    <w:name w:val="ref-journal"/>
    <w:basedOn w:val="DefaultParagraphFont"/>
    <w:rsid w:val="00B40544"/>
  </w:style>
  <w:style w:type="character" w:customStyle="1" w:styleId="ref-vol">
    <w:name w:val="ref-vol"/>
    <w:basedOn w:val="DefaultParagraphFont"/>
    <w:rsid w:val="00B40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595948">
      <w:bodyDiv w:val="1"/>
      <w:marLeft w:val="0"/>
      <w:marRight w:val="0"/>
      <w:marTop w:val="0"/>
      <w:marBottom w:val="0"/>
      <w:divBdr>
        <w:top w:val="none" w:sz="0" w:space="0" w:color="auto"/>
        <w:left w:val="none" w:sz="0" w:space="0" w:color="auto"/>
        <w:bottom w:val="none" w:sz="0" w:space="0" w:color="auto"/>
        <w:right w:val="none" w:sz="0" w:space="0" w:color="auto"/>
      </w:divBdr>
      <w:divsChild>
        <w:div w:id="919875197">
          <w:marLeft w:val="0"/>
          <w:marRight w:val="0"/>
          <w:marTop w:val="0"/>
          <w:marBottom w:val="0"/>
          <w:divBdr>
            <w:top w:val="none" w:sz="0" w:space="0" w:color="auto"/>
            <w:left w:val="none" w:sz="0" w:space="0" w:color="auto"/>
            <w:bottom w:val="none" w:sz="0" w:space="0" w:color="auto"/>
            <w:right w:val="none" w:sz="0" w:space="0" w:color="auto"/>
          </w:divBdr>
          <w:divsChild>
            <w:div w:id="824011808">
              <w:marLeft w:val="0"/>
              <w:marRight w:val="0"/>
              <w:marTop w:val="225"/>
              <w:marBottom w:val="0"/>
              <w:divBdr>
                <w:top w:val="none" w:sz="0" w:space="0" w:color="auto"/>
                <w:left w:val="none" w:sz="0" w:space="0" w:color="auto"/>
                <w:bottom w:val="none" w:sz="0" w:space="0" w:color="auto"/>
                <w:right w:val="none" w:sz="0" w:space="0" w:color="auto"/>
              </w:divBdr>
              <w:divsChild>
                <w:div w:id="1888252440">
                  <w:marLeft w:val="0"/>
                  <w:marRight w:val="0"/>
                  <w:marTop w:val="0"/>
                  <w:marBottom w:val="0"/>
                  <w:divBdr>
                    <w:top w:val="none" w:sz="0" w:space="0" w:color="auto"/>
                    <w:left w:val="none" w:sz="0" w:space="0" w:color="auto"/>
                    <w:bottom w:val="none" w:sz="0" w:space="0" w:color="auto"/>
                    <w:right w:val="none" w:sz="0" w:space="0" w:color="auto"/>
                  </w:divBdr>
                  <w:divsChild>
                    <w:div w:id="604385670">
                      <w:marLeft w:val="0"/>
                      <w:marRight w:val="0"/>
                      <w:marTop w:val="0"/>
                      <w:marBottom w:val="750"/>
                      <w:divBdr>
                        <w:top w:val="none" w:sz="0" w:space="0" w:color="auto"/>
                        <w:left w:val="none" w:sz="0" w:space="0" w:color="auto"/>
                        <w:bottom w:val="none" w:sz="0" w:space="0" w:color="auto"/>
                        <w:right w:val="none" w:sz="0" w:space="0" w:color="auto"/>
                      </w:divBdr>
                      <w:divsChild>
                        <w:div w:id="1965378589">
                          <w:marLeft w:val="0"/>
                          <w:marRight w:val="0"/>
                          <w:marTop w:val="300"/>
                          <w:marBottom w:val="0"/>
                          <w:divBdr>
                            <w:top w:val="none" w:sz="0" w:space="0" w:color="auto"/>
                            <w:left w:val="none" w:sz="0" w:space="0" w:color="auto"/>
                            <w:bottom w:val="none" w:sz="0" w:space="0" w:color="auto"/>
                            <w:right w:val="none" w:sz="0" w:space="0" w:color="auto"/>
                          </w:divBdr>
                          <w:divsChild>
                            <w:div w:id="1450706140">
                              <w:marLeft w:val="0"/>
                              <w:marRight w:val="0"/>
                              <w:marTop w:val="0"/>
                              <w:marBottom w:val="0"/>
                              <w:divBdr>
                                <w:top w:val="none" w:sz="0" w:space="0" w:color="auto"/>
                                <w:left w:val="none" w:sz="0" w:space="0" w:color="auto"/>
                                <w:bottom w:val="none" w:sz="0" w:space="0" w:color="auto"/>
                                <w:right w:val="none" w:sz="0" w:space="0" w:color="auto"/>
                              </w:divBdr>
                              <w:divsChild>
                                <w:div w:id="601763725">
                                  <w:marLeft w:val="0"/>
                                  <w:marRight w:val="0"/>
                                  <w:marTop w:val="0"/>
                                  <w:marBottom w:val="0"/>
                                  <w:divBdr>
                                    <w:top w:val="none" w:sz="0" w:space="0" w:color="auto"/>
                                    <w:left w:val="none" w:sz="0" w:space="0" w:color="auto"/>
                                    <w:bottom w:val="none" w:sz="0" w:space="0" w:color="auto"/>
                                    <w:right w:val="none" w:sz="0" w:space="0" w:color="auto"/>
                                  </w:divBdr>
                                  <w:divsChild>
                                    <w:div w:id="1514144609">
                                      <w:marLeft w:val="0"/>
                                      <w:marRight w:val="0"/>
                                      <w:marTop w:val="0"/>
                                      <w:marBottom w:val="0"/>
                                      <w:divBdr>
                                        <w:top w:val="none" w:sz="0" w:space="0" w:color="auto"/>
                                        <w:left w:val="none" w:sz="0" w:space="0" w:color="auto"/>
                                        <w:bottom w:val="none" w:sz="0" w:space="0" w:color="auto"/>
                                        <w:right w:val="none" w:sz="0" w:space="0" w:color="auto"/>
                                      </w:divBdr>
                                      <w:divsChild>
                                        <w:div w:id="7302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586097">
      <w:bodyDiv w:val="1"/>
      <w:marLeft w:val="0"/>
      <w:marRight w:val="0"/>
      <w:marTop w:val="0"/>
      <w:marBottom w:val="0"/>
      <w:divBdr>
        <w:top w:val="none" w:sz="0" w:space="0" w:color="auto"/>
        <w:left w:val="none" w:sz="0" w:space="0" w:color="auto"/>
        <w:bottom w:val="none" w:sz="0" w:space="0" w:color="auto"/>
        <w:right w:val="none" w:sz="0" w:space="0" w:color="auto"/>
      </w:divBdr>
      <w:divsChild>
        <w:div w:id="1428696316">
          <w:marLeft w:val="0"/>
          <w:marRight w:val="0"/>
          <w:marTop w:val="0"/>
          <w:marBottom w:val="0"/>
          <w:divBdr>
            <w:top w:val="none" w:sz="0" w:space="0" w:color="auto"/>
            <w:left w:val="none" w:sz="0" w:space="0" w:color="auto"/>
            <w:bottom w:val="none" w:sz="0" w:space="0" w:color="auto"/>
            <w:right w:val="none" w:sz="0" w:space="0" w:color="auto"/>
          </w:divBdr>
          <w:divsChild>
            <w:div w:id="2074233143">
              <w:marLeft w:val="0"/>
              <w:marRight w:val="0"/>
              <w:marTop w:val="225"/>
              <w:marBottom w:val="0"/>
              <w:divBdr>
                <w:top w:val="none" w:sz="0" w:space="0" w:color="auto"/>
                <w:left w:val="none" w:sz="0" w:space="0" w:color="auto"/>
                <w:bottom w:val="none" w:sz="0" w:space="0" w:color="auto"/>
                <w:right w:val="none" w:sz="0" w:space="0" w:color="auto"/>
              </w:divBdr>
              <w:divsChild>
                <w:div w:id="771434048">
                  <w:marLeft w:val="0"/>
                  <w:marRight w:val="0"/>
                  <w:marTop w:val="0"/>
                  <w:marBottom w:val="0"/>
                  <w:divBdr>
                    <w:top w:val="none" w:sz="0" w:space="0" w:color="auto"/>
                    <w:left w:val="none" w:sz="0" w:space="0" w:color="auto"/>
                    <w:bottom w:val="none" w:sz="0" w:space="0" w:color="auto"/>
                    <w:right w:val="none" w:sz="0" w:space="0" w:color="auto"/>
                  </w:divBdr>
                  <w:divsChild>
                    <w:div w:id="1616324615">
                      <w:marLeft w:val="0"/>
                      <w:marRight w:val="0"/>
                      <w:marTop w:val="0"/>
                      <w:marBottom w:val="750"/>
                      <w:divBdr>
                        <w:top w:val="none" w:sz="0" w:space="0" w:color="auto"/>
                        <w:left w:val="none" w:sz="0" w:space="0" w:color="auto"/>
                        <w:bottom w:val="none" w:sz="0" w:space="0" w:color="auto"/>
                        <w:right w:val="none" w:sz="0" w:space="0" w:color="auto"/>
                      </w:divBdr>
                      <w:divsChild>
                        <w:div w:id="1972858016">
                          <w:marLeft w:val="0"/>
                          <w:marRight w:val="0"/>
                          <w:marTop w:val="300"/>
                          <w:marBottom w:val="0"/>
                          <w:divBdr>
                            <w:top w:val="none" w:sz="0" w:space="0" w:color="auto"/>
                            <w:left w:val="none" w:sz="0" w:space="0" w:color="auto"/>
                            <w:bottom w:val="none" w:sz="0" w:space="0" w:color="auto"/>
                            <w:right w:val="none" w:sz="0" w:space="0" w:color="auto"/>
                          </w:divBdr>
                          <w:divsChild>
                            <w:div w:id="1393770056">
                              <w:marLeft w:val="0"/>
                              <w:marRight w:val="0"/>
                              <w:marTop w:val="0"/>
                              <w:marBottom w:val="0"/>
                              <w:divBdr>
                                <w:top w:val="none" w:sz="0" w:space="0" w:color="auto"/>
                                <w:left w:val="none" w:sz="0" w:space="0" w:color="auto"/>
                                <w:bottom w:val="none" w:sz="0" w:space="0" w:color="auto"/>
                                <w:right w:val="none" w:sz="0" w:space="0" w:color="auto"/>
                              </w:divBdr>
                              <w:divsChild>
                                <w:div w:id="344597896">
                                  <w:marLeft w:val="0"/>
                                  <w:marRight w:val="0"/>
                                  <w:marTop w:val="0"/>
                                  <w:marBottom w:val="0"/>
                                  <w:divBdr>
                                    <w:top w:val="none" w:sz="0" w:space="0" w:color="auto"/>
                                    <w:left w:val="none" w:sz="0" w:space="0" w:color="auto"/>
                                    <w:bottom w:val="none" w:sz="0" w:space="0" w:color="auto"/>
                                    <w:right w:val="none" w:sz="0" w:space="0" w:color="auto"/>
                                  </w:divBdr>
                                  <w:divsChild>
                                    <w:div w:id="1044405815">
                                      <w:marLeft w:val="0"/>
                                      <w:marRight w:val="0"/>
                                      <w:marTop w:val="0"/>
                                      <w:marBottom w:val="0"/>
                                      <w:divBdr>
                                        <w:top w:val="none" w:sz="0" w:space="0" w:color="auto"/>
                                        <w:left w:val="none" w:sz="0" w:space="0" w:color="auto"/>
                                        <w:bottom w:val="none" w:sz="0" w:space="0" w:color="auto"/>
                                        <w:right w:val="none" w:sz="0" w:space="0" w:color="auto"/>
                                      </w:divBdr>
                                      <w:divsChild>
                                        <w:div w:id="546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yperlink" Target="https://www.tga.gov.au/publication/testing-biological-medicines"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tga.gov.au"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product-information-pi" TargetMode="Externa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67172\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FB7E-17C7-43E3-9138-DE0A51E1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Template>
  <TotalTime>14</TotalTime>
  <Pages>26</Pages>
  <Words>8496</Words>
  <Characters>48430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56813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Mecasermin</dc:title>
  <dc:subject>prescription medicines</dc:subject>
  <dc:creator>Therapeutic Goods Administration</dc:creator>
  <cp:lastPrinted>2019-08-14T04:30:00Z</cp:lastPrinted>
  <dcterms:created xsi:type="dcterms:W3CDTF">2020-03-11T23:08:00Z</dcterms:created>
  <dcterms:modified xsi:type="dcterms:W3CDTF">2020-03-11T23:34:00Z</dcterms:modified>
</cp:coreProperties>
</file>