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CCA62" w14:textId="77777777" w:rsidR="00375DF3" w:rsidRPr="00D36183" w:rsidRDefault="00375DF3" w:rsidP="006018AE">
      <w:pPr>
        <w:tabs>
          <w:tab w:val="left" w:pos="284"/>
        </w:tabs>
        <w:spacing w:after="480" w:line="240" w:lineRule="auto"/>
        <w:rPr>
          <w:rFonts w:cs="Times New Roman"/>
        </w:rPr>
      </w:pPr>
      <w:r w:rsidRPr="007635E1">
        <w:rPr>
          <w:rFonts w:cs="Times New Roman"/>
          <w:noProof/>
          <w:lang w:eastAsia="en-AU"/>
        </w:rPr>
        <mc:AlternateContent>
          <mc:Choice Requires="wps">
            <w:drawing>
              <wp:inline distT="0" distB="0" distL="0" distR="0" wp14:anchorId="6659DE0F" wp14:editId="20A8C0DD">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FF7E5" w14:textId="77777777" w:rsidR="003C5F80" w:rsidRPr="00BE2A26" w:rsidRDefault="003C5F80" w:rsidP="00375DF3">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659DE0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1F6FF7E5" w14:textId="77777777" w:rsidR="003C5F80" w:rsidRPr="00BE2A26" w:rsidRDefault="003C5F80" w:rsidP="00375DF3">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001A3992" w:rsidRPr="00D36183">
        <w:rPr>
          <w:rFonts w:cs="Times New Roman"/>
        </w:rPr>
        <w:t>This medicinal product is sub</w:t>
      </w:r>
      <w:bookmarkStart w:id="0" w:name="_GoBack"/>
      <w:bookmarkEnd w:id="0"/>
      <w:r w:rsidR="001A3992" w:rsidRPr="00D36183">
        <w:rPr>
          <w:rFonts w:cs="Times New Roman"/>
        </w:rPr>
        <w:t xml:space="preserve">ject to additional monitoring in Australia. This will allow quick identification of new safety information. Healthcare professionals are asked to report any suspected adverse events at </w:t>
      </w:r>
      <w:hyperlink r:id="rId8" w:history="1">
        <w:r w:rsidR="00C72232" w:rsidRPr="00D36183">
          <w:rPr>
            <w:rStyle w:val="Hyperlink"/>
            <w:rFonts w:cs="Times New Roman"/>
          </w:rPr>
          <w:t>www.tga.gov.au/reporting-problems</w:t>
        </w:r>
      </w:hyperlink>
      <w:r w:rsidRPr="00D36183">
        <w:rPr>
          <w:rFonts w:cs="Times New Roman"/>
        </w:rPr>
        <w:t>.</w:t>
      </w:r>
    </w:p>
    <w:p w14:paraId="7944641C" w14:textId="49CD2892" w:rsidR="00FD2445" w:rsidRPr="00D36183" w:rsidRDefault="006018AE" w:rsidP="00FD2445">
      <w:pPr>
        <w:pStyle w:val="Heading1"/>
        <w:numPr>
          <w:ilvl w:val="0"/>
          <w:numId w:val="0"/>
        </w:numPr>
        <w:spacing w:after="240"/>
        <w:jc w:val="center"/>
        <w:rPr>
          <w:rFonts w:ascii="Times New Roman" w:eastAsia="SimSun" w:hAnsi="Times New Roman" w:cs="Times New Roman"/>
          <w:bCs w:val="0"/>
          <w:caps w:val="0"/>
        </w:rPr>
      </w:pPr>
      <w:r w:rsidRPr="00D36183">
        <w:rPr>
          <w:rFonts w:ascii="Times New Roman" w:eastAsia="SimSun" w:hAnsi="Times New Roman" w:cs="Times New Roman"/>
        </w:rPr>
        <w:t>Australian P</w:t>
      </w:r>
      <w:r w:rsidR="00ED31C9" w:rsidRPr="00D36183">
        <w:rPr>
          <w:rFonts w:ascii="Times New Roman" w:eastAsia="SimSun" w:hAnsi="Times New Roman" w:cs="Times New Roman"/>
        </w:rPr>
        <w:t xml:space="preserve">roduct </w:t>
      </w:r>
      <w:r w:rsidRPr="00D36183">
        <w:rPr>
          <w:rFonts w:ascii="Times New Roman" w:eastAsia="SimSun" w:hAnsi="Times New Roman" w:cs="Times New Roman"/>
        </w:rPr>
        <w:t>I</w:t>
      </w:r>
      <w:r w:rsidR="00600F91" w:rsidRPr="00D36183">
        <w:rPr>
          <w:rFonts w:ascii="Times New Roman" w:eastAsia="SimSun" w:hAnsi="Times New Roman" w:cs="Times New Roman"/>
        </w:rPr>
        <w:t xml:space="preserve">nformation </w:t>
      </w:r>
      <w:r w:rsidR="00600F91" w:rsidRPr="00D36183">
        <w:rPr>
          <w:rFonts w:ascii="Times New Roman" w:eastAsia="SimSun" w:hAnsi="Times New Roman" w:cs="Times New Roman"/>
        </w:rPr>
        <w:br/>
      </w:r>
      <w:r w:rsidR="00FD2445" w:rsidRPr="00D36183">
        <w:rPr>
          <w:rFonts w:ascii="Times New Roman" w:eastAsia="SimSun" w:hAnsi="Times New Roman" w:cs="Times New Roman"/>
        </w:rPr>
        <w:t>INCRELEX</w:t>
      </w:r>
      <w:r w:rsidR="00B37D17" w:rsidRPr="00D36183">
        <w:rPr>
          <w:rFonts w:ascii="Times New Roman" w:eastAsia="SimSun" w:hAnsi="Times New Roman" w:cs="Times New Roman"/>
          <w:vertAlign w:val="superscript"/>
        </w:rPr>
        <w:t>®</w:t>
      </w:r>
      <w:r w:rsidR="00FD2445" w:rsidRPr="00D36183">
        <w:rPr>
          <w:rFonts w:ascii="Times New Roman" w:eastAsia="SimSun" w:hAnsi="Times New Roman" w:cs="Times New Roman"/>
        </w:rPr>
        <w:br/>
      </w:r>
      <w:bookmarkStart w:id="1" w:name="_Hlk514706837"/>
      <w:r w:rsidR="00FD2445" w:rsidRPr="00D36183">
        <w:rPr>
          <w:rFonts w:ascii="Times New Roman" w:eastAsia="SimSun" w:hAnsi="Times New Roman" w:cs="Times New Roman"/>
          <w:bCs w:val="0"/>
          <w:caps w:val="0"/>
        </w:rPr>
        <w:t xml:space="preserve">mecasermin </w:t>
      </w:r>
      <w:r w:rsidR="00FF2016" w:rsidRPr="00D36183">
        <w:rPr>
          <w:rFonts w:ascii="Times New Roman" w:eastAsia="SimSun" w:hAnsi="Times New Roman" w:cs="Times New Roman"/>
          <w:bCs w:val="0"/>
          <w:caps w:val="0"/>
        </w:rPr>
        <w:t>10 mg/mL</w:t>
      </w:r>
      <w:r w:rsidR="00FD2445" w:rsidRPr="00D36183">
        <w:rPr>
          <w:rFonts w:ascii="Times New Roman" w:eastAsia="SimSun" w:hAnsi="Times New Roman" w:cs="Times New Roman"/>
          <w:bCs w:val="0"/>
          <w:caps w:val="0"/>
        </w:rPr>
        <w:t xml:space="preserve"> solution for injection</w:t>
      </w:r>
      <w:bookmarkEnd w:id="1"/>
    </w:p>
    <w:p w14:paraId="05591959" w14:textId="77777777"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Name of the medicine</w:t>
      </w:r>
    </w:p>
    <w:p w14:paraId="462E2F5E" w14:textId="32664DC2" w:rsidR="00ED31C9" w:rsidRPr="00D36183" w:rsidRDefault="00FF2016" w:rsidP="00ED31C9">
      <w:r w:rsidRPr="00D36183">
        <w:t>mecasermin</w:t>
      </w:r>
    </w:p>
    <w:p w14:paraId="74DC004A" w14:textId="77777777"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Qualitative and quantitative composition</w:t>
      </w:r>
    </w:p>
    <w:p w14:paraId="042F45E0" w14:textId="22378A5E" w:rsidR="004C73A9" w:rsidRPr="00D36183" w:rsidRDefault="004C73A9" w:rsidP="004C73A9">
      <w:r w:rsidRPr="00D36183">
        <w:t xml:space="preserve">Each </w:t>
      </w:r>
      <w:r w:rsidR="00DB2B23" w:rsidRPr="00D36183">
        <w:t xml:space="preserve">mL </w:t>
      </w:r>
      <w:r w:rsidRPr="00D36183">
        <w:t>contains 10 mg of mecasermin*.</w:t>
      </w:r>
    </w:p>
    <w:p w14:paraId="24985BFF" w14:textId="79EA5EBB" w:rsidR="004C73A9" w:rsidRPr="00D36183" w:rsidRDefault="004C73A9" w:rsidP="004C73A9">
      <w:r w:rsidRPr="00D36183">
        <w:t>Each vial of 4 mL contains 40 mg of mecasermin*.</w:t>
      </w:r>
    </w:p>
    <w:p w14:paraId="040E1344" w14:textId="77777777" w:rsidR="004C73A9" w:rsidRPr="00D36183" w:rsidRDefault="004C73A9" w:rsidP="004C73A9">
      <w:r w:rsidRPr="00D36183">
        <w:t xml:space="preserve">*Mecasermin is a recombinant DNA-derived human insulin-like growth factor-1(IGF 1) produced in </w:t>
      </w:r>
      <w:r w:rsidRPr="00D36183">
        <w:rPr>
          <w:i/>
        </w:rPr>
        <w:t>Escherichia coli</w:t>
      </w:r>
      <w:r w:rsidRPr="00D36183">
        <w:t>.</w:t>
      </w:r>
    </w:p>
    <w:p w14:paraId="1958E97D" w14:textId="77777777" w:rsidR="004C73A9" w:rsidRPr="00D36183" w:rsidRDefault="004C73A9" w:rsidP="004C73A9">
      <w:pPr>
        <w:pStyle w:val="Heading4"/>
      </w:pPr>
      <w:r w:rsidRPr="00D36183">
        <w:t>Excipient with known effect:</w:t>
      </w:r>
    </w:p>
    <w:p w14:paraId="29BC94BA" w14:textId="50BCE361" w:rsidR="009021C3" w:rsidRPr="00D36183" w:rsidDel="005C2617" w:rsidRDefault="004C73A9" w:rsidP="004C73A9">
      <w:r w:rsidRPr="00D36183">
        <w:t>One mL contains 9 mg of benzyl alcohol.</w:t>
      </w:r>
    </w:p>
    <w:p w14:paraId="29002110" w14:textId="0C8DA33C" w:rsidR="005C2617" w:rsidRPr="00D36183" w:rsidRDefault="005C2617" w:rsidP="00E03C13">
      <w:r w:rsidRPr="00D36183">
        <w:t>For the full list of excipients, s</w:t>
      </w:r>
      <w:r w:rsidR="00712B0E" w:rsidRPr="00D36183">
        <w:t>ee S</w:t>
      </w:r>
      <w:r w:rsidRPr="00D36183">
        <w:t>ection 6.1 LIST OF EXCIPIENTS.</w:t>
      </w:r>
    </w:p>
    <w:p w14:paraId="5CA06AFB" w14:textId="77777777"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Pharmaceutical form</w:t>
      </w:r>
    </w:p>
    <w:p w14:paraId="659AC9A2" w14:textId="4AA6ABDA" w:rsidR="004C73A9" w:rsidRPr="00D36183" w:rsidRDefault="004C73A9" w:rsidP="004C73A9">
      <w:r w:rsidRPr="00D36183">
        <w:t>Solution for injection (injection).</w:t>
      </w:r>
    </w:p>
    <w:p w14:paraId="3F848C21" w14:textId="042AC542" w:rsidR="00600F91" w:rsidRPr="00D36183" w:rsidRDefault="003D62AF" w:rsidP="004C73A9">
      <w:r w:rsidRPr="00D36183">
        <w:t>C</w:t>
      </w:r>
      <w:r w:rsidR="004C73A9" w:rsidRPr="00D36183">
        <w:t xml:space="preserve">lear and colourless </w:t>
      </w:r>
      <w:r w:rsidRPr="00D36183">
        <w:t xml:space="preserve">aqueous </w:t>
      </w:r>
      <w:r w:rsidR="004C73A9" w:rsidRPr="00D36183">
        <w:t>solution.</w:t>
      </w:r>
    </w:p>
    <w:p w14:paraId="5B00B3BD" w14:textId="77777777"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Clinical particulars</w:t>
      </w:r>
    </w:p>
    <w:p w14:paraId="44FC4D20" w14:textId="77777777" w:rsidR="001A3992" w:rsidRPr="00D36183" w:rsidRDefault="001A3992" w:rsidP="001A3992">
      <w:pPr>
        <w:pStyle w:val="Heading2"/>
        <w:spacing w:before="0" w:after="120"/>
        <w:rPr>
          <w:rFonts w:cs="Times New Roman"/>
        </w:rPr>
      </w:pPr>
      <w:r w:rsidRPr="00D36183">
        <w:rPr>
          <w:rFonts w:cs="Times New Roman"/>
        </w:rPr>
        <w:t xml:space="preserve">Therapeutic indications </w:t>
      </w:r>
    </w:p>
    <w:p w14:paraId="10E3C208" w14:textId="77777777" w:rsidR="00963F10" w:rsidRPr="00D36183" w:rsidRDefault="00963F10" w:rsidP="00963F10">
      <w:r w:rsidRPr="00D36183">
        <w:t>For the long-term treatment of growth failure in children and adolescents from 2 to 18 years with severe primary insulin-like growth factor 1 deficiency (Primary IGFD).</w:t>
      </w:r>
    </w:p>
    <w:p w14:paraId="28368BCF" w14:textId="77777777" w:rsidR="00963F10" w:rsidRPr="00D36183" w:rsidRDefault="00963F10" w:rsidP="00963F10">
      <w:r w:rsidRPr="00D36183">
        <w:t>Severe Primary IGFD is defined by:</w:t>
      </w:r>
    </w:p>
    <w:p w14:paraId="4F9E3DAB" w14:textId="150402B4" w:rsidR="00963F10" w:rsidRPr="00D36183" w:rsidRDefault="00963F10" w:rsidP="00CF396C">
      <w:pPr>
        <w:pStyle w:val="ListParagraph"/>
        <w:numPr>
          <w:ilvl w:val="0"/>
          <w:numId w:val="11"/>
        </w:numPr>
        <w:rPr>
          <w:rFonts w:ascii="Times New Roman" w:hAnsi="Times New Roman" w:cs="Times New Roman"/>
        </w:rPr>
      </w:pPr>
      <w:r w:rsidRPr="00D36183">
        <w:rPr>
          <w:rFonts w:ascii="Times New Roman" w:hAnsi="Times New Roman" w:cs="Times New Roman"/>
        </w:rPr>
        <w:t xml:space="preserve">height standard deviation score </w:t>
      </w:r>
      <w:r w:rsidR="00CF396C" w:rsidRPr="00D36183">
        <w:rPr>
          <w:rFonts w:ascii="Times New Roman" w:hAnsi="Times New Roman" w:cs="Times New Roman"/>
        </w:rPr>
        <w:t>≤</w:t>
      </w:r>
      <w:r w:rsidRPr="00D36183">
        <w:rPr>
          <w:rFonts w:ascii="Times New Roman" w:hAnsi="Times New Roman" w:cs="Times New Roman"/>
        </w:rPr>
        <w:t xml:space="preserve"> –3.0 and</w:t>
      </w:r>
    </w:p>
    <w:p w14:paraId="55E87A6C" w14:textId="1E2F84E2" w:rsidR="00DB2B23" w:rsidRPr="00D36183" w:rsidRDefault="00DB2B23" w:rsidP="00DB2B23">
      <w:pPr>
        <w:pStyle w:val="ListParagraph"/>
        <w:numPr>
          <w:ilvl w:val="0"/>
          <w:numId w:val="11"/>
        </w:numPr>
        <w:rPr>
          <w:rFonts w:ascii="Times New Roman" w:hAnsi="Times New Roman" w:cs="Times New Roman"/>
        </w:rPr>
      </w:pPr>
      <w:r w:rsidRPr="00D36183">
        <w:rPr>
          <w:rFonts w:ascii="Times New Roman" w:hAnsi="Times New Roman" w:cs="Times New Roman"/>
        </w:rPr>
        <w:t>Baseline height velocity less than the 25th percentile for bone age, based on two measurements over 12 months and</w:t>
      </w:r>
    </w:p>
    <w:p w14:paraId="04B0AF2D" w14:textId="3FCDDABF" w:rsidR="00963F10" w:rsidRPr="00D36183" w:rsidRDefault="005F00D9" w:rsidP="00CF396C">
      <w:pPr>
        <w:pStyle w:val="ListParagraph"/>
        <w:numPr>
          <w:ilvl w:val="0"/>
          <w:numId w:val="11"/>
        </w:numPr>
        <w:rPr>
          <w:rFonts w:ascii="Times New Roman" w:hAnsi="Times New Roman" w:cs="Times New Roman"/>
        </w:rPr>
      </w:pPr>
      <w:r w:rsidRPr="00D36183">
        <w:rPr>
          <w:rFonts w:ascii="Times New Roman" w:hAnsi="Times New Roman" w:cs="Times New Roman"/>
        </w:rPr>
        <w:t>basal IGF-</w:t>
      </w:r>
      <w:r w:rsidR="00963F10" w:rsidRPr="00D36183">
        <w:rPr>
          <w:rFonts w:ascii="Times New Roman" w:hAnsi="Times New Roman" w:cs="Times New Roman"/>
        </w:rPr>
        <w:t>1 levels below the 2.5th percentile for age and gender and</w:t>
      </w:r>
    </w:p>
    <w:p w14:paraId="093D13F6" w14:textId="7E3E08B3" w:rsidR="00963F10" w:rsidRPr="00D36183" w:rsidRDefault="00963F10" w:rsidP="00CF396C">
      <w:pPr>
        <w:pStyle w:val="ListParagraph"/>
        <w:numPr>
          <w:ilvl w:val="0"/>
          <w:numId w:val="11"/>
        </w:numPr>
        <w:rPr>
          <w:rFonts w:ascii="Times New Roman" w:hAnsi="Times New Roman" w:cs="Times New Roman"/>
        </w:rPr>
      </w:pPr>
      <w:r w:rsidRPr="00D36183">
        <w:rPr>
          <w:rFonts w:ascii="Times New Roman" w:hAnsi="Times New Roman" w:cs="Times New Roman"/>
        </w:rPr>
        <w:t>GH sufficiency.</w:t>
      </w:r>
    </w:p>
    <w:p w14:paraId="07338A34" w14:textId="1822BE86" w:rsidR="00963F10" w:rsidRPr="00D36183" w:rsidRDefault="00963F10" w:rsidP="00CF396C">
      <w:pPr>
        <w:pStyle w:val="ListParagraph"/>
        <w:numPr>
          <w:ilvl w:val="0"/>
          <w:numId w:val="11"/>
        </w:numPr>
        <w:rPr>
          <w:rFonts w:ascii="Times New Roman" w:hAnsi="Times New Roman" w:cs="Times New Roman"/>
        </w:rPr>
      </w:pPr>
      <w:r w:rsidRPr="00D36183">
        <w:rPr>
          <w:rFonts w:ascii="Times New Roman" w:hAnsi="Times New Roman" w:cs="Times New Roman"/>
        </w:rPr>
        <w:lastRenderedPageBreak/>
        <w:t>Excl</w:t>
      </w:r>
      <w:r w:rsidR="005F00D9" w:rsidRPr="00D36183">
        <w:rPr>
          <w:rFonts w:ascii="Times New Roman" w:hAnsi="Times New Roman" w:cs="Times New Roman"/>
        </w:rPr>
        <w:t>usion of secondary forms of IGF-</w:t>
      </w:r>
      <w:r w:rsidRPr="00D36183">
        <w:rPr>
          <w:rFonts w:ascii="Times New Roman" w:hAnsi="Times New Roman" w:cs="Times New Roman"/>
        </w:rPr>
        <w:t xml:space="preserve">1 deficiency, such as malnutrition, </w:t>
      </w:r>
      <w:r w:rsidR="00A67C54" w:rsidRPr="00D36183">
        <w:rPr>
          <w:rFonts w:ascii="Times New Roman" w:hAnsi="Times New Roman" w:cs="Times New Roman"/>
        </w:rPr>
        <w:t xml:space="preserve">hypopituitarism, </w:t>
      </w:r>
      <w:r w:rsidRPr="00D36183">
        <w:rPr>
          <w:rFonts w:ascii="Times New Roman" w:hAnsi="Times New Roman" w:cs="Times New Roman"/>
        </w:rPr>
        <w:t>hypothyroidism, or chronic treatment with pharmacologic doses of anti-inflammatory steroids.</w:t>
      </w:r>
    </w:p>
    <w:p w14:paraId="714B86F4" w14:textId="20850DCB" w:rsidR="00642D4B" w:rsidRPr="00D36183" w:rsidRDefault="00642D4B" w:rsidP="00963F10">
      <w:pPr>
        <w:rPr>
          <w:rFonts w:cs="Times New Roman"/>
        </w:rPr>
      </w:pPr>
      <w:r w:rsidRPr="00D36183">
        <w:rPr>
          <w:rFonts w:cs="Times New Roman"/>
        </w:rPr>
        <w:t>IGF-1 and GH levels must be performed using validated assays with paediatric normal ranges.</w:t>
      </w:r>
    </w:p>
    <w:p w14:paraId="706FF2FA" w14:textId="77777777" w:rsidR="001A3992" w:rsidRPr="00D36183" w:rsidRDefault="001A3992" w:rsidP="001A3992">
      <w:pPr>
        <w:pStyle w:val="Heading2"/>
        <w:spacing w:before="0" w:after="120"/>
        <w:rPr>
          <w:rFonts w:cs="Times New Roman"/>
        </w:rPr>
      </w:pPr>
      <w:bookmarkStart w:id="2" w:name="_Hlk23262480"/>
      <w:r w:rsidRPr="00D36183">
        <w:rPr>
          <w:rFonts w:cs="Times New Roman"/>
        </w:rPr>
        <w:t xml:space="preserve">Dose and method of administration </w:t>
      </w:r>
    </w:p>
    <w:bookmarkEnd w:id="2"/>
    <w:p w14:paraId="66A83B3F" w14:textId="29B5E011" w:rsidR="00DB2B23" w:rsidRPr="00D36183" w:rsidRDefault="00DB2B23" w:rsidP="002063C4">
      <w:r w:rsidRPr="00D36183">
        <w:t>INCRELEX is supplied as a multi-dose solution.  Each vial is for use in one patient only.</w:t>
      </w:r>
    </w:p>
    <w:p w14:paraId="73410B27" w14:textId="16C54857" w:rsidR="002063C4" w:rsidRPr="00D36183" w:rsidRDefault="005F00D9" w:rsidP="002063C4">
      <w:r w:rsidRPr="00D36183">
        <w:t xml:space="preserve">Treatment with mecasermin should be </w:t>
      </w:r>
      <w:r w:rsidR="00642D4B" w:rsidRPr="00D36183">
        <w:t xml:space="preserve">under the supervision of a paediatric endocrinologist. </w:t>
      </w:r>
    </w:p>
    <w:p w14:paraId="409EFBAD" w14:textId="3A7EA4EF" w:rsidR="00A67C54" w:rsidRPr="00D36183" w:rsidRDefault="00A67C54" w:rsidP="002063C4">
      <w:r w:rsidRPr="00D36183">
        <w:t>There should be documented confirmation of the diagnosis of severe IGF-1 deficiency at initiation of treatment, in line with guidance in the prescribing information (see section 4.1</w:t>
      </w:r>
      <w:r w:rsidR="002324C2" w:rsidRPr="00D36183">
        <w:t xml:space="preserve"> </w:t>
      </w:r>
      <w:r w:rsidR="00686016" w:rsidRPr="00D36183">
        <w:t>THERAPEUTIC INDICATIONS</w:t>
      </w:r>
      <w:r w:rsidRPr="00D36183">
        <w:t>).</w:t>
      </w:r>
      <w:r w:rsidR="00373D3E" w:rsidRPr="00D36183">
        <w:t xml:space="preserve"> Ideally this will also include confirmation of mutation in the growth hormone/IGF signalling pathway consistent with severe IGF-1 deficiency.</w:t>
      </w:r>
    </w:p>
    <w:p w14:paraId="27A56A62" w14:textId="30BB4B95" w:rsidR="005F00D9" w:rsidRPr="00D36183" w:rsidRDefault="005F00D9" w:rsidP="005F00D9">
      <w:r w:rsidRPr="00D36183">
        <w:t xml:space="preserve">The dose should be individualised for each patient. The recommended starting dose of mecasermin is 0.04 mg/kg of body weight twice daily by subcutaneous injection. If no significant adverse reactions occur for at least one week, the dose may be raised in increments of 0.04 mg/kg to the maximum dose of 0.12 mg/kg given twice daily. </w:t>
      </w:r>
      <w:r w:rsidR="00DB2B23" w:rsidRPr="00D36183">
        <w:t>In the clinical trials, optimal growth response was seen with doses between 0.08 mg/kg and 0.12 mg/kg twice daily. Lower doses were less effective</w:t>
      </w:r>
      <w:r w:rsidR="0046649B" w:rsidRPr="00D36183">
        <w:t xml:space="preserve">. Higher </w:t>
      </w:r>
      <w:r w:rsidR="00DB2B23" w:rsidRPr="00D36183">
        <w:t>doses were more often associated with hypoglycaemia. Doses greater than 0.12 mg/kg twice daily should not be exceeded as this may increase the risk of neoplasia</w:t>
      </w:r>
      <w:r w:rsidR="00DB2B23" w:rsidRPr="00D36183" w:rsidDel="00DB2B23">
        <w:t xml:space="preserve"> </w:t>
      </w:r>
      <w:r w:rsidR="0046649B" w:rsidRPr="00D36183">
        <w:t>(See Section 4.4 SPECIAL WARNINGS AND PRECAUTIONS FOR USE)</w:t>
      </w:r>
      <w:r w:rsidR="0018264A">
        <w:t xml:space="preserve">. </w:t>
      </w:r>
      <w:r w:rsidRPr="00D36183">
        <w:t xml:space="preserve">If the recommended dose is not tolerated by the patient, treatment with a lower dose can be considered. Treatment success should be evaluated based on height velocities. </w:t>
      </w:r>
    </w:p>
    <w:p w14:paraId="237A7B5A" w14:textId="3B60DD1D" w:rsidR="00C05A78" w:rsidRPr="00D36183" w:rsidRDefault="002302B3" w:rsidP="005F00D9">
      <w:r w:rsidRPr="00D36183">
        <w:t>Treatment should continue until bone age demonstrates fusion of epiphysis.</w:t>
      </w:r>
    </w:p>
    <w:p w14:paraId="0FEEEDFF" w14:textId="77777777" w:rsidR="005F00D9" w:rsidRPr="00D36183" w:rsidRDefault="005F00D9" w:rsidP="005F00D9">
      <w:pPr>
        <w:pStyle w:val="Heading4"/>
      </w:pPr>
      <w:r w:rsidRPr="00D36183">
        <w:t>Paediatric population</w:t>
      </w:r>
    </w:p>
    <w:p w14:paraId="482D6691" w14:textId="1B94286D" w:rsidR="005F00D9" w:rsidRPr="00D36183" w:rsidRDefault="005F00D9" w:rsidP="005F00D9">
      <w:r w:rsidRPr="00D36183">
        <w:t xml:space="preserve">The safety and efficacy of mecasermin in children below </w:t>
      </w:r>
      <w:r w:rsidR="00B1711A" w:rsidRPr="00D36183">
        <w:t xml:space="preserve">the </w:t>
      </w:r>
      <w:r w:rsidRPr="00D36183">
        <w:t xml:space="preserve">age of </w:t>
      </w:r>
      <w:r w:rsidR="0046649B" w:rsidRPr="00D36183">
        <w:t xml:space="preserve">two </w:t>
      </w:r>
      <w:r w:rsidRPr="00D36183">
        <w:t xml:space="preserve">have not been established (see section </w:t>
      </w:r>
      <w:r w:rsidR="00712B0E" w:rsidRPr="00D36183">
        <w:t>5.1</w:t>
      </w:r>
      <w:r w:rsidR="00686016" w:rsidRPr="00D36183">
        <w:t xml:space="preserve"> </w:t>
      </w:r>
      <w:r w:rsidR="00712B0E" w:rsidRPr="00D36183">
        <w:t>PHARMACODYNAMIC PROPERTIES</w:t>
      </w:r>
      <w:r w:rsidRPr="00D36183">
        <w:t>). No data are available.</w:t>
      </w:r>
    </w:p>
    <w:p w14:paraId="10C49D20" w14:textId="28EF27FC" w:rsidR="005F00D9" w:rsidRPr="00D36183" w:rsidRDefault="005F00D9" w:rsidP="005F00D9">
      <w:r w:rsidRPr="00D36183">
        <w:t xml:space="preserve">Therefore, </w:t>
      </w:r>
      <w:r w:rsidR="0046649B" w:rsidRPr="00D36183">
        <w:t>the</w:t>
      </w:r>
      <w:r w:rsidRPr="00D36183">
        <w:t xml:space="preserve"> product is not recommended in children below </w:t>
      </w:r>
      <w:r w:rsidR="0046649B" w:rsidRPr="00D36183">
        <w:t xml:space="preserve">the </w:t>
      </w:r>
      <w:r w:rsidRPr="00D36183">
        <w:t xml:space="preserve">age of </w:t>
      </w:r>
      <w:r w:rsidR="0046649B" w:rsidRPr="00D36183">
        <w:t>two</w:t>
      </w:r>
      <w:r w:rsidRPr="00D36183">
        <w:t>.</w:t>
      </w:r>
    </w:p>
    <w:p w14:paraId="2155DC18" w14:textId="1EFB29AF" w:rsidR="002063C4" w:rsidRPr="00D36183" w:rsidRDefault="00B1711A" w:rsidP="004E7FD9">
      <w:pPr>
        <w:pStyle w:val="Heading3"/>
        <w:ind w:left="0"/>
      </w:pPr>
      <w:r w:rsidRPr="00D36183">
        <w:t>Special Populations</w:t>
      </w:r>
    </w:p>
    <w:p w14:paraId="00891595" w14:textId="71A2AB8A" w:rsidR="002063C4" w:rsidRPr="00D36183" w:rsidRDefault="002063C4" w:rsidP="00C6374B">
      <w:pPr>
        <w:pStyle w:val="Heading4"/>
      </w:pPr>
      <w:r w:rsidRPr="00D36183">
        <w:t xml:space="preserve">Patients with renal impairment  </w:t>
      </w:r>
    </w:p>
    <w:p w14:paraId="260DB079" w14:textId="6BCBF8BA" w:rsidR="002063C4" w:rsidRPr="00D36183" w:rsidRDefault="00B1711A" w:rsidP="002063C4">
      <w:r w:rsidRPr="00D36183">
        <w:t>There are limited data concerning the pharmacokinetics of mecasermin in</w:t>
      </w:r>
      <w:r w:rsidR="00A24AB7" w:rsidRPr="00D36183">
        <w:t xml:space="preserve"> children with renal impairment</w:t>
      </w:r>
      <w:r w:rsidRPr="00D36183">
        <w:t xml:space="preserve"> in this specific population of severe primary IGFD patients. It is recommended that the dose be individualised for each patient as described </w:t>
      </w:r>
      <w:r w:rsidR="00A24AB7" w:rsidRPr="00D36183">
        <w:t>above.</w:t>
      </w:r>
    </w:p>
    <w:p w14:paraId="7637E666" w14:textId="75F45455" w:rsidR="002063C4" w:rsidRPr="00D36183" w:rsidRDefault="002063C4" w:rsidP="00C6374B">
      <w:pPr>
        <w:pStyle w:val="Heading4"/>
      </w:pPr>
      <w:r w:rsidRPr="00D36183">
        <w:lastRenderedPageBreak/>
        <w:t xml:space="preserve">Patients with hepatic impairment </w:t>
      </w:r>
    </w:p>
    <w:p w14:paraId="598ED798" w14:textId="6F0F45FA" w:rsidR="002063C4" w:rsidRPr="00D36183" w:rsidRDefault="00E442C4" w:rsidP="002063C4">
      <w:r w:rsidRPr="00D36183">
        <w:t>There are limited data concerning the pharmacokinetics of mecasermin in c</w:t>
      </w:r>
      <w:r w:rsidR="00A24AB7" w:rsidRPr="00D36183">
        <w:t>hildren with hepatic impairment</w:t>
      </w:r>
      <w:r w:rsidRPr="00D36183">
        <w:t xml:space="preserve"> in this specific population of severe primary IGFD patients. It is recommended that the dose be individualised for each patient as described </w:t>
      </w:r>
      <w:r w:rsidR="00A24AB7" w:rsidRPr="00D36183">
        <w:t>above.</w:t>
      </w:r>
    </w:p>
    <w:p w14:paraId="06A92DBF" w14:textId="0DD61A68" w:rsidR="002063C4" w:rsidRPr="00D36183" w:rsidRDefault="002063C4" w:rsidP="00C6374B">
      <w:pPr>
        <w:pStyle w:val="Heading4"/>
      </w:pPr>
      <w:r w:rsidRPr="00D36183">
        <w:t xml:space="preserve">Method of administration </w:t>
      </w:r>
    </w:p>
    <w:p w14:paraId="54830078" w14:textId="493E3397" w:rsidR="009D1BDC" w:rsidRPr="00D36183" w:rsidRDefault="00A24AB7" w:rsidP="00A24AB7">
      <w:r w:rsidRPr="00D36183">
        <w:t xml:space="preserve">INCRELEX should be administered by subcutaneous injection shortly before or after a meal or snack. If hypoglycaemia occurs with recommended doses, despite adequate food intake, the dose should be reduced. If the patient is unable to eat, for any reason, this </w:t>
      </w:r>
      <w:r w:rsidR="002302B3" w:rsidRPr="00D36183">
        <w:t xml:space="preserve">dose </w:t>
      </w:r>
      <w:r w:rsidRPr="00D36183">
        <w:t>should be withheld. The dose of mecasermin should never be increased to make up for one or more omitted doses.</w:t>
      </w:r>
    </w:p>
    <w:p w14:paraId="7A032792" w14:textId="0D2AA131" w:rsidR="00A24AB7" w:rsidRPr="00D36183" w:rsidRDefault="00A24AB7" w:rsidP="00A24AB7">
      <w:r w:rsidRPr="00D36183">
        <w:t>Injection sites should be rotated to a different site with each injection.</w:t>
      </w:r>
      <w:r w:rsidR="00A36B42" w:rsidRPr="00D36183">
        <w:t xml:space="preserve"> </w:t>
      </w:r>
      <w:r w:rsidRPr="00D36183">
        <w:t>INCRELEX should not be administered intravenously.</w:t>
      </w:r>
      <w:r w:rsidR="00C05A78" w:rsidRPr="00D36183">
        <w:t xml:space="preserve"> </w:t>
      </w:r>
    </w:p>
    <w:p w14:paraId="234C99BB" w14:textId="0DC5FD22" w:rsidR="002063C4" w:rsidRPr="00D36183" w:rsidRDefault="00A24AB7" w:rsidP="00632236">
      <w:pPr>
        <w:pStyle w:val="Heading4"/>
      </w:pPr>
      <w:r w:rsidRPr="00D36183">
        <w:t>Precaution to be taken before manipulating or administering the medicinal product</w:t>
      </w:r>
    </w:p>
    <w:p w14:paraId="29F18D2A" w14:textId="77777777" w:rsidR="00632236" w:rsidRPr="00D36183" w:rsidRDefault="00632236" w:rsidP="00632236">
      <w:r w:rsidRPr="00D36183">
        <w:t>The solution should be clear immediately after removal from the refrigerator. If the solution is cloudy, or contains particulate matter, it must not be injected.</w:t>
      </w:r>
    </w:p>
    <w:p w14:paraId="7F8CA7C9" w14:textId="3EAE3D7B" w:rsidR="00632236" w:rsidRPr="00D36183" w:rsidRDefault="00632236" w:rsidP="00632236">
      <w:r w:rsidRPr="00D36183">
        <w:t>INCRELEX should be administered using sterile disposable syringes and injection needles. The syringes should be of small enough volume that the prescribed dose can be withdrawn from the vial with reasonable accuracy.</w:t>
      </w:r>
    </w:p>
    <w:p w14:paraId="4CB26E41" w14:textId="77777777" w:rsidR="001A3992" w:rsidRPr="00D36183" w:rsidRDefault="001A3992" w:rsidP="001A3992">
      <w:pPr>
        <w:pStyle w:val="Heading2"/>
        <w:spacing w:before="0" w:after="120"/>
        <w:rPr>
          <w:rFonts w:cs="Times New Roman"/>
        </w:rPr>
      </w:pPr>
      <w:r w:rsidRPr="00D36183">
        <w:rPr>
          <w:rFonts w:cs="Times New Roman"/>
        </w:rPr>
        <w:t>Contraindications</w:t>
      </w:r>
    </w:p>
    <w:p w14:paraId="743C8CDA" w14:textId="62A46503" w:rsidR="00A122D1" w:rsidRPr="00D36183" w:rsidRDefault="00A122D1" w:rsidP="00A122D1">
      <w:pPr>
        <w:rPr>
          <w:rFonts w:cs="Times New Roman"/>
        </w:rPr>
      </w:pPr>
      <w:r w:rsidRPr="00D36183">
        <w:rPr>
          <w:rFonts w:cs="Times New Roman"/>
        </w:rPr>
        <w:t xml:space="preserve">Hypersensitivity to the active substance or to any of the excipients (see </w:t>
      </w:r>
      <w:r w:rsidR="00C6374B" w:rsidRPr="00D36183">
        <w:rPr>
          <w:rFonts w:cs="Times New Roman"/>
        </w:rPr>
        <w:t xml:space="preserve">Section </w:t>
      </w:r>
      <w:r w:rsidR="003B4662" w:rsidRPr="00D36183">
        <w:rPr>
          <w:rFonts w:cs="Times New Roman"/>
        </w:rPr>
        <w:t>6.1 LIST OF EXCIPIENTS</w:t>
      </w:r>
      <w:r w:rsidRPr="00D36183">
        <w:rPr>
          <w:rFonts w:cs="Times New Roman"/>
        </w:rPr>
        <w:t>).</w:t>
      </w:r>
    </w:p>
    <w:p w14:paraId="010A92D6" w14:textId="461A4468" w:rsidR="0046649B" w:rsidRPr="00D36183" w:rsidRDefault="0046649B" w:rsidP="00632236">
      <w:pPr>
        <w:rPr>
          <w:rFonts w:cs="Times New Roman"/>
        </w:rPr>
      </w:pPr>
      <w:r w:rsidRPr="00D36183">
        <w:rPr>
          <w:rFonts w:cs="Times New Roman"/>
        </w:rPr>
        <w:t>INCRELEX is contraindicated in children and adolescents with active or suspected neoplasia, or any condition or medical history which increases the risk of benign or malignant neoplasia.</w:t>
      </w:r>
    </w:p>
    <w:p w14:paraId="26C6AC74" w14:textId="49BD5FA1" w:rsidR="00632236" w:rsidRPr="00D36183" w:rsidRDefault="00632236" w:rsidP="00632236">
      <w:pPr>
        <w:rPr>
          <w:rFonts w:cs="Times New Roman"/>
        </w:rPr>
      </w:pPr>
      <w:r w:rsidRPr="00D36183">
        <w:rPr>
          <w:rFonts w:cs="Times New Roman"/>
        </w:rPr>
        <w:t>Therapy should be discontinued if evidence of neoplasia develops.</w:t>
      </w:r>
    </w:p>
    <w:p w14:paraId="1B806433" w14:textId="60C159B4" w:rsidR="00632236" w:rsidRPr="00D36183" w:rsidRDefault="00632236" w:rsidP="00632236">
      <w:pPr>
        <w:rPr>
          <w:rFonts w:cs="Times New Roman"/>
        </w:rPr>
      </w:pPr>
      <w:r w:rsidRPr="00D36183">
        <w:rPr>
          <w:rFonts w:cs="Times New Roman"/>
        </w:rPr>
        <w:t>As INCRELEX contains benzyl alcohol, it must not be given to premature babies or neonates.</w:t>
      </w:r>
    </w:p>
    <w:p w14:paraId="51F46DD9" w14:textId="2CA8C5B6" w:rsidR="001A3992" w:rsidRPr="00D36183" w:rsidRDefault="00E74A56" w:rsidP="00023165">
      <w:pPr>
        <w:pStyle w:val="Heading2"/>
        <w:keepNext/>
        <w:spacing w:before="0" w:after="120"/>
        <w:rPr>
          <w:rFonts w:cs="Times New Roman"/>
        </w:rPr>
      </w:pPr>
      <w:bookmarkStart w:id="3" w:name="_Hlk514748217"/>
      <w:r w:rsidRPr="00D36183">
        <w:rPr>
          <w:rFonts w:cs="Times New Roman"/>
        </w:rPr>
        <w:t>Special warnings and p</w:t>
      </w:r>
      <w:r w:rsidR="001A3992" w:rsidRPr="00D36183">
        <w:rPr>
          <w:rFonts w:cs="Times New Roman"/>
        </w:rPr>
        <w:t xml:space="preserve">recautions </w:t>
      </w:r>
      <w:r w:rsidRPr="00D36183">
        <w:rPr>
          <w:rFonts w:cs="Times New Roman"/>
        </w:rPr>
        <w:t>for use</w:t>
      </w:r>
    </w:p>
    <w:bookmarkEnd w:id="3"/>
    <w:p w14:paraId="0AA80635" w14:textId="5A0B024F" w:rsidR="001B4D3C" w:rsidRPr="00D36183" w:rsidRDefault="001B4D3C" w:rsidP="001B4D3C">
      <w:r w:rsidRPr="00D36183">
        <w:t>Mecasermin is not a substitute for GH treatment.</w:t>
      </w:r>
    </w:p>
    <w:p w14:paraId="655B4D1D" w14:textId="7AB03547" w:rsidR="001B4D3C" w:rsidRPr="00D36183" w:rsidRDefault="001B4D3C" w:rsidP="001B4D3C">
      <w:r w:rsidRPr="00D36183">
        <w:t>Mecasermin should not be used for growth promotion in patients with closed epiphyses.</w:t>
      </w:r>
    </w:p>
    <w:p w14:paraId="28975146" w14:textId="77777777" w:rsidR="004662B3" w:rsidRPr="00D36183" w:rsidRDefault="004662B3" w:rsidP="00647007">
      <w:pPr>
        <w:pStyle w:val="Heading3"/>
        <w:spacing w:before="0" w:after="120"/>
        <w:ind w:left="0"/>
        <w:rPr>
          <w:rFonts w:cs="Times New Roman"/>
        </w:rPr>
      </w:pPr>
      <w:bookmarkStart w:id="4" w:name="_Hlk23417372"/>
      <w:r w:rsidRPr="00D36183">
        <w:rPr>
          <w:rFonts w:cs="Times New Roman"/>
        </w:rPr>
        <w:t>Benign and malignant neoplasms</w:t>
      </w:r>
    </w:p>
    <w:bookmarkEnd w:id="4"/>
    <w:p w14:paraId="7803C39E" w14:textId="27E0A3E7" w:rsidR="004662B3" w:rsidRPr="00D36183" w:rsidRDefault="004662B3" w:rsidP="004662B3">
      <w:r w:rsidRPr="00D36183">
        <w:t>There is an increased risk of benign and malignant neoplasia in children and adolescents treated with INCRELEX, since IGF-1 plays a role in the initiation and progression of benign and malignant tumours.</w:t>
      </w:r>
    </w:p>
    <w:p w14:paraId="7ED87D63" w14:textId="73F905A0" w:rsidR="004662B3" w:rsidRPr="00D36183" w:rsidRDefault="004662B3" w:rsidP="004662B3">
      <w:r w:rsidRPr="00D36183">
        <w:lastRenderedPageBreak/>
        <w:t>There have been post-marketing reports of both benign and malignant neoplasms in children and adolescents who have received treatment with INCRELEX.  These cases represented a variety of different malignancies and included rare malignancies usually not seen in children (see section 4.8</w:t>
      </w:r>
      <w:r w:rsidR="00856F3C" w:rsidRPr="00D36183">
        <w:t xml:space="preserve"> </w:t>
      </w:r>
      <w:r w:rsidR="00856F3C" w:rsidRPr="00D36183">
        <w:rPr>
          <w:rFonts w:cs="Times New Roman"/>
        </w:rPr>
        <w:t>ADVERSE EFFECTS (UNDESIRABLE EFFECTS)</w:t>
      </w:r>
      <w:r w:rsidRPr="00D36183">
        <w:t xml:space="preserve">). The increased risk of neoplasia may be higher in patients who receive INCRELEX for unapproved uses or at higher than recommended doses.  Current knowledge of IGF-1 biology suggests that IGF-1 plays a role in malignancies in all organs and tissues. Physicians should therefore be vigilant of any symptoms of potential malignancy. If benign or malignant neoplasia develops, INCRELEX treatment should be discontinued </w:t>
      </w:r>
      <w:r w:rsidR="00124618">
        <w:t>definitely</w:t>
      </w:r>
      <w:r w:rsidRPr="00D36183">
        <w:t xml:space="preserve"> and appropriate expert medical care sought. </w:t>
      </w:r>
    </w:p>
    <w:p w14:paraId="6FFC8C96" w14:textId="61FF2524" w:rsidR="004662B3" w:rsidRPr="00D36183" w:rsidRDefault="00373D3E" w:rsidP="004662B3">
      <w:bookmarkStart w:id="5" w:name="_Hlk23417776"/>
      <w:r w:rsidRPr="00D36183">
        <w:t xml:space="preserve">It is recommended that patients have a skin check at baseline and regularly during treatment for the documentation of any naevi.  </w:t>
      </w:r>
      <w:r w:rsidR="00CD61C0" w:rsidRPr="00D36183" w:rsidDel="00CD61C0">
        <w:t xml:space="preserve"> </w:t>
      </w:r>
    </w:p>
    <w:bookmarkEnd w:id="5"/>
    <w:p w14:paraId="067AACE7" w14:textId="1554F9E7" w:rsidR="00647007" w:rsidRPr="00D36183" w:rsidRDefault="00647007" w:rsidP="00647007">
      <w:pPr>
        <w:pStyle w:val="Heading3"/>
        <w:spacing w:before="0" w:after="120"/>
        <w:ind w:left="0"/>
        <w:rPr>
          <w:rFonts w:cs="Times New Roman"/>
        </w:rPr>
      </w:pPr>
      <w:r w:rsidRPr="00D36183">
        <w:rPr>
          <w:rFonts w:cs="Times New Roman"/>
        </w:rPr>
        <w:t>Hypoglycaemia</w:t>
      </w:r>
    </w:p>
    <w:p w14:paraId="70796F13" w14:textId="4F9AD652" w:rsidR="001B4D3C" w:rsidRPr="00D36183" w:rsidRDefault="002302B3" w:rsidP="001B4D3C">
      <w:r w:rsidRPr="00D36183">
        <w:t xml:space="preserve">Mecasermin may have insulin-like hypoglycaemic effects. It should be administered shortly before or during a meal or snack. Special attention should be paid to young children, children with a history of hypoglycaemia and children with inconsistent food intake. </w:t>
      </w:r>
      <w:r w:rsidR="00A07FCD" w:rsidRPr="00D36183">
        <w:t>Blood glucose monitoring is recommended on initiation of treatment, during dose titration, period</w:t>
      </w:r>
      <w:r w:rsidR="00023165" w:rsidRPr="00D36183">
        <w:t>s</w:t>
      </w:r>
      <w:r w:rsidR="00A07FCD" w:rsidRPr="00D36183">
        <w:t xml:space="preserve"> of reduced oral intake or if the child is unwell. </w:t>
      </w:r>
      <w:r w:rsidR="001B4D3C" w:rsidRPr="00D36183">
        <w:t xml:space="preserve"> Patients should avoid engaging in any high-risk activities within 2-3 hours after dosing, particularly at the initiation of mecasermin treatment, until a well-tolerated dose of INCRELEX has been established. If a person with severe hypoglyc</w:t>
      </w:r>
      <w:r w:rsidR="00B05F42" w:rsidRPr="00D36183">
        <w:t>a</w:t>
      </w:r>
      <w:r w:rsidR="001B4D3C" w:rsidRPr="00D36183">
        <w:t>emia is unconscious or otherwise unable to ingest food normally, an injection of glucagon may be required. Persons with a history of severe hypoglyc</w:t>
      </w:r>
      <w:r w:rsidR="00B05F42" w:rsidRPr="00D36183">
        <w:t>a</w:t>
      </w:r>
      <w:r w:rsidR="001B4D3C" w:rsidRPr="00D36183">
        <w:t>emia should have glucagon available. At the time of initial prescription, physicians should educate parents on the signs, symptoms and treatment of hypoglycaemia, including injection of glucagon.</w:t>
      </w:r>
    </w:p>
    <w:p w14:paraId="0F936DBC" w14:textId="77777777" w:rsidR="001B4D3C" w:rsidRPr="00D36183" w:rsidRDefault="001B4D3C" w:rsidP="001B4D3C">
      <w:r w:rsidRPr="00D36183">
        <w:t>Doses of insulin and/or other hypoglycaemic medicinal products may need to be reduced for diabetic subjects using this medicinal product.</w:t>
      </w:r>
    </w:p>
    <w:p w14:paraId="4B03690F" w14:textId="78F8558D" w:rsidR="00647007" w:rsidRPr="00D36183" w:rsidRDefault="00647007" w:rsidP="00647007">
      <w:pPr>
        <w:pStyle w:val="Heading3"/>
        <w:spacing w:before="0" w:after="120"/>
        <w:ind w:left="0"/>
        <w:rPr>
          <w:rFonts w:cs="Times New Roman"/>
        </w:rPr>
      </w:pPr>
      <w:r w:rsidRPr="00D36183">
        <w:rPr>
          <w:rFonts w:cs="Times New Roman"/>
        </w:rPr>
        <w:t>Other identified precautions</w:t>
      </w:r>
    </w:p>
    <w:p w14:paraId="6EEF9A41" w14:textId="3BFBEEC2" w:rsidR="001B4D3C" w:rsidRPr="00D36183" w:rsidRDefault="001B4D3C" w:rsidP="001B4D3C">
      <w:r w:rsidRPr="00D36183">
        <w:t>Echocardiogram is recommended before initiation of mecasermin treatment in all patients. Patients who terminate treatment should also have an echocardiogram. Patients with abnormal echocardiogram findings or cardiovascular symptoms should be followed regularly with echocardiogram procedures.</w:t>
      </w:r>
    </w:p>
    <w:p w14:paraId="367A003E" w14:textId="7309EA3E" w:rsidR="001B4D3C" w:rsidRPr="00D36183" w:rsidRDefault="001B4D3C" w:rsidP="001B4D3C">
      <w:r w:rsidRPr="00D36183">
        <w:t>Lymphoid tissue (e.g. tonsillar) hypertrophy associated with complications, such as snoring, sleep apnoea, and chronic middle-ear effusions have been reported with the use of this medicinal product. Patients should have examinations periodically and at the occurrence of clinical symptoms to rule out such potential complications or to initiate appropriate treatment.</w:t>
      </w:r>
    </w:p>
    <w:p w14:paraId="13FA0D71" w14:textId="77777777" w:rsidR="001B4D3C" w:rsidRPr="00D36183" w:rsidRDefault="001B4D3C" w:rsidP="001B4D3C">
      <w:r w:rsidRPr="00D36183">
        <w:t xml:space="preserve">Intracranial hypertension (IH) with papilloedema, visual changes, headache, nausea and/or vomiting has been reported in patients treated with mecasermin, as has been reported with therapeutic GH administration. IH-associated signs and symptoms resolved after interruption </w:t>
      </w:r>
      <w:r w:rsidRPr="00D36183">
        <w:lastRenderedPageBreak/>
        <w:t>of dosing. Funduscopic examination is recommended at the initiation, periodically during the course of mecasermin therapy and at the occurrence of clinical symptoms.</w:t>
      </w:r>
    </w:p>
    <w:p w14:paraId="32080AAD" w14:textId="36EBE810" w:rsidR="003A2209" w:rsidRPr="00D36183" w:rsidRDefault="001B4D3C" w:rsidP="003A2209">
      <w:r w:rsidRPr="00D36183">
        <w:t>Slipped capital femoral epiphysis (</w:t>
      </w:r>
      <w:r w:rsidRPr="00D36183">
        <w:rPr>
          <w:u w:val="single"/>
        </w:rPr>
        <w:t>with the potential to lead to avascular necrosis</w:t>
      </w:r>
      <w:r w:rsidRPr="00D36183">
        <w:t>) and progression of scoliosis can occur in patients who experience rapid growth. These conditions and other symptoms and signs known to be associated with GH treatment in general should be monitored during mecasermin treatment. Any patient with the onset of a limp or complaint of hip or knee pain should be evaluated.</w:t>
      </w:r>
    </w:p>
    <w:p w14:paraId="1A2224EC" w14:textId="77777777" w:rsidR="001B4D3C" w:rsidRPr="00D36183" w:rsidRDefault="001B4D3C" w:rsidP="001B4D3C">
      <w:r w:rsidRPr="00D36183">
        <w:t>In post-marketing experience in patients treated with INCRELEX, cases of hypersensitivity, urticaria, pruritus and erythema have been reported. These have been observed both as being systemic and/or local to the injection site. A small number of cases indicative of anaphylaxis requiring hospitalisation have been reported. Parents and patients should be informed that such reactions are possible and that if a systemic allergic reaction occurs, treatment should be interrupted and prompt medical attention should be sought.</w:t>
      </w:r>
    </w:p>
    <w:p w14:paraId="33569B95" w14:textId="57756F60" w:rsidR="001B4D3C" w:rsidRPr="00D36183" w:rsidRDefault="001B4D3C" w:rsidP="001B4D3C">
      <w:r w:rsidRPr="00D36183">
        <w:t>Treatment should be reconsidered if, after one year, patients remain non-responsive.</w:t>
      </w:r>
    </w:p>
    <w:p w14:paraId="13327021" w14:textId="12B61634" w:rsidR="001B4D3C" w:rsidRPr="00D36183" w:rsidRDefault="001B4D3C" w:rsidP="001B4D3C">
      <w:r w:rsidRPr="00D36183">
        <w:t>Persons who have allergic reactions to injected IGF-1, who have unexpectedly high blood values of IGF-1 after injection, or who fail to show a growth response without any identified cause may be having an antibody response to injected IGF-1. This may be through the production of anti-IGF-1 IgEs, sustaining antibodies or neutralizing antibodies respectively. In such instances, instructions for antibody testing should be considered.</w:t>
      </w:r>
      <w:r w:rsidR="008F325D" w:rsidRPr="00D36183">
        <w:t xml:space="preserve"> Contact the sponsor for details on the antibody testing process</w:t>
      </w:r>
      <w:r w:rsidR="00844BA4" w:rsidRPr="00D36183">
        <w:t xml:space="preserve"> </w:t>
      </w:r>
      <w:r w:rsidR="00844BA4" w:rsidRPr="00D36183">
        <w:rPr>
          <w:iCs/>
        </w:rPr>
        <w:t>(see Section 8 SPONSOR)</w:t>
      </w:r>
      <w:r w:rsidR="008F325D" w:rsidRPr="00D36183">
        <w:t>.</w:t>
      </w:r>
    </w:p>
    <w:p w14:paraId="596B011F" w14:textId="6E8FF04D" w:rsidR="001B4D3C" w:rsidRPr="00D36183" w:rsidRDefault="001B4D3C" w:rsidP="001B4D3C">
      <w:pPr>
        <w:pStyle w:val="Heading3"/>
        <w:spacing w:before="0" w:after="120"/>
        <w:ind w:left="0"/>
        <w:rPr>
          <w:rFonts w:cs="Times New Roman"/>
        </w:rPr>
      </w:pPr>
      <w:r w:rsidRPr="00D36183">
        <w:rPr>
          <w:rFonts w:cs="Times New Roman"/>
        </w:rPr>
        <w:t>Benzyl alcohol</w:t>
      </w:r>
    </w:p>
    <w:p w14:paraId="0C4BEE38" w14:textId="021CD784" w:rsidR="001B4D3C" w:rsidRPr="00D36183" w:rsidRDefault="001B4D3C" w:rsidP="001B4D3C">
      <w:r w:rsidRPr="00D36183">
        <w:t>INCRELEX contains 9 mg/mL benzyl alcohol as a preservative</w:t>
      </w:r>
    </w:p>
    <w:p w14:paraId="24E0B433" w14:textId="77777777" w:rsidR="000B15B1" w:rsidRPr="00D36183" w:rsidRDefault="000B15B1" w:rsidP="000B15B1">
      <w:r w:rsidRPr="00D36183">
        <w:t>Intravenous administration of benzyl alcohol has been associated with serious adverse events and death in neonates (“gasping syndrome”). The minimum amount of benzyl alcohol at which toxicity may occur is not known.</w:t>
      </w:r>
    </w:p>
    <w:p w14:paraId="47BF7F5F" w14:textId="5B6DC598" w:rsidR="000B15B1" w:rsidRPr="00D36183" w:rsidRDefault="000B15B1" w:rsidP="000B15B1">
      <w:r w:rsidRPr="00D36183">
        <w:t>The risk inherent to benzyl alcohol is due to its accumulation. Elimination of benzyl alcohol is highly variable as both the age (immaturity) and ethnic polymorphism of alcohol dehydrogenase may lead to accumulation of benzyl alcohol and thus toxicity.</w:t>
      </w:r>
    </w:p>
    <w:p w14:paraId="2859AFA9" w14:textId="77777777" w:rsidR="001A3992" w:rsidRPr="00D36183" w:rsidRDefault="001A3992" w:rsidP="004E7FD9">
      <w:pPr>
        <w:pStyle w:val="Heading3"/>
        <w:spacing w:before="0" w:after="120"/>
        <w:ind w:left="0"/>
        <w:rPr>
          <w:rFonts w:cs="Times New Roman"/>
        </w:rPr>
      </w:pPr>
      <w:r w:rsidRPr="00D36183">
        <w:rPr>
          <w:rFonts w:cs="Times New Roman"/>
        </w:rPr>
        <w:t>Use in the elderly</w:t>
      </w:r>
    </w:p>
    <w:p w14:paraId="13B4C09C" w14:textId="7D2CF024" w:rsidR="002063C4" w:rsidRPr="00D36183" w:rsidRDefault="00647007" w:rsidP="002063C4">
      <w:r w:rsidRPr="00D36183">
        <w:t>No data available.</w:t>
      </w:r>
    </w:p>
    <w:p w14:paraId="184DEED3" w14:textId="77777777" w:rsidR="001A3992" w:rsidRPr="00D36183" w:rsidRDefault="001A3992" w:rsidP="004E7FD9">
      <w:pPr>
        <w:pStyle w:val="Heading3"/>
        <w:spacing w:before="0" w:after="120"/>
        <w:ind w:left="0"/>
        <w:rPr>
          <w:rFonts w:cs="Times New Roman"/>
        </w:rPr>
      </w:pPr>
      <w:r w:rsidRPr="00D36183">
        <w:rPr>
          <w:rFonts w:cs="Times New Roman"/>
        </w:rPr>
        <w:t>Paediatric use</w:t>
      </w:r>
    </w:p>
    <w:p w14:paraId="40D56DC9" w14:textId="5E24620B" w:rsidR="002063C4" w:rsidRPr="00D36183" w:rsidRDefault="00647007" w:rsidP="002063C4">
      <w:r w:rsidRPr="00D36183">
        <w:t>The product is for use in children and adolescents from 2 to 18 years only.</w:t>
      </w:r>
    </w:p>
    <w:p w14:paraId="0F4C8BC5" w14:textId="77777777" w:rsidR="00964DA3" w:rsidRPr="00D36183" w:rsidRDefault="00964DA3" w:rsidP="00964DA3">
      <w:pPr>
        <w:pStyle w:val="Heading3"/>
        <w:spacing w:after="120"/>
        <w:ind w:left="0"/>
      </w:pPr>
      <w:r w:rsidRPr="00D36183">
        <w:t>Effects on laboratory tests</w:t>
      </w:r>
    </w:p>
    <w:p w14:paraId="069ABC18" w14:textId="0D345571" w:rsidR="00964DA3" w:rsidRPr="00D36183" w:rsidRDefault="00964DA3" w:rsidP="00964DA3">
      <w:r w:rsidRPr="00D36183">
        <w:t>No data available</w:t>
      </w:r>
      <w:r w:rsidR="00647007" w:rsidRPr="00D36183">
        <w:t>.</w:t>
      </w:r>
    </w:p>
    <w:p w14:paraId="56E19887" w14:textId="77777777" w:rsidR="001A3992" w:rsidRPr="00D36183" w:rsidRDefault="001A3992" w:rsidP="001A3992">
      <w:pPr>
        <w:pStyle w:val="Heading2"/>
        <w:keepNext/>
        <w:keepLines/>
        <w:spacing w:before="0" w:after="120"/>
        <w:rPr>
          <w:rFonts w:cs="Times New Roman"/>
        </w:rPr>
      </w:pPr>
      <w:r w:rsidRPr="00D36183">
        <w:rPr>
          <w:rFonts w:cs="Times New Roman"/>
        </w:rPr>
        <w:lastRenderedPageBreak/>
        <w:t>Interactions with other medicines and other forms of interactions</w:t>
      </w:r>
    </w:p>
    <w:p w14:paraId="5B5ACE3A" w14:textId="77777777" w:rsidR="00647007" w:rsidRPr="00D36183" w:rsidRDefault="00647007" w:rsidP="00647007">
      <w:r w:rsidRPr="00D36183">
        <w:t>No interaction studies have been performed.</w:t>
      </w:r>
    </w:p>
    <w:p w14:paraId="6E39A77B" w14:textId="4D11D99E" w:rsidR="002063C4" w:rsidRPr="00D36183" w:rsidRDefault="00647007" w:rsidP="00647007">
      <w:r w:rsidRPr="00D36183">
        <w:t>Doses of insulin and/or other hypoglycaemic medicinal products may</w:t>
      </w:r>
      <w:r w:rsidR="00712B0E" w:rsidRPr="00D36183">
        <w:t xml:space="preserve"> need to be reduced (see</w:t>
      </w:r>
      <w:r w:rsidRPr="00D36183">
        <w:t xml:space="preserve"> </w:t>
      </w:r>
      <w:r w:rsidR="00712B0E" w:rsidRPr="00D36183">
        <w:t>Section 4.4</w:t>
      </w:r>
      <w:r w:rsidR="00BA72D8" w:rsidRPr="00D36183">
        <w:t xml:space="preserve"> </w:t>
      </w:r>
      <w:r w:rsidR="00712B0E" w:rsidRPr="00D36183">
        <w:t>SPECIAL WARNINGS AND PRECAUTIONS FOR USE</w:t>
      </w:r>
      <w:r w:rsidRPr="00D36183">
        <w:t>).</w:t>
      </w:r>
    </w:p>
    <w:p w14:paraId="34DB12FE" w14:textId="77777777" w:rsidR="001A3992" w:rsidRPr="00D36183" w:rsidRDefault="001A3992" w:rsidP="001A3992">
      <w:pPr>
        <w:pStyle w:val="Heading2"/>
        <w:spacing w:before="0" w:after="120"/>
        <w:rPr>
          <w:rFonts w:cs="Times New Roman"/>
        </w:rPr>
      </w:pPr>
      <w:r w:rsidRPr="00D36183">
        <w:rPr>
          <w:rFonts w:cs="Times New Roman"/>
        </w:rPr>
        <w:t xml:space="preserve">Fertility, pregnancy and lactation </w:t>
      </w:r>
    </w:p>
    <w:p w14:paraId="5374771C" w14:textId="77777777" w:rsidR="001A3992" w:rsidRPr="00D36183" w:rsidRDefault="001A3992" w:rsidP="004E7FD9">
      <w:pPr>
        <w:pStyle w:val="Heading3"/>
        <w:spacing w:before="0" w:after="120"/>
        <w:ind w:left="0"/>
        <w:rPr>
          <w:rFonts w:cs="Times New Roman"/>
        </w:rPr>
      </w:pPr>
      <w:r w:rsidRPr="00D36183">
        <w:rPr>
          <w:rFonts w:cs="Times New Roman"/>
        </w:rPr>
        <w:t>Effects on fertility</w:t>
      </w:r>
    </w:p>
    <w:p w14:paraId="387DB7EE" w14:textId="50D4B387" w:rsidR="00CC0ECD" w:rsidRPr="00D36183" w:rsidRDefault="00CC0ECD" w:rsidP="00CC0ECD">
      <w:r w:rsidRPr="00D36183">
        <w:t xml:space="preserve">Mecasermin has no effects on fertility in </w:t>
      </w:r>
      <w:r w:rsidR="00610EB4" w:rsidRPr="00D36183">
        <w:t xml:space="preserve">male and female </w:t>
      </w:r>
      <w:r w:rsidRPr="00D36183">
        <w:t xml:space="preserve">rats </w:t>
      </w:r>
      <w:r w:rsidR="00610EB4" w:rsidRPr="00D36183">
        <w:t xml:space="preserve">at </w:t>
      </w:r>
      <w:r w:rsidRPr="00D36183">
        <w:t xml:space="preserve">intravenous doses </w:t>
      </w:r>
      <w:r w:rsidR="00610EB4" w:rsidRPr="00D36183">
        <w:t>up to 4</w:t>
      </w:r>
      <w:r w:rsidRPr="00D36183">
        <w:t xml:space="preserve"> mg/</w:t>
      </w:r>
      <w:r w:rsidR="00610EB4" w:rsidRPr="00D36183">
        <w:t>kg/</w:t>
      </w:r>
      <w:r w:rsidRPr="00D36183">
        <w:t>day (</w:t>
      </w:r>
      <w:r w:rsidR="00610EB4" w:rsidRPr="00D36183">
        <w:t>estimated to yield up to 6 time in males and 3 times in females</w:t>
      </w:r>
      <w:r w:rsidRPr="00D36183">
        <w:t xml:space="preserve"> the clinical exposure with the </w:t>
      </w:r>
      <w:r w:rsidR="00610EB4" w:rsidRPr="00D36183">
        <w:t>[</w:t>
      </w:r>
      <w:r w:rsidRPr="00D36183">
        <w:t>MRHD</w:t>
      </w:r>
      <w:r w:rsidR="004B7EA2" w:rsidRPr="00D36183">
        <w:t>]</w:t>
      </w:r>
      <w:r w:rsidRPr="00D36183">
        <w:t xml:space="preserve"> based on AUC).</w:t>
      </w:r>
    </w:p>
    <w:p w14:paraId="05FDB048" w14:textId="22E1F5C4" w:rsidR="001A3992" w:rsidRPr="00D36183" w:rsidRDefault="001A3992" w:rsidP="00964DA3">
      <w:pPr>
        <w:pStyle w:val="Heading3"/>
        <w:spacing w:before="0" w:after="120"/>
        <w:ind w:left="0"/>
        <w:rPr>
          <w:rFonts w:cs="Times New Roman"/>
        </w:rPr>
      </w:pPr>
      <w:r w:rsidRPr="00D36183">
        <w:rPr>
          <w:rFonts w:cs="Times New Roman"/>
        </w:rPr>
        <w:t xml:space="preserve">Use in pregnancy </w:t>
      </w:r>
      <w:r w:rsidR="00A122D1" w:rsidRPr="00D36183">
        <w:rPr>
          <w:rFonts w:cs="Times New Roman"/>
        </w:rPr>
        <w:t xml:space="preserve">(Category </w:t>
      </w:r>
      <w:r w:rsidR="00610EB4" w:rsidRPr="00D36183">
        <w:rPr>
          <w:rFonts w:cs="Times New Roman"/>
        </w:rPr>
        <w:t>B3</w:t>
      </w:r>
      <w:r w:rsidR="00A122D1" w:rsidRPr="00D36183">
        <w:rPr>
          <w:rFonts w:cs="Times New Roman"/>
        </w:rPr>
        <w:t>)</w:t>
      </w:r>
    </w:p>
    <w:p w14:paraId="66209994" w14:textId="3AE9AEEA" w:rsidR="00CC0ECD" w:rsidRPr="00D36183" w:rsidRDefault="00CC0ECD" w:rsidP="00CC0ECD">
      <w:r w:rsidRPr="00D36183">
        <w:t xml:space="preserve">There are no </w:t>
      </w:r>
      <w:r w:rsidR="00610EB4" w:rsidRPr="00D36183">
        <w:t>adequate</w:t>
      </w:r>
      <w:r w:rsidRPr="00D36183">
        <w:t xml:space="preserve"> data for the use of mecasermin in pregnant women.</w:t>
      </w:r>
    </w:p>
    <w:p w14:paraId="32851886" w14:textId="5DD9E770" w:rsidR="00607462" w:rsidRPr="00D36183" w:rsidRDefault="00607462" w:rsidP="00CC0ECD">
      <w:r w:rsidRPr="00D36183">
        <w:t>Embryofetal lethality, but no malformations, occurred in rabbits given mecasermin intravenously at 2 mg/kg/day during the period of organogenesis. No adverse effects on embryofetal development were observed in rabbits at 0.5 mg/kg/day IV, or in rats at IV doses up to 16 mg/kg/day. The doses shown to be without adverse effect on embryofetal development in animals are associated with only low or modest multiples of the plasma AUC in patients at the MRHD.</w:t>
      </w:r>
    </w:p>
    <w:p w14:paraId="0A5F36C5" w14:textId="161B5B2A" w:rsidR="00CC0ECD" w:rsidRPr="00D36183" w:rsidRDefault="00CC0ECD" w:rsidP="00CC0ECD">
      <w:r w:rsidRPr="00D36183">
        <w:t>This medicinal product should not be used during pregnancy unless clearly necessary.</w:t>
      </w:r>
    </w:p>
    <w:p w14:paraId="31927CAE" w14:textId="7834AACB" w:rsidR="00CC0ECD" w:rsidRPr="00D36183" w:rsidRDefault="00CC0ECD" w:rsidP="00CC0ECD">
      <w:r w:rsidRPr="00D36183">
        <w:t>A negative pregnancy test is recommended for all women of child bearing potential prior to treatment with mecasermin. It is also recommended that all women of childbearing potential use adequate contraception during treatment.</w:t>
      </w:r>
    </w:p>
    <w:p w14:paraId="3865FE5C" w14:textId="77777777" w:rsidR="001A3992" w:rsidRPr="00D36183" w:rsidRDefault="001A3992" w:rsidP="004E7FD9">
      <w:pPr>
        <w:pStyle w:val="Heading3"/>
        <w:spacing w:before="0" w:after="120"/>
        <w:ind w:left="0"/>
        <w:rPr>
          <w:rFonts w:cs="Times New Roman"/>
        </w:rPr>
      </w:pPr>
      <w:r w:rsidRPr="00D36183">
        <w:rPr>
          <w:rFonts w:cs="Times New Roman"/>
        </w:rPr>
        <w:t xml:space="preserve">Use in lactation. </w:t>
      </w:r>
    </w:p>
    <w:p w14:paraId="3BDBD242" w14:textId="4CB3CAD8" w:rsidR="00A122D1" w:rsidRPr="00D36183" w:rsidRDefault="00610EB4" w:rsidP="00A122D1">
      <w:r w:rsidRPr="00D36183">
        <w:t xml:space="preserve">Endogenous IGF-1 is detected in human milk.  </w:t>
      </w:r>
      <w:r w:rsidR="00CC0ECD" w:rsidRPr="00D36183">
        <w:t xml:space="preserve">Breast-feeding while taking INCRELEX is not recommended, because there is insufficient information on the </w:t>
      </w:r>
      <w:r w:rsidRPr="00D36183">
        <w:t xml:space="preserve">extent of </w:t>
      </w:r>
      <w:r w:rsidR="00CC0ECD" w:rsidRPr="00D36183">
        <w:t>excretion of mecasermin in human milk</w:t>
      </w:r>
      <w:r w:rsidRPr="00D36183">
        <w:t xml:space="preserve"> and the risk posed to the breastfed infant</w:t>
      </w:r>
      <w:r w:rsidR="00CC0ECD" w:rsidRPr="00D36183">
        <w:t>.</w:t>
      </w:r>
    </w:p>
    <w:p w14:paraId="7B1E08B6" w14:textId="77777777" w:rsidR="001A3992" w:rsidRPr="00D36183" w:rsidRDefault="001A3992" w:rsidP="001A3992">
      <w:pPr>
        <w:pStyle w:val="Heading2"/>
        <w:spacing w:before="0" w:after="120"/>
        <w:rPr>
          <w:rFonts w:cs="Times New Roman"/>
        </w:rPr>
      </w:pPr>
      <w:r w:rsidRPr="00D36183">
        <w:rPr>
          <w:rFonts w:cs="Times New Roman"/>
        </w:rPr>
        <w:t xml:space="preserve">Effects on ability to drive and use machines </w:t>
      </w:r>
    </w:p>
    <w:p w14:paraId="4A412D0C" w14:textId="6532B222" w:rsidR="002063C4" w:rsidRPr="00D36183" w:rsidRDefault="00CC0ECD" w:rsidP="002063C4">
      <w:r w:rsidRPr="00D36183">
        <w:t>INCRELEX may have a major influence on the ability to drive or use machines in case of a hypoglycaemic episode. Hypoglycaemia is a very common adverse reaction.</w:t>
      </w:r>
    </w:p>
    <w:p w14:paraId="64E8A195" w14:textId="7786F8E7" w:rsidR="00373D3E" w:rsidRPr="00D36183" w:rsidRDefault="00373D3E" w:rsidP="002063C4">
      <w:r w:rsidRPr="00D36183">
        <w:t>Other adverse effects of INCRELEX include dizziness and convulsions which could also affect the ability to drive or use machines (see Section 4.8 ADVERSE EFFECT (UNDESIRABLE EFFECTS)).</w:t>
      </w:r>
    </w:p>
    <w:p w14:paraId="4169F3CF" w14:textId="77777777" w:rsidR="001A3992" w:rsidRPr="00D36183" w:rsidRDefault="001A3992" w:rsidP="001A3992">
      <w:pPr>
        <w:pStyle w:val="Heading2"/>
        <w:keepNext/>
        <w:keepLines/>
        <w:spacing w:before="0" w:after="120"/>
        <w:rPr>
          <w:rFonts w:cs="Times New Roman"/>
        </w:rPr>
      </w:pPr>
      <w:r w:rsidRPr="00D36183">
        <w:rPr>
          <w:rFonts w:cs="Times New Roman"/>
        </w:rPr>
        <w:lastRenderedPageBreak/>
        <w:t>Adverse effects (Undesirable effects)</w:t>
      </w:r>
    </w:p>
    <w:p w14:paraId="07773821" w14:textId="77777777" w:rsidR="003A2209" w:rsidRPr="00D36183" w:rsidRDefault="003A2209" w:rsidP="003A2209">
      <w:pPr>
        <w:pStyle w:val="Heading3"/>
        <w:ind w:left="0"/>
      </w:pPr>
      <w:r w:rsidRPr="00D36183">
        <w:t>Reporting suspected adverse effects</w:t>
      </w:r>
    </w:p>
    <w:p w14:paraId="18BB2CDC" w14:textId="023D5F21" w:rsidR="002063C4" w:rsidRPr="00D36183" w:rsidRDefault="002063C4" w:rsidP="002063C4">
      <w:r w:rsidRPr="00D36183">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D36183">
          <w:rPr>
            <w:rStyle w:val="Hyperlink"/>
          </w:rPr>
          <w:t>www.tga.gov.au/reporting-problems</w:t>
        </w:r>
      </w:hyperlink>
      <w:r w:rsidRPr="00D36183">
        <w:t>.</w:t>
      </w:r>
    </w:p>
    <w:p w14:paraId="5FB4B389" w14:textId="77777777" w:rsidR="002063C4" w:rsidRPr="00D36183" w:rsidRDefault="002063C4" w:rsidP="00BB14D8">
      <w:pPr>
        <w:pStyle w:val="Heading3"/>
        <w:ind w:left="0"/>
      </w:pPr>
      <w:r w:rsidRPr="00D36183">
        <w:t>Summary of safety profile</w:t>
      </w:r>
    </w:p>
    <w:p w14:paraId="6F2B2586" w14:textId="77777777" w:rsidR="00CC0ECD" w:rsidRPr="00D36183" w:rsidRDefault="00CC0ECD" w:rsidP="00CC0ECD">
      <w:r w:rsidRPr="00D36183">
        <w:t>Adverse reaction data was taken from a total of 413 clinical trial patients with severe Primary IGFD. Data was also collected from post-marketing sources.</w:t>
      </w:r>
    </w:p>
    <w:p w14:paraId="19626EA2" w14:textId="77777777" w:rsidR="00CC0ECD" w:rsidRPr="00D36183" w:rsidRDefault="00CC0ECD" w:rsidP="00CC0ECD">
      <w:r w:rsidRPr="00D36183">
        <w:t xml:space="preserve">The most frequently reported adverse reactions from the clinical trials were headache (44%), hypoglycaemia (28%), vomiting (26%), injection site hypertrophy (17%), and otitis media (17%). </w:t>
      </w:r>
    </w:p>
    <w:p w14:paraId="2144EB21" w14:textId="77777777" w:rsidR="00CC0ECD" w:rsidRPr="00D36183" w:rsidRDefault="00CC0ECD" w:rsidP="00CC0ECD">
      <w:r w:rsidRPr="00D36183">
        <w:t>Intracranial hypertension/increased intracranial pressure occurred in 4 (0.96%) of patients from the clinical trials and occurred in 7 – 9 year old treatment naïve subjects.</w:t>
      </w:r>
    </w:p>
    <w:p w14:paraId="65701197" w14:textId="77777777" w:rsidR="00CC0ECD" w:rsidRPr="00D36183" w:rsidRDefault="00CC0ECD" w:rsidP="00CC0ECD">
      <w:r w:rsidRPr="00D36183">
        <w:t xml:space="preserve">During clinical trials in other indications totalling approximately 300 patients, reports of local and/or systemic hypersensitivity were received for 8% of patients. There were also reports of systemic hypersensitivity from post-marketing use, of which some cases were indicative of anaphylaxis. Post-marketing reports of local allergic reactions were also received. </w:t>
      </w:r>
    </w:p>
    <w:p w14:paraId="325870C7" w14:textId="4D2C9844" w:rsidR="002063C4" w:rsidRPr="00D36183" w:rsidRDefault="00CC0ECD" w:rsidP="00CC0ECD">
      <w:r w:rsidRPr="00D36183">
        <w:t>Some patients may develop antibodies to mecasermin. No attenuation of growth was observed as a consequence of the development of antibodies.</w:t>
      </w:r>
    </w:p>
    <w:p w14:paraId="05EB4C40" w14:textId="45DA87CE" w:rsidR="002063C4" w:rsidRPr="00D36183" w:rsidRDefault="002063C4" w:rsidP="00BB14D8">
      <w:pPr>
        <w:pStyle w:val="Heading3"/>
        <w:ind w:left="0"/>
      </w:pPr>
      <w:r w:rsidRPr="00D36183">
        <w:t>Tabu</w:t>
      </w:r>
      <w:r w:rsidR="003A2209" w:rsidRPr="00D36183">
        <w:t>lated list of adverse reactions</w:t>
      </w:r>
    </w:p>
    <w:p w14:paraId="31E742AB" w14:textId="2BA0429B" w:rsidR="00CC0ECD" w:rsidRPr="00D36183" w:rsidRDefault="006163EA" w:rsidP="009177C4">
      <w:r w:rsidRPr="00D36183">
        <w:fldChar w:fldCharType="begin"/>
      </w:r>
      <w:r w:rsidRPr="00D36183">
        <w:instrText xml:space="preserve"> REF _Ref514718545 \h </w:instrText>
      </w:r>
      <w:r w:rsidR="009177C4" w:rsidRPr="00D36183">
        <w:instrText xml:space="preserve"> \* MERGEFORMAT </w:instrText>
      </w:r>
      <w:r w:rsidRPr="00D36183">
        <w:fldChar w:fldCharType="separate"/>
      </w:r>
      <w:r w:rsidR="00235D6F" w:rsidRPr="00235D6F">
        <w:t>Table 1</w:t>
      </w:r>
      <w:r w:rsidRPr="00D36183">
        <w:fldChar w:fldCharType="end"/>
      </w:r>
      <w:r w:rsidR="00CC0ECD" w:rsidRPr="00D36183">
        <w:t xml:space="preserve"> contains very common (≥ 1/10), common (≥ 1/100 to &lt; 1/10) and uncommon (≥ 1/1000, &lt; 1/100) adverse reactions which occurred in clinical trials. Within each frequency grouping, adverse reactions are presented in order of decreasing seriousness. Other adverse reactions have been identified during post approval use of INCRELEX. </w:t>
      </w:r>
      <w:r w:rsidR="00240C26" w:rsidRPr="00D36183">
        <w:t>As</w:t>
      </w:r>
      <w:r w:rsidR="00CC0ECD" w:rsidRPr="00D36183">
        <w:t xml:space="preserve"> these reactions are reported voluntarily from a population of uncertain size, it is not possible to reliably estimate their frequency (not known).</w:t>
      </w:r>
    </w:p>
    <w:p w14:paraId="67D46508" w14:textId="5B09847C" w:rsidR="00CC0ECD" w:rsidRPr="00D36183" w:rsidRDefault="006163EA" w:rsidP="006163EA">
      <w:pPr>
        <w:pStyle w:val="Caption"/>
        <w:rPr>
          <w:b/>
          <w:bCs/>
          <w:color w:val="auto"/>
          <w:sz w:val="24"/>
          <w:szCs w:val="24"/>
        </w:rPr>
      </w:pPr>
      <w:bookmarkStart w:id="6" w:name="_Ref514718545"/>
      <w:r w:rsidRPr="00D36183">
        <w:rPr>
          <w:b/>
          <w:color w:val="auto"/>
          <w:sz w:val="24"/>
          <w:szCs w:val="24"/>
        </w:rPr>
        <w:t xml:space="preserve">Table </w:t>
      </w:r>
      <w:r w:rsidRPr="00D36183">
        <w:rPr>
          <w:b/>
          <w:color w:val="auto"/>
          <w:sz w:val="24"/>
          <w:szCs w:val="24"/>
        </w:rPr>
        <w:fldChar w:fldCharType="begin"/>
      </w:r>
      <w:r w:rsidRPr="00D36183">
        <w:rPr>
          <w:b/>
          <w:color w:val="auto"/>
          <w:sz w:val="24"/>
          <w:szCs w:val="24"/>
        </w:rPr>
        <w:instrText xml:space="preserve"> SEQ Table \* ARABIC </w:instrText>
      </w:r>
      <w:r w:rsidRPr="00D36183">
        <w:rPr>
          <w:b/>
          <w:color w:val="auto"/>
          <w:sz w:val="24"/>
          <w:szCs w:val="24"/>
        </w:rPr>
        <w:fldChar w:fldCharType="separate"/>
      </w:r>
      <w:r w:rsidR="00235D6F">
        <w:rPr>
          <w:b/>
          <w:noProof/>
          <w:color w:val="auto"/>
          <w:sz w:val="24"/>
          <w:szCs w:val="24"/>
        </w:rPr>
        <w:t>1</w:t>
      </w:r>
      <w:r w:rsidRPr="00D36183">
        <w:rPr>
          <w:b/>
          <w:color w:val="auto"/>
          <w:sz w:val="24"/>
          <w:szCs w:val="24"/>
        </w:rPr>
        <w:fldChar w:fldCharType="end"/>
      </w:r>
      <w:bookmarkEnd w:id="6"/>
      <w:r w:rsidRPr="00D36183">
        <w:rPr>
          <w:b/>
          <w:color w:val="auto"/>
          <w:sz w:val="24"/>
          <w:szCs w:val="24"/>
        </w:rPr>
        <w:t>: Adverse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3043"/>
        <w:gridCol w:w="3042"/>
      </w:tblGrid>
      <w:tr w:rsidR="00CC0ECD" w:rsidRPr="00D36183" w14:paraId="7852FD66" w14:textId="77777777" w:rsidTr="008D596A">
        <w:tc>
          <w:tcPr>
            <w:tcW w:w="3085" w:type="dxa"/>
            <w:shd w:val="clear" w:color="auto" w:fill="auto"/>
          </w:tcPr>
          <w:p w14:paraId="5A34BF9E" w14:textId="77777777" w:rsidR="00CC0ECD" w:rsidRPr="00D36183" w:rsidRDefault="00CC0ECD" w:rsidP="00CC0ECD">
            <w:pPr>
              <w:numPr>
                <w:ilvl w:val="0"/>
                <w:numId w:val="12"/>
              </w:numPr>
              <w:rPr>
                <w:b/>
                <w:bCs/>
              </w:rPr>
            </w:pPr>
            <w:r w:rsidRPr="00D36183">
              <w:rPr>
                <w:b/>
                <w:bCs/>
              </w:rPr>
              <w:t>System Organ Class</w:t>
            </w:r>
          </w:p>
        </w:tc>
        <w:tc>
          <w:tcPr>
            <w:tcW w:w="3260" w:type="dxa"/>
            <w:shd w:val="clear" w:color="auto" w:fill="auto"/>
          </w:tcPr>
          <w:p w14:paraId="34A7F6D4" w14:textId="77777777" w:rsidR="00CC0ECD" w:rsidRPr="00D36183" w:rsidRDefault="00CC0ECD" w:rsidP="00CC0ECD">
            <w:pPr>
              <w:rPr>
                <w:b/>
              </w:rPr>
            </w:pPr>
            <w:r w:rsidRPr="00D36183">
              <w:rPr>
                <w:b/>
              </w:rPr>
              <w:t>Reactions observed in the clinical trials</w:t>
            </w:r>
          </w:p>
        </w:tc>
        <w:tc>
          <w:tcPr>
            <w:tcW w:w="3261" w:type="dxa"/>
            <w:shd w:val="clear" w:color="auto" w:fill="auto"/>
          </w:tcPr>
          <w:p w14:paraId="2AB4E21B" w14:textId="77777777" w:rsidR="00CC0ECD" w:rsidRPr="00D36183" w:rsidRDefault="00CC0ECD" w:rsidP="00CC0ECD">
            <w:pPr>
              <w:rPr>
                <w:b/>
              </w:rPr>
            </w:pPr>
            <w:r w:rsidRPr="00D36183">
              <w:rPr>
                <w:b/>
              </w:rPr>
              <w:t>Reactions observed from the post-marketing environment</w:t>
            </w:r>
          </w:p>
        </w:tc>
      </w:tr>
      <w:tr w:rsidR="00CC0ECD" w:rsidRPr="00D36183" w14:paraId="22C8B27E" w14:textId="77777777" w:rsidTr="008D596A">
        <w:tc>
          <w:tcPr>
            <w:tcW w:w="3085" w:type="dxa"/>
            <w:shd w:val="clear" w:color="auto" w:fill="auto"/>
          </w:tcPr>
          <w:p w14:paraId="22D018DC" w14:textId="77777777" w:rsidR="00CC0ECD" w:rsidRPr="00D36183" w:rsidRDefault="00CC0ECD" w:rsidP="00CC0ECD">
            <w:r w:rsidRPr="00D36183">
              <w:t>Blood and lymphatic system disorders</w:t>
            </w:r>
          </w:p>
        </w:tc>
        <w:tc>
          <w:tcPr>
            <w:tcW w:w="3260" w:type="dxa"/>
            <w:shd w:val="clear" w:color="auto" w:fill="auto"/>
          </w:tcPr>
          <w:p w14:paraId="24566B7E" w14:textId="77777777" w:rsidR="00CC0ECD" w:rsidRPr="00D36183" w:rsidRDefault="00CC0ECD" w:rsidP="00CC0ECD">
            <w:r w:rsidRPr="00D36183">
              <w:rPr>
                <w:u w:val="single"/>
              </w:rPr>
              <w:t>Common:</w:t>
            </w:r>
            <w:r w:rsidRPr="00D36183">
              <w:t xml:space="preserve"> Thymus hypertrophy </w:t>
            </w:r>
          </w:p>
          <w:p w14:paraId="226683C3" w14:textId="77777777" w:rsidR="00CC0ECD" w:rsidRPr="00D36183" w:rsidRDefault="00CC0ECD" w:rsidP="00CC0ECD"/>
        </w:tc>
        <w:tc>
          <w:tcPr>
            <w:tcW w:w="3261" w:type="dxa"/>
            <w:shd w:val="clear" w:color="auto" w:fill="auto"/>
          </w:tcPr>
          <w:p w14:paraId="51D99227" w14:textId="77777777" w:rsidR="00CC0ECD" w:rsidRPr="00D36183" w:rsidRDefault="00CC0ECD" w:rsidP="00CC0ECD"/>
        </w:tc>
      </w:tr>
      <w:tr w:rsidR="00CC0ECD" w:rsidRPr="00D36183" w14:paraId="314FC28B" w14:textId="77777777" w:rsidTr="008D596A">
        <w:tc>
          <w:tcPr>
            <w:tcW w:w="3085" w:type="dxa"/>
            <w:shd w:val="clear" w:color="auto" w:fill="auto"/>
          </w:tcPr>
          <w:p w14:paraId="08745AD4" w14:textId="77777777" w:rsidR="00CC0ECD" w:rsidRPr="00D36183" w:rsidRDefault="00CC0ECD" w:rsidP="00CC0ECD">
            <w:r w:rsidRPr="00D36183">
              <w:lastRenderedPageBreak/>
              <w:t>Immune system disorders</w:t>
            </w:r>
          </w:p>
        </w:tc>
        <w:tc>
          <w:tcPr>
            <w:tcW w:w="3260" w:type="dxa"/>
            <w:shd w:val="clear" w:color="auto" w:fill="auto"/>
          </w:tcPr>
          <w:p w14:paraId="72CD1C54" w14:textId="77777777" w:rsidR="00CC0ECD" w:rsidRPr="00D36183" w:rsidRDefault="00CC0ECD" w:rsidP="00CC0ECD"/>
        </w:tc>
        <w:tc>
          <w:tcPr>
            <w:tcW w:w="3261" w:type="dxa"/>
            <w:shd w:val="clear" w:color="auto" w:fill="auto"/>
          </w:tcPr>
          <w:p w14:paraId="41C4ADE3" w14:textId="710AB3EF" w:rsidR="00CC0ECD" w:rsidRPr="00D36183" w:rsidRDefault="00CC0ECD" w:rsidP="00CC0ECD">
            <w:r w:rsidRPr="00D36183">
              <w:rPr>
                <w:u w:val="single"/>
              </w:rPr>
              <w:t>Not known:</w:t>
            </w:r>
            <w:r w:rsidRPr="00D36183">
              <w:t xml:space="preserve"> Systemic hypersensitivity (anaphylaxis, generalized urticaria, angioedema, dyspnoea), local allergic reactions at the injection site (pruritus, urticaria)</w:t>
            </w:r>
          </w:p>
        </w:tc>
      </w:tr>
      <w:tr w:rsidR="00CC0ECD" w:rsidRPr="00D36183" w14:paraId="5FB5242E" w14:textId="77777777" w:rsidTr="008D596A">
        <w:tc>
          <w:tcPr>
            <w:tcW w:w="3085" w:type="dxa"/>
            <w:shd w:val="clear" w:color="auto" w:fill="auto"/>
          </w:tcPr>
          <w:p w14:paraId="5BE7299C" w14:textId="77777777" w:rsidR="00CC0ECD" w:rsidRPr="00D36183" w:rsidRDefault="00CC0ECD" w:rsidP="00CC0ECD">
            <w:r w:rsidRPr="00D36183">
              <w:t>Metabolism and nutrition disorders</w:t>
            </w:r>
          </w:p>
        </w:tc>
        <w:tc>
          <w:tcPr>
            <w:tcW w:w="3260" w:type="dxa"/>
            <w:shd w:val="clear" w:color="auto" w:fill="auto"/>
          </w:tcPr>
          <w:p w14:paraId="4E341AB7" w14:textId="77777777" w:rsidR="00CC0ECD" w:rsidRPr="00D36183" w:rsidRDefault="00CC0ECD" w:rsidP="00CC0ECD">
            <w:r w:rsidRPr="00D36183">
              <w:rPr>
                <w:u w:val="single"/>
              </w:rPr>
              <w:t>Very common:</w:t>
            </w:r>
            <w:r w:rsidRPr="00D36183">
              <w:t xml:space="preserve"> Hypoglycaemia</w:t>
            </w:r>
          </w:p>
          <w:p w14:paraId="3FF1BE8A" w14:textId="77777777" w:rsidR="00CC0ECD" w:rsidRPr="00D36183" w:rsidRDefault="00CC0ECD" w:rsidP="00CC0ECD">
            <w:r w:rsidRPr="00D36183">
              <w:rPr>
                <w:u w:val="single"/>
              </w:rPr>
              <w:t>Common:</w:t>
            </w:r>
            <w:r w:rsidRPr="00D36183">
              <w:t xml:space="preserve"> Hypoglycaemic seizure, hyperglycaemia</w:t>
            </w:r>
          </w:p>
        </w:tc>
        <w:tc>
          <w:tcPr>
            <w:tcW w:w="3261" w:type="dxa"/>
            <w:shd w:val="clear" w:color="auto" w:fill="auto"/>
          </w:tcPr>
          <w:p w14:paraId="382788BA" w14:textId="77777777" w:rsidR="00CC0ECD" w:rsidRPr="00D36183" w:rsidRDefault="00CC0ECD" w:rsidP="00CC0ECD"/>
        </w:tc>
      </w:tr>
      <w:tr w:rsidR="00CC0ECD" w:rsidRPr="00D36183" w14:paraId="5284F513" w14:textId="77777777" w:rsidTr="008D596A">
        <w:tc>
          <w:tcPr>
            <w:tcW w:w="3085" w:type="dxa"/>
            <w:shd w:val="clear" w:color="auto" w:fill="auto"/>
          </w:tcPr>
          <w:p w14:paraId="4339E608" w14:textId="77777777" w:rsidR="00CC0ECD" w:rsidRPr="00D36183" w:rsidRDefault="00CC0ECD" w:rsidP="00CC0ECD">
            <w:r w:rsidRPr="00D36183">
              <w:t>Psychiatric disorders</w:t>
            </w:r>
          </w:p>
        </w:tc>
        <w:tc>
          <w:tcPr>
            <w:tcW w:w="3260" w:type="dxa"/>
            <w:shd w:val="clear" w:color="auto" w:fill="auto"/>
          </w:tcPr>
          <w:p w14:paraId="1F3A9B46" w14:textId="77777777" w:rsidR="00CC0ECD" w:rsidRPr="00D36183" w:rsidRDefault="00CC0ECD" w:rsidP="00CC0ECD">
            <w:r w:rsidRPr="00D36183">
              <w:rPr>
                <w:u w:val="single"/>
              </w:rPr>
              <w:t>Uncommon:</w:t>
            </w:r>
            <w:r w:rsidRPr="00D36183">
              <w:t xml:space="preserve"> Depression, nervousness</w:t>
            </w:r>
          </w:p>
        </w:tc>
        <w:tc>
          <w:tcPr>
            <w:tcW w:w="3261" w:type="dxa"/>
            <w:shd w:val="clear" w:color="auto" w:fill="auto"/>
          </w:tcPr>
          <w:p w14:paraId="26638228" w14:textId="77777777" w:rsidR="00CC0ECD" w:rsidRPr="00D36183" w:rsidRDefault="00CC0ECD" w:rsidP="00CC0ECD"/>
        </w:tc>
      </w:tr>
      <w:tr w:rsidR="00CC0ECD" w:rsidRPr="00D36183" w14:paraId="1E233337" w14:textId="77777777" w:rsidTr="008D596A">
        <w:tc>
          <w:tcPr>
            <w:tcW w:w="3085" w:type="dxa"/>
            <w:shd w:val="clear" w:color="auto" w:fill="auto"/>
          </w:tcPr>
          <w:p w14:paraId="51BAAAC0" w14:textId="77777777" w:rsidR="00CC0ECD" w:rsidRPr="00D36183" w:rsidRDefault="00CC0ECD" w:rsidP="00CC0ECD">
            <w:r w:rsidRPr="00D36183">
              <w:t>Nervous system disorders</w:t>
            </w:r>
          </w:p>
        </w:tc>
        <w:tc>
          <w:tcPr>
            <w:tcW w:w="3260" w:type="dxa"/>
            <w:shd w:val="clear" w:color="auto" w:fill="auto"/>
          </w:tcPr>
          <w:p w14:paraId="01356138" w14:textId="77777777" w:rsidR="00CC0ECD" w:rsidRPr="00D36183" w:rsidRDefault="00CC0ECD" w:rsidP="00CC0ECD">
            <w:r w:rsidRPr="00D36183">
              <w:rPr>
                <w:u w:val="single"/>
              </w:rPr>
              <w:t>Very common:</w:t>
            </w:r>
            <w:r w:rsidRPr="00D36183">
              <w:t xml:space="preserve"> Headache</w:t>
            </w:r>
          </w:p>
          <w:p w14:paraId="77DF502C" w14:textId="77777777" w:rsidR="00CC0ECD" w:rsidRPr="00D36183" w:rsidRDefault="00CC0ECD" w:rsidP="00CC0ECD">
            <w:r w:rsidRPr="00D36183">
              <w:rPr>
                <w:u w:val="single"/>
              </w:rPr>
              <w:t>Common:</w:t>
            </w:r>
            <w:r w:rsidRPr="00D36183">
              <w:t xml:space="preserve"> Convulsions, dizziness, tremor</w:t>
            </w:r>
          </w:p>
          <w:p w14:paraId="4D1395FB" w14:textId="77777777" w:rsidR="00CC0ECD" w:rsidRPr="00D36183" w:rsidRDefault="00CC0ECD" w:rsidP="00CC0ECD">
            <w:r w:rsidRPr="00D36183">
              <w:rPr>
                <w:u w:val="single"/>
              </w:rPr>
              <w:t>Uncommon:</w:t>
            </w:r>
            <w:r w:rsidRPr="00D36183">
              <w:t xml:space="preserve"> Benign intracranial hypertension</w:t>
            </w:r>
          </w:p>
        </w:tc>
        <w:tc>
          <w:tcPr>
            <w:tcW w:w="3261" w:type="dxa"/>
            <w:shd w:val="clear" w:color="auto" w:fill="auto"/>
          </w:tcPr>
          <w:p w14:paraId="036D9614" w14:textId="77777777" w:rsidR="00CC0ECD" w:rsidRPr="00D36183" w:rsidRDefault="00CC0ECD" w:rsidP="00CC0ECD"/>
        </w:tc>
      </w:tr>
      <w:tr w:rsidR="00CC0ECD" w:rsidRPr="00D36183" w14:paraId="05274EFF" w14:textId="77777777" w:rsidTr="008D596A">
        <w:tc>
          <w:tcPr>
            <w:tcW w:w="3085" w:type="dxa"/>
            <w:shd w:val="clear" w:color="auto" w:fill="auto"/>
          </w:tcPr>
          <w:p w14:paraId="4770966D" w14:textId="77777777" w:rsidR="00CC0ECD" w:rsidRPr="00D36183" w:rsidRDefault="00CC0ECD" w:rsidP="00CC0ECD">
            <w:r w:rsidRPr="00D36183">
              <w:t>Eye disorders</w:t>
            </w:r>
          </w:p>
        </w:tc>
        <w:tc>
          <w:tcPr>
            <w:tcW w:w="3260" w:type="dxa"/>
            <w:shd w:val="clear" w:color="auto" w:fill="auto"/>
          </w:tcPr>
          <w:p w14:paraId="4547BE72" w14:textId="77777777" w:rsidR="00CC0ECD" w:rsidRPr="00D36183" w:rsidRDefault="00CC0ECD" w:rsidP="00CC0ECD">
            <w:r w:rsidRPr="00D36183">
              <w:rPr>
                <w:u w:val="single"/>
              </w:rPr>
              <w:t>Common:</w:t>
            </w:r>
            <w:r w:rsidRPr="00D36183">
              <w:t xml:space="preserve">  Papilloedema</w:t>
            </w:r>
          </w:p>
        </w:tc>
        <w:tc>
          <w:tcPr>
            <w:tcW w:w="3261" w:type="dxa"/>
            <w:shd w:val="clear" w:color="auto" w:fill="auto"/>
          </w:tcPr>
          <w:p w14:paraId="6C61F600" w14:textId="77777777" w:rsidR="00CC0ECD" w:rsidRPr="00D36183" w:rsidRDefault="00CC0ECD" w:rsidP="00CC0ECD"/>
        </w:tc>
      </w:tr>
      <w:tr w:rsidR="00CC0ECD" w:rsidRPr="00D36183" w14:paraId="5E3D4D23" w14:textId="77777777" w:rsidTr="008D596A">
        <w:tc>
          <w:tcPr>
            <w:tcW w:w="3085" w:type="dxa"/>
            <w:shd w:val="clear" w:color="auto" w:fill="auto"/>
          </w:tcPr>
          <w:p w14:paraId="500E3CD1" w14:textId="77777777" w:rsidR="00CC0ECD" w:rsidRPr="00D36183" w:rsidRDefault="00CC0ECD" w:rsidP="00CC0ECD">
            <w:r w:rsidRPr="00D36183">
              <w:t>Ear and labyrinth disorders</w:t>
            </w:r>
          </w:p>
        </w:tc>
        <w:tc>
          <w:tcPr>
            <w:tcW w:w="3260" w:type="dxa"/>
            <w:shd w:val="clear" w:color="auto" w:fill="auto"/>
          </w:tcPr>
          <w:p w14:paraId="4D3FEFE6" w14:textId="77777777" w:rsidR="00CC0ECD" w:rsidRPr="00D36183" w:rsidRDefault="00CC0ECD" w:rsidP="00CC0ECD">
            <w:r w:rsidRPr="00D36183">
              <w:rPr>
                <w:u w:val="single"/>
              </w:rPr>
              <w:t>Very common:</w:t>
            </w:r>
            <w:r w:rsidRPr="00D36183">
              <w:t xml:space="preserve"> Otitis media</w:t>
            </w:r>
          </w:p>
          <w:p w14:paraId="28E31975" w14:textId="4D635C86" w:rsidR="00CC0ECD" w:rsidRPr="00D36183" w:rsidRDefault="00CC0ECD" w:rsidP="00CC0ECD">
            <w:r w:rsidRPr="00D36183">
              <w:rPr>
                <w:u w:val="single"/>
              </w:rPr>
              <w:t>Common:</w:t>
            </w:r>
            <w:r w:rsidRPr="00D36183">
              <w:t xml:space="preserve">  Hypoacusis, ear pain, middle ear effusion</w:t>
            </w:r>
          </w:p>
        </w:tc>
        <w:tc>
          <w:tcPr>
            <w:tcW w:w="3261" w:type="dxa"/>
            <w:shd w:val="clear" w:color="auto" w:fill="auto"/>
          </w:tcPr>
          <w:p w14:paraId="2B545B3F" w14:textId="77777777" w:rsidR="00CC0ECD" w:rsidRPr="00D36183" w:rsidRDefault="00CC0ECD" w:rsidP="00CC0ECD"/>
        </w:tc>
      </w:tr>
      <w:tr w:rsidR="00CC0ECD" w:rsidRPr="00D36183" w14:paraId="4BA31FCF" w14:textId="77777777" w:rsidTr="008D596A">
        <w:tc>
          <w:tcPr>
            <w:tcW w:w="3085" w:type="dxa"/>
            <w:shd w:val="clear" w:color="auto" w:fill="auto"/>
          </w:tcPr>
          <w:p w14:paraId="70C51BF7" w14:textId="77777777" w:rsidR="00CC0ECD" w:rsidRPr="00D36183" w:rsidRDefault="00CC0ECD" w:rsidP="00CC0ECD">
            <w:r w:rsidRPr="00D36183">
              <w:t>Cardiac disorders</w:t>
            </w:r>
          </w:p>
        </w:tc>
        <w:tc>
          <w:tcPr>
            <w:tcW w:w="3260" w:type="dxa"/>
            <w:shd w:val="clear" w:color="auto" w:fill="auto"/>
          </w:tcPr>
          <w:p w14:paraId="54CED448" w14:textId="77777777" w:rsidR="00CC0ECD" w:rsidRPr="00D36183" w:rsidRDefault="00CC0ECD" w:rsidP="00CC0ECD">
            <w:r w:rsidRPr="00D36183">
              <w:rPr>
                <w:u w:val="single"/>
              </w:rPr>
              <w:t>Common:</w:t>
            </w:r>
            <w:r w:rsidRPr="00D36183">
              <w:t xml:space="preserve">  Cardiac murmur, tachycardia</w:t>
            </w:r>
          </w:p>
          <w:p w14:paraId="1DB2AA3F" w14:textId="77777777" w:rsidR="00CC0ECD" w:rsidRPr="00D36183" w:rsidRDefault="00CC0ECD" w:rsidP="00CC0ECD">
            <w:r w:rsidRPr="00D36183">
              <w:rPr>
                <w:u w:val="single"/>
              </w:rPr>
              <w:t>Uncommon:</w:t>
            </w:r>
            <w:r w:rsidRPr="00D36183">
              <w:t xml:space="preserve"> Cardiomegaly, ventricular hypertrophy, mitral valve incompetence, tricuspid valve incompetence</w:t>
            </w:r>
          </w:p>
        </w:tc>
        <w:tc>
          <w:tcPr>
            <w:tcW w:w="3261" w:type="dxa"/>
            <w:shd w:val="clear" w:color="auto" w:fill="auto"/>
          </w:tcPr>
          <w:p w14:paraId="6A39EF6D" w14:textId="77777777" w:rsidR="00CC0ECD" w:rsidRPr="00D36183" w:rsidRDefault="00CC0ECD" w:rsidP="00CC0ECD"/>
        </w:tc>
      </w:tr>
      <w:tr w:rsidR="00CC0ECD" w:rsidRPr="00D36183" w14:paraId="22AE24C9" w14:textId="77777777" w:rsidTr="008D596A">
        <w:tc>
          <w:tcPr>
            <w:tcW w:w="3085" w:type="dxa"/>
            <w:shd w:val="clear" w:color="auto" w:fill="auto"/>
          </w:tcPr>
          <w:p w14:paraId="4C0821AA" w14:textId="77777777" w:rsidR="00CC0ECD" w:rsidRPr="00D36183" w:rsidRDefault="00CC0ECD" w:rsidP="00CC0ECD">
            <w:r w:rsidRPr="00D36183">
              <w:t>Respiratory, thoracic and mediastinal disorders</w:t>
            </w:r>
          </w:p>
        </w:tc>
        <w:tc>
          <w:tcPr>
            <w:tcW w:w="3260" w:type="dxa"/>
            <w:shd w:val="clear" w:color="auto" w:fill="auto"/>
          </w:tcPr>
          <w:p w14:paraId="6F004BF3" w14:textId="77777777" w:rsidR="00CC0ECD" w:rsidRPr="00D36183" w:rsidRDefault="00CC0ECD" w:rsidP="00CC0ECD">
            <w:r w:rsidRPr="00D36183">
              <w:rPr>
                <w:u w:val="single"/>
              </w:rPr>
              <w:t>Common:</w:t>
            </w:r>
            <w:r w:rsidRPr="00D36183">
              <w:t xml:space="preserve"> Sleep apnoea syndrome, adenoidal hypertrophy, tonsillar hypertrophy, snoring</w:t>
            </w:r>
          </w:p>
        </w:tc>
        <w:tc>
          <w:tcPr>
            <w:tcW w:w="3261" w:type="dxa"/>
            <w:shd w:val="clear" w:color="auto" w:fill="auto"/>
          </w:tcPr>
          <w:p w14:paraId="796E9745" w14:textId="77777777" w:rsidR="00CC0ECD" w:rsidRPr="00D36183" w:rsidRDefault="00CC0ECD" w:rsidP="00CC0ECD"/>
        </w:tc>
      </w:tr>
      <w:tr w:rsidR="00CC0ECD" w:rsidRPr="00D36183" w14:paraId="342DD6F7" w14:textId="77777777" w:rsidTr="008D596A">
        <w:tc>
          <w:tcPr>
            <w:tcW w:w="3085" w:type="dxa"/>
            <w:shd w:val="clear" w:color="auto" w:fill="auto"/>
          </w:tcPr>
          <w:p w14:paraId="0DC5EA18" w14:textId="77777777" w:rsidR="00CC0ECD" w:rsidRPr="00D36183" w:rsidRDefault="00CC0ECD" w:rsidP="00CC0ECD">
            <w:r w:rsidRPr="00D36183">
              <w:lastRenderedPageBreak/>
              <w:t>Gastrointestinal disorders</w:t>
            </w:r>
          </w:p>
        </w:tc>
        <w:tc>
          <w:tcPr>
            <w:tcW w:w="3260" w:type="dxa"/>
            <w:shd w:val="clear" w:color="auto" w:fill="auto"/>
          </w:tcPr>
          <w:p w14:paraId="7CB26199" w14:textId="77777777" w:rsidR="00CC0ECD" w:rsidRPr="00D36183" w:rsidRDefault="00CC0ECD" w:rsidP="00CC0ECD">
            <w:r w:rsidRPr="00D36183">
              <w:rPr>
                <w:u w:val="single"/>
              </w:rPr>
              <w:t>Very common:</w:t>
            </w:r>
            <w:r w:rsidRPr="00D36183">
              <w:t xml:space="preserve"> Vomiting, upper abdominal pain</w:t>
            </w:r>
          </w:p>
          <w:p w14:paraId="62572457" w14:textId="77777777" w:rsidR="00CC0ECD" w:rsidRPr="00D36183" w:rsidRDefault="00CC0ECD" w:rsidP="00CC0ECD">
            <w:r w:rsidRPr="00D36183">
              <w:t>Common: Abdominal pain</w:t>
            </w:r>
          </w:p>
        </w:tc>
        <w:tc>
          <w:tcPr>
            <w:tcW w:w="3261" w:type="dxa"/>
            <w:shd w:val="clear" w:color="auto" w:fill="auto"/>
          </w:tcPr>
          <w:p w14:paraId="4419FDE3" w14:textId="77777777" w:rsidR="00CC0ECD" w:rsidRPr="00D36183" w:rsidRDefault="00CC0ECD" w:rsidP="00CC0ECD"/>
        </w:tc>
      </w:tr>
      <w:tr w:rsidR="00CC0ECD" w:rsidRPr="00D36183" w14:paraId="6EF43B7F" w14:textId="77777777" w:rsidTr="008D596A">
        <w:tc>
          <w:tcPr>
            <w:tcW w:w="3085" w:type="dxa"/>
            <w:shd w:val="clear" w:color="auto" w:fill="auto"/>
          </w:tcPr>
          <w:p w14:paraId="5D9C91FA" w14:textId="77777777" w:rsidR="00CC0ECD" w:rsidRPr="00D36183" w:rsidRDefault="00CC0ECD" w:rsidP="00CC0ECD">
            <w:r w:rsidRPr="00D36183">
              <w:t>Skin and subcutaneous tissue disorders</w:t>
            </w:r>
          </w:p>
        </w:tc>
        <w:tc>
          <w:tcPr>
            <w:tcW w:w="3260" w:type="dxa"/>
            <w:shd w:val="clear" w:color="auto" w:fill="auto"/>
          </w:tcPr>
          <w:p w14:paraId="5A991243" w14:textId="77777777" w:rsidR="00CC0ECD" w:rsidRPr="00D36183" w:rsidRDefault="00CC0ECD" w:rsidP="00CC0ECD">
            <w:r w:rsidRPr="00D36183">
              <w:rPr>
                <w:u w:val="single"/>
              </w:rPr>
              <w:t>Common:</w:t>
            </w:r>
            <w:r w:rsidRPr="00D36183">
              <w:t xml:space="preserve"> Skin hypertrophy, abnormal hair texture</w:t>
            </w:r>
          </w:p>
        </w:tc>
        <w:tc>
          <w:tcPr>
            <w:tcW w:w="3261" w:type="dxa"/>
            <w:shd w:val="clear" w:color="auto" w:fill="auto"/>
          </w:tcPr>
          <w:p w14:paraId="3D5E8A81" w14:textId="7AD241A0" w:rsidR="00CC0ECD" w:rsidRPr="00D36183" w:rsidRDefault="00E7731A" w:rsidP="00CC0ECD">
            <w:r>
              <w:rPr>
                <w:u w:val="single"/>
              </w:rPr>
              <w:t>N</w:t>
            </w:r>
            <w:r w:rsidR="008B14BB">
              <w:rPr>
                <w:u w:val="single"/>
              </w:rPr>
              <w:t xml:space="preserve">ot </w:t>
            </w:r>
            <w:r w:rsidR="00CC0ECD" w:rsidRPr="00D36183">
              <w:rPr>
                <w:u w:val="single"/>
              </w:rPr>
              <w:t>known:</w:t>
            </w:r>
            <w:r w:rsidR="00CC0ECD" w:rsidRPr="00D36183">
              <w:t xml:space="preserve"> </w:t>
            </w:r>
            <w:r w:rsidR="006C0450" w:rsidRPr="00D36183">
              <w:t>A</w:t>
            </w:r>
            <w:r w:rsidR="00CC0ECD" w:rsidRPr="00D36183">
              <w:t>lopecia</w:t>
            </w:r>
          </w:p>
        </w:tc>
      </w:tr>
      <w:tr w:rsidR="00CC0ECD" w:rsidRPr="00D36183" w14:paraId="09673554" w14:textId="77777777" w:rsidTr="008D596A">
        <w:tc>
          <w:tcPr>
            <w:tcW w:w="3085" w:type="dxa"/>
            <w:shd w:val="clear" w:color="auto" w:fill="auto"/>
          </w:tcPr>
          <w:p w14:paraId="2A9B5FAA" w14:textId="77777777" w:rsidR="00CC0ECD" w:rsidRPr="00D36183" w:rsidRDefault="00CC0ECD" w:rsidP="00CC0ECD">
            <w:r w:rsidRPr="00D36183">
              <w:t>Musculoskeletal and connective tissue disorders</w:t>
            </w:r>
          </w:p>
        </w:tc>
        <w:tc>
          <w:tcPr>
            <w:tcW w:w="3260" w:type="dxa"/>
            <w:shd w:val="clear" w:color="auto" w:fill="auto"/>
          </w:tcPr>
          <w:p w14:paraId="25B1BF39" w14:textId="77777777" w:rsidR="00CC0ECD" w:rsidRPr="00D36183" w:rsidRDefault="00CC0ECD" w:rsidP="00CC0ECD">
            <w:r w:rsidRPr="00D36183">
              <w:rPr>
                <w:u w:val="single"/>
              </w:rPr>
              <w:t>Very common:</w:t>
            </w:r>
            <w:r w:rsidRPr="00D36183">
              <w:t xml:space="preserve"> Arthralgia, pain in extremity</w:t>
            </w:r>
          </w:p>
          <w:p w14:paraId="2F01A59B" w14:textId="77777777" w:rsidR="00CC0ECD" w:rsidRPr="00D36183" w:rsidRDefault="00CC0ECD" w:rsidP="00CC0ECD">
            <w:r w:rsidRPr="00D36183">
              <w:rPr>
                <w:u w:val="single"/>
              </w:rPr>
              <w:t>Common:</w:t>
            </w:r>
            <w:r w:rsidRPr="00D36183">
              <w:t xml:space="preserve"> Scoliosis, myalgia</w:t>
            </w:r>
          </w:p>
        </w:tc>
        <w:tc>
          <w:tcPr>
            <w:tcW w:w="3261" w:type="dxa"/>
            <w:shd w:val="clear" w:color="auto" w:fill="auto"/>
          </w:tcPr>
          <w:p w14:paraId="6D3AF21D" w14:textId="77777777" w:rsidR="00CC0ECD" w:rsidRPr="00D36183" w:rsidRDefault="00CC0ECD" w:rsidP="00CC0ECD"/>
        </w:tc>
      </w:tr>
      <w:tr w:rsidR="00CC0ECD" w:rsidRPr="00D36183" w14:paraId="25253EF3" w14:textId="77777777" w:rsidTr="008D596A">
        <w:tc>
          <w:tcPr>
            <w:tcW w:w="3085" w:type="dxa"/>
            <w:shd w:val="clear" w:color="auto" w:fill="auto"/>
          </w:tcPr>
          <w:p w14:paraId="5775957B" w14:textId="77777777" w:rsidR="00CC0ECD" w:rsidRPr="00D36183" w:rsidRDefault="00CC0ECD" w:rsidP="00CC0ECD">
            <w:r w:rsidRPr="00D36183">
              <w:t>Neoplasms benign, malignant and unspecified (incl cysts and polyps)</w:t>
            </w:r>
          </w:p>
        </w:tc>
        <w:tc>
          <w:tcPr>
            <w:tcW w:w="3260" w:type="dxa"/>
            <w:shd w:val="clear" w:color="auto" w:fill="auto"/>
          </w:tcPr>
          <w:p w14:paraId="54F471D7" w14:textId="77777777" w:rsidR="00CC0ECD" w:rsidRPr="00D36183" w:rsidRDefault="00CC0ECD" w:rsidP="00CC0ECD">
            <w:r w:rsidRPr="00D36183">
              <w:rPr>
                <w:u w:val="single"/>
              </w:rPr>
              <w:t>Common:</w:t>
            </w:r>
            <w:r w:rsidRPr="00D36183">
              <w:t xml:space="preserve"> Melanocytic naevus</w:t>
            </w:r>
          </w:p>
        </w:tc>
        <w:tc>
          <w:tcPr>
            <w:tcW w:w="3261" w:type="dxa"/>
            <w:shd w:val="clear" w:color="auto" w:fill="auto"/>
          </w:tcPr>
          <w:p w14:paraId="40C01CFF" w14:textId="192625D7" w:rsidR="00CC0ECD" w:rsidRPr="00D36183" w:rsidRDefault="008B14BB" w:rsidP="00CC0ECD">
            <w:r>
              <w:rPr>
                <w:u w:val="single"/>
              </w:rPr>
              <w:t xml:space="preserve">Not </w:t>
            </w:r>
            <w:r w:rsidR="00D875F3" w:rsidRPr="00D36183">
              <w:rPr>
                <w:u w:val="single"/>
              </w:rPr>
              <w:t>known:</w:t>
            </w:r>
            <w:r w:rsidR="00D875F3" w:rsidRPr="00D36183">
              <w:t xml:space="preserve"> </w:t>
            </w:r>
            <w:r w:rsidR="00240C26" w:rsidRPr="00D36183">
              <w:t>Benign and malignant neoplasms</w:t>
            </w:r>
            <w:r w:rsidR="00240C26" w:rsidRPr="00D36183" w:rsidDel="00240C26">
              <w:t xml:space="preserve"> </w:t>
            </w:r>
          </w:p>
        </w:tc>
      </w:tr>
      <w:tr w:rsidR="00CC0ECD" w:rsidRPr="00D36183" w14:paraId="060B877B" w14:textId="77777777" w:rsidTr="008D596A">
        <w:tc>
          <w:tcPr>
            <w:tcW w:w="3085" w:type="dxa"/>
            <w:shd w:val="clear" w:color="auto" w:fill="auto"/>
          </w:tcPr>
          <w:p w14:paraId="20ECC1BA" w14:textId="77777777" w:rsidR="00CC0ECD" w:rsidRPr="00D36183" w:rsidRDefault="00CC0ECD" w:rsidP="00CC0ECD">
            <w:r w:rsidRPr="00D36183">
              <w:t>Reproductive system and breast disorders</w:t>
            </w:r>
          </w:p>
        </w:tc>
        <w:tc>
          <w:tcPr>
            <w:tcW w:w="3260" w:type="dxa"/>
            <w:shd w:val="clear" w:color="auto" w:fill="auto"/>
          </w:tcPr>
          <w:p w14:paraId="35D0C10E" w14:textId="77777777" w:rsidR="00CC0ECD" w:rsidRPr="00D36183" w:rsidRDefault="00CC0ECD" w:rsidP="00CC0ECD">
            <w:pPr>
              <w:rPr>
                <w:u w:val="single"/>
              </w:rPr>
            </w:pPr>
            <w:r w:rsidRPr="00D36183">
              <w:rPr>
                <w:u w:val="single"/>
              </w:rPr>
              <w:t>Common:</w:t>
            </w:r>
            <w:r w:rsidRPr="00D36183">
              <w:t xml:space="preserve"> Gynaecomastia</w:t>
            </w:r>
          </w:p>
        </w:tc>
        <w:tc>
          <w:tcPr>
            <w:tcW w:w="3261" w:type="dxa"/>
            <w:shd w:val="clear" w:color="auto" w:fill="auto"/>
          </w:tcPr>
          <w:p w14:paraId="248B10AD" w14:textId="77777777" w:rsidR="00CC0ECD" w:rsidRPr="00D36183" w:rsidRDefault="00CC0ECD" w:rsidP="00CC0ECD"/>
        </w:tc>
      </w:tr>
      <w:tr w:rsidR="00CC0ECD" w:rsidRPr="00D36183" w14:paraId="1D5F6015" w14:textId="77777777" w:rsidTr="008D596A">
        <w:tc>
          <w:tcPr>
            <w:tcW w:w="3085" w:type="dxa"/>
            <w:shd w:val="clear" w:color="auto" w:fill="auto"/>
          </w:tcPr>
          <w:p w14:paraId="035929DE" w14:textId="77777777" w:rsidR="00CC0ECD" w:rsidRPr="00D36183" w:rsidRDefault="00CC0ECD" w:rsidP="00CC0ECD">
            <w:r w:rsidRPr="00D36183">
              <w:t>General disorders and administration site conditions</w:t>
            </w:r>
          </w:p>
        </w:tc>
        <w:tc>
          <w:tcPr>
            <w:tcW w:w="3260" w:type="dxa"/>
            <w:shd w:val="clear" w:color="auto" w:fill="auto"/>
          </w:tcPr>
          <w:p w14:paraId="0EA7D543" w14:textId="77777777" w:rsidR="00CC0ECD" w:rsidRPr="00D36183" w:rsidRDefault="00CC0ECD" w:rsidP="00CC0ECD">
            <w:r w:rsidRPr="00D36183">
              <w:rPr>
                <w:u w:val="single"/>
              </w:rPr>
              <w:t>Very common:</w:t>
            </w:r>
            <w:r w:rsidRPr="00D36183">
              <w:t xml:space="preserve"> Injection site hypertrophy, injection site bruising</w:t>
            </w:r>
          </w:p>
          <w:p w14:paraId="57AD13E0" w14:textId="77777777" w:rsidR="00CC0ECD" w:rsidRPr="00D36183" w:rsidRDefault="00CC0ECD" w:rsidP="00CC0ECD">
            <w:r w:rsidRPr="00D36183">
              <w:rPr>
                <w:u w:val="single"/>
              </w:rPr>
              <w:t>Common:</w:t>
            </w:r>
            <w:r w:rsidRPr="00D36183">
              <w:t xml:space="preserve"> Injection site pain, injection site reaction, injection site haematoma, injection site erythema, injection site induration, injection site haemorrhage, injection site irritation</w:t>
            </w:r>
          </w:p>
          <w:p w14:paraId="25E05C7B" w14:textId="77777777" w:rsidR="00CC0ECD" w:rsidRPr="00D36183" w:rsidRDefault="00CC0ECD" w:rsidP="00CC0ECD">
            <w:r w:rsidRPr="00D36183">
              <w:rPr>
                <w:u w:val="single"/>
              </w:rPr>
              <w:t>Uncommon:</w:t>
            </w:r>
            <w:r w:rsidRPr="00D36183">
              <w:t xml:space="preserve"> Injection site rash, injection site swelling, lipohypertrophy</w:t>
            </w:r>
          </w:p>
        </w:tc>
        <w:tc>
          <w:tcPr>
            <w:tcW w:w="3261" w:type="dxa"/>
            <w:shd w:val="clear" w:color="auto" w:fill="auto"/>
          </w:tcPr>
          <w:p w14:paraId="2B48A7F0" w14:textId="77777777" w:rsidR="00CC0ECD" w:rsidRPr="00D36183" w:rsidRDefault="00CC0ECD" w:rsidP="00CC0ECD"/>
        </w:tc>
      </w:tr>
      <w:tr w:rsidR="00CC0ECD" w:rsidRPr="00D36183" w14:paraId="0A3594C8" w14:textId="77777777" w:rsidTr="008D596A">
        <w:tc>
          <w:tcPr>
            <w:tcW w:w="3085" w:type="dxa"/>
            <w:shd w:val="clear" w:color="auto" w:fill="auto"/>
          </w:tcPr>
          <w:p w14:paraId="6EF5BA73" w14:textId="77777777" w:rsidR="00CC0ECD" w:rsidRPr="00D36183" w:rsidRDefault="00CC0ECD" w:rsidP="00CC0ECD">
            <w:r w:rsidRPr="00D36183">
              <w:t>Investigations</w:t>
            </w:r>
          </w:p>
        </w:tc>
        <w:tc>
          <w:tcPr>
            <w:tcW w:w="3260" w:type="dxa"/>
            <w:shd w:val="clear" w:color="auto" w:fill="auto"/>
          </w:tcPr>
          <w:p w14:paraId="63FED027" w14:textId="77777777" w:rsidR="00CC0ECD" w:rsidRPr="00D36183" w:rsidRDefault="00CC0ECD" w:rsidP="00CC0ECD">
            <w:r w:rsidRPr="00D36183">
              <w:rPr>
                <w:u w:val="single"/>
              </w:rPr>
              <w:t>Uncommon:</w:t>
            </w:r>
            <w:r w:rsidRPr="00D36183">
              <w:t xml:space="preserve"> Increased weight </w:t>
            </w:r>
          </w:p>
        </w:tc>
        <w:tc>
          <w:tcPr>
            <w:tcW w:w="3261" w:type="dxa"/>
            <w:shd w:val="clear" w:color="auto" w:fill="auto"/>
          </w:tcPr>
          <w:p w14:paraId="4184441B" w14:textId="77777777" w:rsidR="00CC0ECD" w:rsidRPr="00D36183" w:rsidRDefault="00CC0ECD" w:rsidP="00CC0ECD"/>
        </w:tc>
      </w:tr>
      <w:tr w:rsidR="00CC0ECD" w:rsidRPr="00D36183" w14:paraId="6FD1DA3C" w14:textId="77777777" w:rsidTr="008D596A">
        <w:tc>
          <w:tcPr>
            <w:tcW w:w="3085" w:type="dxa"/>
            <w:shd w:val="clear" w:color="auto" w:fill="auto"/>
          </w:tcPr>
          <w:p w14:paraId="44996F62" w14:textId="77777777" w:rsidR="00CC0ECD" w:rsidRPr="00D36183" w:rsidRDefault="00CC0ECD" w:rsidP="00CC0ECD">
            <w:r w:rsidRPr="00D36183">
              <w:t>Surgical and medical procedures</w:t>
            </w:r>
          </w:p>
        </w:tc>
        <w:tc>
          <w:tcPr>
            <w:tcW w:w="3260" w:type="dxa"/>
            <w:shd w:val="clear" w:color="auto" w:fill="auto"/>
          </w:tcPr>
          <w:p w14:paraId="4D52DB51" w14:textId="77777777" w:rsidR="00CC0ECD" w:rsidRPr="00D36183" w:rsidRDefault="00CC0ECD" w:rsidP="00CC0ECD">
            <w:r w:rsidRPr="00D36183">
              <w:rPr>
                <w:u w:val="single"/>
              </w:rPr>
              <w:t>Common:</w:t>
            </w:r>
            <w:r w:rsidRPr="00D36183">
              <w:t xml:space="preserve"> Ear tube insertion</w:t>
            </w:r>
          </w:p>
        </w:tc>
        <w:tc>
          <w:tcPr>
            <w:tcW w:w="3261" w:type="dxa"/>
            <w:shd w:val="clear" w:color="auto" w:fill="auto"/>
          </w:tcPr>
          <w:p w14:paraId="7EB48EA9" w14:textId="77777777" w:rsidR="00CC0ECD" w:rsidRPr="00D36183" w:rsidRDefault="00CC0ECD" w:rsidP="00CC0ECD"/>
        </w:tc>
      </w:tr>
    </w:tbl>
    <w:p w14:paraId="696E7BA1" w14:textId="77777777" w:rsidR="00CC0ECD" w:rsidRPr="00D36183" w:rsidRDefault="00CC0ECD" w:rsidP="00CC0ECD"/>
    <w:p w14:paraId="34B7009B" w14:textId="0D5FDE7E" w:rsidR="002063C4" w:rsidRPr="00D36183" w:rsidRDefault="002063C4" w:rsidP="00BB14D8">
      <w:pPr>
        <w:pStyle w:val="Heading3"/>
        <w:ind w:left="0"/>
      </w:pPr>
      <w:r w:rsidRPr="00D36183">
        <w:lastRenderedPageBreak/>
        <w:t xml:space="preserve">Description of selected adverse reactions </w:t>
      </w:r>
    </w:p>
    <w:p w14:paraId="4821678C" w14:textId="1E1D9F7F" w:rsidR="00240C26" w:rsidRPr="00D36183" w:rsidRDefault="00240C26" w:rsidP="00B05F42">
      <w:pPr>
        <w:pStyle w:val="Heading4"/>
      </w:pPr>
      <w:r w:rsidRPr="00D36183">
        <w:t>Neoplasms</w:t>
      </w:r>
    </w:p>
    <w:p w14:paraId="448E31E9" w14:textId="38FC691E" w:rsidR="00240C26" w:rsidRPr="007635E1" w:rsidRDefault="00240C26" w:rsidP="00240C26">
      <w:pPr>
        <w:pStyle w:val="Text"/>
        <w:spacing w:before="0" w:after="0" w:line="240" w:lineRule="auto"/>
        <w:rPr>
          <w:lang w:val="en-AU" w:eastAsia="fr-FR"/>
        </w:rPr>
      </w:pPr>
      <w:r w:rsidRPr="007635E1">
        <w:rPr>
          <w:lang w:val="en-AU" w:eastAsia="fr-FR"/>
        </w:rPr>
        <w:t xml:space="preserve">There have been post-marketing reports of benign and malignant neoplasms in children and adolescents who have received treatment with INCRELEX. These cases represented a variety of different malignancies and included rare malignancies usually not seen in children (see section 4.4 </w:t>
      </w:r>
      <w:r w:rsidR="007427DC" w:rsidRPr="007635E1">
        <w:rPr>
          <w:lang w:val="en-AU"/>
        </w:rPr>
        <w:t xml:space="preserve">SPECIAL WARNINGS AND PRECAUTIONS FOR USE </w:t>
      </w:r>
      <w:r w:rsidRPr="007635E1">
        <w:rPr>
          <w:lang w:val="en-AU" w:eastAsia="fr-FR"/>
        </w:rPr>
        <w:t>and 4.3</w:t>
      </w:r>
      <w:r w:rsidR="007427DC" w:rsidRPr="007635E1">
        <w:rPr>
          <w:lang w:val="en-AU" w:eastAsia="fr-FR"/>
        </w:rPr>
        <w:t xml:space="preserve"> </w:t>
      </w:r>
      <w:r w:rsidR="007427DC" w:rsidRPr="007635E1">
        <w:rPr>
          <w:lang w:val="en-AU"/>
        </w:rPr>
        <w:t>CONTRAINDICATIONS</w:t>
      </w:r>
      <w:r w:rsidRPr="007635E1">
        <w:rPr>
          <w:lang w:val="en-AU" w:eastAsia="fr-FR"/>
        </w:rPr>
        <w:t>).</w:t>
      </w:r>
    </w:p>
    <w:p w14:paraId="44C6729E" w14:textId="7DA3A3D7" w:rsidR="009177C4" w:rsidRPr="00D36183" w:rsidRDefault="009177C4" w:rsidP="009177C4">
      <w:pPr>
        <w:pStyle w:val="Heading4"/>
      </w:pPr>
      <w:r w:rsidRPr="00D36183">
        <w:t>Systemic/local hypersensitivity</w:t>
      </w:r>
    </w:p>
    <w:p w14:paraId="0C27F729" w14:textId="62B6774F" w:rsidR="009177C4" w:rsidRPr="00D36183" w:rsidRDefault="009177C4" w:rsidP="009162D2">
      <w:pPr>
        <w:spacing w:after="0"/>
        <w:rPr>
          <w:i/>
        </w:rPr>
      </w:pPr>
      <w:r w:rsidRPr="00D36183">
        <w:rPr>
          <w:i/>
        </w:rPr>
        <w:t>Clinical Trials</w:t>
      </w:r>
    </w:p>
    <w:p w14:paraId="7441989D" w14:textId="6786614D" w:rsidR="009177C4" w:rsidRPr="00D36183" w:rsidRDefault="009177C4" w:rsidP="009177C4">
      <w:r w:rsidRPr="00D36183">
        <w:t>During clinical trials in other indications (</w:t>
      </w:r>
      <w:r w:rsidR="00AE3C73" w:rsidRPr="00D36183">
        <w:t>totalling</w:t>
      </w:r>
      <w:r w:rsidRPr="00D36183">
        <w:t xml:space="preserve"> approximately 300 patients) 8% of patients reported a local and/or systemic hypersensitivity reactions. All cases were mild or moderate in severity and none was serious. </w:t>
      </w:r>
    </w:p>
    <w:p w14:paraId="1388AC22" w14:textId="77777777" w:rsidR="009177C4" w:rsidRPr="00D36183" w:rsidRDefault="009177C4" w:rsidP="009162D2">
      <w:pPr>
        <w:spacing w:after="0"/>
        <w:rPr>
          <w:i/>
        </w:rPr>
      </w:pPr>
      <w:r w:rsidRPr="00D36183">
        <w:rPr>
          <w:i/>
        </w:rPr>
        <w:t>Post-marketing reports</w:t>
      </w:r>
    </w:p>
    <w:p w14:paraId="7D4059CF" w14:textId="07178A35" w:rsidR="009177C4" w:rsidRPr="00D36183" w:rsidRDefault="009177C4" w:rsidP="009177C4">
      <w:r w:rsidRPr="00D36183">
        <w:t>Systemic hypersensitivity included symptoms such as anaphylaxis, generalized urticaria, angioedema and dyspnoea. The symptoms in the cases indicative of anaphylaxis included hives, angioedema and dyspnoea. Some patients required hospitalization. Upon re-administration, symptoms did not re-occur in all patients. There were also reports of local allergic reactions at the injection site. Typically</w:t>
      </w:r>
      <w:r w:rsidR="00B05F42" w:rsidRPr="00D36183">
        <w:t>,</w:t>
      </w:r>
      <w:r w:rsidRPr="00D36183">
        <w:t xml:space="preserve"> these were pruritus and urticaria.</w:t>
      </w:r>
    </w:p>
    <w:p w14:paraId="59FFF780" w14:textId="77777777" w:rsidR="009177C4" w:rsidRPr="00D36183" w:rsidRDefault="009177C4" w:rsidP="009177C4">
      <w:pPr>
        <w:pStyle w:val="Heading4"/>
      </w:pPr>
      <w:r w:rsidRPr="00D36183">
        <w:t>Hypoglycaemia</w:t>
      </w:r>
    </w:p>
    <w:p w14:paraId="4BC6D76B" w14:textId="77777777" w:rsidR="009177C4" w:rsidRPr="00D36183" w:rsidRDefault="009177C4" w:rsidP="009177C4">
      <w:r w:rsidRPr="00D36183">
        <w:t>Of the 115 (28%) subjects who experienced one or more episode of hypoglycaemia, 6 subjects experienced a hypoglycaemic seizure on one or more occasion. Symptomatic hypoglycaemia was generally avoided when a meal or snack was consumed either shortly before or after the administration of INCRELEX.</w:t>
      </w:r>
    </w:p>
    <w:p w14:paraId="108FCFBC" w14:textId="77777777" w:rsidR="009177C4" w:rsidRPr="00D36183" w:rsidRDefault="009177C4" w:rsidP="009177C4">
      <w:pPr>
        <w:pStyle w:val="Heading4"/>
      </w:pPr>
      <w:r w:rsidRPr="00D36183">
        <w:t>Injection site hypertrophy</w:t>
      </w:r>
    </w:p>
    <w:p w14:paraId="782115D7" w14:textId="77777777" w:rsidR="009177C4" w:rsidRPr="00D36183" w:rsidRDefault="009177C4" w:rsidP="009177C4">
      <w:r w:rsidRPr="00D36183">
        <w:t>This reaction occurred in 71 (17%) subjects from the clinical trials and was generally associated with lack of proper rotation of injections. When injections were properly dispersed, the condition resolved.</w:t>
      </w:r>
    </w:p>
    <w:p w14:paraId="3CAF5CC2" w14:textId="77777777" w:rsidR="009177C4" w:rsidRPr="00D36183" w:rsidRDefault="009177C4" w:rsidP="009177C4">
      <w:pPr>
        <w:pStyle w:val="Heading4"/>
      </w:pPr>
      <w:r w:rsidRPr="00D36183">
        <w:t>Tonsillar hypertrophy</w:t>
      </w:r>
    </w:p>
    <w:p w14:paraId="2E8664AE" w14:textId="77777777" w:rsidR="009177C4" w:rsidRPr="00D36183" w:rsidRDefault="009177C4" w:rsidP="009177C4">
      <w:r w:rsidRPr="00D36183">
        <w:t>This was noted in 38 (9%) subjects, particularly in the first 1 to 2 years of therapy with lesser tonsillar growth in subsequent years.</w:t>
      </w:r>
    </w:p>
    <w:p w14:paraId="14A386AA" w14:textId="77777777" w:rsidR="009177C4" w:rsidRPr="00D36183" w:rsidRDefault="009177C4" w:rsidP="009177C4">
      <w:pPr>
        <w:pStyle w:val="Heading4"/>
      </w:pPr>
      <w:r w:rsidRPr="00D36183">
        <w:t>Snoring</w:t>
      </w:r>
    </w:p>
    <w:p w14:paraId="6071E665" w14:textId="294FA9A8" w:rsidR="009177C4" w:rsidRPr="00D36183" w:rsidRDefault="009177C4" w:rsidP="009177C4">
      <w:r w:rsidRPr="00D36183">
        <w:t>This occurred generally in the first year of treatment and was reported in 30 subjects (7%).</w:t>
      </w:r>
    </w:p>
    <w:p w14:paraId="0AD49CB2" w14:textId="77777777" w:rsidR="009177C4" w:rsidRPr="00D36183" w:rsidRDefault="009177C4" w:rsidP="009177C4">
      <w:pPr>
        <w:pStyle w:val="Heading4"/>
      </w:pPr>
      <w:r w:rsidRPr="00D36183">
        <w:lastRenderedPageBreak/>
        <w:t>Intracranial hypertension/increased intracranial pressure</w:t>
      </w:r>
    </w:p>
    <w:p w14:paraId="198C11FD" w14:textId="77777777" w:rsidR="009177C4" w:rsidRPr="00D36183" w:rsidRDefault="009177C4" w:rsidP="009177C4">
      <w:r w:rsidRPr="00D36183">
        <w:t xml:space="preserve">This occurred in 4 subjects (0.96%); in two subjects INCRELEX was discontinued and not restarted; in two subjects the event did not recur after restarting INCRELEX at a reduced dose. All 4 subjects recovered from the event without sequelae.  </w:t>
      </w:r>
    </w:p>
    <w:p w14:paraId="3A21ACBA" w14:textId="77777777" w:rsidR="001A3992" w:rsidRPr="00D36183" w:rsidRDefault="001A3992" w:rsidP="001A3992">
      <w:pPr>
        <w:pStyle w:val="Heading2"/>
        <w:keepNext/>
        <w:keepLines/>
        <w:spacing w:before="0" w:after="120"/>
        <w:rPr>
          <w:rFonts w:cs="Times New Roman"/>
        </w:rPr>
      </w:pPr>
      <w:r w:rsidRPr="00D36183">
        <w:rPr>
          <w:rFonts w:cs="Times New Roman"/>
        </w:rPr>
        <w:t>Overdose</w:t>
      </w:r>
    </w:p>
    <w:p w14:paraId="38EC3AF4" w14:textId="77777777" w:rsidR="002063C4" w:rsidRPr="00D36183" w:rsidRDefault="002063C4" w:rsidP="002063C4">
      <w:r w:rsidRPr="00D36183">
        <w:t>For information on the management of overdose, contact the Poisons Information Centre on 13 11 26 (Australia).</w:t>
      </w:r>
    </w:p>
    <w:p w14:paraId="6B5ECE55" w14:textId="702C4DF9" w:rsidR="009177C4" w:rsidRPr="00D36183" w:rsidRDefault="009177C4" w:rsidP="009177C4">
      <w:r w:rsidRPr="00D36183">
        <w:t>Acute overdose could lead to hypoglycaemia. Long-term overdose may result in signs and symptoms of acromegaly or gigantism.</w:t>
      </w:r>
      <w:r w:rsidR="00240C26" w:rsidRPr="00D36183">
        <w:t xml:space="preserve"> </w:t>
      </w:r>
      <w:r w:rsidR="00124618" w:rsidRPr="00124618">
        <w:t xml:space="preserve">Overdosing may lead to supraphysiological IGF-1 levels and </w:t>
      </w:r>
      <w:r w:rsidR="00240C26" w:rsidRPr="00D36183">
        <w:t>may increase the risk of benign and malignant neoplasm.</w:t>
      </w:r>
    </w:p>
    <w:p w14:paraId="3EF28CEF" w14:textId="55227540" w:rsidR="009177C4" w:rsidRDefault="009177C4" w:rsidP="009177C4">
      <w:r w:rsidRPr="00D36183">
        <w:t>Treatment of acute overdose of mecasermin should be directed at alleviating any hypoglycaemic effects. Oral glucose or food should be consumed. If the overdose results in loss of consciousness, intravenous glucose or parenteral glucagon may be required to reverse the hypoglycaemic effects.</w:t>
      </w:r>
    </w:p>
    <w:p w14:paraId="25F8FAA2" w14:textId="15E65294" w:rsidR="00124618" w:rsidRPr="00D36183" w:rsidRDefault="00124618" w:rsidP="009177C4">
      <w:r w:rsidRPr="00124618">
        <w:t>In case of an acute or a chronic overdose, INCRELEX must be discontinued immediately. If INCRELEX is restarted, the dose should not exceed the recommended daily dosage (see section 4.2</w:t>
      </w:r>
      <w:r>
        <w:t xml:space="preserve"> </w:t>
      </w:r>
      <w:r w:rsidRPr="00124618">
        <w:t>DOSE AND METHOD OF ADMINISTRATION)</w:t>
      </w:r>
    </w:p>
    <w:p w14:paraId="46C769BA" w14:textId="77777777"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Pharmacological properties</w:t>
      </w:r>
    </w:p>
    <w:p w14:paraId="6B2FDA49" w14:textId="77777777" w:rsidR="001A3992" w:rsidRPr="00D36183" w:rsidRDefault="001A3992" w:rsidP="001A3992">
      <w:pPr>
        <w:pStyle w:val="Heading2"/>
        <w:spacing w:before="0" w:after="120"/>
        <w:rPr>
          <w:rFonts w:cs="Times New Roman"/>
        </w:rPr>
      </w:pPr>
      <w:r w:rsidRPr="00D36183">
        <w:rPr>
          <w:rFonts w:cs="Times New Roman"/>
        </w:rPr>
        <w:t xml:space="preserve">Pharmacodynamic properties </w:t>
      </w:r>
    </w:p>
    <w:p w14:paraId="25D61AEE" w14:textId="23612BA5" w:rsidR="00E03C13" w:rsidRPr="00D36183" w:rsidRDefault="00E03C13" w:rsidP="00E03C13">
      <w:r w:rsidRPr="00D36183">
        <w:t>Pharmacotherapeutic group:</w:t>
      </w:r>
      <w:r w:rsidR="009177C4" w:rsidRPr="00D36183">
        <w:rPr>
          <w:rFonts w:eastAsia="Times New Roman" w:cs="Times New Roman"/>
          <w:sz w:val="22"/>
        </w:rPr>
        <w:t xml:space="preserve"> </w:t>
      </w:r>
      <w:r w:rsidR="009177C4" w:rsidRPr="00D36183">
        <w:t>Pituitary and hypothalamic hormones and analogues, somatropin and somatropin agonists.</w:t>
      </w:r>
    </w:p>
    <w:p w14:paraId="61D40CF1" w14:textId="7BD1AA31" w:rsidR="009177C4" w:rsidRPr="00D36183" w:rsidRDefault="009177C4" w:rsidP="00E03C13">
      <w:r w:rsidRPr="00D36183">
        <w:t>ATC code: H01AC03</w:t>
      </w:r>
    </w:p>
    <w:p w14:paraId="21D3F268" w14:textId="77777777" w:rsidR="001A3992" w:rsidRPr="00D36183" w:rsidRDefault="001A3992" w:rsidP="004E7FD9">
      <w:pPr>
        <w:pStyle w:val="Heading3"/>
        <w:spacing w:before="0" w:after="120"/>
        <w:ind w:left="0"/>
        <w:rPr>
          <w:rFonts w:cs="Times New Roman"/>
        </w:rPr>
      </w:pPr>
      <w:r w:rsidRPr="00D36183">
        <w:rPr>
          <w:rFonts w:cs="Times New Roman"/>
        </w:rPr>
        <w:t>Mechanism of action</w:t>
      </w:r>
    </w:p>
    <w:p w14:paraId="3232708E" w14:textId="2AFAD7AA" w:rsidR="009177C4" w:rsidRPr="00D36183" w:rsidRDefault="009177C4" w:rsidP="009177C4">
      <w:r w:rsidRPr="00D36183">
        <w:t>Insulin-like growth factor-1 (IGF</w:t>
      </w:r>
      <w:r w:rsidRPr="00D36183">
        <w:noBreakHyphen/>
        <w:t>1) is the principal hormonal mediator of statural growth. Under normal circumstances, growth hormone (GH) binds to its receptor in the liver and other tissues and stimulates the synthesis/secretion of IGF</w:t>
      </w:r>
      <w:r w:rsidRPr="00D36183">
        <w:noBreakHyphen/>
        <w:t>1. In target tissues the Type 1 IGF</w:t>
      </w:r>
      <w:r w:rsidRPr="00D36183">
        <w:noBreakHyphen/>
        <w:t>1 receptor, which is homologous to the insulin receptor, is activated by IGF</w:t>
      </w:r>
      <w:r w:rsidRPr="00D36183">
        <w:noBreakHyphen/>
        <w:t xml:space="preserve">1, leading to intracellular </w:t>
      </w:r>
      <w:r w:rsidR="00AE3C73" w:rsidRPr="00D36183">
        <w:t>signalling</w:t>
      </w:r>
      <w:r w:rsidRPr="00D36183">
        <w:t xml:space="preserve"> which stimulates multiple processes leading to statural growth. The metabolic actions of IGF</w:t>
      </w:r>
      <w:r w:rsidRPr="00D36183">
        <w:noBreakHyphen/>
        <w:t>1 are in part directed at stimulating the uptake of glucose, fatty acids, and amino acids so that metabolism supports growing tissues.</w:t>
      </w:r>
    </w:p>
    <w:p w14:paraId="403D4604" w14:textId="77777777" w:rsidR="00E03C13" w:rsidRPr="00D36183" w:rsidRDefault="00E03C13" w:rsidP="000B16B5">
      <w:pPr>
        <w:pStyle w:val="Heading3"/>
        <w:spacing w:before="0" w:after="120"/>
        <w:ind w:left="0"/>
        <w:rPr>
          <w:rFonts w:cs="Times New Roman"/>
        </w:rPr>
      </w:pPr>
      <w:r w:rsidRPr="00D36183">
        <w:rPr>
          <w:rFonts w:cs="Times New Roman"/>
        </w:rPr>
        <w:t>Pharmacodynamic effects</w:t>
      </w:r>
    </w:p>
    <w:p w14:paraId="122A9B70" w14:textId="77777777" w:rsidR="009177C4" w:rsidRPr="00D36183" w:rsidRDefault="009177C4" w:rsidP="009177C4">
      <w:r w:rsidRPr="00D36183">
        <w:t>The following actions have been demonstrated for endogenous human IGF</w:t>
      </w:r>
      <w:r w:rsidRPr="00D36183">
        <w:noBreakHyphen/>
        <w:t>1:</w:t>
      </w:r>
    </w:p>
    <w:p w14:paraId="4B5FE45E" w14:textId="77777777" w:rsidR="009177C4" w:rsidRPr="00D36183" w:rsidRDefault="009177C4" w:rsidP="000B16B5">
      <w:pPr>
        <w:pStyle w:val="Heading4"/>
      </w:pPr>
      <w:r w:rsidRPr="00D36183">
        <w:lastRenderedPageBreak/>
        <w:t>Tissue Growth</w:t>
      </w:r>
    </w:p>
    <w:p w14:paraId="38C8C9D5" w14:textId="77777777" w:rsidR="009177C4" w:rsidRPr="00D36183" w:rsidRDefault="009177C4" w:rsidP="009177C4">
      <w:r w:rsidRPr="00D36183">
        <w:t>Skeletal growth is accomplished at the epiphyseal plates at the ends of a growing bone. Growth and metabolism of epiphyseal plate cells are directly stimulated by GH and IGF</w:t>
      </w:r>
      <w:r w:rsidRPr="00D36183">
        <w:noBreakHyphen/>
        <w:t>1.</w:t>
      </w:r>
    </w:p>
    <w:p w14:paraId="09F3C880" w14:textId="77777777" w:rsidR="009177C4" w:rsidRPr="00D36183" w:rsidRDefault="009177C4" w:rsidP="009177C4">
      <w:r w:rsidRPr="00D36183">
        <w:t>Organ growth: treatment of IGF</w:t>
      </w:r>
      <w:r w:rsidRPr="00D36183">
        <w:noBreakHyphen/>
        <w:t>1 deficient rats with rhIGF</w:t>
      </w:r>
      <w:r w:rsidRPr="00D36183">
        <w:noBreakHyphen/>
        <w:t>1 results in whole body and organ growth.</w:t>
      </w:r>
    </w:p>
    <w:p w14:paraId="685F7AFD" w14:textId="77777777" w:rsidR="009177C4" w:rsidRPr="00D36183" w:rsidRDefault="009177C4" w:rsidP="009177C4">
      <w:r w:rsidRPr="00D36183">
        <w:t>Cell growth: IGF</w:t>
      </w:r>
      <w:r w:rsidRPr="00D36183">
        <w:noBreakHyphen/>
        <w:t>1 receptors are present on most types of cells and tissues. IGF</w:t>
      </w:r>
      <w:r w:rsidRPr="00D36183">
        <w:noBreakHyphen/>
        <w:t>1 has mitogenic activity that leads to an increased number of cells in the body.</w:t>
      </w:r>
    </w:p>
    <w:p w14:paraId="7E38BA07" w14:textId="77777777" w:rsidR="009177C4" w:rsidRPr="00D36183" w:rsidRDefault="009177C4" w:rsidP="000B16B5">
      <w:pPr>
        <w:pStyle w:val="Heading4"/>
      </w:pPr>
      <w:r w:rsidRPr="00D36183">
        <w:t>Carbohydrate Metabolism</w:t>
      </w:r>
    </w:p>
    <w:p w14:paraId="614594EE" w14:textId="77777777" w:rsidR="009177C4" w:rsidRPr="00D36183" w:rsidRDefault="009177C4" w:rsidP="009177C4">
      <w:r w:rsidRPr="00D36183">
        <w:t>IGF</w:t>
      </w:r>
      <w:r w:rsidRPr="00D36183">
        <w:noBreakHyphen/>
        <w:t>1 suppresses hepatic glucose production, stimulates peripheral glucose utilization, and can reduce blood glucose and cause hypoglycaemia.</w:t>
      </w:r>
    </w:p>
    <w:p w14:paraId="456F4800" w14:textId="77777777" w:rsidR="009177C4" w:rsidRPr="00D36183" w:rsidRDefault="009177C4" w:rsidP="009177C4">
      <w:r w:rsidRPr="00D36183">
        <w:t>IGF</w:t>
      </w:r>
      <w:r w:rsidRPr="00D36183">
        <w:noBreakHyphen/>
        <w:t>1 has inhibitory effects on insulin secretion.</w:t>
      </w:r>
    </w:p>
    <w:p w14:paraId="3BEE82C5" w14:textId="77777777" w:rsidR="009177C4" w:rsidRPr="00D36183" w:rsidRDefault="009177C4" w:rsidP="000B16B5">
      <w:pPr>
        <w:pStyle w:val="Heading4"/>
      </w:pPr>
      <w:r w:rsidRPr="00D36183">
        <w:t>Bone/Mineral Metabolism</w:t>
      </w:r>
    </w:p>
    <w:p w14:paraId="481B8C4B" w14:textId="77777777" w:rsidR="009177C4" w:rsidRPr="00D36183" w:rsidRDefault="009177C4" w:rsidP="009177C4">
      <w:r w:rsidRPr="00D36183">
        <w:t>Circulating IGF</w:t>
      </w:r>
      <w:r w:rsidRPr="00D36183">
        <w:noBreakHyphen/>
        <w:t>1 plays an important role in the acquisition and maintenance of bone mass. IGF</w:t>
      </w:r>
      <w:r w:rsidRPr="00D36183">
        <w:noBreakHyphen/>
        <w:t>1 increases bone density.</w:t>
      </w:r>
    </w:p>
    <w:p w14:paraId="036E9DBD" w14:textId="77777777" w:rsidR="001A3992" w:rsidRPr="00D36183" w:rsidRDefault="001A3992" w:rsidP="004E7FD9">
      <w:pPr>
        <w:pStyle w:val="Heading3"/>
        <w:spacing w:before="0" w:after="120"/>
        <w:ind w:left="0"/>
        <w:rPr>
          <w:rFonts w:cs="Times New Roman"/>
        </w:rPr>
      </w:pPr>
      <w:r w:rsidRPr="00D36183">
        <w:rPr>
          <w:rFonts w:cs="Times New Roman"/>
        </w:rPr>
        <w:t>Clinical trials</w:t>
      </w:r>
    </w:p>
    <w:p w14:paraId="27A61BC6" w14:textId="60760907" w:rsidR="000B16B5" w:rsidRPr="00D36183" w:rsidRDefault="000B16B5" w:rsidP="000B16B5">
      <w:bookmarkStart w:id="7" w:name="_Ref467258195"/>
      <w:r w:rsidRPr="00D36183">
        <w:t xml:space="preserve">Five clinical studies (4 open-label and 1 double-blind, placebo-controlled) were conducted with INCRELEX. Subcutaneous doses of mecasermin, generally ranging from </w:t>
      </w:r>
      <w:r w:rsidR="00C05A78" w:rsidRPr="00D36183">
        <w:t xml:space="preserve">0.06 </w:t>
      </w:r>
      <w:r w:rsidRPr="00D36183">
        <w:t xml:space="preserve">to </w:t>
      </w:r>
      <w:r w:rsidR="00C05A78" w:rsidRPr="00D36183">
        <w:t>0.12 m</w:t>
      </w:r>
      <w:r w:rsidRPr="00D36183">
        <w:t>g/kg given twice daily (BID), were administered to 92 paediatric subjects with severe Primary IGFD. Patients were enrolled in the studies on the basis of extreme short stature, slow growth rates, low IGF</w:t>
      </w:r>
      <w:r w:rsidRPr="00D36183">
        <w:noBreakHyphen/>
        <w:t xml:space="preserve">1 serum concentrations, and normal GH secretion. Eighty-three (83) out of 92 patients were naïve to INCRELEX at baseline and 81 completed at least one year of INCRELEX treatment. Baseline characteristics for the 81 patients evaluated in the primary and secondary efficacy analyses from the combined studies were (mean ± SD): chronological age (years): 6.8 </w:t>
      </w:r>
      <w:r w:rsidRPr="00D36183">
        <w:sym w:font="Symbol" w:char="F0B1"/>
      </w:r>
      <w:r w:rsidRPr="00D36183">
        <w:t xml:space="preserve"> 3.8; age range (years): 1.7 to 17.5; height (cm): 84.1 </w:t>
      </w:r>
      <w:r w:rsidRPr="00D36183">
        <w:sym w:font="Symbol" w:char="F0B1"/>
      </w:r>
      <w:r w:rsidRPr="00D36183">
        <w:t xml:space="preserve"> 15.8; height standard deviation score (SDS): -6.9 </w:t>
      </w:r>
      <w:r w:rsidRPr="00D36183">
        <w:sym w:font="Symbol" w:char="F0B1"/>
      </w:r>
      <w:r w:rsidRPr="00D36183">
        <w:t xml:space="preserve"> 1.8; height velocity (cm/yr): 2.6 </w:t>
      </w:r>
      <w:r w:rsidRPr="00D36183">
        <w:sym w:font="Symbol" w:char="F0B1"/>
      </w:r>
      <w:r w:rsidRPr="00D36183">
        <w:t xml:space="preserve"> 1.7; height velocity SDS: -3.4 </w:t>
      </w:r>
      <w:r w:rsidRPr="00D36183">
        <w:sym w:font="Symbol" w:char="F0B1"/>
      </w:r>
      <w:r w:rsidRPr="00D36183">
        <w:t xml:space="preserve"> 1.6; IGF</w:t>
      </w:r>
      <w:r w:rsidRPr="00D36183">
        <w:noBreakHyphen/>
        <w:t xml:space="preserve">1 (ng/ml): 24.5 </w:t>
      </w:r>
      <w:r w:rsidRPr="00D36183">
        <w:sym w:font="Symbol" w:char="F0B1"/>
      </w:r>
      <w:r w:rsidRPr="00D36183">
        <w:t xml:space="preserve"> 27.9; IGF</w:t>
      </w:r>
      <w:r w:rsidRPr="00D36183">
        <w:noBreakHyphen/>
        <w:t xml:space="preserve">1 SDS: </w:t>
      </w:r>
      <w:r w:rsidRPr="00D36183">
        <w:noBreakHyphen/>
        <w:t>4.2 </w:t>
      </w:r>
      <w:r w:rsidRPr="00D36183">
        <w:sym w:font="Symbol" w:char="F0B1"/>
      </w:r>
      <w:r w:rsidRPr="00D36183">
        <w:t xml:space="preserve"> 2.0; and bone age (years): 3.8 </w:t>
      </w:r>
      <w:r w:rsidRPr="00D36183">
        <w:sym w:font="Symbol" w:char="F0B1"/>
      </w:r>
      <w:r w:rsidRPr="00D36183">
        <w:t xml:space="preserve"> 2.8. Of these, 72 (89%) had Laron syndrome-like phenotype; 7 (9%) had GH gene deletion, 1 (1%) had neutralizing antibodies to GH and 1 (1%) had isolated genetic GH deficiency. Forty-six (57%) of the subjects were male; 66 (81%) were Caucasian. Seventy-four (91%) of the subjects were prepubertal at baseline.</w:t>
      </w:r>
    </w:p>
    <w:p w14:paraId="2C7C3760" w14:textId="296D4474" w:rsidR="000B16B5" w:rsidRPr="00D36183" w:rsidRDefault="000B16B5" w:rsidP="000B16B5">
      <w:bookmarkStart w:id="8" w:name="BM01000003"/>
      <w:bookmarkStart w:id="9" w:name="table02"/>
      <w:bookmarkEnd w:id="8"/>
      <w:bookmarkEnd w:id="9"/>
      <w:r w:rsidRPr="00D36183">
        <w:t xml:space="preserve">Annual results for height velocity, height velocity SDS, and height SDS until year 8 are shown in </w:t>
      </w:r>
      <w:r w:rsidRPr="00D36183">
        <w:rPr>
          <w:highlight w:val="yellow"/>
        </w:rPr>
        <w:fldChar w:fldCharType="begin"/>
      </w:r>
      <w:r w:rsidRPr="00D36183">
        <w:instrText xml:space="preserve"> REF _Ref514719296 \h </w:instrText>
      </w:r>
      <w:r w:rsidRPr="00D36183">
        <w:rPr>
          <w:highlight w:val="yellow"/>
        </w:rPr>
        <w:instrText xml:space="preserve"> \* MERGEFORMAT </w:instrText>
      </w:r>
      <w:r w:rsidRPr="00D36183">
        <w:rPr>
          <w:highlight w:val="yellow"/>
        </w:rPr>
      </w:r>
      <w:r w:rsidRPr="00D36183">
        <w:rPr>
          <w:highlight w:val="yellow"/>
        </w:rPr>
        <w:fldChar w:fldCharType="separate"/>
      </w:r>
      <w:r w:rsidR="00235D6F" w:rsidRPr="00235D6F">
        <w:rPr>
          <w:szCs w:val="24"/>
        </w:rPr>
        <w:t>Table 2</w:t>
      </w:r>
      <w:r w:rsidRPr="00D36183">
        <w:rPr>
          <w:highlight w:val="yellow"/>
        </w:rPr>
        <w:fldChar w:fldCharType="end"/>
      </w:r>
      <w:r w:rsidRPr="00D36183">
        <w:t xml:space="preserve">. Pre-treatment height velocity data were available for 75 subjects. The height velocities at a given year of treatment were compared by paired t-tests to the pre-treatment height velocities of the same subjects completing that treatment year. The height velocities for years 2 through 8 remained statistically greater than baseline. For the 21 treatment naïve subjects with near-adult height, the mean (± SD) of the difference between </w:t>
      </w:r>
      <w:r w:rsidRPr="00D36183">
        <w:lastRenderedPageBreak/>
        <w:t>observed increase in height versus that expected from Laron was approximately 13 cm (± 8 cm) after an average of 11 years of treatment.</w:t>
      </w:r>
    </w:p>
    <w:p w14:paraId="4776D114" w14:textId="732E630F" w:rsidR="000B16B5" w:rsidRPr="00D36183" w:rsidRDefault="000B16B5" w:rsidP="000B16B5">
      <w:pPr>
        <w:pStyle w:val="Caption"/>
        <w:rPr>
          <w:b/>
          <w:color w:val="auto"/>
          <w:sz w:val="24"/>
          <w:szCs w:val="24"/>
        </w:rPr>
      </w:pPr>
      <w:bookmarkStart w:id="10" w:name="_Ref514719296"/>
      <w:r w:rsidRPr="00D36183">
        <w:rPr>
          <w:b/>
          <w:color w:val="auto"/>
          <w:sz w:val="24"/>
          <w:szCs w:val="24"/>
        </w:rPr>
        <w:t xml:space="preserve">Table </w:t>
      </w:r>
      <w:r w:rsidRPr="00D36183">
        <w:rPr>
          <w:b/>
          <w:color w:val="auto"/>
          <w:sz w:val="24"/>
          <w:szCs w:val="24"/>
        </w:rPr>
        <w:fldChar w:fldCharType="begin"/>
      </w:r>
      <w:r w:rsidRPr="00D36183">
        <w:rPr>
          <w:b/>
          <w:color w:val="auto"/>
          <w:sz w:val="24"/>
          <w:szCs w:val="24"/>
        </w:rPr>
        <w:instrText xml:space="preserve"> SEQ Table \* ARABIC </w:instrText>
      </w:r>
      <w:r w:rsidRPr="00D36183">
        <w:rPr>
          <w:b/>
          <w:color w:val="auto"/>
          <w:sz w:val="24"/>
          <w:szCs w:val="24"/>
        </w:rPr>
        <w:fldChar w:fldCharType="separate"/>
      </w:r>
      <w:r w:rsidR="00235D6F">
        <w:rPr>
          <w:b/>
          <w:noProof/>
          <w:color w:val="auto"/>
          <w:sz w:val="24"/>
          <w:szCs w:val="24"/>
        </w:rPr>
        <w:t>2</w:t>
      </w:r>
      <w:r w:rsidRPr="00D36183">
        <w:rPr>
          <w:b/>
          <w:color w:val="auto"/>
          <w:sz w:val="24"/>
          <w:szCs w:val="24"/>
        </w:rPr>
        <w:fldChar w:fldCharType="end"/>
      </w:r>
      <w:bookmarkEnd w:id="10"/>
      <w:r w:rsidRPr="00D36183">
        <w:rPr>
          <w:b/>
          <w:color w:val="auto"/>
          <w:sz w:val="24"/>
          <w:szCs w:val="24"/>
        </w:rPr>
        <w:t xml:space="preserve">: Annual Height Results by Number of Years Treated with INCRELEX </w:t>
      </w:r>
    </w:p>
    <w:tbl>
      <w:tblPr>
        <w:tblW w:w="9209" w:type="dxa"/>
        <w:jc w:val="center"/>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1E0" w:firstRow="1" w:lastRow="1" w:firstColumn="1" w:lastColumn="1" w:noHBand="0" w:noVBand="0"/>
      </w:tblPr>
      <w:tblGrid>
        <w:gridCol w:w="1701"/>
        <w:gridCol w:w="834"/>
        <w:gridCol w:w="834"/>
        <w:gridCol w:w="834"/>
        <w:gridCol w:w="834"/>
        <w:gridCol w:w="835"/>
        <w:gridCol w:w="834"/>
        <w:gridCol w:w="834"/>
        <w:gridCol w:w="834"/>
        <w:gridCol w:w="835"/>
      </w:tblGrid>
      <w:tr w:rsidR="000B16B5" w:rsidRPr="00D36183" w14:paraId="2BE93D95" w14:textId="77777777" w:rsidTr="000B16B5">
        <w:trPr>
          <w:cantSplit/>
          <w:tblHeader/>
          <w:jc w:val="center"/>
        </w:trPr>
        <w:tc>
          <w:tcPr>
            <w:tcW w:w="1701" w:type="dxa"/>
            <w:tcBorders>
              <w:top w:val="single" w:sz="4" w:space="0" w:color="808080"/>
              <w:left w:val="single" w:sz="4" w:space="0" w:color="808080"/>
              <w:bottom w:val="single" w:sz="4" w:space="0" w:color="808080"/>
              <w:right w:val="single" w:sz="4" w:space="0" w:color="808080"/>
            </w:tcBorders>
            <w:tcMar>
              <w:left w:w="29" w:type="dxa"/>
              <w:right w:w="29" w:type="dxa"/>
            </w:tcMar>
          </w:tcPr>
          <w:p w14:paraId="343FB4B9"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0B04E97D" w14:textId="77777777" w:rsidR="000B16B5" w:rsidRPr="00D36183" w:rsidRDefault="000B16B5" w:rsidP="000B16B5">
            <w:pPr>
              <w:rPr>
                <w:b/>
                <w:bCs/>
                <w:sz w:val="22"/>
              </w:rPr>
            </w:pPr>
            <w:r w:rsidRPr="00D36183">
              <w:rPr>
                <w:b/>
                <w:bCs/>
                <w:sz w:val="22"/>
              </w:rPr>
              <w:t>Pre-Tx</w:t>
            </w: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567E1070" w14:textId="77777777" w:rsidR="000B16B5" w:rsidRPr="00D36183" w:rsidRDefault="000B16B5" w:rsidP="000B16B5">
            <w:pPr>
              <w:rPr>
                <w:b/>
                <w:bCs/>
                <w:sz w:val="22"/>
              </w:rPr>
            </w:pPr>
            <w:r w:rsidRPr="00D36183">
              <w:rPr>
                <w:b/>
                <w:bCs/>
                <w:sz w:val="22"/>
              </w:rPr>
              <w:t>Year 1</w:t>
            </w: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3D498316" w14:textId="77777777" w:rsidR="000B16B5" w:rsidRPr="00D36183" w:rsidRDefault="000B16B5" w:rsidP="000B16B5">
            <w:pPr>
              <w:rPr>
                <w:b/>
                <w:bCs/>
                <w:sz w:val="22"/>
              </w:rPr>
            </w:pPr>
            <w:r w:rsidRPr="00D36183">
              <w:rPr>
                <w:b/>
                <w:bCs/>
                <w:sz w:val="22"/>
              </w:rPr>
              <w:t>Year 2</w:t>
            </w: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4836BA22" w14:textId="77777777" w:rsidR="000B16B5" w:rsidRPr="00D36183" w:rsidRDefault="000B16B5" w:rsidP="000B16B5">
            <w:pPr>
              <w:rPr>
                <w:b/>
                <w:bCs/>
                <w:sz w:val="22"/>
              </w:rPr>
            </w:pPr>
            <w:r w:rsidRPr="00D36183">
              <w:rPr>
                <w:b/>
                <w:bCs/>
                <w:sz w:val="22"/>
              </w:rPr>
              <w:t>Year 3</w:t>
            </w:r>
          </w:p>
        </w:tc>
        <w:tc>
          <w:tcPr>
            <w:tcW w:w="835" w:type="dxa"/>
            <w:tcBorders>
              <w:top w:val="single" w:sz="4" w:space="0" w:color="808080"/>
              <w:left w:val="single" w:sz="4" w:space="0" w:color="808080"/>
              <w:bottom w:val="single" w:sz="4" w:space="0" w:color="808080"/>
              <w:right w:val="single" w:sz="4" w:space="0" w:color="808080"/>
            </w:tcBorders>
            <w:tcMar>
              <w:left w:w="29" w:type="dxa"/>
              <w:right w:w="29" w:type="dxa"/>
            </w:tcMar>
          </w:tcPr>
          <w:p w14:paraId="768F8DB4" w14:textId="77777777" w:rsidR="000B16B5" w:rsidRPr="00D36183" w:rsidRDefault="000B16B5" w:rsidP="000B16B5">
            <w:pPr>
              <w:rPr>
                <w:b/>
                <w:bCs/>
                <w:sz w:val="22"/>
              </w:rPr>
            </w:pPr>
            <w:r w:rsidRPr="00D36183">
              <w:rPr>
                <w:b/>
                <w:bCs/>
                <w:sz w:val="22"/>
              </w:rPr>
              <w:t>Year 4</w:t>
            </w: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7C3C2D0B" w14:textId="77777777" w:rsidR="000B16B5" w:rsidRPr="00D36183" w:rsidRDefault="000B16B5" w:rsidP="000B16B5">
            <w:pPr>
              <w:rPr>
                <w:b/>
                <w:bCs/>
                <w:sz w:val="22"/>
              </w:rPr>
            </w:pPr>
            <w:r w:rsidRPr="00D36183">
              <w:rPr>
                <w:b/>
                <w:bCs/>
                <w:sz w:val="22"/>
              </w:rPr>
              <w:t>Year 5</w:t>
            </w: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2B990C8A" w14:textId="77777777" w:rsidR="000B16B5" w:rsidRPr="00D36183" w:rsidRDefault="000B16B5" w:rsidP="000B16B5">
            <w:pPr>
              <w:rPr>
                <w:b/>
                <w:bCs/>
                <w:sz w:val="22"/>
              </w:rPr>
            </w:pPr>
            <w:r w:rsidRPr="00D36183">
              <w:rPr>
                <w:b/>
                <w:bCs/>
                <w:sz w:val="22"/>
              </w:rPr>
              <w:t>Year 6</w:t>
            </w:r>
          </w:p>
        </w:tc>
        <w:tc>
          <w:tcPr>
            <w:tcW w:w="834" w:type="dxa"/>
            <w:tcBorders>
              <w:top w:val="single" w:sz="4" w:space="0" w:color="808080"/>
              <w:left w:val="single" w:sz="4" w:space="0" w:color="808080"/>
              <w:bottom w:val="single" w:sz="4" w:space="0" w:color="808080"/>
              <w:right w:val="single" w:sz="4" w:space="0" w:color="808080"/>
            </w:tcBorders>
            <w:tcMar>
              <w:left w:w="29" w:type="dxa"/>
              <w:right w:w="29" w:type="dxa"/>
            </w:tcMar>
          </w:tcPr>
          <w:p w14:paraId="2982C241" w14:textId="77777777" w:rsidR="000B16B5" w:rsidRPr="00D36183" w:rsidRDefault="000B16B5" w:rsidP="000B16B5">
            <w:pPr>
              <w:rPr>
                <w:b/>
                <w:bCs/>
                <w:sz w:val="22"/>
              </w:rPr>
            </w:pPr>
            <w:r w:rsidRPr="00D36183">
              <w:rPr>
                <w:b/>
                <w:bCs/>
                <w:sz w:val="22"/>
              </w:rPr>
              <w:t>Year 7</w:t>
            </w:r>
          </w:p>
        </w:tc>
        <w:tc>
          <w:tcPr>
            <w:tcW w:w="835" w:type="dxa"/>
            <w:tcBorders>
              <w:top w:val="single" w:sz="4" w:space="0" w:color="808080"/>
              <w:left w:val="single" w:sz="4" w:space="0" w:color="808080"/>
              <w:bottom w:val="single" w:sz="4" w:space="0" w:color="808080"/>
              <w:right w:val="single" w:sz="4" w:space="0" w:color="808080"/>
            </w:tcBorders>
            <w:tcMar>
              <w:left w:w="29" w:type="dxa"/>
              <w:right w:w="29" w:type="dxa"/>
            </w:tcMar>
          </w:tcPr>
          <w:p w14:paraId="18631354" w14:textId="77777777" w:rsidR="000B16B5" w:rsidRPr="00D36183" w:rsidRDefault="000B16B5" w:rsidP="000B16B5">
            <w:pPr>
              <w:rPr>
                <w:b/>
                <w:bCs/>
                <w:sz w:val="22"/>
              </w:rPr>
            </w:pPr>
            <w:r w:rsidRPr="00D36183">
              <w:rPr>
                <w:b/>
                <w:bCs/>
                <w:sz w:val="22"/>
              </w:rPr>
              <w:t>Year 8</w:t>
            </w:r>
          </w:p>
        </w:tc>
      </w:tr>
      <w:tr w:rsidR="000B16B5" w:rsidRPr="00D36183" w14:paraId="49C53F5D" w14:textId="77777777" w:rsidTr="000B16B5">
        <w:trPr>
          <w:cantSplit/>
          <w:jc w:val="center"/>
        </w:trPr>
        <w:tc>
          <w:tcPr>
            <w:tcW w:w="1701"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2DEC3C38" w14:textId="77777777" w:rsidR="000B16B5" w:rsidRPr="00D36183" w:rsidRDefault="000B16B5" w:rsidP="000B16B5">
            <w:pPr>
              <w:rPr>
                <w:b/>
                <w:bCs/>
                <w:sz w:val="22"/>
              </w:rPr>
            </w:pPr>
            <w:r w:rsidRPr="00D36183">
              <w:rPr>
                <w:b/>
                <w:bCs/>
                <w:sz w:val="22"/>
              </w:rPr>
              <w:t>Height Velocity (cm/yr)</w:t>
            </w: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ACF07EF"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37042A0"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14B8D60F"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11F8C070" w14:textId="77777777" w:rsidR="000B16B5" w:rsidRPr="00D36183" w:rsidRDefault="000B16B5" w:rsidP="000B16B5">
            <w:pPr>
              <w:rPr>
                <w:sz w:val="22"/>
              </w:rPr>
            </w:pPr>
          </w:p>
        </w:tc>
        <w:tc>
          <w:tcPr>
            <w:tcW w:w="835"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0EFB4B01"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9790F52"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144DB234"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03BA4092" w14:textId="77777777" w:rsidR="000B16B5" w:rsidRPr="00D36183" w:rsidRDefault="000B16B5" w:rsidP="000B16B5">
            <w:pPr>
              <w:rPr>
                <w:sz w:val="22"/>
              </w:rPr>
            </w:pPr>
          </w:p>
        </w:tc>
        <w:tc>
          <w:tcPr>
            <w:tcW w:w="835"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1B4BE60D" w14:textId="77777777" w:rsidR="000B16B5" w:rsidRPr="00D36183" w:rsidRDefault="000B16B5" w:rsidP="000B16B5">
            <w:pPr>
              <w:rPr>
                <w:sz w:val="22"/>
              </w:rPr>
            </w:pPr>
          </w:p>
        </w:tc>
      </w:tr>
      <w:tr w:rsidR="000B16B5" w:rsidRPr="00D36183" w14:paraId="74ABD952" w14:textId="77777777" w:rsidTr="000B16B5">
        <w:trPr>
          <w:cantSplit/>
          <w:jc w:val="center"/>
        </w:trPr>
        <w:tc>
          <w:tcPr>
            <w:tcW w:w="1701" w:type="dxa"/>
            <w:tcBorders>
              <w:top w:val="single" w:sz="4" w:space="0" w:color="808080"/>
              <w:left w:val="single" w:sz="4" w:space="0" w:color="808080"/>
              <w:right w:val="single" w:sz="4" w:space="0" w:color="808080"/>
            </w:tcBorders>
            <w:tcMar>
              <w:left w:w="29" w:type="dxa"/>
              <w:right w:w="29" w:type="dxa"/>
            </w:tcMar>
          </w:tcPr>
          <w:p w14:paraId="2F1CA6EE" w14:textId="77777777" w:rsidR="000B16B5" w:rsidRPr="00D36183" w:rsidRDefault="000B16B5" w:rsidP="000B16B5">
            <w:pPr>
              <w:rPr>
                <w:sz w:val="22"/>
              </w:rPr>
            </w:pPr>
            <w:r w:rsidRPr="00D36183">
              <w:rPr>
                <w:sz w:val="22"/>
              </w:rPr>
              <w:t>N</w:t>
            </w:r>
          </w:p>
        </w:tc>
        <w:tc>
          <w:tcPr>
            <w:tcW w:w="834" w:type="dxa"/>
            <w:tcBorders>
              <w:top w:val="single" w:sz="4" w:space="0" w:color="808080"/>
              <w:left w:val="single" w:sz="4" w:space="0" w:color="808080"/>
              <w:right w:val="single" w:sz="4" w:space="0" w:color="808080"/>
            </w:tcBorders>
            <w:tcMar>
              <w:left w:w="29" w:type="dxa"/>
              <w:right w:w="29" w:type="dxa"/>
            </w:tcMar>
          </w:tcPr>
          <w:p w14:paraId="793CD19F" w14:textId="77777777" w:rsidR="000B16B5" w:rsidRPr="00D36183" w:rsidRDefault="000B16B5" w:rsidP="000B16B5">
            <w:pPr>
              <w:rPr>
                <w:sz w:val="22"/>
              </w:rPr>
            </w:pPr>
            <w:r w:rsidRPr="00D36183">
              <w:rPr>
                <w:sz w:val="22"/>
              </w:rPr>
              <w:t>75</w:t>
            </w:r>
          </w:p>
        </w:tc>
        <w:tc>
          <w:tcPr>
            <w:tcW w:w="834" w:type="dxa"/>
            <w:tcBorders>
              <w:top w:val="single" w:sz="4" w:space="0" w:color="808080"/>
              <w:left w:val="single" w:sz="4" w:space="0" w:color="808080"/>
              <w:right w:val="single" w:sz="4" w:space="0" w:color="808080"/>
            </w:tcBorders>
            <w:tcMar>
              <w:left w:w="29" w:type="dxa"/>
              <w:right w:w="29" w:type="dxa"/>
            </w:tcMar>
          </w:tcPr>
          <w:p w14:paraId="2D42C6CF" w14:textId="77777777" w:rsidR="000B16B5" w:rsidRPr="00D36183" w:rsidRDefault="000B16B5" w:rsidP="000B16B5">
            <w:pPr>
              <w:rPr>
                <w:sz w:val="22"/>
              </w:rPr>
            </w:pPr>
            <w:r w:rsidRPr="00D36183">
              <w:rPr>
                <w:sz w:val="22"/>
              </w:rPr>
              <w:t>75</w:t>
            </w:r>
          </w:p>
        </w:tc>
        <w:tc>
          <w:tcPr>
            <w:tcW w:w="834" w:type="dxa"/>
            <w:tcBorders>
              <w:top w:val="single" w:sz="4" w:space="0" w:color="808080"/>
              <w:left w:val="single" w:sz="4" w:space="0" w:color="808080"/>
              <w:right w:val="single" w:sz="4" w:space="0" w:color="808080"/>
            </w:tcBorders>
            <w:tcMar>
              <w:left w:w="29" w:type="dxa"/>
              <w:right w:w="29" w:type="dxa"/>
            </w:tcMar>
          </w:tcPr>
          <w:p w14:paraId="75D1CB63" w14:textId="77777777" w:rsidR="000B16B5" w:rsidRPr="00D36183" w:rsidRDefault="000B16B5" w:rsidP="000B16B5">
            <w:pPr>
              <w:rPr>
                <w:sz w:val="22"/>
              </w:rPr>
            </w:pPr>
            <w:r w:rsidRPr="00D36183">
              <w:rPr>
                <w:sz w:val="22"/>
              </w:rPr>
              <w:t>63</w:t>
            </w:r>
          </w:p>
        </w:tc>
        <w:tc>
          <w:tcPr>
            <w:tcW w:w="834" w:type="dxa"/>
            <w:tcBorders>
              <w:top w:val="single" w:sz="4" w:space="0" w:color="808080"/>
              <w:left w:val="single" w:sz="4" w:space="0" w:color="808080"/>
              <w:right w:val="single" w:sz="4" w:space="0" w:color="808080"/>
            </w:tcBorders>
            <w:tcMar>
              <w:left w:w="29" w:type="dxa"/>
              <w:right w:w="29" w:type="dxa"/>
            </w:tcMar>
          </w:tcPr>
          <w:p w14:paraId="0C748D27" w14:textId="77777777" w:rsidR="000B16B5" w:rsidRPr="00D36183" w:rsidRDefault="000B16B5" w:rsidP="000B16B5">
            <w:pPr>
              <w:rPr>
                <w:sz w:val="22"/>
              </w:rPr>
            </w:pPr>
            <w:r w:rsidRPr="00D36183">
              <w:rPr>
                <w:sz w:val="22"/>
              </w:rPr>
              <w:t>62</w:t>
            </w:r>
          </w:p>
        </w:tc>
        <w:tc>
          <w:tcPr>
            <w:tcW w:w="835" w:type="dxa"/>
            <w:tcBorders>
              <w:top w:val="single" w:sz="4" w:space="0" w:color="808080"/>
              <w:left w:val="single" w:sz="4" w:space="0" w:color="808080"/>
              <w:right w:val="single" w:sz="4" w:space="0" w:color="808080"/>
            </w:tcBorders>
            <w:tcMar>
              <w:left w:w="29" w:type="dxa"/>
              <w:right w:w="29" w:type="dxa"/>
            </w:tcMar>
          </w:tcPr>
          <w:p w14:paraId="6E57D221" w14:textId="77777777" w:rsidR="000B16B5" w:rsidRPr="00D36183" w:rsidRDefault="000B16B5" w:rsidP="000B16B5">
            <w:pPr>
              <w:rPr>
                <w:sz w:val="22"/>
              </w:rPr>
            </w:pPr>
            <w:r w:rsidRPr="00D36183">
              <w:rPr>
                <w:sz w:val="22"/>
              </w:rPr>
              <w:t>60</w:t>
            </w:r>
          </w:p>
        </w:tc>
        <w:tc>
          <w:tcPr>
            <w:tcW w:w="834" w:type="dxa"/>
            <w:tcBorders>
              <w:top w:val="single" w:sz="4" w:space="0" w:color="808080"/>
              <w:left w:val="single" w:sz="4" w:space="0" w:color="808080"/>
              <w:right w:val="single" w:sz="4" w:space="0" w:color="808080"/>
            </w:tcBorders>
            <w:tcMar>
              <w:left w:w="29" w:type="dxa"/>
              <w:right w:w="29" w:type="dxa"/>
            </w:tcMar>
          </w:tcPr>
          <w:p w14:paraId="3A252856" w14:textId="77777777" w:rsidR="000B16B5" w:rsidRPr="00D36183" w:rsidRDefault="000B16B5" w:rsidP="000B16B5">
            <w:pPr>
              <w:rPr>
                <w:sz w:val="22"/>
              </w:rPr>
            </w:pPr>
            <w:r w:rsidRPr="00D36183">
              <w:rPr>
                <w:sz w:val="22"/>
              </w:rPr>
              <w:t>53</w:t>
            </w:r>
          </w:p>
        </w:tc>
        <w:tc>
          <w:tcPr>
            <w:tcW w:w="834" w:type="dxa"/>
            <w:tcBorders>
              <w:top w:val="single" w:sz="4" w:space="0" w:color="808080"/>
              <w:left w:val="single" w:sz="4" w:space="0" w:color="808080"/>
              <w:right w:val="single" w:sz="4" w:space="0" w:color="808080"/>
            </w:tcBorders>
            <w:tcMar>
              <w:left w:w="29" w:type="dxa"/>
              <w:right w:w="29" w:type="dxa"/>
            </w:tcMar>
          </w:tcPr>
          <w:p w14:paraId="3E8937E5" w14:textId="77777777" w:rsidR="000B16B5" w:rsidRPr="00D36183" w:rsidRDefault="000B16B5" w:rsidP="000B16B5">
            <w:pPr>
              <w:rPr>
                <w:sz w:val="22"/>
              </w:rPr>
            </w:pPr>
            <w:r w:rsidRPr="00D36183">
              <w:rPr>
                <w:sz w:val="22"/>
              </w:rPr>
              <w:t>39</w:t>
            </w:r>
          </w:p>
        </w:tc>
        <w:tc>
          <w:tcPr>
            <w:tcW w:w="834" w:type="dxa"/>
            <w:tcBorders>
              <w:top w:val="single" w:sz="4" w:space="0" w:color="808080"/>
              <w:left w:val="single" w:sz="4" w:space="0" w:color="808080"/>
              <w:right w:val="single" w:sz="4" w:space="0" w:color="808080"/>
            </w:tcBorders>
            <w:tcMar>
              <w:left w:w="29" w:type="dxa"/>
              <w:right w:w="29" w:type="dxa"/>
            </w:tcMar>
          </w:tcPr>
          <w:p w14:paraId="31321F10" w14:textId="77777777" w:rsidR="000B16B5" w:rsidRPr="00D36183" w:rsidRDefault="000B16B5" w:rsidP="000B16B5">
            <w:pPr>
              <w:rPr>
                <w:sz w:val="22"/>
              </w:rPr>
            </w:pPr>
            <w:r w:rsidRPr="00D36183">
              <w:rPr>
                <w:sz w:val="22"/>
              </w:rPr>
              <w:t>25</w:t>
            </w:r>
          </w:p>
        </w:tc>
        <w:tc>
          <w:tcPr>
            <w:tcW w:w="835" w:type="dxa"/>
            <w:tcBorders>
              <w:top w:val="single" w:sz="4" w:space="0" w:color="808080"/>
              <w:left w:val="single" w:sz="4" w:space="0" w:color="808080"/>
              <w:right w:val="single" w:sz="4" w:space="0" w:color="808080"/>
            </w:tcBorders>
            <w:tcMar>
              <w:left w:w="29" w:type="dxa"/>
              <w:right w:w="29" w:type="dxa"/>
            </w:tcMar>
          </w:tcPr>
          <w:p w14:paraId="6ADE7E9A" w14:textId="77777777" w:rsidR="000B16B5" w:rsidRPr="00D36183" w:rsidRDefault="000B16B5" w:rsidP="000B16B5">
            <w:pPr>
              <w:rPr>
                <w:sz w:val="22"/>
              </w:rPr>
            </w:pPr>
            <w:r w:rsidRPr="00D36183">
              <w:rPr>
                <w:sz w:val="22"/>
              </w:rPr>
              <w:t>19</w:t>
            </w:r>
          </w:p>
        </w:tc>
      </w:tr>
      <w:tr w:rsidR="000B16B5" w:rsidRPr="00D36183" w14:paraId="7102207F" w14:textId="77777777" w:rsidTr="000B16B5">
        <w:trPr>
          <w:cantSplit/>
          <w:jc w:val="center"/>
        </w:trPr>
        <w:tc>
          <w:tcPr>
            <w:tcW w:w="1701" w:type="dxa"/>
            <w:tcBorders>
              <w:left w:val="single" w:sz="4" w:space="0" w:color="808080"/>
              <w:right w:val="single" w:sz="4" w:space="0" w:color="808080"/>
            </w:tcBorders>
            <w:tcMar>
              <w:left w:w="29" w:type="dxa"/>
              <w:right w:w="29" w:type="dxa"/>
            </w:tcMar>
          </w:tcPr>
          <w:p w14:paraId="7FBD16E5" w14:textId="77777777" w:rsidR="000B16B5" w:rsidRPr="00D36183" w:rsidRDefault="000B16B5" w:rsidP="000B16B5">
            <w:pPr>
              <w:rPr>
                <w:sz w:val="22"/>
              </w:rPr>
            </w:pPr>
            <w:r w:rsidRPr="00D36183">
              <w:rPr>
                <w:sz w:val="22"/>
              </w:rPr>
              <w:t>Mean (SD)</w:t>
            </w:r>
          </w:p>
        </w:tc>
        <w:tc>
          <w:tcPr>
            <w:tcW w:w="834" w:type="dxa"/>
            <w:tcBorders>
              <w:left w:val="single" w:sz="4" w:space="0" w:color="808080"/>
              <w:right w:val="single" w:sz="4" w:space="0" w:color="808080"/>
            </w:tcBorders>
            <w:tcMar>
              <w:left w:w="29" w:type="dxa"/>
              <w:right w:w="29" w:type="dxa"/>
            </w:tcMar>
          </w:tcPr>
          <w:p w14:paraId="142455FE" w14:textId="77777777" w:rsidR="000B16B5" w:rsidRPr="00D36183" w:rsidRDefault="000B16B5" w:rsidP="000B16B5">
            <w:pPr>
              <w:rPr>
                <w:sz w:val="22"/>
              </w:rPr>
            </w:pPr>
            <w:r w:rsidRPr="00D36183">
              <w:rPr>
                <w:sz w:val="22"/>
              </w:rPr>
              <w:t>2.6 (1.7)</w:t>
            </w:r>
          </w:p>
        </w:tc>
        <w:tc>
          <w:tcPr>
            <w:tcW w:w="834" w:type="dxa"/>
            <w:tcBorders>
              <w:left w:val="single" w:sz="4" w:space="0" w:color="808080"/>
              <w:right w:val="single" w:sz="4" w:space="0" w:color="808080"/>
            </w:tcBorders>
            <w:tcMar>
              <w:left w:w="29" w:type="dxa"/>
              <w:right w:w="29" w:type="dxa"/>
            </w:tcMar>
          </w:tcPr>
          <w:p w14:paraId="51039C0F" w14:textId="77777777" w:rsidR="000B16B5" w:rsidRPr="00D36183" w:rsidRDefault="000B16B5" w:rsidP="000B16B5">
            <w:pPr>
              <w:rPr>
                <w:sz w:val="22"/>
              </w:rPr>
            </w:pPr>
            <w:r w:rsidRPr="00D36183">
              <w:rPr>
                <w:sz w:val="22"/>
              </w:rPr>
              <w:t>8.0 (2.3)</w:t>
            </w:r>
          </w:p>
        </w:tc>
        <w:tc>
          <w:tcPr>
            <w:tcW w:w="834" w:type="dxa"/>
            <w:tcBorders>
              <w:left w:val="single" w:sz="4" w:space="0" w:color="808080"/>
              <w:right w:val="single" w:sz="4" w:space="0" w:color="808080"/>
            </w:tcBorders>
            <w:tcMar>
              <w:left w:w="29" w:type="dxa"/>
              <w:right w:w="29" w:type="dxa"/>
            </w:tcMar>
          </w:tcPr>
          <w:p w14:paraId="1286BA6D" w14:textId="77777777" w:rsidR="000B16B5" w:rsidRPr="00D36183" w:rsidRDefault="000B16B5" w:rsidP="000B16B5">
            <w:pPr>
              <w:rPr>
                <w:sz w:val="22"/>
              </w:rPr>
            </w:pPr>
            <w:r w:rsidRPr="00D36183">
              <w:rPr>
                <w:sz w:val="22"/>
              </w:rPr>
              <w:t>5.9 (1.7)</w:t>
            </w:r>
          </w:p>
        </w:tc>
        <w:tc>
          <w:tcPr>
            <w:tcW w:w="834" w:type="dxa"/>
            <w:tcBorders>
              <w:left w:val="single" w:sz="4" w:space="0" w:color="808080"/>
              <w:right w:val="single" w:sz="4" w:space="0" w:color="808080"/>
            </w:tcBorders>
            <w:tcMar>
              <w:left w:w="29" w:type="dxa"/>
              <w:right w:w="29" w:type="dxa"/>
            </w:tcMar>
          </w:tcPr>
          <w:p w14:paraId="55AAAC4E" w14:textId="77777777" w:rsidR="000B16B5" w:rsidRPr="00D36183" w:rsidRDefault="000B16B5" w:rsidP="000B16B5">
            <w:pPr>
              <w:rPr>
                <w:sz w:val="22"/>
              </w:rPr>
            </w:pPr>
            <w:r w:rsidRPr="00D36183">
              <w:rPr>
                <w:sz w:val="22"/>
              </w:rPr>
              <w:t>5.5 (1.8)</w:t>
            </w:r>
          </w:p>
        </w:tc>
        <w:tc>
          <w:tcPr>
            <w:tcW w:w="835" w:type="dxa"/>
            <w:tcBorders>
              <w:left w:val="single" w:sz="4" w:space="0" w:color="808080"/>
              <w:right w:val="single" w:sz="4" w:space="0" w:color="808080"/>
            </w:tcBorders>
            <w:tcMar>
              <w:left w:w="29" w:type="dxa"/>
              <w:right w:w="29" w:type="dxa"/>
            </w:tcMar>
          </w:tcPr>
          <w:p w14:paraId="0FA11BD5" w14:textId="77777777" w:rsidR="000B16B5" w:rsidRPr="00D36183" w:rsidRDefault="000B16B5" w:rsidP="000B16B5">
            <w:pPr>
              <w:rPr>
                <w:sz w:val="22"/>
              </w:rPr>
            </w:pPr>
            <w:r w:rsidRPr="00D36183">
              <w:rPr>
                <w:sz w:val="22"/>
              </w:rPr>
              <w:t>5.2 (1.5)</w:t>
            </w:r>
          </w:p>
        </w:tc>
        <w:tc>
          <w:tcPr>
            <w:tcW w:w="834" w:type="dxa"/>
            <w:tcBorders>
              <w:left w:val="single" w:sz="4" w:space="0" w:color="808080"/>
              <w:right w:val="single" w:sz="4" w:space="0" w:color="808080"/>
            </w:tcBorders>
            <w:tcMar>
              <w:left w:w="29" w:type="dxa"/>
              <w:right w:w="29" w:type="dxa"/>
            </w:tcMar>
          </w:tcPr>
          <w:p w14:paraId="32B578A5" w14:textId="77777777" w:rsidR="000B16B5" w:rsidRPr="00D36183" w:rsidRDefault="000B16B5" w:rsidP="000B16B5">
            <w:pPr>
              <w:rPr>
                <w:sz w:val="22"/>
              </w:rPr>
            </w:pPr>
            <w:r w:rsidRPr="00D36183">
              <w:rPr>
                <w:sz w:val="22"/>
              </w:rPr>
              <w:t>4.9 (1.5)</w:t>
            </w:r>
          </w:p>
        </w:tc>
        <w:tc>
          <w:tcPr>
            <w:tcW w:w="834" w:type="dxa"/>
            <w:tcBorders>
              <w:left w:val="single" w:sz="4" w:space="0" w:color="808080"/>
              <w:right w:val="single" w:sz="4" w:space="0" w:color="808080"/>
            </w:tcBorders>
            <w:tcMar>
              <w:left w:w="29" w:type="dxa"/>
              <w:right w:w="29" w:type="dxa"/>
            </w:tcMar>
          </w:tcPr>
          <w:p w14:paraId="76E2299B" w14:textId="77777777" w:rsidR="000B16B5" w:rsidRPr="00D36183" w:rsidRDefault="000B16B5" w:rsidP="000B16B5">
            <w:pPr>
              <w:rPr>
                <w:sz w:val="22"/>
              </w:rPr>
            </w:pPr>
            <w:r w:rsidRPr="00D36183">
              <w:rPr>
                <w:sz w:val="22"/>
              </w:rPr>
              <w:t>4.8 (1.4)</w:t>
            </w:r>
          </w:p>
        </w:tc>
        <w:tc>
          <w:tcPr>
            <w:tcW w:w="834" w:type="dxa"/>
            <w:tcBorders>
              <w:left w:val="single" w:sz="4" w:space="0" w:color="808080"/>
              <w:right w:val="single" w:sz="4" w:space="0" w:color="808080"/>
            </w:tcBorders>
            <w:tcMar>
              <w:left w:w="29" w:type="dxa"/>
              <w:right w:w="29" w:type="dxa"/>
            </w:tcMar>
          </w:tcPr>
          <w:p w14:paraId="5D630D14" w14:textId="77777777" w:rsidR="000B16B5" w:rsidRPr="00D36183" w:rsidRDefault="000B16B5" w:rsidP="000B16B5">
            <w:pPr>
              <w:rPr>
                <w:sz w:val="22"/>
              </w:rPr>
            </w:pPr>
            <w:r w:rsidRPr="00D36183">
              <w:rPr>
                <w:sz w:val="22"/>
              </w:rPr>
              <w:t>4.3 (1.5)</w:t>
            </w:r>
          </w:p>
        </w:tc>
        <w:tc>
          <w:tcPr>
            <w:tcW w:w="835" w:type="dxa"/>
            <w:tcBorders>
              <w:left w:val="single" w:sz="4" w:space="0" w:color="808080"/>
              <w:right w:val="single" w:sz="4" w:space="0" w:color="808080"/>
            </w:tcBorders>
            <w:tcMar>
              <w:left w:w="29" w:type="dxa"/>
              <w:right w:w="29" w:type="dxa"/>
            </w:tcMar>
          </w:tcPr>
          <w:p w14:paraId="3BF99627" w14:textId="77777777" w:rsidR="000B16B5" w:rsidRPr="00D36183" w:rsidRDefault="000B16B5" w:rsidP="000B16B5">
            <w:pPr>
              <w:rPr>
                <w:sz w:val="22"/>
              </w:rPr>
            </w:pPr>
            <w:r w:rsidRPr="00D36183">
              <w:rPr>
                <w:sz w:val="22"/>
              </w:rPr>
              <w:t>4.4 (1.5)</w:t>
            </w:r>
          </w:p>
        </w:tc>
      </w:tr>
      <w:tr w:rsidR="000B16B5" w:rsidRPr="00D36183" w14:paraId="2DCFFB3D" w14:textId="77777777" w:rsidTr="000B16B5">
        <w:trPr>
          <w:cantSplit/>
          <w:jc w:val="center"/>
        </w:trPr>
        <w:tc>
          <w:tcPr>
            <w:tcW w:w="1701" w:type="dxa"/>
            <w:tcBorders>
              <w:left w:val="single" w:sz="4" w:space="0" w:color="808080"/>
              <w:right w:val="single" w:sz="4" w:space="0" w:color="808080"/>
            </w:tcBorders>
            <w:tcMar>
              <w:left w:w="29" w:type="dxa"/>
              <w:right w:w="29" w:type="dxa"/>
            </w:tcMar>
          </w:tcPr>
          <w:p w14:paraId="79A5892A" w14:textId="77777777" w:rsidR="000B16B5" w:rsidRPr="00D36183" w:rsidRDefault="000B16B5" w:rsidP="008D596A">
            <w:pPr>
              <w:spacing w:after="0"/>
              <w:rPr>
                <w:sz w:val="22"/>
              </w:rPr>
            </w:pPr>
            <w:r w:rsidRPr="00D36183">
              <w:rPr>
                <w:sz w:val="22"/>
              </w:rPr>
              <w:t>Mean (SD) for change from pre-Tx</w:t>
            </w:r>
          </w:p>
        </w:tc>
        <w:tc>
          <w:tcPr>
            <w:tcW w:w="834" w:type="dxa"/>
            <w:tcBorders>
              <w:left w:val="single" w:sz="4" w:space="0" w:color="808080"/>
              <w:right w:val="single" w:sz="4" w:space="0" w:color="808080"/>
            </w:tcBorders>
            <w:tcMar>
              <w:left w:w="29" w:type="dxa"/>
              <w:right w:w="29" w:type="dxa"/>
            </w:tcMar>
          </w:tcPr>
          <w:p w14:paraId="5E8C1926" w14:textId="77777777" w:rsidR="000B16B5" w:rsidRPr="00D36183" w:rsidRDefault="000B16B5" w:rsidP="000B16B5">
            <w:pPr>
              <w:rPr>
                <w:sz w:val="22"/>
              </w:rPr>
            </w:pPr>
          </w:p>
        </w:tc>
        <w:tc>
          <w:tcPr>
            <w:tcW w:w="834" w:type="dxa"/>
            <w:tcBorders>
              <w:left w:val="single" w:sz="4" w:space="0" w:color="808080"/>
              <w:right w:val="single" w:sz="4" w:space="0" w:color="808080"/>
            </w:tcBorders>
            <w:tcMar>
              <w:left w:w="29" w:type="dxa"/>
              <w:right w:w="29" w:type="dxa"/>
            </w:tcMar>
          </w:tcPr>
          <w:p w14:paraId="3FADC19D" w14:textId="77777777" w:rsidR="000B16B5" w:rsidRPr="00D36183" w:rsidRDefault="000B16B5" w:rsidP="000B16B5">
            <w:pPr>
              <w:rPr>
                <w:sz w:val="22"/>
              </w:rPr>
            </w:pPr>
            <w:r w:rsidRPr="00D36183">
              <w:rPr>
                <w:sz w:val="22"/>
              </w:rPr>
              <w:t>+5.4 (2.6)</w:t>
            </w:r>
          </w:p>
        </w:tc>
        <w:tc>
          <w:tcPr>
            <w:tcW w:w="834" w:type="dxa"/>
            <w:tcBorders>
              <w:left w:val="single" w:sz="4" w:space="0" w:color="808080"/>
              <w:right w:val="single" w:sz="4" w:space="0" w:color="808080"/>
            </w:tcBorders>
            <w:tcMar>
              <w:left w:w="29" w:type="dxa"/>
              <w:right w:w="29" w:type="dxa"/>
            </w:tcMar>
          </w:tcPr>
          <w:p w14:paraId="07E972B7" w14:textId="77777777" w:rsidR="000B16B5" w:rsidRPr="00D36183" w:rsidRDefault="000B16B5" w:rsidP="000B16B5">
            <w:pPr>
              <w:rPr>
                <w:sz w:val="22"/>
              </w:rPr>
            </w:pPr>
            <w:r w:rsidRPr="00D36183">
              <w:rPr>
                <w:sz w:val="22"/>
              </w:rPr>
              <w:t>+3.2 (2.6)</w:t>
            </w:r>
          </w:p>
        </w:tc>
        <w:tc>
          <w:tcPr>
            <w:tcW w:w="834" w:type="dxa"/>
            <w:tcBorders>
              <w:left w:val="single" w:sz="4" w:space="0" w:color="808080"/>
              <w:right w:val="single" w:sz="4" w:space="0" w:color="808080"/>
            </w:tcBorders>
            <w:tcMar>
              <w:left w:w="29" w:type="dxa"/>
              <w:right w:w="29" w:type="dxa"/>
            </w:tcMar>
          </w:tcPr>
          <w:p w14:paraId="21E27F52" w14:textId="77777777" w:rsidR="000B16B5" w:rsidRPr="00D36183" w:rsidRDefault="000B16B5" w:rsidP="000B16B5">
            <w:pPr>
              <w:rPr>
                <w:sz w:val="22"/>
              </w:rPr>
            </w:pPr>
            <w:r w:rsidRPr="00D36183">
              <w:rPr>
                <w:sz w:val="22"/>
              </w:rPr>
              <w:t>+2.8 (2.4)</w:t>
            </w:r>
          </w:p>
        </w:tc>
        <w:tc>
          <w:tcPr>
            <w:tcW w:w="835" w:type="dxa"/>
            <w:tcBorders>
              <w:left w:val="single" w:sz="4" w:space="0" w:color="808080"/>
              <w:right w:val="single" w:sz="4" w:space="0" w:color="808080"/>
            </w:tcBorders>
            <w:tcMar>
              <w:left w:w="29" w:type="dxa"/>
              <w:right w:w="29" w:type="dxa"/>
            </w:tcMar>
          </w:tcPr>
          <w:p w14:paraId="093B200B" w14:textId="77777777" w:rsidR="000B16B5" w:rsidRPr="00D36183" w:rsidRDefault="000B16B5" w:rsidP="000B16B5">
            <w:pPr>
              <w:rPr>
                <w:sz w:val="22"/>
              </w:rPr>
            </w:pPr>
            <w:r w:rsidRPr="00D36183">
              <w:rPr>
                <w:sz w:val="22"/>
              </w:rPr>
              <w:t>+2.5 (2.5)</w:t>
            </w:r>
          </w:p>
        </w:tc>
        <w:tc>
          <w:tcPr>
            <w:tcW w:w="834" w:type="dxa"/>
            <w:tcBorders>
              <w:left w:val="single" w:sz="4" w:space="0" w:color="808080"/>
              <w:right w:val="single" w:sz="4" w:space="0" w:color="808080"/>
            </w:tcBorders>
            <w:tcMar>
              <w:left w:w="29" w:type="dxa"/>
              <w:right w:w="29" w:type="dxa"/>
            </w:tcMar>
          </w:tcPr>
          <w:p w14:paraId="3C4902C3" w14:textId="77777777" w:rsidR="000B16B5" w:rsidRPr="00D36183" w:rsidRDefault="000B16B5" w:rsidP="000B16B5">
            <w:pPr>
              <w:rPr>
                <w:sz w:val="22"/>
              </w:rPr>
            </w:pPr>
            <w:r w:rsidRPr="00D36183">
              <w:rPr>
                <w:sz w:val="22"/>
              </w:rPr>
              <w:t>+2.1 (2.1)</w:t>
            </w:r>
          </w:p>
        </w:tc>
        <w:tc>
          <w:tcPr>
            <w:tcW w:w="834" w:type="dxa"/>
            <w:tcBorders>
              <w:left w:val="single" w:sz="4" w:space="0" w:color="808080"/>
              <w:right w:val="single" w:sz="4" w:space="0" w:color="808080"/>
            </w:tcBorders>
            <w:tcMar>
              <w:left w:w="29" w:type="dxa"/>
              <w:right w:w="29" w:type="dxa"/>
            </w:tcMar>
          </w:tcPr>
          <w:p w14:paraId="57FBD897" w14:textId="77777777" w:rsidR="000B16B5" w:rsidRPr="00D36183" w:rsidRDefault="000B16B5" w:rsidP="000B16B5">
            <w:pPr>
              <w:rPr>
                <w:sz w:val="22"/>
              </w:rPr>
            </w:pPr>
            <w:r w:rsidRPr="00D36183">
              <w:rPr>
                <w:sz w:val="22"/>
              </w:rPr>
              <w:t>+1.9 (2.1)</w:t>
            </w:r>
          </w:p>
        </w:tc>
        <w:tc>
          <w:tcPr>
            <w:tcW w:w="834" w:type="dxa"/>
            <w:tcBorders>
              <w:left w:val="single" w:sz="4" w:space="0" w:color="808080"/>
              <w:right w:val="single" w:sz="4" w:space="0" w:color="808080"/>
            </w:tcBorders>
            <w:tcMar>
              <w:left w:w="29" w:type="dxa"/>
              <w:right w:w="29" w:type="dxa"/>
            </w:tcMar>
          </w:tcPr>
          <w:p w14:paraId="73B10C51" w14:textId="77777777" w:rsidR="000B16B5" w:rsidRPr="00D36183" w:rsidRDefault="000B16B5" w:rsidP="000B16B5">
            <w:pPr>
              <w:rPr>
                <w:sz w:val="22"/>
              </w:rPr>
            </w:pPr>
            <w:r w:rsidRPr="00D36183">
              <w:rPr>
                <w:sz w:val="22"/>
              </w:rPr>
              <w:t>+1.4 (2.2)</w:t>
            </w:r>
          </w:p>
        </w:tc>
        <w:tc>
          <w:tcPr>
            <w:tcW w:w="835" w:type="dxa"/>
            <w:tcBorders>
              <w:left w:val="single" w:sz="4" w:space="0" w:color="808080"/>
              <w:right w:val="single" w:sz="4" w:space="0" w:color="808080"/>
            </w:tcBorders>
            <w:tcMar>
              <w:left w:w="29" w:type="dxa"/>
              <w:right w:w="29" w:type="dxa"/>
            </w:tcMar>
          </w:tcPr>
          <w:p w14:paraId="6A327C1B" w14:textId="5AB62678" w:rsidR="000B16B5" w:rsidRPr="00D36183" w:rsidRDefault="00EA42C8" w:rsidP="000B16B5">
            <w:pPr>
              <w:rPr>
                <w:sz w:val="22"/>
              </w:rPr>
            </w:pPr>
            <w:r w:rsidRPr="00D36183">
              <w:rPr>
                <w:sz w:val="22"/>
              </w:rPr>
              <w:t>+1.3</w:t>
            </w:r>
            <w:r w:rsidRPr="00D36183">
              <w:rPr>
                <w:sz w:val="22"/>
              </w:rPr>
              <w:br/>
            </w:r>
            <w:r w:rsidR="000B16B5" w:rsidRPr="00D36183">
              <w:rPr>
                <w:sz w:val="22"/>
              </w:rPr>
              <w:t>(2.</w:t>
            </w:r>
            <w:r w:rsidR="000B16B5" w:rsidRPr="00D36183" w:rsidDel="00EE68AF">
              <w:rPr>
                <w:sz w:val="22"/>
              </w:rPr>
              <w:t xml:space="preserve"> </w:t>
            </w:r>
            <w:r w:rsidR="000B16B5" w:rsidRPr="00D36183">
              <w:rPr>
                <w:sz w:val="22"/>
              </w:rPr>
              <w:t>8)</w:t>
            </w:r>
          </w:p>
        </w:tc>
      </w:tr>
      <w:tr w:rsidR="000B16B5" w:rsidRPr="00D36183" w14:paraId="26981AB2" w14:textId="77777777" w:rsidTr="000B16B5">
        <w:trPr>
          <w:cantSplit/>
          <w:jc w:val="center"/>
        </w:trPr>
        <w:tc>
          <w:tcPr>
            <w:tcW w:w="1701" w:type="dxa"/>
            <w:tcBorders>
              <w:left w:val="single" w:sz="4" w:space="0" w:color="808080"/>
              <w:bottom w:val="single" w:sz="4" w:space="0" w:color="808080"/>
              <w:right w:val="single" w:sz="4" w:space="0" w:color="808080"/>
            </w:tcBorders>
            <w:tcMar>
              <w:left w:w="29" w:type="dxa"/>
              <w:right w:w="29" w:type="dxa"/>
            </w:tcMar>
          </w:tcPr>
          <w:p w14:paraId="1EE62E6D" w14:textId="77777777" w:rsidR="000B16B5" w:rsidRPr="00D36183" w:rsidRDefault="000B16B5" w:rsidP="000B16B5">
            <w:pPr>
              <w:rPr>
                <w:sz w:val="22"/>
              </w:rPr>
            </w:pPr>
            <w:r w:rsidRPr="00D36183">
              <w:rPr>
                <w:sz w:val="22"/>
              </w:rPr>
              <w:t>P-value for change from pre-Tx [1]</w:t>
            </w:r>
          </w:p>
        </w:tc>
        <w:tc>
          <w:tcPr>
            <w:tcW w:w="834" w:type="dxa"/>
            <w:tcBorders>
              <w:left w:val="single" w:sz="4" w:space="0" w:color="808080"/>
              <w:bottom w:val="single" w:sz="4" w:space="0" w:color="808080"/>
              <w:right w:val="single" w:sz="4" w:space="0" w:color="808080"/>
            </w:tcBorders>
            <w:tcMar>
              <w:left w:w="29" w:type="dxa"/>
              <w:right w:w="29" w:type="dxa"/>
            </w:tcMar>
          </w:tcPr>
          <w:p w14:paraId="7F8FC836" w14:textId="77777777" w:rsidR="000B16B5" w:rsidRPr="00D36183" w:rsidRDefault="000B16B5" w:rsidP="000B16B5">
            <w:pPr>
              <w:rPr>
                <w:sz w:val="22"/>
              </w:rPr>
            </w:pPr>
          </w:p>
        </w:tc>
        <w:tc>
          <w:tcPr>
            <w:tcW w:w="834" w:type="dxa"/>
            <w:tcBorders>
              <w:left w:val="single" w:sz="4" w:space="0" w:color="808080"/>
              <w:bottom w:val="single" w:sz="4" w:space="0" w:color="808080"/>
              <w:right w:val="single" w:sz="4" w:space="0" w:color="808080"/>
            </w:tcBorders>
            <w:tcMar>
              <w:left w:w="29" w:type="dxa"/>
              <w:right w:w="29" w:type="dxa"/>
            </w:tcMar>
          </w:tcPr>
          <w:p w14:paraId="4A00BDCC"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197E1075"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144A07B6" w14:textId="77777777" w:rsidR="000B16B5" w:rsidRPr="00D36183" w:rsidRDefault="000B16B5" w:rsidP="000B16B5">
            <w:pPr>
              <w:rPr>
                <w:sz w:val="22"/>
              </w:rPr>
            </w:pPr>
            <w:r w:rsidRPr="00D36183">
              <w:rPr>
                <w:sz w:val="22"/>
              </w:rPr>
              <w:t>&lt;0.0001</w:t>
            </w:r>
          </w:p>
        </w:tc>
        <w:tc>
          <w:tcPr>
            <w:tcW w:w="835" w:type="dxa"/>
            <w:tcBorders>
              <w:left w:val="single" w:sz="4" w:space="0" w:color="808080"/>
              <w:bottom w:val="single" w:sz="4" w:space="0" w:color="808080"/>
              <w:right w:val="single" w:sz="4" w:space="0" w:color="808080"/>
            </w:tcBorders>
            <w:tcMar>
              <w:left w:w="29" w:type="dxa"/>
              <w:right w:w="29" w:type="dxa"/>
            </w:tcMar>
          </w:tcPr>
          <w:p w14:paraId="77169539"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3867B02E"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7CDEB3F1"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06AA1F96" w14:textId="77777777" w:rsidR="000B16B5" w:rsidRPr="00D36183" w:rsidRDefault="000B16B5" w:rsidP="000B16B5">
            <w:pPr>
              <w:rPr>
                <w:sz w:val="22"/>
              </w:rPr>
            </w:pPr>
            <w:r w:rsidRPr="00D36183">
              <w:rPr>
                <w:sz w:val="22"/>
              </w:rPr>
              <w:t>0.0042</w:t>
            </w:r>
          </w:p>
        </w:tc>
        <w:tc>
          <w:tcPr>
            <w:tcW w:w="835" w:type="dxa"/>
            <w:tcBorders>
              <w:left w:val="single" w:sz="4" w:space="0" w:color="808080"/>
              <w:bottom w:val="single" w:sz="4" w:space="0" w:color="808080"/>
              <w:right w:val="single" w:sz="4" w:space="0" w:color="808080"/>
            </w:tcBorders>
            <w:tcMar>
              <w:left w:w="29" w:type="dxa"/>
              <w:right w:w="29" w:type="dxa"/>
            </w:tcMar>
          </w:tcPr>
          <w:p w14:paraId="478A7ADC" w14:textId="77777777" w:rsidR="000B16B5" w:rsidRPr="00D36183" w:rsidRDefault="000B16B5" w:rsidP="000B16B5">
            <w:pPr>
              <w:rPr>
                <w:sz w:val="22"/>
              </w:rPr>
            </w:pPr>
            <w:r w:rsidRPr="00D36183">
              <w:rPr>
                <w:sz w:val="22"/>
              </w:rPr>
              <w:t>0.0486</w:t>
            </w:r>
          </w:p>
        </w:tc>
      </w:tr>
      <w:tr w:rsidR="000B16B5" w:rsidRPr="00D36183" w14:paraId="6002ABCA" w14:textId="77777777" w:rsidTr="000B16B5">
        <w:trPr>
          <w:cantSplit/>
          <w:jc w:val="center"/>
        </w:trPr>
        <w:tc>
          <w:tcPr>
            <w:tcW w:w="1701" w:type="dxa"/>
            <w:tcBorders>
              <w:top w:val="single" w:sz="4" w:space="0" w:color="808080"/>
              <w:left w:val="single" w:sz="4" w:space="0" w:color="808080"/>
              <w:bottom w:val="single" w:sz="4" w:space="0" w:color="808080"/>
              <w:right w:val="single" w:sz="4" w:space="0" w:color="808080"/>
            </w:tcBorders>
            <w:shd w:val="clear" w:color="auto" w:fill="auto"/>
            <w:tcMar>
              <w:left w:w="0" w:type="dxa"/>
              <w:right w:w="0" w:type="dxa"/>
            </w:tcMar>
          </w:tcPr>
          <w:p w14:paraId="3444F129" w14:textId="77777777" w:rsidR="000B16B5" w:rsidRPr="00D36183" w:rsidRDefault="000B16B5" w:rsidP="000B16B5">
            <w:pPr>
              <w:rPr>
                <w:b/>
                <w:bCs/>
                <w:sz w:val="22"/>
              </w:rPr>
            </w:pPr>
            <w:r w:rsidRPr="00D36183">
              <w:rPr>
                <w:b/>
                <w:bCs/>
                <w:sz w:val="22"/>
              </w:rPr>
              <w:t>Height Velocity SDS</w:t>
            </w: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3E48B35"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01BD5DE1"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8C72A3F"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6BACA4DA" w14:textId="77777777" w:rsidR="000B16B5" w:rsidRPr="00D36183" w:rsidRDefault="000B16B5" w:rsidP="000B16B5">
            <w:pPr>
              <w:rPr>
                <w:sz w:val="22"/>
              </w:rPr>
            </w:pPr>
          </w:p>
        </w:tc>
        <w:tc>
          <w:tcPr>
            <w:tcW w:w="835"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93D3A9A"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1CFE0615"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83C08D4"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122B8582" w14:textId="77777777" w:rsidR="000B16B5" w:rsidRPr="00D36183" w:rsidRDefault="000B16B5" w:rsidP="000B16B5">
            <w:pPr>
              <w:rPr>
                <w:sz w:val="22"/>
              </w:rPr>
            </w:pPr>
          </w:p>
        </w:tc>
        <w:tc>
          <w:tcPr>
            <w:tcW w:w="835"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2AAD938F" w14:textId="77777777" w:rsidR="000B16B5" w:rsidRPr="00D36183" w:rsidRDefault="000B16B5" w:rsidP="000B16B5">
            <w:pPr>
              <w:rPr>
                <w:sz w:val="22"/>
              </w:rPr>
            </w:pPr>
          </w:p>
        </w:tc>
      </w:tr>
      <w:tr w:rsidR="000B16B5" w:rsidRPr="00D36183" w14:paraId="70637718" w14:textId="77777777" w:rsidTr="000B16B5">
        <w:trPr>
          <w:cantSplit/>
          <w:jc w:val="center"/>
        </w:trPr>
        <w:tc>
          <w:tcPr>
            <w:tcW w:w="1701" w:type="dxa"/>
            <w:tcBorders>
              <w:top w:val="single" w:sz="4" w:space="0" w:color="808080"/>
              <w:left w:val="single" w:sz="4" w:space="0" w:color="808080"/>
              <w:right w:val="single" w:sz="4" w:space="0" w:color="808080"/>
            </w:tcBorders>
            <w:tcMar>
              <w:left w:w="29" w:type="dxa"/>
              <w:right w:w="29" w:type="dxa"/>
            </w:tcMar>
          </w:tcPr>
          <w:p w14:paraId="6185523A" w14:textId="77777777" w:rsidR="000B16B5" w:rsidRPr="00D36183" w:rsidRDefault="000B16B5" w:rsidP="000B16B5">
            <w:pPr>
              <w:rPr>
                <w:sz w:val="22"/>
              </w:rPr>
            </w:pPr>
            <w:r w:rsidRPr="00D36183">
              <w:rPr>
                <w:sz w:val="22"/>
              </w:rPr>
              <w:t>N</w:t>
            </w:r>
          </w:p>
        </w:tc>
        <w:tc>
          <w:tcPr>
            <w:tcW w:w="834" w:type="dxa"/>
            <w:tcBorders>
              <w:top w:val="single" w:sz="4" w:space="0" w:color="808080"/>
              <w:left w:val="single" w:sz="4" w:space="0" w:color="808080"/>
              <w:right w:val="single" w:sz="4" w:space="0" w:color="808080"/>
            </w:tcBorders>
            <w:tcMar>
              <w:left w:w="29" w:type="dxa"/>
              <w:right w:w="29" w:type="dxa"/>
            </w:tcMar>
          </w:tcPr>
          <w:p w14:paraId="52B05FD9" w14:textId="77777777" w:rsidR="000B16B5" w:rsidRPr="00D36183" w:rsidRDefault="000B16B5" w:rsidP="000B16B5">
            <w:pPr>
              <w:rPr>
                <w:sz w:val="22"/>
              </w:rPr>
            </w:pPr>
            <w:r w:rsidRPr="00D36183">
              <w:rPr>
                <w:sz w:val="22"/>
              </w:rPr>
              <w:t>75</w:t>
            </w:r>
          </w:p>
        </w:tc>
        <w:tc>
          <w:tcPr>
            <w:tcW w:w="834" w:type="dxa"/>
            <w:tcBorders>
              <w:top w:val="single" w:sz="4" w:space="0" w:color="808080"/>
              <w:left w:val="single" w:sz="4" w:space="0" w:color="808080"/>
              <w:right w:val="single" w:sz="4" w:space="0" w:color="808080"/>
            </w:tcBorders>
            <w:tcMar>
              <w:left w:w="29" w:type="dxa"/>
              <w:right w:w="29" w:type="dxa"/>
            </w:tcMar>
          </w:tcPr>
          <w:p w14:paraId="5359ED6F" w14:textId="77777777" w:rsidR="000B16B5" w:rsidRPr="00D36183" w:rsidRDefault="000B16B5" w:rsidP="000B16B5">
            <w:pPr>
              <w:rPr>
                <w:sz w:val="22"/>
              </w:rPr>
            </w:pPr>
            <w:r w:rsidRPr="00D36183">
              <w:rPr>
                <w:sz w:val="22"/>
              </w:rPr>
              <w:t>75</w:t>
            </w:r>
          </w:p>
        </w:tc>
        <w:tc>
          <w:tcPr>
            <w:tcW w:w="834" w:type="dxa"/>
            <w:tcBorders>
              <w:top w:val="single" w:sz="4" w:space="0" w:color="808080"/>
              <w:left w:val="single" w:sz="4" w:space="0" w:color="808080"/>
              <w:right w:val="single" w:sz="4" w:space="0" w:color="808080"/>
            </w:tcBorders>
            <w:tcMar>
              <w:left w:w="29" w:type="dxa"/>
              <w:right w:w="29" w:type="dxa"/>
            </w:tcMar>
          </w:tcPr>
          <w:p w14:paraId="3BF6A0DA" w14:textId="77777777" w:rsidR="000B16B5" w:rsidRPr="00D36183" w:rsidRDefault="000B16B5" w:rsidP="000B16B5">
            <w:pPr>
              <w:rPr>
                <w:sz w:val="22"/>
              </w:rPr>
            </w:pPr>
            <w:r w:rsidRPr="00D36183">
              <w:rPr>
                <w:sz w:val="22"/>
              </w:rPr>
              <w:t>62</w:t>
            </w:r>
          </w:p>
        </w:tc>
        <w:tc>
          <w:tcPr>
            <w:tcW w:w="834" w:type="dxa"/>
            <w:tcBorders>
              <w:top w:val="single" w:sz="4" w:space="0" w:color="808080"/>
              <w:left w:val="single" w:sz="4" w:space="0" w:color="808080"/>
              <w:right w:val="single" w:sz="4" w:space="0" w:color="808080"/>
            </w:tcBorders>
            <w:tcMar>
              <w:left w:w="29" w:type="dxa"/>
              <w:right w:w="29" w:type="dxa"/>
            </w:tcMar>
          </w:tcPr>
          <w:p w14:paraId="7F85A9C0" w14:textId="77777777" w:rsidR="000B16B5" w:rsidRPr="00D36183" w:rsidRDefault="000B16B5" w:rsidP="000B16B5">
            <w:pPr>
              <w:rPr>
                <w:sz w:val="22"/>
              </w:rPr>
            </w:pPr>
            <w:r w:rsidRPr="00D36183">
              <w:rPr>
                <w:sz w:val="22"/>
              </w:rPr>
              <w:t>62</w:t>
            </w:r>
          </w:p>
        </w:tc>
        <w:tc>
          <w:tcPr>
            <w:tcW w:w="835" w:type="dxa"/>
            <w:tcBorders>
              <w:top w:val="single" w:sz="4" w:space="0" w:color="808080"/>
              <w:left w:val="single" w:sz="4" w:space="0" w:color="808080"/>
              <w:right w:val="single" w:sz="4" w:space="0" w:color="808080"/>
            </w:tcBorders>
            <w:tcMar>
              <w:left w:w="29" w:type="dxa"/>
              <w:right w:w="29" w:type="dxa"/>
            </w:tcMar>
          </w:tcPr>
          <w:p w14:paraId="45CE33CB" w14:textId="77777777" w:rsidR="000B16B5" w:rsidRPr="00D36183" w:rsidRDefault="000B16B5" w:rsidP="000B16B5">
            <w:pPr>
              <w:rPr>
                <w:sz w:val="22"/>
              </w:rPr>
            </w:pPr>
            <w:r w:rsidRPr="00D36183">
              <w:rPr>
                <w:sz w:val="22"/>
              </w:rPr>
              <w:t>58</w:t>
            </w:r>
          </w:p>
        </w:tc>
        <w:tc>
          <w:tcPr>
            <w:tcW w:w="834" w:type="dxa"/>
            <w:tcBorders>
              <w:top w:val="single" w:sz="4" w:space="0" w:color="808080"/>
              <w:left w:val="single" w:sz="4" w:space="0" w:color="808080"/>
              <w:right w:val="single" w:sz="4" w:space="0" w:color="808080"/>
            </w:tcBorders>
            <w:tcMar>
              <w:left w:w="29" w:type="dxa"/>
              <w:right w:w="29" w:type="dxa"/>
            </w:tcMar>
          </w:tcPr>
          <w:p w14:paraId="12A5D521" w14:textId="77777777" w:rsidR="000B16B5" w:rsidRPr="00D36183" w:rsidRDefault="000B16B5" w:rsidP="000B16B5">
            <w:pPr>
              <w:rPr>
                <w:sz w:val="22"/>
              </w:rPr>
            </w:pPr>
            <w:r w:rsidRPr="00D36183">
              <w:rPr>
                <w:sz w:val="22"/>
              </w:rPr>
              <w:t>50</w:t>
            </w:r>
          </w:p>
        </w:tc>
        <w:tc>
          <w:tcPr>
            <w:tcW w:w="834" w:type="dxa"/>
            <w:tcBorders>
              <w:top w:val="single" w:sz="4" w:space="0" w:color="808080"/>
              <w:left w:val="single" w:sz="4" w:space="0" w:color="808080"/>
              <w:right w:val="single" w:sz="4" w:space="0" w:color="808080"/>
            </w:tcBorders>
            <w:tcMar>
              <w:left w:w="29" w:type="dxa"/>
              <w:right w:w="29" w:type="dxa"/>
            </w:tcMar>
          </w:tcPr>
          <w:p w14:paraId="7EEE196B" w14:textId="77777777" w:rsidR="000B16B5" w:rsidRPr="00D36183" w:rsidRDefault="000B16B5" w:rsidP="000B16B5">
            <w:pPr>
              <w:rPr>
                <w:sz w:val="22"/>
              </w:rPr>
            </w:pPr>
            <w:r w:rsidRPr="00D36183">
              <w:rPr>
                <w:sz w:val="22"/>
              </w:rPr>
              <w:t>37</w:t>
            </w:r>
          </w:p>
        </w:tc>
        <w:tc>
          <w:tcPr>
            <w:tcW w:w="834" w:type="dxa"/>
            <w:tcBorders>
              <w:top w:val="single" w:sz="4" w:space="0" w:color="808080"/>
              <w:left w:val="single" w:sz="4" w:space="0" w:color="808080"/>
              <w:right w:val="single" w:sz="4" w:space="0" w:color="808080"/>
            </w:tcBorders>
            <w:tcMar>
              <w:left w:w="29" w:type="dxa"/>
              <w:right w:w="29" w:type="dxa"/>
            </w:tcMar>
          </w:tcPr>
          <w:p w14:paraId="0F521430" w14:textId="77777777" w:rsidR="000B16B5" w:rsidRPr="00D36183" w:rsidRDefault="000B16B5" w:rsidP="000B16B5">
            <w:pPr>
              <w:rPr>
                <w:sz w:val="22"/>
              </w:rPr>
            </w:pPr>
            <w:r w:rsidRPr="00D36183">
              <w:rPr>
                <w:sz w:val="22"/>
              </w:rPr>
              <w:t>22</w:t>
            </w:r>
          </w:p>
        </w:tc>
        <w:tc>
          <w:tcPr>
            <w:tcW w:w="835" w:type="dxa"/>
            <w:tcBorders>
              <w:top w:val="single" w:sz="4" w:space="0" w:color="808080"/>
              <w:left w:val="single" w:sz="4" w:space="0" w:color="808080"/>
              <w:right w:val="single" w:sz="4" w:space="0" w:color="808080"/>
            </w:tcBorders>
            <w:tcMar>
              <w:left w:w="29" w:type="dxa"/>
              <w:right w:w="29" w:type="dxa"/>
            </w:tcMar>
          </w:tcPr>
          <w:p w14:paraId="5ADD21B8" w14:textId="77777777" w:rsidR="000B16B5" w:rsidRPr="00D36183" w:rsidRDefault="000B16B5" w:rsidP="000B16B5">
            <w:pPr>
              <w:rPr>
                <w:sz w:val="22"/>
              </w:rPr>
            </w:pPr>
            <w:r w:rsidRPr="00D36183">
              <w:rPr>
                <w:sz w:val="22"/>
              </w:rPr>
              <w:t>15</w:t>
            </w:r>
          </w:p>
        </w:tc>
      </w:tr>
      <w:tr w:rsidR="000B16B5" w:rsidRPr="00D36183" w14:paraId="30924EA7" w14:textId="77777777" w:rsidTr="000B16B5">
        <w:trPr>
          <w:cantSplit/>
          <w:jc w:val="center"/>
        </w:trPr>
        <w:tc>
          <w:tcPr>
            <w:tcW w:w="1701" w:type="dxa"/>
            <w:tcBorders>
              <w:left w:val="single" w:sz="4" w:space="0" w:color="808080"/>
              <w:right w:val="single" w:sz="4" w:space="0" w:color="808080"/>
            </w:tcBorders>
            <w:tcMar>
              <w:left w:w="29" w:type="dxa"/>
              <w:right w:w="29" w:type="dxa"/>
            </w:tcMar>
          </w:tcPr>
          <w:p w14:paraId="32DCB919" w14:textId="1FBBD6D8" w:rsidR="000B16B5" w:rsidRPr="00D36183" w:rsidRDefault="009162D2" w:rsidP="000B16B5">
            <w:pPr>
              <w:rPr>
                <w:sz w:val="22"/>
              </w:rPr>
            </w:pPr>
            <w:r w:rsidRPr="00D36183">
              <w:rPr>
                <w:sz w:val="22"/>
              </w:rPr>
              <w:t>Mean</w:t>
            </w:r>
            <w:r w:rsidRPr="00D36183">
              <w:rPr>
                <w:sz w:val="22"/>
              </w:rPr>
              <w:br/>
            </w:r>
            <w:r w:rsidR="000B16B5" w:rsidRPr="00D36183">
              <w:rPr>
                <w:sz w:val="22"/>
              </w:rPr>
              <w:t>(SD)</w:t>
            </w:r>
          </w:p>
        </w:tc>
        <w:tc>
          <w:tcPr>
            <w:tcW w:w="834" w:type="dxa"/>
            <w:tcBorders>
              <w:left w:val="single" w:sz="4" w:space="0" w:color="808080"/>
              <w:right w:val="single" w:sz="4" w:space="0" w:color="808080"/>
            </w:tcBorders>
            <w:tcMar>
              <w:left w:w="29" w:type="dxa"/>
              <w:right w:w="29" w:type="dxa"/>
            </w:tcMar>
          </w:tcPr>
          <w:p w14:paraId="58B5C4C7" w14:textId="77777777" w:rsidR="000B16B5" w:rsidRPr="00D36183" w:rsidRDefault="000B16B5" w:rsidP="000B16B5">
            <w:pPr>
              <w:rPr>
                <w:sz w:val="22"/>
              </w:rPr>
            </w:pPr>
            <w:r w:rsidRPr="00D36183">
              <w:rPr>
                <w:sz w:val="22"/>
              </w:rPr>
              <w:t>-3.4 (1.6)</w:t>
            </w:r>
          </w:p>
        </w:tc>
        <w:tc>
          <w:tcPr>
            <w:tcW w:w="834" w:type="dxa"/>
            <w:tcBorders>
              <w:left w:val="single" w:sz="4" w:space="0" w:color="808080"/>
              <w:right w:val="single" w:sz="4" w:space="0" w:color="808080"/>
            </w:tcBorders>
            <w:tcMar>
              <w:left w:w="29" w:type="dxa"/>
              <w:right w:w="29" w:type="dxa"/>
            </w:tcMar>
          </w:tcPr>
          <w:p w14:paraId="504AF82F" w14:textId="59F74B9A" w:rsidR="000B16B5" w:rsidRPr="00D36183" w:rsidRDefault="000B16B5" w:rsidP="000B16B5">
            <w:pPr>
              <w:rPr>
                <w:sz w:val="22"/>
              </w:rPr>
            </w:pPr>
            <w:r w:rsidRPr="00D36183">
              <w:rPr>
                <w:sz w:val="22"/>
              </w:rPr>
              <w:t xml:space="preserve">1.7 </w:t>
            </w:r>
            <w:r w:rsidR="00676FBB" w:rsidRPr="00D36183">
              <w:rPr>
                <w:sz w:val="22"/>
              </w:rPr>
              <w:t xml:space="preserve"> </w:t>
            </w:r>
            <w:r w:rsidRPr="00D36183">
              <w:rPr>
                <w:sz w:val="22"/>
              </w:rPr>
              <w:t>(2.8)</w:t>
            </w:r>
          </w:p>
        </w:tc>
        <w:tc>
          <w:tcPr>
            <w:tcW w:w="834" w:type="dxa"/>
            <w:tcBorders>
              <w:left w:val="single" w:sz="4" w:space="0" w:color="808080"/>
              <w:right w:val="single" w:sz="4" w:space="0" w:color="808080"/>
            </w:tcBorders>
            <w:tcMar>
              <w:left w:w="29" w:type="dxa"/>
              <w:right w:w="29" w:type="dxa"/>
            </w:tcMar>
          </w:tcPr>
          <w:p w14:paraId="67200082" w14:textId="77777777" w:rsidR="000B16B5" w:rsidRPr="00D36183" w:rsidRDefault="000B16B5" w:rsidP="000B16B5">
            <w:pPr>
              <w:rPr>
                <w:sz w:val="22"/>
              </w:rPr>
            </w:pPr>
            <w:r w:rsidRPr="00D36183">
              <w:rPr>
                <w:sz w:val="22"/>
              </w:rPr>
              <w:t>-0.0 (1.7)</w:t>
            </w:r>
          </w:p>
        </w:tc>
        <w:tc>
          <w:tcPr>
            <w:tcW w:w="834" w:type="dxa"/>
            <w:tcBorders>
              <w:left w:val="single" w:sz="4" w:space="0" w:color="808080"/>
              <w:right w:val="single" w:sz="4" w:space="0" w:color="808080"/>
            </w:tcBorders>
            <w:tcMar>
              <w:left w:w="29" w:type="dxa"/>
              <w:right w:w="29" w:type="dxa"/>
            </w:tcMar>
          </w:tcPr>
          <w:p w14:paraId="51C06879" w14:textId="77777777" w:rsidR="000B16B5" w:rsidRPr="00D36183" w:rsidRDefault="000B16B5" w:rsidP="000B16B5">
            <w:pPr>
              <w:rPr>
                <w:sz w:val="22"/>
              </w:rPr>
            </w:pPr>
            <w:r w:rsidRPr="00D36183">
              <w:rPr>
                <w:sz w:val="22"/>
              </w:rPr>
              <w:t>-0.1 (1.9)</w:t>
            </w:r>
          </w:p>
        </w:tc>
        <w:tc>
          <w:tcPr>
            <w:tcW w:w="835" w:type="dxa"/>
            <w:tcBorders>
              <w:left w:val="single" w:sz="4" w:space="0" w:color="808080"/>
              <w:right w:val="single" w:sz="4" w:space="0" w:color="808080"/>
            </w:tcBorders>
            <w:tcMar>
              <w:left w:w="29" w:type="dxa"/>
              <w:right w:w="29" w:type="dxa"/>
            </w:tcMar>
          </w:tcPr>
          <w:p w14:paraId="5D74BD5A" w14:textId="77777777" w:rsidR="000B16B5" w:rsidRPr="00D36183" w:rsidRDefault="000B16B5" w:rsidP="000B16B5">
            <w:pPr>
              <w:rPr>
                <w:sz w:val="22"/>
              </w:rPr>
            </w:pPr>
            <w:r w:rsidRPr="00D36183">
              <w:rPr>
                <w:sz w:val="22"/>
              </w:rPr>
              <w:t>-0.2 (1.9)</w:t>
            </w:r>
          </w:p>
        </w:tc>
        <w:tc>
          <w:tcPr>
            <w:tcW w:w="834" w:type="dxa"/>
            <w:tcBorders>
              <w:left w:val="single" w:sz="4" w:space="0" w:color="808080"/>
              <w:right w:val="single" w:sz="4" w:space="0" w:color="808080"/>
            </w:tcBorders>
            <w:tcMar>
              <w:left w:w="29" w:type="dxa"/>
              <w:right w:w="29" w:type="dxa"/>
            </w:tcMar>
          </w:tcPr>
          <w:p w14:paraId="629105E7" w14:textId="77777777" w:rsidR="000B16B5" w:rsidRPr="00D36183" w:rsidRDefault="000B16B5" w:rsidP="000B16B5">
            <w:pPr>
              <w:rPr>
                <w:sz w:val="22"/>
              </w:rPr>
            </w:pPr>
            <w:r w:rsidRPr="00D36183">
              <w:rPr>
                <w:sz w:val="22"/>
              </w:rPr>
              <w:t>-0.3 (1.7)</w:t>
            </w:r>
          </w:p>
        </w:tc>
        <w:tc>
          <w:tcPr>
            <w:tcW w:w="834" w:type="dxa"/>
            <w:tcBorders>
              <w:left w:val="single" w:sz="4" w:space="0" w:color="808080"/>
              <w:right w:val="single" w:sz="4" w:space="0" w:color="808080"/>
            </w:tcBorders>
            <w:tcMar>
              <w:left w:w="29" w:type="dxa"/>
              <w:right w:w="29" w:type="dxa"/>
            </w:tcMar>
          </w:tcPr>
          <w:p w14:paraId="709C5172" w14:textId="6C2E1FB6" w:rsidR="000B16B5" w:rsidRPr="00D36183" w:rsidRDefault="000B16B5" w:rsidP="000B16B5">
            <w:pPr>
              <w:rPr>
                <w:sz w:val="22"/>
              </w:rPr>
            </w:pPr>
            <w:r w:rsidRPr="00D36183">
              <w:rPr>
                <w:sz w:val="22"/>
              </w:rPr>
              <w:t>-0.</w:t>
            </w:r>
            <w:r w:rsidR="00676FBB" w:rsidRPr="00D36183">
              <w:rPr>
                <w:sz w:val="22"/>
              </w:rPr>
              <w:t>2</w:t>
            </w:r>
            <w:r w:rsidR="00676FBB" w:rsidRPr="00D36183">
              <w:rPr>
                <w:sz w:val="22"/>
              </w:rPr>
              <w:br/>
            </w:r>
            <w:r w:rsidRPr="00D36183">
              <w:rPr>
                <w:sz w:val="22"/>
              </w:rPr>
              <w:t xml:space="preserve"> (1.</w:t>
            </w:r>
            <w:r w:rsidRPr="00D36183" w:rsidDel="00EE68AF">
              <w:rPr>
                <w:sz w:val="22"/>
              </w:rPr>
              <w:t xml:space="preserve"> </w:t>
            </w:r>
            <w:r w:rsidRPr="00D36183">
              <w:rPr>
                <w:sz w:val="22"/>
              </w:rPr>
              <w:t>6)</w:t>
            </w:r>
          </w:p>
        </w:tc>
        <w:tc>
          <w:tcPr>
            <w:tcW w:w="834" w:type="dxa"/>
            <w:tcBorders>
              <w:left w:val="single" w:sz="4" w:space="0" w:color="808080"/>
              <w:right w:val="single" w:sz="4" w:space="0" w:color="808080"/>
            </w:tcBorders>
            <w:tcMar>
              <w:left w:w="29" w:type="dxa"/>
              <w:right w:w="29" w:type="dxa"/>
            </w:tcMar>
          </w:tcPr>
          <w:p w14:paraId="37ED7D26" w14:textId="77777777" w:rsidR="000B16B5" w:rsidRPr="00D36183" w:rsidRDefault="000B16B5" w:rsidP="000B16B5">
            <w:pPr>
              <w:rPr>
                <w:sz w:val="22"/>
              </w:rPr>
            </w:pPr>
            <w:r w:rsidRPr="00D36183">
              <w:rPr>
                <w:sz w:val="22"/>
              </w:rPr>
              <w:t>-0.</w:t>
            </w:r>
            <w:r w:rsidRPr="00D36183" w:rsidDel="00EE68AF">
              <w:rPr>
                <w:sz w:val="22"/>
              </w:rPr>
              <w:t xml:space="preserve"> </w:t>
            </w:r>
            <w:r w:rsidRPr="00D36183">
              <w:rPr>
                <w:sz w:val="22"/>
              </w:rPr>
              <w:t>5 (1.7)</w:t>
            </w:r>
          </w:p>
        </w:tc>
        <w:tc>
          <w:tcPr>
            <w:tcW w:w="835" w:type="dxa"/>
            <w:tcBorders>
              <w:left w:val="single" w:sz="4" w:space="0" w:color="808080"/>
              <w:right w:val="single" w:sz="4" w:space="0" w:color="808080"/>
            </w:tcBorders>
            <w:tcMar>
              <w:left w:w="29" w:type="dxa"/>
              <w:right w:w="29" w:type="dxa"/>
            </w:tcMar>
          </w:tcPr>
          <w:p w14:paraId="2CE6E2AA" w14:textId="77777777" w:rsidR="000B16B5" w:rsidRPr="00D36183" w:rsidRDefault="000B16B5" w:rsidP="000B16B5">
            <w:pPr>
              <w:rPr>
                <w:sz w:val="22"/>
              </w:rPr>
            </w:pPr>
            <w:r w:rsidRPr="00D36183">
              <w:rPr>
                <w:sz w:val="22"/>
              </w:rPr>
              <w:t>-0.2 (1.6)</w:t>
            </w:r>
          </w:p>
        </w:tc>
      </w:tr>
      <w:tr w:rsidR="000B16B5" w:rsidRPr="00D36183" w14:paraId="5286C206" w14:textId="77777777" w:rsidTr="000B16B5">
        <w:trPr>
          <w:cantSplit/>
          <w:jc w:val="center"/>
        </w:trPr>
        <w:tc>
          <w:tcPr>
            <w:tcW w:w="1701" w:type="dxa"/>
            <w:tcBorders>
              <w:left w:val="single" w:sz="4" w:space="0" w:color="808080"/>
              <w:bottom w:val="single" w:sz="4" w:space="0" w:color="808080"/>
              <w:right w:val="single" w:sz="4" w:space="0" w:color="808080"/>
            </w:tcBorders>
            <w:tcMar>
              <w:left w:w="29" w:type="dxa"/>
              <w:right w:w="29" w:type="dxa"/>
            </w:tcMar>
          </w:tcPr>
          <w:p w14:paraId="77E02DAA" w14:textId="77777777" w:rsidR="000B16B5" w:rsidRPr="00D36183" w:rsidRDefault="000B16B5" w:rsidP="008D596A">
            <w:pPr>
              <w:spacing w:after="0"/>
              <w:rPr>
                <w:sz w:val="22"/>
              </w:rPr>
            </w:pPr>
            <w:r w:rsidRPr="00D36183">
              <w:rPr>
                <w:sz w:val="22"/>
              </w:rPr>
              <w:t>Mean (SD) for change from pre-Tx</w:t>
            </w:r>
          </w:p>
          <w:p w14:paraId="6E44BA28" w14:textId="77777777" w:rsidR="000B16B5" w:rsidRPr="00D36183" w:rsidRDefault="000B16B5" w:rsidP="008D596A">
            <w:pPr>
              <w:spacing w:after="0"/>
              <w:rPr>
                <w:sz w:val="22"/>
              </w:rPr>
            </w:pPr>
            <w:r w:rsidRPr="00D36183">
              <w:rPr>
                <w:sz w:val="22"/>
              </w:rPr>
              <w:t>P-value for change from pre-Tx [1]</w:t>
            </w:r>
          </w:p>
        </w:tc>
        <w:tc>
          <w:tcPr>
            <w:tcW w:w="834" w:type="dxa"/>
            <w:tcBorders>
              <w:left w:val="single" w:sz="4" w:space="0" w:color="808080"/>
              <w:bottom w:val="single" w:sz="4" w:space="0" w:color="808080"/>
              <w:right w:val="single" w:sz="4" w:space="0" w:color="808080"/>
            </w:tcBorders>
            <w:tcMar>
              <w:left w:w="29" w:type="dxa"/>
              <w:right w:w="29" w:type="dxa"/>
            </w:tcMar>
          </w:tcPr>
          <w:p w14:paraId="5DA683D8" w14:textId="77777777" w:rsidR="000B16B5" w:rsidRPr="00D36183" w:rsidRDefault="000B16B5" w:rsidP="000B16B5">
            <w:pPr>
              <w:rPr>
                <w:sz w:val="22"/>
              </w:rPr>
            </w:pPr>
          </w:p>
        </w:tc>
        <w:tc>
          <w:tcPr>
            <w:tcW w:w="834" w:type="dxa"/>
            <w:tcBorders>
              <w:left w:val="single" w:sz="4" w:space="0" w:color="808080"/>
              <w:bottom w:val="single" w:sz="4" w:space="0" w:color="808080"/>
              <w:right w:val="single" w:sz="4" w:space="0" w:color="808080"/>
            </w:tcBorders>
            <w:tcMar>
              <w:left w:w="29" w:type="dxa"/>
              <w:right w:w="29" w:type="dxa"/>
            </w:tcMar>
          </w:tcPr>
          <w:p w14:paraId="581CE449" w14:textId="77777777" w:rsidR="000B16B5" w:rsidRPr="00D36183" w:rsidRDefault="000B16B5" w:rsidP="000B16B5">
            <w:pPr>
              <w:rPr>
                <w:sz w:val="22"/>
              </w:rPr>
            </w:pPr>
            <w:r w:rsidRPr="00D36183">
              <w:rPr>
                <w:sz w:val="22"/>
              </w:rPr>
              <w:t>+5.2 (2.9)</w:t>
            </w:r>
          </w:p>
          <w:p w14:paraId="676EB728"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1D75764A" w14:textId="77777777" w:rsidR="000B16B5" w:rsidRPr="00D36183" w:rsidRDefault="000B16B5" w:rsidP="000B16B5">
            <w:pPr>
              <w:rPr>
                <w:sz w:val="22"/>
              </w:rPr>
            </w:pPr>
            <w:r w:rsidRPr="00D36183">
              <w:rPr>
                <w:sz w:val="22"/>
              </w:rPr>
              <w:t>+3.4 (2.4)</w:t>
            </w:r>
          </w:p>
          <w:p w14:paraId="3E47B8EB"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608DE683" w14:textId="38670A5E" w:rsidR="000B16B5" w:rsidRPr="00D36183" w:rsidRDefault="00676FBB" w:rsidP="000B16B5">
            <w:pPr>
              <w:rPr>
                <w:sz w:val="22"/>
              </w:rPr>
            </w:pPr>
            <w:r w:rsidRPr="00D36183">
              <w:rPr>
                <w:sz w:val="22"/>
              </w:rPr>
              <w:t>+3.3</w:t>
            </w:r>
            <w:r w:rsidRPr="00D36183">
              <w:rPr>
                <w:sz w:val="22"/>
              </w:rPr>
              <w:br/>
            </w:r>
            <w:r w:rsidR="000B16B5" w:rsidRPr="00D36183">
              <w:rPr>
                <w:sz w:val="22"/>
              </w:rPr>
              <w:t>(2.</w:t>
            </w:r>
            <w:r w:rsidR="000B16B5" w:rsidRPr="00D36183" w:rsidDel="00EE68AF">
              <w:rPr>
                <w:sz w:val="22"/>
              </w:rPr>
              <w:t xml:space="preserve"> </w:t>
            </w:r>
            <w:r w:rsidR="000B16B5" w:rsidRPr="00D36183">
              <w:rPr>
                <w:sz w:val="22"/>
              </w:rPr>
              <w:t>3)</w:t>
            </w:r>
          </w:p>
          <w:p w14:paraId="3ED112F2" w14:textId="77777777" w:rsidR="000B16B5" w:rsidRPr="00D36183" w:rsidRDefault="000B16B5" w:rsidP="000B16B5">
            <w:pPr>
              <w:rPr>
                <w:sz w:val="22"/>
              </w:rPr>
            </w:pPr>
            <w:r w:rsidRPr="00D36183">
              <w:rPr>
                <w:sz w:val="22"/>
              </w:rPr>
              <w:t>&lt;0.0001</w:t>
            </w:r>
          </w:p>
        </w:tc>
        <w:tc>
          <w:tcPr>
            <w:tcW w:w="835" w:type="dxa"/>
            <w:tcBorders>
              <w:left w:val="single" w:sz="4" w:space="0" w:color="808080"/>
              <w:bottom w:val="single" w:sz="4" w:space="0" w:color="808080"/>
              <w:right w:val="single" w:sz="4" w:space="0" w:color="808080"/>
            </w:tcBorders>
            <w:tcMar>
              <w:left w:w="29" w:type="dxa"/>
              <w:right w:w="29" w:type="dxa"/>
            </w:tcMar>
          </w:tcPr>
          <w:p w14:paraId="75D0A235" w14:textId="77777777" w:rsidR="000B16B5" w:rsidRPr="00D36183" w:rsidRDefault="000B16B5" w:rsidP="000B16B5">
            <w:pPr>
              <w:rPr>
                <w:sz w:val="22"/>
              </w:rPr>
            </w:pPr>
            <w:r w:rsidRPr="00D36183">
              <w:rPr>
                <w:sz w:val="22"/>
              </w:rPr>
              <w:t>+3.2 (2.1)</w:t>
            </w:r>
          </w:p>
          <w:p w14:paraId="5FEBB25B"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7026247F" w14:textId="77777777" w:rsidR="000B16B5" w:rsidRPr="00D36183" w:rsidRDefault="000B16B5" w:rsidP="000B16B5">
            <w:pPr>
              <w:rPr>
                <w:sz w:val="22"/>
              </w:rPr>
            </w:pPr>
            <w:r w:rsidRPr="00D36183">
              <w:rPr>
                <w:sz w:val="22"/>
              </w:rPr>
              <w:t>+3.2 (2.1)</w:t>
            </w:r>
          </w:p>
          <w:p w14:paraId="02531B5E" w14:textId="77777777" w:rsidR="000B16B5" w:rsidRPr="00D36183" w:rsidRDefault="000B16B5" w:rsidP="000B16B5">
            <w:pPr>
              <w:rPr>
                <w:sz w:val="22"/>
              </w:rPr>
            </w:pPr>
            <w:r w:rsidRPr="00D36183">
              <w:rPr>
                <w:sz w:val="22"/>
              </w:rPr>
              <w:t>0.0001</w:t>
            </w:r>
          </w:p>
        </w:tc>
        <w:tc>
          <w:tcPr>
            <w:tcW w:w="834" w:type="dxa"/>
            <w:tcBorders>
              <w:left w:val="single" w:sz="4" w:space="0" w:color="808080"/>
              <w:bottom w:val="single" w:sz="4" w:space="0" w:color="808080"/>
              <w:right w:val="single" w:sz="4" w:space="0" w:color="808080"/>
            </w:tcBorders>
            <w:tcMar>
              <w:left w:w="29" w:type="dxa"/>
              <w:right w:w="29" w:type="dxa"/>
            </w:tcMar>
          </w:tcPr>
          <w:p w14:paraId="494DA91C" w14:textId="77777777" w:rsidR="000B16B5" w:rsidRPr="00D36183" w:rsidRDefault="000B16B5" w:rsidP="000B16B5">
            <w:pPr>
              <w:rPr>
                <w:sz w:val="22"/>
              </w:rPr>
            </w:pPr>
            <w:r w:rsidRPr="00D36183">
              <w:rPr>
                <w:sz w:val="22"/>
              </w:rPr>
              <w:t>+3.3 (2.0)</w:t>
            </w:r>
          </w:p>
          <w:p w14:paraId="435D6759"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71529972" w14:textId="77777777" w:rsidR="000B16B5" w:rsidRPr="00D36183" w:rsidRDefault="000B16B5" w:rsidP="000B16B5">
            <w:pPr>
              <w:rPr>
                <w:sz w:val="22"/>
              </w:rPr>
            </w:pPr>
            <w:r w:rsidRPr="00D36183">
              <w:rPr>
                <w:sz w:val="22"/>
              </w:rPr>
              <w:t>+3.0 (2.1)</w:t>
            </w:r>
          </w:p>
          <w:p w14:paraId="08D59BA2" w14:textId="77777777" w:rsidR="000B16B5" w:rsidRPr="00D36183" w:rsidRDefault="000B16B5" w:rsidP="000B16B5">
            <w:pPr>
              <w:rPr>
                <w:sz w:val="22"/>
              </w:rPr>
            </w:pPr>
            <w:r w:rsidRPr="00D36183">
              <w:rPr>
                <w:sz w:val="22"/>
              </w:rPr>
              <w:t>&lt;0.0001</w:t>
            </w:r>
          </w:p>
        </w:tc>
        <w:tc>
          <w:tcPr>
            <w:tcW w:w="835" w:type="dxa"/>
            <w:tcBorders>
              <w:left w:val="single" w:sz="4" w:space="0" w:color="808080"/>
              <w:bottom w:val="single" w:sz="4" w:space="0" w:color="808080"/>
              <w:right w:val="single" w:sz="4" w:space="0" w:color="808080"/>
            </w:tcBorders>
            <w:tcMar>
              <w:left w:w="29" w:type="dxa"/>
              <w:right w:w="29" w:type="dxa"/>
            </w:tcMar>
          </w:tcPr>
          <w:p w14:paraId="05C05B04" w14:textId="77777777" w:rsidR="000B16B5" w:rsidRPr="00D36183" w:rsidRDefault="000B16B5" w:rsidP="000B16B5">
            <w:pPr>
              <w:rPr>
                <w:sz w:val="22"/>
              </w:rPr>
            </w:pPr>
            <w:r w:rsidRPr="00D36183">
              <w:rPr>
                <w:sz w:val="22"/>
              </w:rPr>
              <w:t>+3.3 (2.7)</w:t>
            </w:r>
          </w:p>
          <w:p w14:paraId="3F704EAB" w14:textId="77777777" w:rsidR="000B16B5" w:rsidRPr="00D36183" w:rsidRDefault="000B16B5" w:rsidP="000B16B5">
            <w:pPr>
              <w:rPr>
                <w:sz w:val="22"/>
              </w:rPr>
            </w:pPr>
            <w:r w:rsidRPr="00D36183">
              <w:rPr>
                <w:sz w:val="22"/>
              </w:rPr>
              <w:t>0.0003</w:t>
            </w:r>
          </w:p>
        </w:tc>
      </w:tr>
      <w:tr w:rsidR="000B16B5" w:rsidRPr="00D36183" w14:paraId="7577DAE4" w14:textId="77777777" w:rsidTr="000B16B5">
        <w:trPr>
          <w:cantSplit/>
          <w:jc w:val="center"/>
        </w:trPr>
        <w:tc>
          <w:tcPr>
            <w:tcW w:w="1701" w:type="dxa"/>
            <w:tcBorders>
              <w:top w:val="single" w:sz="4" w:space="0" w:color="808080"/>
              <w:left w:val="single" w:sz="4" w:space="0" w:color="808080"/>
              <w:bottom w:val="single" w:sz="4" w:space="0" w:color="808080"/>
              <w:right w:val="single" w:sz="4" w:space="0" w:color="808080"/>
            </w:tcBorders>
            <w:shd w:val="clear" w:color="auto" w:fill="auto"/>
            <w:tcMar>
              <w:left w:w="0" w:type="dxa"/>
              <w:right w:w="0" w:type="dxa"/>
            </w:tcMar>
          </w:tcPr>
          <w:p w14:paraId="16CE3A19" w14:textId="77777777" w:rsidR="000B16B5" w:rsidRPr="00D36183" w:rsidRDefault="000B16B5" w:rsidP="000B16B5">
            <w:pPr>
              <w:rPr>
                <w:b/>
                <w:bCs/>
                <w:sz w:val="22"/>
              </w:rPr>
            </w:pPr>
            <w:r w:rsidRPr="00D36183">
              <w:rPr>
                <w:b/>
                <w:bCs/>
                <w:sz w:val="22"/>
              </w:rPr>
              <w:t>Height SDS</w:t>
            </w: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0097835D"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4F9735B1"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76F395E6"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79CA929C" w14:textId="77777777" w:rsidR="000B16B5" w:rsidRPr="00D36183" w:rsidRDefault="000B16B5" w:rsidP="000B16B5">
            <w:pPr>
              <w:rPr>
                <w:sz w:val="22"/>
              </w:rPr>
            </w:pPr>
          </w:p>
        </w:tc>
        <w:tc>
          <w:tcPr>
            <w:tcW w:w="835"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6B6766D3"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78E0AC1A"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5E376099" w14:textId="77777777" w:rsidR="000B16B5" w:rsidRPr="00D36183" w:rsidRDefault="000B16B5" w:rsidP="000B16B5">
            <w:pPr>
              <w:rPr>
                <w:sz w:val="22"/>
              </w:rPr>
            </w:pPr>
          </w:p>
        </w:tc>
        <w:tc>
          <w:tcPr>
            <w:tcW w:w="834"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0D81B0DE" w14:textId="77777777" w:rsidR="000B16B5" w:rsidRPr="00D36183" w:rsidRDefault="000B16B5" w:rsidP="000B16B5">
            <w:pPr>
              <w:rPr>
                <w:sz w:val="22"/>
              </w:rPr>
            </w:pPr>
          </w:p>
        </w:tc>
        <w:tc>
          <w:tcPr>
            <w:tcW w:w="835" w:type="dxa"/>
            <w:tcBorders>
              <w:top w:val="single" w:sz="4" w:space="0" w:color="808080"/>
              <w:left w:val="single" w:sz="4" w:space="0" w:color="808080"/>
              <w:bottom w:val="single" w:sz="4" w:space="0" w:color="808080"/>
              <w:right w:val="single" w:sz="4" w:space="0" w:color="808080"/>
            </w:tcBorders>
            <w:shd w:val="clear" w:color="auto" w:fill="auto"/>
            <w:tcMar>
              <w:left w:w="29" w:type="dxa"/>
              <w:right w:w="29" w:type="dxa"/>
            </w:tcMar>
          </w:tcPr>
          <w:p w14:paraId="436ADB9C" w14:textId="77777777" w:rsidR="000B16B5" w:rsidRPr="00D36183" w:rsidRDefault="000B16B5" w:rsidP="000B16B5">
            <w:pPr>
              <w:rPr>
                <w:sz w:val="22"/>
              </w:rPr>
            </w:pPr>
          </w:p>
        </w:tc>
      </w:tr>
      <w:tr w:rsidR="000B16B5" w:rsidRPr="00D36183" w14:paraId="1BD58700" w14:textId="77777777" w:rsidTr="000B16B5">
        <w:trPr>
          <w:cantSplit/>
          <w:jc w:val="center"/>
        </w:trPr>
        <w:tc>
          <w:tcPr>
            <w:tcW w:w="1701" w:type="dxa"/>
            <w:tcBorders>
              <w:top w:val="single" w:sz="4" w:space="0" w:color="808080"/>
              <w:left w:val="single" w:sz="4" w:space="0" w:color="808080"/>
              <w:right w:val="single" w:sz="4" w:space="0" w:color="808080"/>
            </w:tcBorders>
            <w:tcMar>
              <w:left w:w="29" w:type="dxa"/>
              <w:right w:w="29" w:type="dxa"/>
            </w:tcMar>
          </w:tcPr>
          <w:p w14:paraId="12155A43" w14:textId="77777777" w:rsidR="000B16B5" w:rsidRPr="00D36183" w:rsidRDefault="000B16B5" w:rsidP="00676FBB">
            <w:pPr>
              <w:spacing w:after="0"/>
              <w:rPr>
                <w:sz w:val="22"/>
              </w:rPr>
            </w:pPr>
            <w:r w:rsidRPr="00D36183">
              <w:rPr>
                <w:sz w:val="22"/>
              </w:rPr>
              <w:t>N</w:t>
            </w:r>
          </w:p>
        </w:tc>
        <w:tc>
          <w:tcPr>
            <w:tcW w:w="834" w:type="dxa"/>
            <w:tcBorders>
              <w:top w:val="single" w:sz="4" w:space="0" w:color="808080"/>
              <w:left w:val="single" w:sz="4" w:space="0" w:color="808080"/>
              <w:right w:val="single" w:sz="4" w:space="0" w:color="808080"/>
            </w:tcBorders>
            <w:tcMar>
              <w:left w:w="29" w:type="dxa"/>
              <w:right w:w="29" w:type="dxa"/>
            </w:tcMar>
          </w:tcPr>
          <w:p w14:paraId="58347283" w14:textId="77777777" w:rsidR="000B16B5" w:rsidRPr="00D36183" w:rsidRDefault="000B16B5" w:rsidP="000B16B5">
            <w:pPr>
              <w:rPr>
                <w:sz w:val="22"/>
              </w:rPr>
            </w:pPr>
            <w:r w:rsidRPr="00D36183">
              <w:rPr>
                <w:sz w:val="22"/>
              </w:rPr>
              <w:t>81</w:t>
            </w:r>
          </w:p>
        </w:tc>
        <w:tc>
          <w:tcPr>
            <w:tcW w:w="834" w:type="dxa"/>
            <w:tcBorders>
              <w:top w:val="single" w:sz="4" w:space="0" w:color="808080"/>
              <w:left w:val="single" w:sz="4" w:space="0" w:color="808080"/>
              <w:right w:val="single" w:sz="4" w:space="0" w:color="808080"/>
            </w:tcBorders>
            <w:tcMar>
              <w:left w:w="29" w:type="dxa"/>
              <w:right w:w="29" w:type="dxa"/>
            </w:tcMar>
          </w:tcPr>
          <w:p w14:paraId="6F19F1F0" w14:textId="77777777" w:rsidR="000B16B5" w:rsidRPr="00D36183" w:rsidRDefault="000B16B5" w:rsidP="000B16B5">
            <w:pPr>
              <w:rPr>
                <w:sz w:val="22"/>
              </w:rPr>
            </w:pPr>
            <w:r w:rsidRPr="00D36183">
              <w:rPr>
                <w:sz w:val="22"/>
              </w:rPr>
              <w:t>81</w:t>
            </w:r>
          </w:p>
        </w:tc>
        <w:tc>
          <w:tcPr>
            <w:tcW w:w="834" w:type="dxa"/>
            <w:tcBorders>
              <w:top w:val="single" w:sz="4" w:space="0" w:color="808080"/>
              <w:left w:val="single" w:sz="4" w:space="0" w:color="808080"/>
              <w:right w:val="single" w:sz="4" w:space="0" w:color="808080"/>
            </w:tcBorders>
            <w:tcMar>
              <w:left w:w="29" w:type="dxa"/>
              <w:right w:w="29" w:type="dxa"/>
            </w:tcMar>
          </w:tcPr>
          <w:p w14:paraId="51638909" w14:textId="77777777" w:rsidR="000B16B5" w:rsidRPr="00D36183" w:rsidRDefault="000B16B5" w:rsidP="000B16B5">
            <w:pPr>
              <w:rPr>
                <w:sz w:val="22"/>
              </w:rPr>
            </w:pPr>
            <w:r w:rsidRPr="00D36183">
              <w:rPr>
                <w:sz w:val="22"/>
              </w:rPr>
              <w:t>67</w:t>
            </w:r>
          </w:p>
        </w:tc>
        <w:tc>
          <w:tcPr>
            <w:tcW w:w="834" w:type="dxa"/>
            <w:tcBorders>
              <w:top w:val="single" w:sz="4" w:space="0" w:color="808080"/>
              <w:left w:val="single" w:sz="4" w:space="0" w:color="808080"/>
              <w:right w:val="single" w:sz="4" w:space="0" w:color="808080"/>
            </w:tcBorders>
            <w:tcMar>
              <w:left w:w="29" w:type="dxa"/>
              <w:right w:w="29" w:type="dxa"/>
            </w:tcMar>
          </w:tcPr>
          <w:p w14:paraId="728CFA0E" w14:textId="77777777" w:rsidR="000B16B5" w:rsidRPr="00D36183" w:rsidRDefault="000B16B5" w:rsidP="000B16B5">
            <w:pPr>
              <w:rPr>
                <w:sz w:val="22"/>
              </w:rPr>
            </w:pPr>
            <w:r w:rsidRPr="00D36183">
              <w:rPr>
                <w:sz w:val="22"/>
              </w:rPr>
              <w:t>66</w:t>
            </w:r>
          </w:p>
        </w:tc>
        <w:tc>
          <w:tcPr>
            <w:tcW w:w="835" w:type="dxa"/>
            <w:tcBorders>
              <w:top w:val="single" w:sz="4" w:space="0" w:color="808080"/>
              <w:left w:val="single" w:sz="4" w:space="0" w:color="808080"/>
              <w:right w:val="single" w:sz="4" w:space="0" w:color="808080"/>
            </w:tcBorders>
            <w:tcMar>
              <w:left w:w="29" w:type="dxa"/>
              <w:right w:w="29" w:type="dxa"/>
            </w:tcMar>
          </w:tcPr>
          <w:p w14:paraId="2561D87C" w14:textId="77777777" w:rsidR="000B16B5" w:rsidRPr="00D36183" w:rsidRDefault="000B16B5" w:rsidP="000B16B5">
            <w:pPr>
              <w:rPr>
                <w:sz w:val="22"/>
              </w:rPr>
            </w:pPr>
            <w:r w:rsidRPr="00D36183">
              <w:rPr>
                <w:sz w:val="22"/>
              </w:rPr>
              <w:t>64</w:t>
            </w:r>
          </w:p>
        </w:tc>
        <w:tc>
          <w:tcPr>
            <w:tcW w:w="834" w:type="dxa"/>
            <w:tcBorders>
              <w:top w:val="single" w:sz="4" w:space="0" w:color="808080"/>
              <w:left w:val="single" w:sz="4" w:space="0" w:color="808080"/>
              <w:right w:val="single" w:sz="4" w:space="0" w:color="808080"/>
            </w:tcBorders>
            <w:tcMar>
              <w:left w:w="29" w:type="dxa"/>
              <w:right w:w="29" w:type="dxa"/>
            </w:tcMar>
          </w:tcPr>
          <w:p w14:paraId="35BAC804" w14:textId="77777777" w:rsidR="000B16B5" w:rsidRPr="00D36183" w:rsidRDefault="000B16B5" w:rsidP="000B16B5">
            <w:pPr>
              <w:rPr>
                <w:sz w:val="22"/>
              </w:rPr>
            </w:pPr>
            <w:r w:rsidRPr="00D36183">
              <w:rPr>
                <w:sz w:val="22"/>
              </w:rPr>
              <w:t>57</w:t>
            </w:r>
          </w:p>
        </w:tc>
        <w:tc>
          <w:tcPr>
            <w:tcW w:w="834" w:type="dxa"/>
            <w:tcBorders>
              <w:top w:val="single" w:sz="4" w:space="0" w:color="808080"/>
              <w:left w:val="single" w:sz="4" w:space="0" w:color="808080"/>
              <w:right w:val="single" w:sz="4" w:space="0" w:color="808080"/>
            </w:tcBorders>
            <w:tcMar>
              <w:left w:w="29" w:type="dxa"/>
              <w:right w:w="29" w:type="dxa"/>
            </w:tcMar>
          </w:tcPr>
          <w:p w14:paraId="5998196B" w14:textId="77777777" w:rsidR="000B16B5" w:rsidRPr="00D36183" w:rsidRDefault="000B16B5" w:rsidP="000B16B5">
            <w:pPr>
              <w:rPr>
                <w:sz w:val="22"/>
              </w:rPr>
            </w:pPr>
            <w:r w:rsidRPr="00D36183">
              <w:rPr>
                <w:sz w:val="22"/>
              </w:rPr>
              <w:t>41</w:t>
            </w:r>
          </w:p>
        </w:tc>
        <w:tc>
          <w:tcPr>
            <w:tcW w:w="834" w:type="dxa"/>
            <w:tcBorders>
              <w:top w:val="single" w:sz="4" w:space="0" w:color="808080"/>
              <w:left w:val="single" w:sz="4" w:space="0" w:color="808080"/>
              <w:right w:val="single" w:sz="4" w:space="0" w:color="808080"/>
            </w:tcBorders>
            <w:tcMar>
              <w:left w:w="29" w:type="dxa"/>
              <w:right w:w="29" w:type="dxa"/>
            </w:tcMar>
          </w:tcPr>
          <w:p w14:paraId="3B140127" w14:textId="77777777" w:rsidR="000B16B5" w:rsidRPr="00D36183" w:rsidRDefault="000B16B5" w:rsidP="000B16B5">
            <w:pPr>
              <w:rPr>
                <w:sz w:val="22"/>
              </w:rPr>
            </w:pPr>
            <w:r w:rsidRPr="00D36183">
              <w:rPr>
                <w:sz w:val="22"/>
              </w:rPr>
              <w:t>26</w:t>
            </w:r>
          </w:p>
        </w:tc>
        <w:tc>
          <w:tcPr>
            <w:tcW w:w="835" w:type="dxa"/>
            <w:tcBorders>
              <w:top w:val="single" w:sz="4" w:space="0" w:color="808080"/>
              <w:left w:val="single" w:sz="4" w:space="0" w:color="808080"/>
              <w:right w:val="single" w:sz="4" w:space="0" w:color="808080"/>
            </w:tcBorders>
            <w:tcMar>
              <w:left w:w="29" w:type="dxa"/>
              <w:right w:w="29" w:type="dxa"/>
            </w:tcMar>
          </w:tcPr>
          <w:p w14:paraId="097D027F" w14:textId="77777777" w:rsidR="000B16B5" w:rsidRPr="00D36183" w:rsidRDefault="000B16B5" w:rsidP="000B16B5">
            <w:pPr>
              <w:rPr>
                <w:sz w:val="22"/>
              </w:rPr>
            </w:pPr>
            <w:r w:rsidRPr="00D36183">
              <w:rPr>
                <w:sz w:val="22"/>
              </w:rPr>
              <w:t>19</w:t>
            </w:r>
          </w:p>
        </w:tc>
      </w:tr>
      <w:tr w:rsidR="000B16B5" w:rsidRPr="00D36183" w14:paraId="47265EB6" w14:textId="77777777" w:rsidTr="000B16B5">
        <w:trPr>
          <w:cantSplit/>
          <w:jc w:val="center"/>
        </w:trPr>
        <w:tc>
          <w:tcPr>
            <w:tcW w:w="1701" w:type="dxa"/>
            <w:tcBorders>
              <w:left w:val="single" w:sz="4" w:space="0" w:color="808080"/>
              <w:right w:val="single" w:sz="4" w:space="0" w:color="808080"/>
            </w:tcBorders>
            <w:tcMar>
              <w:left w:w="29" w:type="dxa"/>
              <w:right w:w="29" w:type="dxa"/>
            </w:tcMar>
          </w:tcPr>
          <w:p w14:paraId="69A8BBB4" w14:textId="624731A4" w:rsidR="000B16B5" w:rsidRPr="00D36183" w:rsidRDefault="00676FBB" w:rsidP="00676FBB">
            <w:pPr>
              <w:spacing w:after="0"/>
              <w:rPr>
                <w:sz w:val="22"/>
              </w:rPr>
            </w:pPr>
            <w:r w:rsidRPr="00D36183">
              <w:rPr>
                <w:sz w:val="22"/>
              </w:rPr>
              <w:t>Mean</w:t>
            </w:r>
            <w:r w:rsidRPr="00D36183">
              <w:rPr>
                <w:sz w:val="22"/>
              </w:rPr>
              <w:br/>
            </w:r>
            <w:r w:rsidR="000B16B5" w:rsidRPr="00D36183">
              <w:rPr>
                <w:sz w:val="22"/>
              </w:rPr>
              <w:t>(SD)</w:t>
            </w:r>
          </w:p>
        </w:tc>
        <w:tc>
          <w:tcPr>
            <w:tcW w:w="834" w:type="dxa"/>
            <w:tcBorders>
              <w:left w:val="single" w:sz="4" w:space="0" w:color="808080"/>
              <w:right w:val="single" w:sz="4" w:space="0" w:color="808080"/>
            </w:tcBorders>
            <w:tcMar>
              <w:left w:w="29" w:type="dxa"/>
              <w:right w:w="29" w:type="dxa"/>
            </w:tcMar>
          </w:tcPr>
          <w:p w14:paraId="0935C4C8" w14:textId="77777777" w:rsidR="000B16B5" w:rsidRPr="00D36183" w:rsidRDefault="000B16B5" w:rsidP="000B16B5">
            <w:pPr>
              <w:rPr>
                <w:sz w:val="22"/>
              </w:rPr>
            </w:pPr>
            <w:r w:rsidRPr="00D36183">
              <w:rPr>
                <w:sz w:val="22"/>
              </w:rPr>
              <w:t>-6.9 (1.8)</w:t>
            </w:r>
          </w:p>
        </w:tc>
        <w:tc>
          <w:tcPr>
            <w:tcW w:w="834" w:type="dxa"/>
            <w:tcBorders>
              <w:left w:val="single" w:sz="4" w:space="0" w:color="808080"/>
              <w:right w:val="single" w:sz="4" w:space="0" w:color="808080"/>
            </w:tcBorders>
            <w:tcMar>
              <w:left w:w="29" w:type="dxa"/>
              <w:right w:w="29" w:type="dxa"/>
            </w:tcMar>
          </w:tcPr>
          <w:p w14:paraId="6ECADEB5" w14:textId="77777777" w:rsidR="000B16B5" w:rsidRPr="00D36183" w:rsidRDefault="000B16B5" w:rsidP="000B16B5">
            <w:pPr>
              <w:rPr>
                <w:sz w:val="22"/>
              </w:rPr>
            </w:pPr>
            <w:r w:rsidRPr="00D36183">
              <w:rPr>
                <w:sz w:val="22"/>
              </w:rPr>
              <w:t>-6.1 (1.8)</w:t>
            </w:r>
          </w:p>
        </w:tc>
        <w:tc>
          <w:tcPr>
            <w:tcW w:w="834" w:type="dxa"/>
            <w:tcBorders>
              <w:left w:val="single" w:sz="4" w:space="0" w:color="808080"/>
              <w:right w:val="single" w:sz="4" w:space="0" w:color="808080"/>
            </w:tcBorders>
            <w:tcMar>
              <w:left w:w="29" w:type="dxa"/>
              <w:right w:w="29" w:type="dxa"/>
            </w:tcMar>
          </w:tcPr>
          <w:p w14:paraId="77CEAC7A" w14:textId="77777777" w:rsidR="000B16B5" w:rsidRPr="00D36183" w:rsidRDefault="000B16B5" w:rsidP="000B16B5">
            <w:pPr>
              <w:rPr>
                <w:sz w:val="22"/>
              </w:rPr>
            </w:pPr>
            <w:r w:rsidRPr="00D36183">
              <w:rPr>
                <w:sz w:val="22"/>
              </w:rPr>
              <w:t>-5.6 (1.7)</w:t>
            </w:r>
          </w:p>
        </w:tc>
        <w:tc>
          <w:tcPr>
            <w:tcW w:w="834" w:type="dxa"/>
            <w:tcBorders>
              <w:left w:val="single" w:sz="4" w:space="0" w:color="808080"/>
              <w:right w:val="single" w:sz="4" w:space="0" w:color="808080"/>
            </w:tcBorders>
            <w:tcMar>
              <w:left w:w="29" w:type="dxa"/>
              <w:right w:w="29" w:type="dxa"/>
            </w:tcMar>
          </w:tcPr>
          <w:p w14:paraId="4EBBC5B9" w14:textId="77777777" w:rsidR="000B16B5" w:rsidRPr="00D36183" w:rsidRDefault="000B16B5" w:rsidP="000B16B5">
            <w:pPr>
              <w:rPr>
                <w:sz w:val="22"/>
              </w:rPr>
            </w:pPr>
            <w:r w:rsidRPr="00D36183">
              <w:rPr>
                <w:sz w:val="22"/>
              </w:rPr>
              <w:t>-5.3 (1.7)</w:t>
            </w:r>
          </w:p>
        </w:tc>
        <w:tc>
          <w:tcPr>
            <w:tcW w:w="835" w:type="dxa"/>
            <w:tcBorders>
              <w:left w:val="single" w:sz="4" w:space="0" w:color="808080"/>
              <w:right w:val="single" w:sz="4" w:space="0" w:color="808080"/>
            </w:tcBorders>
            <w:tcMar>
              <w:left w:w="29" w:type="dxa"/>
              <w:right w:w="29" w:type="dxa"/>
            </w:tcMar>
          </w:tcPr>
          <w:p w14:paraId="149D185C" w14:textId="77777777" w:rsidR="000B16B5" w:rsidRPr="00D36183" w:rsidRDefault="000B16B5" w:rsidP="000B16B5">
            <w:pPr>
              <w:rPr>
                <w:sz w:val="22"/>
              </w:rPr>
            </w:pPr>
            <w:r w:rsidRPr="00D36183">
              <w:rPr>
                <w:sz w:val="22"/>
              </w:rPr>
              <w:t>-5.1 (1.7)</w:t>
            </w:r>
          </w:p>
        </w:tc>
        <w:tc>
          <w:tcPr>
            <w:tcW w:w="834" w:type="dxa"/>
            <w:tcBorders>
              <w:left w:val="single" w:sz="4" w:space="0" w:color="808080"/>
              <w:right w:val="single" w:sz="4" w:space="0" w:color="808080"/>
            </w:tcBorders>
            <w:tcMar>
              <w:left w:w="29" w:type="dxa"/>
              <w:right w:w="29" w:type="dxa"/>
            </w:tcMar>
          </w:tcPr>
          <w:p w14:paraId="69BC4634" w14:textId="77777777" w:rsidR="000B16B5" w:rsidRPr="00D36183" w:rsidRDefault="000B16B5" w:rsidP="000B16B5">
            <w:pPr>
              <w:rPr>
                <w:sz w:val="22"/>
              </w:rPr>
            </w:pPr>
            <w:r w:rsidRPr="00D36183">
              <w:rPr>
                <w:sz w:val="22"/>
              </w:rPr>
              <w:t>-5.0 (1.7)</w:t>
            </w:r>
          </w:p>
        </w:tc>
        <w:tc>
          <w:tcPr>
            <w:tcW w:w="834" w:type="dxa"/>
            <w:tcBorders>
              <w:left w:val="single" w:sz="4" w:space="0" w:color="808080"/>
              <w:right w:val="single" w:sz="4" w:space="0" w:color="808080"/>
            </w:tcBorders>
            <w:tcMar>
              <w:left w:w="29" w:type="dxa"/>
              <w:right w:w="29" w:type="dxa"/>
            </w:tcMar>
          </w:tcPr>
          <w:p w14:paraId="76DE2F59" w14:textId="77777777" w:rsidR="000B16B5" w:rsidRPr="00D36183" w:rsidRDefault="000B16B5" w:rsidP="000B16B5">
            <w:pPr>
              <w:rPr>
                <w:sz w:val="22"/>
              </w:rPr>
            </w:pPr>
            <w:r w:rsidRPr="00D36183">
              <w:rPr>
                <w:sz w:val="22"/>
              </w:rPr>
              <w:t>-4.9 (1.6)</w:t>
            </w:r>
          </w:p>
        </w:tc>
        <w:tc>
          <w:tcPr>
            <w:tcW w:w="834" w:type="dxa"/>
            <w:tcBorders>
              <w:left w:val="single" w:sz="4" w:space="0" w:color="808080"/>
              <w:right w:val="single" w:sz="4" w:space="0" w:color="808080"/>
            </w:tcBorders>
            <w:tcMar>
              <w:left w:w="29" w:type="dxa"/>
              <w:right w:w="29" w:type="dxa"/>
            </w:tcMar>
          </w:tcPr>
          <w:p w14:paraId="44CB7034" w14:textId="77777777" w:rsidR="000B16B5" w:rsidRPr="00D36183" w:rsidRDefault="000B16B5" w:rsidP="000B16B5">
            <w:pPr>
              <w:rPr>
                <w:sz w:val="22"/>
              </w:rPr>
            </w:pPr>
            <w:r w:rsidRPr="00D36183">
              <w:rPr>
                <w:sz w:val="22"/>
              </w:rPr>
              <w:t>-4.9 (1.7)</w:t>
            </w:r>
          </w:p>
        </w:tc>
        <w:tc>
          <w:tcPr>
            <w:tcW w:w="835" w:type="dxa"/>
            <w:tcBorders>
              <w:left w:val="single" w:sz="4" w:space="0" w:color="808080"/>
              <w:right w:val="single" w:sz="4" w:space="0" w:color="808080"/>
            </w:tcBorders>
            <w:tcMar>
              <w:left w:w="29" w:type="dxa"/>
              <w:right w:w="29" w:type="dxa"/>
            </w:tcMar>
          </w:tcPr>
          <w:p w14:paraId="4B9C52EE" w14:textId="77777777" w:rsidR="000B16B5" w:rsidRPr="00D36183" w:rsidRDefault="000B16B5" w:rsidP="000B16B5">
            <w:pPr>
              <w:rPr>
                <w:sz w:val="22"/>
              </w:rPr>
            </w:pPr>
            <w:r w:rsidRPr="00D36183">
              <w:rPr>
                <w:sz w:val="22"/>
              </w:rPr>
              <w:t>-5.1 (1.7)</w:t>
            </w:r>
          </w:p>
        </w:tc>
      </w:tr>
      <w:tr w:rsidR="000B16B5" w:rsidRPr="00D36183" w14:paraId="2187A1C6" w14:textId="77777777" w:rsidTr="000B16B5">
        <w:trPr>
          <w:cantSplit/>
          <w:jc w:val="center"/>
        </w:trPr>
        <w:tc>
          <w:tcPr>
            <w:tcW w:w="1701" w:type="dxa"/>
            <w:tcBorders>
              <w:left w:val="single" w:sz="4" w:space="0" w:color="808080"/>
              <w:bottom w:val="single" w:sz="4" w:space="0" w:color="808080"/>
              <w:right w:val="single" w:sz="4" w:space="0" w:color="808080"/>
            </w:tcBorders>
            <w:tcMar>
              <w:left w:w="29" w:type="dxa"/>
              <w:right w:w="29" w:type="dxa"/>
            </w:tcMar>
          </w:tcPr>
          <w:p w14:paraId="260C3553" w14:textId="77777777" w:rsidR="000B16B5" w:rsidRPr="00D36183" w:rsidRDefault="000B16B5" w:rsidP="00676FBB">
            <w:pPr>
              <w:spacing w:after="0"/>
              <w:rPr>
                <w:sz w:val="22"/>
              </w:rPr>
            </w:pPr>
            <w:r w:rsidRPr="00D36183">
              <w:rPr>
                <w:sz w:val="22"/>
              </w:rPr>
              <w:t>Mean (SD) for change from pre-Tx</w:t>
            </w:r>
          </w:p>
          <w:p w14:paraId="3D667663" w14:textId="77777777" w:rsidR="000B16B5" w:rsidRPr="00D36183" w:rsidRDefault="000B16B5" w:rsidP="00676FBB">
            <w:pPr>
              <w:spacing w:after="0"/>
              <w:rPr>
                <w:sz w:val="22"/>
              </w:rPr>
            </w:pPr>
            <w:r w:rsidRPr="00D36183">
              <w:rPr>
                <w:sz w:val="22"/>
              </w:rPr>
              <w:t>P-value for change from pre-Tx [1]</w:t>
            </w:r>
          </w:p>
        </w:tc>
        <w:tc>
          <w:tcPr>
            <w:tcW w:w="834" w:type="dxa"/>
            <w:tcBorders>
              <w:left w:val="single" w:sz="4" w:space="0" w:color="808080"/>
              <w:bottom w:val="single" w:sz="4" w:space="0" w:color="808080"/>
              <w:right w:val="single" w:sz="4" w:space="0" w:color="808080"/>
            </w:tcBorders>
            <w:tcMar>
              <w:left w:w="29" w:type="dxa"/>
              <w:right w:w="29" w:type="dxa"/>
            </w:tcMar>
          </w:tcPr>
          <w:p w14:paraId="1ED88783" w14:textId="77777777" w:rsidR="000B16B5" w:rsidRPr="00D36183" w:rsidRDefault="000B16B5" w:rsidP="000B16B5">
            <w:pPr>
              <w:rPr>
                <w:sz w:val="22"/>
              </w:rPr>
            </w:pPr>
          </w:p>
        </w:tc>
        <w:tc>
          <w:tcPr>
            <w:tcW w:w="834" w:type="dxa"/>
            <w:tcBorders>
              <w:left w:val="single" w:sz="4" w:space="0" w:color="808080"/>
              <w:bottom w:val="single" w:sz="4" w:space="0" w:color="808080"/>
              <w:right w:val="single" w:sz="4" w:space="0" w:color="808080"/>
            </w:tcBorders>
            <w:tcMar>
              <w:left w:w="29" w:type="dxa"/>
              <w:right w:w="29" w:type="dxa"/>
            </w:tcMar>
          </w:tcPr>
          <w:p w14:paraId="73D3745E" w14:textId="77777777" w:rsidR="000B16B5" w:rsidRPr="00D36183" w:rsidRDefault="000B16B5" w:rsidP="000B16B5">
            <w:pPr>
              <w:rPr>
                <w:sz w:val="22"/>
              </w:rPr>
            </w:pPr>
            <w:r w:rsidRPr="00D36183">
              <w:rPr>
                <w:sz w:val="22"/>
              </w:rPr>
              <w:t>+0.8 (0.6)</w:t>
            </w:r>
          </w:p>
          <w:p w14:paraId="12243ACE"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12F09FAB" w14:textId="77777777" w:rsidR="000B16B5" w:rsidRPr="00D36183" w:rsidRDefault="000B16B5" w:rsidP="000B16B5">
            <w:pPr>
              <w:rPr>
                <w:sz w:val="22"/>
              </w:rPr>
            </w:pPr>
            <w:r w:rsidRPr="00D36183">
              <w:rPr>
                <w:sz w:val="22"/>
              </w:rPr>
              <w:t>+1.2 (0.9)</w:t>
            </w:r>
          </w:p>
          <w:p w14:paraId="342A2AC1"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50B6FA77" w14:textId="77777777" w:rsidR="000B16B5" w:rsidRPr="00D36183" w:rsidRDefault="000B16B5" w:rsidP="000B16B5">
            <w:pPr>
              <w:rPr>
                <w:sz w:val="22"/>
              </w:rPr>
            </w:pPr>
            <w:r w:rsidRPr="00D36183">
              <w:rPr>
                <w:sz w:val="22"/>
              </w:rPr>
              <w:t>+1.4 (1.1)</w:t>
            </w:r>
          </w:p>
          <w:p w14:paraId="16B38498" w14:textId="77777777" w:rsidR="000B16B5" w:rsidRPr="00D36183" w:rsidRDefault="000B16B5" w:rsidP="000B16B5">
            <w:pPr>
              <w:rPr>
                <w:sz w:val="22"/>
              </w:rPr>
            </w:pPr>
            <w:r w:rsidRPr="00D36183">
              <w:rPr>
                <w:sz w:val="22"/>
              </w:rPr>
              <w:t>&lt;0.0001</w:t>
            </w:r>
          </w:p>
        </w:tc>
        <w:tc>
          <w:tcPr>
            <w:tcW w:w="835" w:type="dxa"/>
            <w:tcBorders>
              <w:left w:val="single" w:sz="4" w:space="0" w:color="808080"/>
              <w:bottom w:val="single" w:sz="4" w:space="0" w:color="808080"/>
              <w:right w:val="single" w:sz="4" w:space="0" w:color="808080"/>
            </w:tcBorders>
            <w:tcMar>
              <w:left w:w="29" w:type="dxa"/>
              <w:right w:w="29" w:type="dxa"/>
            </w:tcMar>
          </w:tcPr>
          <w:p w14:paraId="7FF27B21" w14:textId="77777777" w:rsidR="000B16B5" w:rsidRPr="00D36183" w:rsidRDefault="000B16B5" w:rsidP="000B16B5">
            <w:pPr>
              <w:rPr>
                <w:sz w:val="22"/>
              </w:rPr>
            </w:pPr>
            <w:r w:rsidRPr="00D36183">
              <w:rPr>
                <w:sz w:val="22"/>
              </w:rPr>
              <w:t>+1.6 (1.2)</w:t>
            </w:r>
          </w:p>
          <w:p w14:paraId="146A9EDF"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595D8A7B" w14:textId="77777777" w:rsidR="000B16B5" w:rsidRPr="00D36183" w:rsidRDefault="000B16B5" w:rsidP="000B16B5">
            <w:pPr>
              <w:rPr>
                <w:sz w:val="22"/>
              </w:rPr>
            </w:pPr>
            <w:r w:rsidRPr="00D36183">
              <w:rPr>
                <w:sz w:val="22"/>
              </w:rPr>
              <w:t>+1.</w:t>
            </w:r>
            <w:r w:rsidRPr="00D36183" w:rsidDel="00EE68AF">
              <w:rPr>
                <w:sz w:val="22"/>
              </w:rPr>
              <w:t xml:space="preserve"> </w:t>
            </w:r>
            <w:r w:rsidRPr="00D36183">
              <w:rPr>
                <w:sz w:val="22"/>
              </w:rPr>
              <w:t>7 (1.3)</w:t>
            </w:r>
          </w:p>
          <w:p w14:paraId="749676BC"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4B55F345" w14:textId="77777777" w:rsidR="000B16B5" w:rsidRPr="00D36183" w:rsidRDefault="000B16B5" w:rsidP="000B16B5">
            <w:pPr>
              <w:rPr>
                <w:sz w:val="22"/>
              </w:rPr>
            </w:pPr>
            <w:r w:rsidRPr="00D36183">
              <w:rPr>
                <w:sz w:val="22"/>
              </w:rPr>
              <w:t>+1.</w:t>
            </w:r>
            <w:r w:rsidRPr="00D36183" w:rsidDel="00EE68AF">
              <w:rPr>
                <w:sz w:val="22"/>
              </w:rPr>
              <w:t xml:space="preserve"> </w:t>
            </w:r>
            <w:r w:rsidRPr="00D36183">
              <w:rPr>
                <w:sz w:val="22"/>
              </w:rPr>
              <w:t>8 (1.1)</w:t>
            </w:r>
          </w:p>
          <w:p w14:paraId="3B628A57" w14:textId="77777777" w:rsidR="000B16B5" w:rsidRPr="00D36183" w:rsidRDefault="000B16B5" w:rsidP="000B16B5">
            <w:pPr>
              <w:rPr>
                <w:sz w:val="22"/>
              </w:rPr>
            </w:pPr>
            <w:r w:rsidRPr="00D36183">
              <w:rPr>
                <w:sz w:val="22"/>
              </w:rPr>
              <w:t>&lt;0.0001</w:t>
            </w:r>
          </w:p>
        </w:tc>
        <w:tc>
          <w:tcPr>
            <w:tcW w:w="834" w:type="dxa"/>
            <w:tcBorders>
              <w:left w:val="single" w:sz="4" w:space="0" w:color="808080"/>
              <w:bottom w:val="single" w:sz="4" w:space="0" w:color="808080"/>
              <w:right w:val="single" w:sz="4" w:space="0" w:color="808080"/>
            </w:tcBorders>
            <w:tcMar>
              <w:left w:w="29" w:type="dxa"/>
              <w:right w:w="29" w:type="dxa"/>
            </w:tcMar>
          </w:tcPr>
          <w:p w14:paraId="4E61F123" w14:textId="77777777" w:rsidR="000B16B5" w:rsidRPr="00D36183" w:rsidRDefault="000B16B5" w:rsidP="000B16B5">
            <w:pPr>
              <w:rPr>
                <w:sz w:val="22"/>
              </w:rPr>
            </w:pPr>
            <w:r w:rsidRPr="00D36183">
              <w:rPr>
                <w:sz w:val="22"/>
              </w:rPr>
              <w:t>+1.</w:t>
            </w:r>
            <w:r w:rsidRPr="00D36183" w:rsidDel="00EE68AF">
              <w:rPr>
                <w:sz w:val="22"/>
              </w:rPr>
              <w:t xml:space="preserve"> </w:t>
            </w:r>
            <w:r w:rsidRPr="00D36183">
              <w:rPr>
                <w:sz w:val="22"/>
              </w:rPr>
              <w:t>7 (1.0)</w:t>
            </w:r>
          </w:p>
          <w:p w14:paraId="1E6CBB23" w14:textId="77777777" w:rsidR="000B16B5" w:rsidRPr="00D36183" w:rsidRDefault="000B16B5" w:rsidP="000B16B5">
            <w:pPr>
              <w:rPr>
                <w:sz w:val="22"/>
              </w:rPr>
            </w:pPr>
            <w:r w:rsidRPr="00D36183">
              <w:rPr>
                <w:sz w:val="22"/>
              </w:rPr>
              <w:t>0.0001</w:t>
            </w:r>
          </w:p>
        </w:tc>
        <w:tc>
          <w:tcPr>
            <w:tcW w:w="835" w:type="dxa"/>
            <w:tcBorders>
              <w:left w:val="single" w:sz="4" w:space="0" w:color="808080"/>
              <w:bottom w:val="single" w:sz="4" w:space="0" w:color="808080"/>
              <w:right w:val="single" w:sz="4" w:space="0" w:color="808080"/>
            </w:tcBorders>
            <w:tcMar>
              <w:left w:w="29" w:type="dxa"/>
              <w:right w:w="29" w:type="dxa"/>
            </w:tcMar>
          </w:tcPr>
          <w:p w14:paraId="4C53E503" w14:textId="77777777" w:rsidR="000B16B5" w:rsidRPr="00D36183" w:rsidRDefault="000B16B5" w:rsidP="000B16B5">
            <w:pPr>
              <w:rPr>
                <w:sz w:val="22"/>
              </w:rPr>
            </w:pPr>
            <w:r w:rsidRPr="00D36183">
              <w:rPr>
                <w:sz w:val="22"/>
              </w:rPr>
              <w:t>+1.7 (1.0)</w:t>
            </w:r>
          </w:p>
          <w:p w14:paraId="49857FE0" w14:textId="77777777" w:rsidR="000B16B5" w:rsidRPr="00D36183" w:rsidRDefault="000B16B5" w:rsidP="000B16B5">
            <w:pPr>
              <w:rPr>
                <w:sz w:val="22"/>
              </w:rPr>
            </w:pPr>
            <w:r w:rsidRPr="00D36183">
              <w:rPr>
                <w:sz w:val="22"/>
              </w:rPr>
              <w:t>&lt;0.0001</w:t>
            </w:r>
          </w:p>
        </w:tc>
      </w:tr>
    </w:tbl>
    <w:p w14:paraId="6B55E3E5" w14:textId="77777777" w:rsidR="000B16B5" w:rsidRPr="00D36183" w:rsidRDefault="000B16B5" w:rsidP="000B16B5">
      <w:pPr>
        <w:spacing w:after="0"/>
        <w:rPr>
          <w:sz w:val="20"/>
          <w:szCs w:val="20"/>
        </w:rPr>
      </w:pPr>
      <w:r w:rsidRPr="00D36183">
        <w:rPr>
          <w:sz w:val="20"/>
          <w:szCs w:val="20"/>
        </w:rPr>
        <w:t>Pre-Tx = Pre-treatment; SD = Standard Deviation; SDS = Standard Deviation Score</w:t>
      </w:r>
    </w:p>
    <w:p w14:paraId="5914C685" w14:textId="77777777" w:rsidR="000B16B5" w:rsidRPr="00D36183" w:rsidRDefault="000B16B5" w:rsidP="000B16B5">
      <w:pPr>
        <w:spacing w:after="0"/>
        <w:rPr>
          <w:sz w:val="20"/>
          <w:szCs w:val="20"/>
        </w:rPr>
      </w:pPr>
      <w:r w:rsidRPr="00D36183">
        <w:rPr>
          <w:sz w:val="20"/>
          <w:szCs w:val="20"/>
        </w:rPr>
        <w:t>[1] P-values for comparison versus pre-Tx values were computed using paired t-tests.</w:t>
      </w:r>
    </w:p>
    <w:p w14:paraId="6603BE47" w14:textId="77777777" w:rsidR="004E7FD9" w:rsidRPr="00D36183" w:rsidRDefault="004E7FD9">
      <w:pPr>
        <w:rPr>
          <w:b/>
          <w:bCs/>
        </w:rPr>
      </w:pPr>
      <w:r w:rsidRPr="00D36183">
        <w:rPr>
          <w:b/>
          <w:bCs/>
        </w:rPr>
        <w:lastRenderedPageBreak/>
        <w:br w:type="page"/>
      </w:r>
    </w:p>
    <w:bookmarkEnd w:id="7"/>
    <w:p w14:paraId="47D6FA52" w14:textId="77777777" w:rsidR="001A3992" w:rsidRPr="00D36183" w:rsidRDefault="001A3992" w:rsidP="001A3992">
      <w:pPr>
        <w:pStyle w:val="Heading2"/>
        <w:keepNext/>
        <w:spacing w:before="0" w:after="120"/>
        <w:rPr>
          <w:rFonts w:cs="Times New Roman"/>
        </w:rPr>
      </w:pPr>
      <w:r w:rsidRPr="00D36183">
        <w:rPr>
          <w:rFonts w:cs="Times New Roman"/>
        </w:rPr>
        <w:lastRenderedPageBreak/>
        <w:t xml:space="preserve">Pharmacokinetic properties </w:t>
      </w:r>
    </w:p>
    <w:p w14:paraId="1D4E0524" w14:textId="77777777" w:rsidR="001A3992" w:rsidRPr="00D36183" w:rsidRDefault="001A3992" w:rsidP="004E7FD9">
      <w:pPr>
        <w:pStyle w:val="Heading3"/>
        <w:spacing w:before="0" w:after="120"/>
        <w:ind w:left="0"/>
        <w:rPr>
          <w:rFonts w:cs="Times New Roman"/>
        </w:rPr>
      </w:pPr>
      <w:r w:rsidRPr="00D36183">
        <w:rPr>
          <w:rFonts w:cs="Times New Roman"/>
        </w:rPr>
        <w:t>Absorption</w:t>
      </w:r>
    </w:p>
    <w:p w14:paraId="096D1BDB" w14:textId="77777777" w:rsidR="009162D2" w:rsidRPr="007635E1" w:rsidRDefault="009162D2" w:rsidP="009162D2">
      <w:r w:rsidRPr="007635E1">
        <w:t>The absolute subcutaneous bioavailability of mecasermin in severe Primary IGFD subjects has not been determined. The bioavailability of mecasermin after subcutaneous administration in healthy subjects has been reported to be approximately 100%.</w:t>
      </w:r>
    </w:p>
    <w:p w14:paraId="1E0B90A3" w14:textId="77777777" w:rsidR="001A3992" w:rsidRPr="00D36183" w:rsidRDefault="001A3992" w:rsidP="004E7FD9">
      <w:pPr>
        <w:pStyle w:val="Heading3"/>
        <w:spacing w:before="0" w:after="120"/>
        <w:ind w:left="0"/>
        <w:rPr>
          <w:rFonts w:cs="Times New Roman"/>
        </w:rPr>
      </w:pPr>
      <w:r w:rsidRPr="00D36183">
        <w:rPr>
          <w:rFonts w:cs="Times New Roman"/>
        </w:rPr>
        <w:t>Distribution</w:t>
      </w:r>
    </w:p>
    <w:p w14:paraId="1DC5EA18" w14:textId="01657409" w:rsidR="009162D2" w:rsidRPr="007635E1" w:rsidRDefault="009162D2" w:rsidP="009162D2">
      <w:r w:rsidRPr="007635E1">
        <w:t>In blood, IGF</w:t>
      </w:r>
      <w:r w:rsidRPr="007635E1">
        <w:noBreakHyphen/>
        <w:t>1 is bound to six IGF binding proteins (IGFBPs), with ~80% bound as a complex with IGFBP</w:t>
      </w:r>
      <w:r w:rsidRPr="007635E1">
        <w:noBreakHyphen/>
        <w:t>3 and an acid-labile subunit. IGFBP</w:t>
      </w:r>
      <w:r w:rsidRPr="007635E1">
        <w:noBreakHyphen/>
        <w:t>3 is reduced in subjects with severe Primary IGFD, resulting in increased clearance of IGF</w:t>
      </w:r>
      <w:r w:rsidRPr="007635E1">
        <w:noBreakHyphen/>
        <w:t>1 in these subjects relative to healthy subjects. The total IGF</w:t>
      </w:r>
      <w:r w:rsidRPr="007635E1">
        <w:noBreakHyphen/>
        <w:t>1 volume of distribution (mean ± SD) after subcutaneous administration of INCRELEX in 12 subjects with severe Primary IGFD is estimated to be 0.257 (± 0.073) </w:t>
      </w:r>
      <w:r w:rsidR="00B05F42" w:rsidRPr="007635E1">
        <w:t>L</w:t>
      </w:r>
      <w:r w:rsidRPr="007635E1">
        <w:t>/kg at a mecasermin dose of 0.045 mg/kg, and is estimated to increase as the dose of mecasermin increases. Limited information is available on the concentration of unbound IGF</w:t>
      </w:r>
      <w:r w:rsidRPr="007635E1">
        <w:noBreakHyphen/>
        <w:t>1 after the administration of INCRELEX.</w:t>
      </w:r>
    </w:p>
    <w:p w14:paraId="0CE18FCB" w14:textId="77777777" w:rsidR="001A3992" w:rsidRPr="00D36183" w:rsidRDefault="001A3992" w:rsidP="004E7FD9">
      <w:pPr>
        <w:pStyle w:val="Heading3"/>
        <w:spacing w:before="0" w:after="120"/>
        <w:ind w:left="0"/>
        <w:rPr>
          <w:rFonts w:cs="Times New Roman"/>
        </w:rPr>
      </w:pPr>
      <w:r w:rsidRPr="00D36183">
        <w:rPr>
          <w:rFonts w:cs="Times New Roman"/>
        </w:rPr>
        <w:t>Metabolism</w:t>
      </w:r>
    </w:p>
    <w:p w14:paraId="48261244" w14:textId="77777777" w:rsidR="009162D2" w:rsidRPr="007635E1" w:rsidRDefault="009162D2" w:rsidP="009162D2">
      <w:r w:rsidRPr="007635E1">
        <w:t>Both the liver and the kidney have been shown to metabolise IGF</w:t>
      </w:r>
      <w:r w:rsidRPr="007635E1">
        <w:noBreakHyphen/>
        <w:t xml:space="preserve">1.  </w:t>
      </w:r>
    </w:p>
    <w:p w14:paraId="465CD834" w14:textId="77777777" w:rsidR="001A3992" w:rsidRPr="00D36183" w:rsidRDefault="001A3992" w:rsidP="004E7FD9">
      <w:pPr>
        <w:pStyle w:val="Heading3"/>
        <w:spacing w:before="0" w:after="120"/>
        <w:ind w:left="0"/>
        <w:rPr>
          <w:rFonts w:cs="Times New Roman"/>
        </w:rPr>
      </w:pPr>
      <w:r w:rsidRPr="00D36183">
        <w:rPr>
          <w:rFonts w:cs="Times New Roman"/>
        </w:rPr>
        <w:t>Excretion</w:t>
      </w:r>
    </w:p>
    <w:p w14:paraId="0D100B94" w14:textId="2C21201D" w:rsidR="009162D2" w:rsidRPr="007635E1" w:rsidRDefault="009162D2" w:rsidP="009162D2">
      <w:r w:rsidRPr="007635E1">
        <w:t>The mean terminal t</w:t>
      </w:r>
      <w:r w:rsidRPr="007635E1">
        <w:rPr>
          <w:vertAlign w:val="subscript"/>
        </w:rPr>
        <w:t>1/2</w:t>
      </w:r>
      <w:r w:rsidRPr="007635E1">
        <w:t xml:space="preserve"> of total IGF-1 after single subcutaneous administration of 0.12 mg/kg in three paediatric subjects with severe Primary IGFD is estimated to be 5.8 hours.  Clearance of total IGF</w:t>
      </w:r>
      <w:r w:rsidRPr="007635E1">
        <w:noBreakHyphen/>
        <w:t>1 is inversely proportional to serum IGFBP</w:t>
      </w:r>
      <w:r w:rsidRPr="007635E1">
        <w:noBreakHyphen/>
        <w:t>3 levels and total IGF</w:t>
      </w:r>
      <w:r w:rsidRPr="007635E1">
        <w:noBreakHyphen/>
        <w:t>1 systemic clearance (CL/F) is estimated to be 0.04 </w:t>
      </w:r>
      <w:r w:rsidR="00B05F42" w:rsidRPr="007635E1">
        <w:t>L</w:t>
      </w:r>
      <w:r w:rsidRPr="007635E1">
        <w:t>/hr/kg at 3 mg/l IGFBP</w:t>
      </w:r>
      <w:r w:rsidRPr="007635E1">
        <w:noBreakHyphen/>
        <w:t>3 in 12 subjects.</w:t>
      </w:r>
    </w:p>
    <w:p w14:paraId="75833669" w14:textId="77777777" w:rsidR="00E03C13" w:rsidRPr="00D36183" w:rsidRDefault="00E03C13" w:rsidP="004E7FD9">
      <w:pPr>
        <w:pStyle w:val="Heading3"/>
        <w:ind w:left="0"/>
      </w:pPr>
      <w:r w:rsidRPr="00D36183">
        <w:t xml:space="preserve">Pharmacokinetics in special patient populations </w:t>
      </w:r>
    </w:p>
    <w:p w14:paraId="7B4097A8" w14:textId="113A2E29" w:rsidR="00547675" w:rsidRPr="00D36183" w:rsidRDefault="00F86E57" w:rsidP="00547675">
      <w:pPr>
        <w:pStyle w:val="Heading4"/>
      </w:pPr>
      <w:r w:rsidRPr="00D36183">
        <w:t>E</w:t>
      </w:r>
      <w:r w:rsidR="00547675" w:rsidRPr="00D36183">
        <w:t>lderly</w:t>
      </w:r>
    </w:p>
    <w:p w14:paraId="4185EF87" w14:textId="3683D609" w:rsidR="00547675" w:rsidRPr="007635E1" w:rsidRDefault="00547675" w:rsidP="00F86E57">
      <w:r w:rsidRPr="007635E1">
        <w:t>The pharmacokinetics of INCRELEX have not been studied in subject</w:t>
      </w:r>
      <w:r w:rsidR="00F86E57" w:rsidRPr="007635E1">
        <w:t>s greater than 65 years of age.</w:t>
      </w:r>
    </w:p>
    <w:p w14:paraId="4A42D526" w14:textId="51382DC5" w:rsidR="00547675" w:rsidRPr="00D36183" w:rsidRDefault="00F86E57" w:rsidP="00547675">
      <w:pPr>
        <w:pStyle w:val="Heading4"/>
      </w:pPr>
      <w:r w:rsidRPr="00D36183">
        <w:t>Paediatric</w:t>
      </w:r>
    </w:p>
    <w:p w14:paraId="00F7FB1C" w14:textId="77777777" w:rsidR="00547675" w:rsidRPr="007635E1" w:rsidRDefault="00547675" w:rsidP="00F86E57">
      <w:r w:rsidRPr="007635E1">
        <w:t>The pharmacokinetics of INCRELEX have not been studied in subjects younger than 12 years of age.</w:t>
      </w:r>
    </w:p>
    <w:p w14:paraId="0D640054" w14:textId="77777777" w:rsidR="00547675" w:rsidRPr="00D36183" w:rsidRDefault="00547675" w:rsidP="00547675">
      <w:pPr>
        <w:pStyle w:val="Heading4"/>
      </w:pPr>
      <w:r w:rsidRPr="00D36183">
        <w:t>Gender</w:t>
      </w:r>
    </w:p>
    <w:p w14:paraId="15500BE6" w14:textId="330AA3F4" w:rsidR="00547675" w:rsidRPr="007635E1" w:rsidRDefault="00547675" w:rsidP="00F86E57">
      <w:r w:rsidRPr="007635E1">
        <w:t>In adolescents with Primary IGFD and in healthy adults there were no apparent differences between males and females in th</w:t>
      </w:r>
      <w:r w:rsidR="00F86E57" w:rsidRPr="007635E1">
        <w:t>e pharmacokinetics of INCRELEX.</w:t>
      </w:r>
    </w:p>
    <w:p w14:paraId="45CB5B8C" w14:textId="0C5E3626" w:rsidR="00E03C13" w:rsidRPr="00D36183" w:rsidRDefault="00E03C13" w:rsidP="00E03C13">
      <w:pPr>
        <w:pStyle w:val="Heading4"/>
      </w:pPr>
      <w:r w:rsidRPr="00D36183">
        <w:t xml:space="preserve">Renal impairment </w:t>
      </w:r>
    </w:p>
    <w:p w14:paraId="1B98CFC0" w14:textId="4AB3FC7A" w:rsidR="00F86E57" w:rsidRPr="007635E1" w:rsidRDefault="00F86E57" w:rsidP="00F86E57">
      <w:pPr>
        <w:rPr>
          <w:i/>
          <w:iCs/>
          <w:u w:val="single"/>
        </w:rPr>
      </w:pPr>
      <w:r w:rsidRPr="007635E1">
        <w:t>No studies have been conducted in children with renal impairment.</w:t>
      </w:r>
    </w:p>
    <w:p w14:paraId="4E02AFE0" w14:textId="77777777" w:rsidR="00E03C13" w:rsidRPr="00D36183" w:rsidRDefault="00E03C13" w:rsidP="00E03C13">
      <w:pPr>
        <w:pStyle w:val="Heading4"/>
      </w:pPr>
      <w:r w:rsidRPr="00D36183">
        <w:lastRenderedPageBreak/>
        <w:t xml:space="preserve">Hepatic impairment </w:t>
      </w:r>
    </w:p>
    <w:p w14:paraId="0178FC6B" w14:textId="77777777" w:rsidR="00F86E57" w:rsidRPr="007635E1" w:rsidRDefault="00F86E57" w:rsidP="00F86E57">
      <w:r w:rsidRPr="007635E1">
        <w:t>No studies have been conducted to determine the effect of hepatic impairment on the pharmacokinetics of mecasermin.</w:t>
      </w:r>
    </w:p>
    <w:p w14:paraId="0C067051" w14:textId="57F12318" w:rsidR="001A3992" w:rsidRPr="00D36183" w:rsidRDefault="001A3992" w:rsidP="00C6374B">
      <w:pPr>
        <w:pStyle w:val="Heading2"/>
        <w:keepNext/>
        <w:spacing w:before="0" w:after="120"/>
        <w:rPr>
          <w:rFonts w:cs="Times New Roman"/>
        </w:rPr>
      </w:pPr>
      <w:bookmarkStart w:id="11" w:name="_Hlk514748258"/>
      <w:r w:rsidRPr="00D36183">
        <w:rPr>
          <w:rFonts w:cs="Times New Roman"/>
        </w:rPr>
        <w:t>Preclinical safety data</w:t>
      </w:r>
    </w:p>
    <w:bookmarkEnd w:id="11"/>
    <w:p w14:paraId="6E0F9CA1" w14:textId="2A49DBA9" w:rsidR="001A3992" w:rsidRPr="00D36183" w:rsidRDefault="001A3992" w:rsidP="004E7FD9">
      <w:pPr>
        <w:pStyle w:val="Heading3"/>
        <w:spacing w:before="0" w:after="120"/>
        <w:ind w:left="0"/>
        <w:rPr>
          <w:rFonts w:cs="Times New Roman"/>
        </w:rPr>
      </w:pPr>
      <w:r w:rsidRPr="00D36183">
        <w:rPr>
          <w:rFonts w:cs="Times New Roman"/>
        </w:rPr>
        <w:t>Genotoxicity</w:t>
      </w:r>
    </w:p>
    <w:p w14:paraId="4E35F495" w14:textId="6E7CB0B1" w:rsidR="00D36183" w:rsidRPr="00D36183" w:rsidRDefault="00EE2E4F" w:rsidP="007635E1">
      <w:r w:rsidRPr="00D36183">
        <w:t xml:space="preserve">Mecasermin was not clastogenic in an </w:t>
      </w:r>
      <w:r w:rsidRPr="007635E1">
        <w:t>in vitro</w:t>
      </w:r>
      <w:r w:rsidRPr="00D36183">
        <w:t xml:space="preserve"> chromosomal aberration assay (conducted in Chinese hamster lung fibroblasts) or an </w:t>
      </w:r>
      <w:r w:rsidRPr="007635E1">
        <w:t>in vivo</w:t>
      </w:r>
      <w:r w:rsidRPr="00D36183">
        <w:t xml:space="preserve"> mouse bone marrow micronucleus test.  As a polypeptide, mecasermin is not expected to interact with DNA or other chromosomal material.</w:t>
      </w:r>
    </w:p>
    <w:p w14:paraId="4BBAF789" w14:textId="77777777" w:rsidR="001A3992" w:rsidRPr="00D36183" w:rsidRDefault="001A3992" w:rsidP="004E7FD9">
      <w:pPr>
        <w:pStyle w:val="Heading3"/>
        <w:spacing w:before="0" w:after="120"/>
        <w:ind w:left="0"/>
        <w:rPr>
          <w:rFonts w:cs="Times New Roman"/>
        </w:rPr>
      </w:pPr>
      <w:r w:rsidRPr="00D36183">
        <w:rPr>
          <w:rFonts w:cs="Times New Roman"/>
        </w:rPr>
        <w:t>Carcinogenicity</w:t>
      </w:r>
    </w:p>
    <w:p w14:paraId="03644003" w14:textId="65C5ABB7" w:rsidR="00F86E57" w:rsidRPr="007635E1" w:rsidRDefault="004E7D8E" w:rsidP="00F86E57">
      <w:r w:rsidRPr="007635E1">
        <w:t>The carcinogenic potential of mecasermin, administered subcutaneously, was examined in a 2</w:t>
      </w:r>
      <w:r w:rsidR="002A4A78" w:rsidRPr="007635E1">
        <w:t>-</w:t>
      </w:r>
      <w:r w:rsidRPr="007635E1">
        <w:t xml:space="preserve">year study in rats. </w:t>
      </w:r>
      <w:r w:rsidR="00F86E57" w:rsidRPr="007635E1">
        <w:t>An increased incidence of adrenal ph</w:t>
      </w:r>
      <w:r w:rsidRPr="007635E1">
        <w:t>a</w:t>
      </w:r>
      <w:r w:rsidR="00F86E57" w:rsidRPr="007635E1">
        <w:t>eochromocytoma was observed in male rats at doses of 1 mg/kg/day and above (</w:t>
      </w:r>
      <w:r w:rsidR="00F86E57" w:rsidRPr="007635E1">
        <w:sym w:font="Symbol" w:char="F0B3"/>
      </w:r>
      <w:r w:rsidR="00F86E57" w:rsidRPr="007635E1">
        <w:t xml:space="preserve"> 1 times the clinical exposure </w:t>
      </w:r>
      <w:r w:rsidRPr="007635E1">
        <w:t xml:space="preserve">at the </w:t>
      </w:r>
      <w:r w:rsidR="00F86E57" w:rsidRPr="007635E1">
        <w:t>MRHD based on AUC) and female rats at all dose levels (</w:t>
      </w:r>
      <w:r w:rsidR="00F86E57" w:rsidRPr="007635E1">
        <w:sym w:font="Symbol" w:char="F0B3"/>
      </w:r>
      <w:r w:rsidRPr="007635E1">
        <w:t xml:space="preserve">0.25 ng/kg/day; </w:t>
      </w:r>
      <w:r w:rsidRPr="007635E1">
        <w:rPr>
          <w:rFonts w:cs="Times New Roman"/>
        </w:rPr>
        <w:t>≥</w:t>
      </w:r>
      <w:r w:rsidR="00F86E57" w:rsidRPr="007635E1">
        <w:t xml:space="preserve"> 0.</w:t>
      </w:r>
      <w:r w:rsidRPr="007635E1">
        <w:t xml:space="preserve">2 </w:t>
      </w:r>
      <w:r w:rsidR="00F86E57" w:rsidRPr="007635E1">
        <w:t xml:space="preserve">times the clinical exposure). </w:t>
      </w:r>
    </w:p>
    <w:p w14:paraId="34DC5B4C" w14:textId="68507B22" w:rsidR="002063C4" w:rsidRPr="007635E1" w:rsidRDefault="00F86E57" w:rsidP="00F86E57">
      <w:r w:rsidRPr="007635E1">
        <w:t xml:space="preserve">An increased incidence of keratoacanthoma in the skin was observed in male rats at doses of 4 mg/kg/day </w:t>
      </w:r>
      <w:r w:rsidR="002A4A78" w:rsidRPr="007635E1">
        <w:t xml:space="preserve">and above </w:t>
      </w:r>
      <w:r w:rsidRPr="007635E1">
        <w:t>(</w:t>
      </w:r>
      <w:r w:rsidRPr="007635E1">
        <w:sym w:font="Symbol" w:char="F0B3"/>
      </w:r>
      <w:r w:rsidRPr="007635E1">
        <w:t xml:space="preserve"> </w:t>
      </w:r>
      <w:r w:rsidR="004E7D8E" w:rsidRPr="007635E1">
        <w:t xml:space="preserve">3 </w:t>
      </w:r>
      <w:r w:rsidRPr="007635E1">
        <w:t xml:space="preserve">times the </w:t>
      </w:r>
      <w:r w:rsidR="004E7D8E" w:rsidRPr="007635E1">
        <w:t xml:space="preserve">clinical </w:t>
      </w:r>
      <w:r w:rsidRPr="007635E1">
        <w:t>exposure). An increased incidence of mammary gland carcinoma in both male and female rats was observed in animals treated with 10 mg/kg/day (</w:t>
      </w:r>
      <w:r w:rsidR="004E7D8E" w:rsidRPr="007635E1">
        <w:t xml:space="preserve">4-5 </w:t>
      </w:r>
      <w:r w:rsidRPr="007635E1">
        <w:t xml:space="preserve">times the </w:t>
      </w:r>
      <w:r w:rsidR="004E7D8E" w:rsidRPr="007635E1">
        <w:t xml:space="preserve">clinical </w:t>
      </w:r>
      <w:r w:rsidRPr="007635E1">
        <w:t xml:space="preserve">exposure). </w:t>
      </w:r>
    </w:p>
    <w:p w14:paraId="5E3DF422" w14:textId="74F7DCFA" w:rsidR="004E7D8E" w:rsidRPr="007635E1" w:rsidRDefault="004E7D8E" w:rsidP="00F86E57">
      <w:r w:rsidRPr="007635E1">
        <w:t>IGF 1 is a known mitogen. The carcinogenic risk posed by mecasermin treatment in patients is mitigated by the context of its use as replacement therapy to normalise IGF</w:t>
      </w:r>
      <w:r w:rsidR="00564B0E" w:rsidRPr="007635E1">
        <w:t>-</w:t>
      </w:r>
      <w:r w:rsidRPr="007635E1">
        <w:t>1 levels.</w:t>
      </w:r>
    </w:p>
    <w:p w14:paraId="04A747BB" w14:textId="07051D45"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Pharmaceutical particulars</w:t>
      </w:r>
    </w:p>
    <w:p w14:paraId="20779199" w14:textId="77777777" w:rsidR="001A3992" w:rsidRPr="00D36183" w:rsidRDefault="001A3992" w:rsidP="001A3992">
      <w:pPr>
        <w:pStyle w:val="Heading2"/>
        <w:spacing w:before="0" w:after="120"/>
        <w:rPr>
          <w:rFonts w:cs="Times New Roman"/>
        </w:rPr>
      </w:pPr>
      <w:r w:rsidRPr="00D36183">
        <w:rPr>
          <w:rFonts w:cs="Times New Roman"/>
        </w:rPr>
        <w:t xml:space="preserve">List of excipients </w:t>
      </w:r>
    </w:p>
    <w:p w14:paraId="2844A6B3" w14:textId="77777777" w:rsidR="00C949AD" w:rsidRPr="007635E1" w:rsidRDefault="00C949AD" w:rsidP="00AE3C73">
      <w:pPr>
        <w:spacing w:after="0"/>
      </w:pPr>
      <w:r w:rsidRPr="007635E1">
        <w:t>Benzyl alcohol</w:t>
      </w:r>
    </w:p>
    <w:p w14:paraId="6CBBE3A3" w14:textId="77777777" w:rsidR="00C949AD" w:rsidRPr="007635E1" w:rsidRDefault="00C949AD" w:rsidP="00AE3C73">
      <w:pPr>
        <w:spacing w:after="0"/>
      </w:pPr>
      <w:r w:rsidRPr="007635E1">
        <w:t>Sodium chloride</w:t>
      </w:r>
    </w:p>
    <w:p w14:paraId="7F18D068" w14:textId="77777777" w:rsidR="00C949AD" w:rsidRPr="007635E1" w:rsidRDefault="00C949AD" w:rsidP="00AE3C73">
      <w:pPr>
        <w:spacing w:after="0"/>
      </w:pPr>
      <w:r w:rsidRPr="007635E1">
        <w:t>Polysorbate 20</w:t>
      </w:r>
    </w:p>
    <w:p w14:paraId="76003112" w14:textId="77777777" w:rsidR="00C949AD" w:rsidRPr="007635E1" w:rsidRDefault="00C949AD" w:rsidP="00AE3C73">
      <w:pPr>
        <w:spacing w:after="0"/>
      </w:pPr>
      <w:r w:rsidRPr="007635E1">
        <w:t>Glacial acetic acid</w:t>
      </w:r>
    </w:p>
    <w:p w14:paraId="00677328" w14:textId="7E620D7D" w:rsidR="00C949AD" w:rsidRPr="007635E1" w:rsidRDefault="00C949AD" w:rsidP="00AE3C73">
      <w:pPr>
        <w:spacing w:after="0"/>
      </w:pPr>
      <w:r w:rsidRPr="007635E1">
        <w:t>Sodium acetate</w:t>
      </w:r>
      <w:r w:rsidR="00373D3E" w:rsidRPr="007635E1">
        <w:t xml:space="preserve"> trihydrate</w:t>
      </w:r>
    </w:p>
    <w:p w14:paraId="11BF2E1A" w14:textId="1BB98380" w:rsidR="00E03C13" w:rsidRPr="007635E1" w:rsidRDefault="00C949AD" w:rsidP="00C949AD">
      <w:r w:rsidRPr="007635E1">
        <w:t>Water for injections</w:t>
      </w:r>
    </w:p>
    <w:p w14:paraId="6E58548A" w14:textId="77777777" w:rsidR="001A3992" w:rsidRPr="00D36183" w:rsidRDefault="001A3992" w:rsidP="001A3992">
      <w:pPr>
        <w:pStyle w:val="Heading2"/>
        <w:keepNext/>
        <w:keepLines/>
        <w:spacing w:before="0" w:after="120"/>
        <w:rPr>
          <w:rFonts w:cs="Times New Roman"/>
        </w:rPr>
      </w:pPr>
      <w:r w:rsidRPr="00D36183">
        <w:rPr>
          <w:rFonts w:cs="Times New Roman"/>
        </w:rPr>
        <w:t xml:space="preserve">Incompatibilities </w:t>
      </w:r>
    </w:p>
    <w:p w14:paraId="167FAD4B" w14:textId="74FD64A2" w:rsidR="005C2617" w:rsidRPr="00D36183" w:rsidRDefault="00DD425A">
      <w:r w:rsidRPr="00D36183">
        <w:t>In the absence of compatibility studies, this medicinal product must not be mixed with other medicinal products.</w:t>
      </w:r>
    </w:p>
    <w:p w14:paraId="7823C60B" w14:textId="77777777" w:rsidR="001A3992" w:rsidRPr="00D36183" w:rsidRDefault="001A3992" w:rsidP="001A3992">
      <w:pPr>
        <w:pStyle w:val="Heading2"/>
        <w:spacing w:before="0" w:after="120"/>
        <w:rPr>
          <w:rFonts w:cs="Times New Roman"/>
        </w:rPr>
      </w:pPr>
      <w:bookmarkStart w:id="12" w:name="_Hlk514747209"/>
      <w:r w:rsidRPr="00D36183">
        <w:rPr>
          <w:rFonts w:cs="Times New Roman"/>
        </w:rPr>
        <w:t xml:space="preserve">Shelf life </w:t>
      </w:r>
    </w:p>
    <w:bookmarkEnd w:id="12"/>
    <w:p w14:paraId="0F71854A" w14:textId="3920EAB2" w:rsidR="00C6374B" w:rsidRPr="00D36183" w:rsidRDefault="00C6374B" w:rsidP="00C6374B">
      <w:r w:rsidRPr="00D36183">
        <w:lastRenderedPageBreak/>
        <w:t>In Australia, information on the shelf life can be found on the public summary of the Australian Register of Therapeutic Goods (ARTG). The expiry date can be found on the packaging.</w:t>
      </w:r>
    </w:p>
    <w:p w14:paraId="5785AAD8" w14:textId="77777777" w:rsidR="00DD425A" w:rsidRPr="00D36183" w:rsidRDefault="00DD425A" w:rsidP="00DD425A">
      <w:pPr>
        <w:pStyle w:val="Heading3"/>
        <w:spacing w:before="0" w:after="120"/>
        <w:ind w:left="0"/>
        <w:rPr>
          <w:rFonts w:cs="Times New Roman"/>
        </w:rPr>
      </w:pPr>
      <w:r w:rsidRPr="00D36183">
        <w:rPr>
          <w:rFonts w:cs="Times New Roman"/>
        </w:rPr>
        <w:t>After opening</w:t>
      </w:r>
    </w:p>
    <w:p w14:paraId="6C984263" w14:textId="4432EF35" w:rsidR="00DD425A" w:rsidRPr="00D36183" w:rsidRDefault="00DD425A" w:rsidP="00DD425A">
      <w:r w:rsidRPr="00D36183">
        <w:t>Chemical and physical in-use stability has been demonstrated for 30 days at 2</w:t>
      </w:r>
      <w:r w:rsidRPr="00D36183">
        <w:sym w:font="Symbol" w:char="F0B0"/>
      </w:r>
      <w:r w:rsidRPr="00D36183">
        <w:t>C to 8</w:t>
      </w:r>
      <w:r w:rsidRPr="00D36183">
        <w:sym w:font="Symbol" w:char="F0B0"/>
      </w:r>
      <w:r w:rsidRPr="00D36183">
        <w:t>C.  From a microbiological point of view, once opened, the medicinal product may be stored for a maximum of 30 days at 2</w:t>
      </w:r>
      <w:r w:rsidRPr="00D36183">
        <w:sym w:font="Symbol" w:char="F0B0"/>
      </w:r>
      <w:r w:rsidRPr="00D36183">
        <w:t>C to 8</w:t>
      </w:r>
      <w:r w:rsidRPr="00D36183">
        <w:sym w:font="Symbol" w:char="F0B0"/>
      </w:r>
      <w:r w:rsidRPr="00D36183">
        <w:t xml:space="preserve">C. </w:t>
      </w:r>
    </w:p>
    <w:p w14:paraId="710FA3DC" w14:textId="1C52AA56" w:rsidR="00506936" w:rsidRPr="00D36183" w:rsidRDefault="00506936" w:rsidP="00DD425A">
      <w:r w:rsidRPr="00D36183">
        <w:t>For use in one patient only.</w:t>
      </w:r>
    </w:p>
    <w:p w14:paraId="111333F0" w14:textId="77777777" w:rsidR="001A3992" w:rsidRPr="00D36183" w:rsidRDefault="001A3992" w:rsidP="001A3992">
      <w:pPr>
        <w:pStyle w:val="Heading2"/>
        <w:keepNext/>
        <w:keepLines/>
        <w:spacing w:before="0" w:after="120"/>
        <w:rPr>
          <w:rFonts w:cs="Times New Roman"/>
        </w:rPr>
      </w:pPr>
      <w:r w:rsidRPr="00D36183">
        <w:rPr>
          <w:rFonts w:cs="Times New Roman"/>
        </w:rPr>
        <w:t xml:space="preserve">Special precautions for storage </w:t>
      </w:r>
    </w:p>
    <w:p w14:paraId="28BC3FAD" w14:textId="6701EFD0" w:rsidR="00E03C13" w:rsidRPr="00D36183" w:rsidRDefault="00DD425A" w:rsidP="00E03C13">
      <w:r w:rsidRPr="00D36183">
        <w:t>Store at 2°C to 8°C (Refrigerate. Do not freeze).</w:t>
      </w:r>
      <w:r w:rsidR="00D36183">
        <w:t xml:space="preserve"> Protect from light.</w:t>
      </w:r>
    </w:p>
    <w:p w14:paraId="0F4E1ECD" w14:textId="3A6DE506" w:rsidR="00DD425A" w:rsidRPr="00D36183" w:rsidRDefault="00DD425A" w:rsidP="00DD425A">
      <w:r w:rsidRPr="00D36183">
        <w:t>For storage conditions after first opening</w:t>
      </w:r>
      <w:r w:rsidR="00712B0E" w:rsidRPr="00D36183">
        <w:t xml:space="preserve"> of the medicinal product, see S</w:t>
      </w:r>
      <w:r w:rsidRPr="00D36183">
        <w:t>ection 6.3</w:t>
      </w:r>
      <w:r w:rsidR="00D36183">
        <w:t xml:space="preserve"> </w:t>
      </w:r>
      <w:r w:rsidRPr="00D36183">
        <w:t>SHELF LIFE.</w:t>
      </w:r>
    </w:p>
    <w:p w14:paraId="58E3A03F" w14:textId="4EC8CE4E" w:rsidR="001A3992" w:rsidRPr="00D36183" w:rsidRDefault="001A3992" w:rsidP="001A3992">
      <w:pPr>
        <w:pStyle w:val="Heading2"/>
        <w:spacing w:before="0" w:after="120"/>
        <w:rPr>
          <w:rFonts w:cs="Times New Roman"/>
        </w:rPr>
      </w:pPr>
      <w:r w:rsidRPr="00D36183">
        <w:rPr>
          <w:rFonts w:cs="Times New Roman"/>
        </w:rPr>
        <w:t>N</w:t>
      </w:r>
      <w:r w:rsidR="00DD425A" w:rsidRPr="00D36183">
        <w:rPr>
          <w:rFonts w:cs="Times New Roman"/>
        </w:rPr>
        <w:t>ature and contents of container</w:t>
      </w:r>
    </w:p>
    <w:p w14:paraId="148A66DA" w14:textId="24F7EF39" w:rsidR="00DD425A" w:rsidRPr="00D36183" w:rsidRDefault="00DD425A" w:rsidP="00DD425A">
      <w:r w:rsidRPr="00D36183">
        <w:t>5 m</w:t>
      </w:r>
      <w:r w:rsidR="00373D3E" w:rsidRPr="00D36183">
        <w:t>L</w:t>
      </w:r>
      <w:r w:rsidRPr="00D36183">
        <w:t xml:space="preserve"> vial (type I </w:t>
      </w:r>
      <w:r w:rsidR="00373D3E" w:rsidRPr="00D36183">
        <w:t xml:space="preserve">clear </w:t>
      </w:r>
      <w:r w:rsidRPr="00D36183">
        <w:t xml:space="preserve">glass) closed with a </w:t>
      </w:r>
      <w:r w:rsidR="00373D3E" w:rsidRPr="00D36183">
        <w:t xml:space="preserve">grey </w:t>
      </w:r>
      <w:r w:rsidRPr="00D36183">
        <w:t>stopper (bromobutyl/isoprene polymer) and a</w:t>
      </w:r>
      <w:r w:rsidR="00373D3E" w:rsidRPr="00D36183">
        <w:t>n aluminium</w:t>
      </w:r>
      <w:r w:rsidRPr="00D36183">
        <w:t xml:space="preserve"> seal </w:t>
      </w:r>
      <w:r w:rsidR="00373D3E" w:rsidRPr="00D36183">
        <w:t xml:space="preserve">with a plastic flip-off button </w:t>
      </w:r>
      <w:r w:rsidRPr="00D36183">
        <w:t>(lacquered plastic).</w:t>
      </w:r>
    </w:p>
    <w:p w14:paraId="089F59F6" w14:textId="7E928D6C" w:rsidR="00DD425A" w:rsidRPr="00D36183" w:rsidRDefault="00DD425A" w:rsidP="00DD425A">
      <w:r w:rsidRPr="00D36183">
        <w:t>Pack size of 1 vial.</w:t>
      </w:r>
    </w:p>
    <w:p w14:paraId="164DA70B" w14:textId="77777777" w:rsidR="001A3992" w:rsidRPr="00D36183" w:rsidRDefault="001A3992" w:rsidP="00D728CE">
      <w:pPr>
        <w:pStyle w:val="Heading2"/>
        <w:keepNext/>
        <w:spacing w:before="0" w:after="120"/>
        <w:rPr>
          <w:rFonts w:cs="Times New Roman"/>
        </w:rPr>
      </w:pPr>
      <w:r w:rsidRPr="00D36183">
        <w:rPr>
          <w:rFonts w:cs="Times New Roman"/>
        </w:rPr>
        <w:t xml:space="preserve">Special precautions for disposal </w:t>
      </w:r>
    </w:p>
    <w:p w14:paraId="3C0E1E8C" w14:textId="77777777" w:rsidR="00C6374B" w:rsidRPr="00D36183" w:rsidRDefault="00C6374B" w:rsidP="00C6374B">
      <w:r w:rsidRPr="00D36183">
        <w:t>In Australia, any unused medicine or waste material should be disposed of by taking to your local pharmacy.</w:t>
      </w:r>
    </w:p>
    <w:p w14:paraId="04B6BAA1" w14:textId="578E7B2A" w:rsidR="001A3992" w:rsidRPr="00D36183" w:rsidRDefault="001A3992" w:rsidP="001A3992">
      <w:pPr>
        <w:pStyle w:val="Heading2"/>
        <w:spacing w:before="0" w:after="120"/>
        <w:rPr>
          <w:rFonts w:cs="Times New Roman"/>
        </w:rPr>
      </w:pPr>
      <w:r w:rsidRPr="00D36183">
        <w:rPr>
          <w:rFonts w:cs="Times New Roman"/>
        </w:rPr>
        <w:t>Physicochemical properties</w:t>
      </w:r>
    </w:p>
    <w:p w14:paraId="712256D3" w14:textId="77777777" w:rsidR="001A3992" w:rsidRPr="00D36183" w:rsidRDefault="001A3992" w:rsidP="00A80EF8">
      <w:pPr>
        <w:pStyle w:val="Heading3"/>
        <w:spacing w:before="0" w:after="120"/>
        <w:ind w:left="0"/>
        <w:rPr>
          <w:rFonts w:cs="Times New Roman"/>
        </w:rPr>
      </w:pPr>
      <w:r w:rsidRPr="00D36183">
        <w:rPr>
          <w:rFonts w:cs="Times New Roman"/>
        </w:rPr>
        <w:t>Chemical structure</w:t>
      </w:r>
    </w:p>
    <w:p w14:paraId="6C01F13A" w14:textId="1CDE8BC3" w:rsidR="00A51298" w:rsidRPr="00D36183" w:rsidRDefault="005B35BA" w:rsidP="00E03C13">
      <w:r w:rsidRPr="00D36183">
        <w:t xml:space="preserve">Mecasermin </w:t>
      </w:r>
      <w:r w:rsidR="00A51298" w:rsidRPr="00D36183">
        <w:t xml:space="preserve">human insulin-like growth factor-1 (rhIGF-1) </w:t>
      </w:r>
      <w:r w:rsidRPr="00D36183">
        <w:t xml:space="preserve">is </w:t>
      </w:r>
      <w:r w:rsidR="00A51298" w:rsidRPr="00D36183">
        <w:t>produced by recombinant DNA technology. IGF-1 consists of 70 amino acids in a single chain with three intramolecular disulfide bridges and a molecular weight of 7649 daltons. The amino acid sequence of the product is identical to that of endogenous human IGF-1. The rhIGF-1 protein is synthesized in bacteria (E. coli) that have been modified by the addition of the gene for human IGF-1.</w:t>
      </w:r>
    </w:p>
    <w:p w14:paraId="4D69E087" w14:textId="460940A6" w:rsidR="00E03C13" w:rsidRPr="00D36183" w:rsidRDefault="00A51298" w:rsidP="00E214FE">
      <w:pPr>
        <w:pStyle w:val="Heading4"/>
      </w:pPr>
      <w:r w:rsidRPr="00D36183">
        <w:lastRenderedPageBreak/>
        <w:t>Primary Amino Acid Sequence of rhIGF-1</w:t>
      </w:r>
    </w:p>
    <w:p w14:paraId="7BE5FDF6" w14:textId="34168F4D" w:rsidR="00E03C13" w:rsidRPr="00D36183" w:rsidRDefault="00A51298" w:rsidP="00E03C13">
      <w:r w:rsidRPr="007635E1">
        <w:rPr>
          <w:noProof/>
          <w:lang w:eastAsia="en-AU"/>
        </w:rPr>
        <w:drawing>
          <wp:inline distT="0" distB="0" distL="0" distR="0" wp14:anchorId="60844C2C" wp14:editId="316FD8B2">
            <wp:extent cx="3332511" cy="2544417"/>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38034" cy="2548634"/>
                    </a:xfrm>
                    <a:prstGeom prst="rect">
                      <a:avLst/>
                    </a:prstGeom>
                  </pic:spPr>
                </pic:pic>
              </a:graphicData>
            </a:graphic>
          </wp:inline>
        </w:drawing>
      </w:r>
    </w:p>
    <w:p w14:paraId="414CB363" w14:textId="77777777" w:rsidR="001A3992" w:rsidRPr="00D36183" w:rsidRDefault="001A3992" w:rsidP="00A80EF8">
      <w:pPr>
        <w:pStyle w:val="Heading3"/>
        <w:spacing w:before="0" w:after="120"/>
        <w:ind w:left="0"/>
        <w:rPr>
          <w:rFonts w:cs="Times New Roman"/>
        </w:rPr>
      </w:pPr>
      <w:r w:rsidRPr="00D36183">
        <w:rPr>
          <w:rFonts w:cs="Times New Roman"/>
        </w:rPr>
        <w:t>CAS number</w:t>
      </w:r>
    </w:p>
    <w:p w14:paraId="368AC1E5" w14:textId="574853D5" w:rsidR="00E03C13" w:rsidRPr="00D36183" w:rsidRDefault="00A51298" w:rsidP="00E03C13">
      <w:r w:rsidRPr="00D36183">
        <w:t>68562-41-4</w:t>
      </w:r>
    </w:p>
    <w:p w14:paraId="043D3B5F" w14:textId="77777777" w:rsidR="001A3992" w:rsidRPr="00D36183" w:rsidRDefault="001A3992" w:rsidP="001A3992">
      <w:pPr>
        <w:pStyle w:val="Heading1"/>
        <w:spacing w:before="0" w:after="120"/>
        <w:rPr>
          <w:rFonts w:ascii="Times New Roman" w:hAnsi="Times New Roman" w:cs="Times New Roman"/>
        </w:rPr>
      </w:pPr>
      <w:r w:rsidRPr="00D36183">
        <w:rPr>
          <w:rFonts w:ascii="Times New Roman" w:hAnsi="Times New Roman" w:cs="Times New Roman"/>
        </w:rPr>
        <w:t>Medicine schedule (Poisons Standard)</w:t>
      </w:r>
    </w:p>
    <w:p w14:paraId="3C1B626F" w14:textId="77777777" w:rsidR="00E03C13" w:rsidRPr="00D36183" w:rsidRDefault="00E03C13" w:rsidP="00E03C13">
      <w:r w:rsidRPr="00D36183">
        <w:t>S4</w:t>
      </w:r>
    </w:p>
    <w:p w14:paraId="019C1BA3" w14:textId="77777777" w:rsidR="00285173" w:rsidRPr="00D36183" w:rsidRDefault="001A3992" w:rsidP="00285173">
      <w:pPr>
        <w:pStyle w:val="Heading1"/>
        <w:spacing w:before="0" w:after="120"/>
        <w:rPr>
          <w:rFonts w:ascii="Times New Roman" w:hAnsi="Times New Roman" w:cs="Times New Roman"/>
        </w:rPr>
      </w:pPr>
      <w:r w:rsidRPr="00D36183">
        <w:rPr>
          <w:rFonts w:ascii="Times New Roman" w:hAnsi="Times New Roman" w:cs="Times New Roman"/>
        </w:rPr>
        <w:t>Sponsor</w:t>
      </w:r>
      <w:r w:rsidR="00285173" w:rsidRPr="00D36183">
        <w:rPr>
          <w:rFonts w:ascii="Times New Roman" w:hAnsi="Times New Roman" w:cs="Times New Roman"/>
        </w:rPr>
        <w:t xml:space="preserve"> </w:t>
      </w:r>
    </w:p>
    <w:p w14:paraId="5CDCF17D" w14:textId="77777777" w:rsidR="00E03C13" w:rsidRPr="00D36183" w:rsidRDefault="00E03C13" w:rsidP="00E03C13">
      <w:pPr>
        <w:contextualSpacing/>
      </w:pPr>
      <w:r w:rsidRPr="00D36183">
        <w:t>Ipsen Pty Ltd</w:t>
      </w:r>
    </w:p>
    <w:p w14:paraId="232927DF" w14:textId="77777777" w:rsidR="00E03C13" w:rsidRPr="00D36183" w:rsidRDefault="00E03C13" w:rsidP="00E03C13">
      <w:pPr>
        <w:contextualSpacing/>
      </w:pPr>
      <w:r w:rsidRPr="00D36183">
        <w:t>Level 2, Building 4</w:t>
      </w:r>
    </w:p>
    <w:p w14:paraId="7CEB64AF" w14:textId="77777777" w:rsidR="00E03C13" w:rsidRPr="00D36183" w:rsidRDefault="00E03C13" w:rsidP="00E03C13">
      <w:pPr>
        <w:contextualSpacing/>
      </w:pPr>
      <w:r w:rsidRPr="00D36183">
        <w:t>Brandon Office Park</w:t>
      </w:r>
    </w:p>
    <w:p w14:paraId="6D828322" w14:textId="77777777" w:rsidR="00E03C13" w:rsidRPr="00D36183" w:rsidRDefault="00E03C13" w:rsidP="00E03C13">
      <w:pPr>
        <w:contextualSpacing/>
      </w:pPr>
      <w:r w:rsidRPr="00D36183">
        <w:t>540 Springvale Road</w:t>
      </w:r>
    </w:p>
    <w:p w14:paraId="42EDAF67" w14:textId="77777777" w:rsidR="00E03C13" w:rsidRPr="00D36183" w:rsidRDefault="00E03C13" w:rsidP="00E03C13">
      <w:pPr>
        <w:contextualSpacing/>
      </w:pPr>
      <w:r w:rsidRPr="00D36183">
        <w:t>Glen Waverley Victoria 3150</w:t>
      </w:r>
    </w:p>
    <w:p w14:paraId="336EEC98" w14:textId="77777777" w:rsidR="00E03C13" w:rsidRPr="00D36183" w:rsidRDefault="00E03C13" w:rsidP="00E03C13">
      <w:pPr>
        <w:contextualSpacing/>
      </w:pPr>
    </w:p>
    <w:p w14:paraId="41774575" w14:textId="77777777" w:rsidR="00E03C13" w:rsidRPr="00D36183" w:rsidRDefault="00E03C13" w:rsidP="00E03C13">
      <w:pPr>
        <w:contextualSpacing/>
      </w:pPr>
      <w:r w:rsidRPr="00D36183">
        <w:t>Telephone: 1800 317 033</w:t>
      </w:r>
    </w:p>
    <w:p w14:paraId="17B062DD" w14:textId="77777777" w:rsidR="00E03C13" w:rsidRPr="00D36183" w:rsidRDefault="00E03C13" w:rsidP="00E03C13"/>
    <w:p w14:paraId="64CD6517" w14:textId="77777777" w:rsidR="00285173" w:rsidRPr="00D36183" w:rsidRDefault="00285173" w:rsidP="00285173">
      <w:pPr>
        <w:pStyle w:val="Heading1"/>
        <w:spacing w:before="0" w:after="120"/>
        <w:rPr>
          <w:rFonts w:ascii="Times New Roman" w:hAnsi="Times New Roman" w:cs="Times New Roman"/>
        </w:rPr>
      </w:pPr>
      <w:r w:rsidRPr="00D36183">
        <w:rPr>
          <w:rFonts w:ascii="Times New Roman" w:hAnsi="Times New Roman" w:cs="Times New Roman"/>
        </w:rPr>
        <w:t xml:space="preserve">Date of first approval  </w:t>
      </w:r>
    </w:p>
    <w:p w14:paraId="36AC1506" w14:textId="0B12F583" w:rsidR="00E03C13" w:rsidRPr="00D36183" w:rsidRDefault="00676699" w:rsidP="00E03C13">
      <w:r>
        <w:t>22 November 2019</w:t>
      </w:r>
    </w:p>
    <w:p w14:paraId="02AF4FB7" w14:textId="77777777" w:rsidR="00285173" w:rsidRPr="00D36183" w:rsidRDefault="00285173" w:rsidP="00285173">
      <w:pPr>
        <w:pStyle w:val="Heading1"/>
        <w:spacing w:before="0" w:after="120"/>
        <w:rPr>
          <w:rFonts w:ascii="Times New Roman" w:hAnsi="Times New Roman" w:cs="Times New Roman"/>
        </w:rPr>
      </w:pPr>
      <w:r w:rsidRPr="00D36183">
        <w:rPr>
          <w:rFonts w:ascii="Times New Roman" w:hAnsi="Times New Roman" w:cs="Times New Roman"/>
        </w:rPr>
        <w:t xml:space="preserve">Date of revision </w:t>
      </w:r>
    </w:p>
    <w:p w14:paraId="1A91CC5D" w14:textId="5E5568D5" w:rsidR="00960CD5" w:rsidRPr="00D36183" w:rsidRDefault="00E214FE" w:rsidP="00E03C13">
      <w:r w:rsidRPr="00D36183">
        <w:t>N/A</w:t>
      </w:r>
    </w:p>
    <w:sectPr w:rsidR="00960CD5" w:rsidRPr="00D361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47B88" w14:textId="77777777" w:rsidR="00F27066" w:rsidRDefault="00F27066" w:rsidP="001A3992">
      <w:pPr>
        <w:spacing w:after="0" w:line="240" w:lineRule="auto"/>
      </w:pPr>
      <w:r>
        <w:separator/>
      </w:r>
    </w:p>
  </w:endnote>
  <w:endnote w:type="continuationSeparator" w:id="0">
    <w:p w14:paraId="3E0A50F9" w14:textId="77777777" w:rsidR="00F27066" w:rsidRDefault="00F2706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A412" w14:textId="77777777" w:rsidR="00D953C7" w:rsidRDefault="00D9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6D4786A0" w14:textId="1724FE07" w:rsidR="003C5F80" w:rsidRPr="00EE0A9B" w:rsidRDefault="003C5F80" w:rsidP="00EE0A9B">
        <w:pPr>
          <w:pStyle w:val="Footer"/>
          <w:jc w:val="right"/>
          <w:rPr>
            <w:lang w:val="en-GB"/>
          </w:rPr>
        </w:pPr>
        <w:r w:rsidRPr="005B35BA">
          <w:rPr>
            <w:rFonts w:ascii="Times New Roman" w:hAnsi="Times New Roman" w:cs="Times New Roman"/>
            <w:sz w:val="20"/>
            <w:lang w:val="en-GB"/>
          </w:rPr>
          <w:t xml:space="preserve">Increlex </w:t>
        </w:r>
        <w:r w:rsidRPr="00C72232">
          <w:rPr>
            <w:rFonts w:ascii="Times New Roman" w:hAnsi="Times New Roman" w:cs="Times New Roman"/>
            <w:sz w:val="20"/>
            <w:lang w:val="en-GB"/>
          </w:rPr>
          <w:t>Product Information</w:t>
        </w:r>
        <w:r>
          <w:rPr>
            <w:rFonts w:ascii="Times New Roman" w:hAnsi="Times New Roman" w:cs="Times New Roman"/>
            <w:sz w:val="20"/>
            <w:lang w:val="en-GB"/>
          </w:rPr>
          <w:t xml:space="preserve"> v</w:t>
        </w:r>
        <w:r w:rsidR="00676699">
          <w:rPr>
            <w:rFonts w:ascii="Times New Roman" w:hAnsi="Times New Roman" w:cs="Times New Roman"/>
            <w:sz w:val="20"/>
            <w:lang w:val="en-GB"/>
          </w:rPr>
          <w:t>1</w:t>
        </w:r>
        <w:r>
          <w:rPr>
            <w:rFonts w:ascii="Times New Roman" w:hAnsi="Times New Roman" w:cs="Times New Roman"/>
            <w:sz w:val="20"/>
            <w:lang w:val="en-GB"/>
          </w:rPr>
          <w:t xml:space="preserve">, </w:t>
        </w:r>
        <w:r w:rsidR="00676699">
          <w:rPr>
            <w:rFonts w:ascii="Times New Roman" w:hAnsi="Times New Roman" w:cs="Times New Roman"/>
            <w:sz w:val="20"/>
            <w:lang w:val="en-GB"/>
          </w:rPr>
          <w:t>22 November</w:t>
        </w:r>
        <w:r>
          <w:rPr>
            <w:rFonts w:ascii="Times New Roman" w:hAnsi="Times New Roman" w:cs="Times New Roman"/>
            <w:sz w:val="20"/>
            <w:lang w:val="en-GB"/>
          </w:rPr>
          <w:t xml:space="preserve"> 2019</w:t>
        </w:r>
        <w:r w:rsidRPr="00C72232" w:rsidDel="007E60C3">
          <w:rPr>
            <w:rFonts w:ascii="Times New Roman" w:hAnsi="Times New Roman" w:cs="Times New Roman"/>
            <w:sz w:val="20"/>
            <w:lang w:val="en-GB"/>
          </w:rPr>
          <w:tab/>
        </w:r>
        <w:r w:rsidRPr="00C72232" w:rsidDel="007E60C3">
          <w:rPr>
            <w:rFonts w:ascii="Times New Roman" w:hAnsi="Times New Roman" w:cs="Times New Roman"/>
            <w:sz w:val="20"/>
            <w:lang w:val="en-GB"/>
          </w:rPr>
          <w:tab/>
        </w:r>
        <w:r w:rsidRPr="00C72232">
          <w:rPr>
            <w:rFonts w:ascii="Times New Roman" w:hAnsi="Times New Roman" w:cs="Times New Roman"/>
            <w:sz w:val="20"/>
            <w:lang w:val="en-GB"/>
          </w:rPr>
          <w:fldChar w:fldCharType="begin"/>
        </w:r>
        <w:r w:rsidRPr="00C72232">
          <w:rPr>
            <w:rFonts w:ascii="Times New Roman" w:hAnsi="Times New Roman" w:cs="Times New Roman"/>
            <w:sz w:val="20"/>
            <w:lang w:val="en-GB"/>
          </w:rPr>
          <w:instrText xml:space="preserve"> PAGE </w:instrText>
        </w:r>
        <w:r w:rsidRPr="00C72232">
          <w:rPr>
            <w:rFonts w:ascii="Times New Roman" w:hAnsi="Times New Roman" w:cs="Times New Roman"/>
            <w:sz w:val="20"/>
            <w:lang w:val="en-GB"/>
          </w:rPr>
          <w:fldChar w:fldCharType="separate"/>
        </w:r>
        <w:r w:rsidR="00D953C7">
          <w:rPr>
            <w:rFonts w:ascii="Times New Roman" w:hAnsi="Times New Roman" w:cs="Times New Roman"/>
            <w:noProof/>
            <w:sz w:val="20"/>
            <w:lang w:val="en-GB"/>
          </w:rPr>
          <w:t>1</w:t>
        </w:r>
        <w:r w:rsidRPr="00C72232">
          <w:rPr>
            <w:rFonts w:ascii="Times New Roman" w:hAnsi="Times New Roman" w:cs="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E5A0" w14:textId="77777777" w:rsidR="00D953C7" w:rsidRDefault="00D9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40D62" w14:textId="77777777" w:rsidR="00F27066" w:rsidRDefault="00F27066" w:rsidP="001A3992">
      <w:pPr>
        <w:spacing w:after="0" w:line="240" w:lineRule="auto"/>
      </w:pPr>
      <w:r>
        <w:separator/>
      </w:r>
    </w:p>
  </w:footnote>
  <w:footnote w:type="continuationSeparator" w:id="0">
    <w:p w14:paraId="418C47A8" w14:textId="77777777" w:rsidR="00F27066" w:rsidRDefault="00F27066"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C868" w14:textId="77777777" w:rsidR="00D953C7" w:rsidRDefault="00D9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953C7" w:rsidRPr="002E7F61" w14:paraId="1C0D2546" w14:textId="77777777" w:rsidTr="00526614">
      <w:trPr>
        <w:trHeight w:val="590"/>
      </w:trPr>
      <w:tc>
        <w:tcPr>
          <w:tcW w:w="8720" w:type="dxa"/>
          <w:shd w:val="clear" w:color="auto" w:fill="E4F2E0"/>
        </w:tcPr>
        <w:p w14:paraId="1ACF4169" w14:textId="77777777" w:rsidR="00D953C7" w:rsidRPr="002E7F61" w:rsidRDefault="00D953C7" w:rsidP="00D953C7">
          <w:pPr>
            <w:pStyle w:val="Footer"/>
            <w:rPr>
              <w:b/>
              <w:sz w:val="18"/>
              <w:szCs w:val="18"/>
            </w:rPr>
          </w:pPr>
          <w:r w:rsidRPr="002E7F61">
            <w:rPr>
              <w:b/>
              <w:sz w:val="18"/>
              <w:szCs w:val="18"/>
            </w:rPr>
            <w:t xml:space="preserve">Attachment </w:t>
          </w:r>
          <w:r w:rsidRPr="00BE46AD">
            <w:rPr>
              <w:b/>
              <w:sz w:val="18"/>
              <w:szCs w:val="18"/>
            </w:rPr>
            <w:t xml:space="preserve">AusPAR - </w:t>
          </w:r>
          <w:proofErr w:type="spellStart"/>
          <w:r w:rsidRPr="00BE46AD">
            <w:rPr>
              <w:b/>
              <w:sz w:val="18"/>
              <w:szCs w:val="18"/>
            </w:rPr>
            <w:t>Increlex</w:t>
          </w:r>
          <w:proofErr w:type="spellEnd"/>
          <w:r w:rsidRPr="00BE46AD">
            <w:rPr>
              <w:b/>
              <w:sz w:val="18"/>
              <w:szCs w:val="18"/>
            </w:rPr>
            <w:t xml:space="preserve"> - </w:t>
          </w:r>
          <w:proofErr w:type="spellStart"/>
          <w:r w:rsidRPr="00BE46AD">
            <w:rPr>
              <w:b/>
              <w:sz w:val="18"/>
              <w:szCs w:val="18"/>
            </w:rPr>
            <w:t>mecasermin</w:t>
          </w:r>
          <w:proofErr w:type="spellEnd"/>
          <w:r w:rsidRPr="00BE46AD">
            <w:rPr>
              <w:b/>
              <w:sz w:val="18"/>
              <w:szCs w:val="18"/>
            </w:rPr>
            <w:t xml:space="preserve"> - </w:t>
          </w:r>
          <w:proofErr w:type="spellStart"/>
          <w:r w:rsidRPr="00BE46AD">
            <w:rPr>
              <w:b/>
              <w:sz w:val="18"/>
              <w:szCs w:val="18"/>
            </w:rPr>
            <w:t>Ipsen</w:t>
          </w:r>
          <w:proofErr w:type="spellEnd"/>
          <w:r w:rsidRPr="00BE46AD">
            <w:rPr>
              <w:b/>
              <w:sz w:val="18"/>
              <w:szCs w:val="18"/>
            </w:rPr>
            <w:t xml:space="preserve"> Pty Ltd - PM-2018-03520-1-5</w:t>
          </w:r>
          <w:r>
            <w:rPr>
              <w:b/>
              <w:sz w:val="18"/>
              <w:szCs w:val="18"/>
            </w:rPr>
            <w:t xml:space="preserve"> </w:t>
          </w:r>
          <w:r w:rsidRPr="00BE46AD">
            <w:rPr>
              <w:b/>
              <w:sz w:val="18"/>
              <w:szCs w:val="18"/>
            </w:rPr>
            <w:t>FINAL 5 March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3EFAAF9F" w14:textId="77777777" w:rsidR="00D953C7" w:rsidRDefault="00D95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0B" w14:textId="77777777" w:rsidR="00D953C7" w:rsidRDefault="00D9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CC0277"/>
    <w:multiLevelType w:val="hybridMultilevel"/>
    <w:tmpl w:val="86087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11"/>
  </w:num>
  <w:num w:numId="6">
    <w:abstractNumId w:val="9"/>
  </w:num>
  <w:num w:numId="7">
    <w:abstractNumId w:val="7"/>
  </w:num>
  <w:num w:numId="8">
    <w:abstractNumId w:val="10"/>
  </w:num>
  <w:num w:numId="9">
    <w:abstractNumId w:val="3"/>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FF"/>
    <w:rsid w:val="0002168F"/>
    <w:rsid w:val="00023165"/>
    <w:rsid w:val="00032D26"/>
    <w:rsid w:val="00033391"/>
    <w:rsid w:val="00042302"/>
    <w:rsid w:val="00051CC9"/>
    <w:rsid w:val="00052F6C"/>
    <w:rsid w:val="000918A7"/>
    <w:rsid w:val="00093007"/>
    <w:rsid w:val="000A3E17"/>
    <w:rsid w:val="000B15B1"/>
    <w:rsid w:val="000B16B5"/>
    <w:rsid w:val="000D117B"/>
    <w:rsid w:val="000D5044"/>
    <w:rsid w:val="00100B7A"/>
    <w:rsid w:val="00124618"/>
    <w:rsid w:val="0018264A"/>
    <w:rsid w:val="00193631"/>
    <w:rsid w:val="001A3992"/>
    <w:rsid w:val="001B4D3C"/>
    <w:rsid w:val="001B75E6"/>
    <w:rsid w:val="001C1382"/>
    <w:rsid w:val="001D376A"/>
    <w:rsid w:val="001F0F81"/>
    <w:rsid w:val="001F4B26"/>
    <w:rsid w:val="001F761E"/>
    <w:rsid w:val="002063C4"/>
    <w:rsid w:val="002232B6"/>
    <w:rsid w:val="002302B3"/>
    <w:rsid w:val="002324C2"/>
    <w:rsid w:val="00235D6F"/>
    <w:rsid w:val="00240C26"/>
    <w:rsid w:val="00255071"/>
    <w:rsid w:val="00255176"/>
    <w:rsid w:val="00260B8C"/>
    <w:rsid w:val="002747C6"/>
    <w:rsid w:val="00275E89"/>
    <w:rsid w:val="00285173"/>
    <w:rsid w:val="002A4A78"/>
    <w:rsid w:val="002E277D"/>
    <w:rsid w:val="002E5CB4"/>
    <w:rsid w:val="002F5880"/>
    <w:rsid w:val="00304CF1"/>
    <w:rsid w:val="00312397"/>
    <w:rsid w:val="00322033"/>
    <w:rsid w:val="00322301"/>
    <w:rsid w:val="00325E36"/>
    <w:rsid w:val="003330F7"/>
    <w:rsid w:val="00373D3E"/>
    <w:rsid w:val="00375DF3"/>
    <w:rsid w:val="003A2209"/>
    <w:rsid w:val="003B4662"/>
    <w:rsid w:val="003B4DDD"/>
    <w:rsid w:val="003C5F80"/>
    <w:rsid w:val="003D2996"/>
    <w:rsid w:val="003D62AF"/>
    <w:rsid w:val="00430BFE"/>
    <w:rsid w:val="00430EFC"/>
    <w:rsid w:val="00431ACD"/>
    <w:rsid w:val="004363D8"/>
    <w:rsid w:val="00440D5D"/>
    <w:rsid w:val="004662B3"/>
    <w:rsid w:val="0046649B"/>
    <w:rsid w:val="004818C7"/>
    <w:rsid w:val="00486278"/>
    <w:rsid w:val="004B287E"/>
    <w:rsid w:val="004B6B19"/>
    <w:rsid w:val="004B7EA2"/>
    <w:rsid w:val="004C73A9"/>
    <w:rsid w:val="004E3D44"/>
    <w:rsid w:val="004E7D8E"/>
    <w:rsid w:val="004E7FD9"/>
    <w:rsid w:val="005027F1"/>
    <w:rsid w:val="00506936"/>
    <w:rsid w:val="00540EED"/>
    <w:rsid w:val="00547675"/>
    <w:rsid w:val="00564B0E"/>
    <w:rsid w:val="00566906"/>
    <w:rsid w:val="00593CD6"/>
    <w:rsid w:val="005B35BA"/>
    <w:rsid w:val="005B36EC"/>
    <w:rsid w:val="005C2617"/>
    <w:rsid w:val="005C4884"/>
    <w:rsid w:val="005C677A"/>
    <w:rsid w:val="005D23F2"/>
    <w:rsid w:val="005E26BE"/>
    <w:rsid w:val="005F00D9"/>
    <w:rsid w:val="005F214F"/>
    <w:rsid w:val="0060076B"/>
    <w:rsid w:val="00600F91"/>
    <w:rsid w:val="006018AE"/>
    <w:rsid w:val="00607462"/>
    <w:rsid w:val="00610EB4"/>
    <w:rsid w:val="006163D4"/>
    <w:rsid w:val="006163EA"/>
    <w:rsid w:val="00632236"/>
    <w:rsid w:val="00642D4B"/>
    <w:rsid w:val="00647007"/>
    <w:rsid w:val="006764BF"/>
    <w:rsid w:val="00676699"/>
    <w:rsid w:val="00676FBB"/>
    <w:rsid w:val="00681990"/>
    <w:rsid w:val="00686016"/>
    <w:rsid w:val="00696140"/>
    <w:rsid w:val="006B1A5E"/>
    <w:rsid w:val="006C0450"/>
    <w:rsid w:val="006E4FC1"/>
    <w:rsid w:val="006E55AA"/>
    <w:rsid w:val="00712B0E"/>
    <w:rsid w:val="00723DC6"/>
    <w:rsid w:val="007427DC"/>
    <w:rsid w:val="00754F01"/>
    <w:rsid w:val="0076016E"/>
    <w:rsid w:val="007635E1"/>
    <w:rsid w:val="00766908"/>
    <w:rsid w:val="00772ABC"/>
    <w:rsid w:val="00780B6D"/>
    <w:rsid w:val="007C66C8"/>
    <w:rsid w:val="007E636C"/>
    <w:rsid w:val="007F13E6"/>
    <w:rsid w:val="008126FD"/>
    <w:rsid w:val="008270EC"/>
    <w:rsid w:val="0083769C"/>
    <w:rsid w:val="00842D45"/>
    <w:rsid w:val="00844BA4"/>
    <w:rsid w:val="00846476"/>
    <w:rsid w:val="00855E82"/>
    <w:rsid w:val="00856F3C"/>
    <w:rsid w:val="0086561A"/>
    <w:rsid w:val="00882F58"/>
    <w:rsid w:val="0089794D"/>
    <w:rsid w:val="008B14BB"/>
    <w:rsid w:val="008B1786"/>
    <w:rsid w:val="008D0B88"/>
    <w:rsid w:val="008D596A"/>
    <w:rsid w:val="008E1137"/>
    <w:rsid w:val="008F325D"/>
    <w:rsid w:val="008F4744"/>
    <w:rsid w:val="009021C3"/>
    <w:rsid w:val="0090247B"/>
    <w:rsid w:val="009055EC"/>
    <w:rsid w:val="00905FE6"/>
    <w:rsid w:val="009162D2"/>
    <w:rsid w:val="009177C4"/>
    <w:rsid w:val="009435FF"/>
    <w:rsid w:val="00960CD5"/>
    <w:rsid w:val="00961BA5"/>
    <w:rsid w:val="00963F10"/>
    <w:rsid w:val="00964DA3"/>
    <w:rsid w:val="00980FFE"/>
    <w:rsid w:val="009B1594"/>
    <w:rsid w:val="009D1BDC"/>
    <w:rsid w:val="00A03142"/>
    <w:rsid w:val="00A07FCD"/>
    <w:rsid w:val="00A122D1"/>
    <w:rsid w:val="00A14D78"/>
    <w:rsid w:val="00A24182"/>
    <w:rsid w:val="00A24AB7"/>
    <w:rsid w:val="00A32BA3"/>
    <w:rsid w:val="00A36B42"/>
    <w:rsid w:val="00A51298"/>
    <w:rsid w:val="00A5319C"/>
    <w:rsid w:val="00A66F85"/>
    <w:rsid w:val="00A67C54"/>
    <w:rsid w:val="00A80EF8"/>
    <w:rsid w:val="00A837DE"/>
    <w:rsid w:val="00A84ABB"/>
    <w:rsid w:val="00A93EFD"/>
    <w:rsid w:val="00AA154C"/>
    <w:rsid w:val="00AE3C73"/>
    <w:rsid w:val="00AF238D"/>
    <w:rsid w:val="00B05F42"/>
    <w:rsid w:val="00B163A9"/>
    <w:rsid w:val="00B1711A"/>
    <w:rsid w:val="00B30A67"/>
    <w:rsid w:val="00B37D17"/>
    <w:rsid w:val="00B41D96"/>
    <w:rsid w:val="00B457B9"/>
    <w:rsid w:val="00B56229"/>
    <w:rsid w:val="00B56E54"/>
    <w:rsid w:val="00B60E2C"/>
    <w:rsid w:val="00B70350"/>
    <w:rsid w:val="00B845D5"/>
    <w:rsid w:val="00B91BE2"/>
    <w:rsid w:val="00BA72D8"/>
    <w:rsid w:val="00BB14D8"/>
    <w:rsid w:val="00BD5387"/>
    <w:rsid w:val="00BE2A26"/>
    <w:rsid w:val="00BF304B"/>
    <w:rsid w:val="00BF3276"/>
    <w:rsid w:val="00C03881"/>
    <w:rsid w:val="00C05A78"/>
    <w:rsid w:val="00C07806"/>
    <w:rsid w:val="00C24623"/>
    <w:rsid w:val="00C3270A"/>
    <w:rsid w:val="00C41996"/>
    <w:rsid w:val="00C51158"/>
    <w:rsid w:val="00C6374B"/>
    <w:rsid w:val="00C71AFD"/>
    <w:rsid w:val="00C72232"/>
    <w:rsid w:val="00C76A16"/>
    <w:rsid w:val="00C949AD"/>
    <w:rsid w:val="00CC0ECD"/>
    <w:rsid w:val="00CD61C0"/>
    <w:rsid w:val="00CF21E4"/>
    <w:rsid w:val="00CF396C"/>
    <w:rsid w:val="00D27920"/>
    <w:rsid w:val="00D36183"/>
    <w:rsid w:val="00D41CEF"/>
    <w:rsid w:val="00D45EFC"/>
    <w:rsid w:val="00D66AF6"/>
    <w:rsid w:val="00D67A72"/>
    <w:rsid w:val="00D728CE"/>
    <w:rsid w:val="00D86132"/>
    <w:rsid w:val="00D875F3"/>
    <w:rsid w:val="00D953C7"/>
    <w:rsid w:val="00DB2B23"/>
    <w:rsid w:val="00DC4129"/>
    <w:rsid w:val="00DD425A"/>
    <w:rsid w:val="00E0075C"/>
    <w:rsid w:val="00E03C13"/>
    <w:rsid w:val="00E07211"/>
    <w:rsid w:val="00E2127F"/>
    <w:rsid w:val="00E214FE"/>
    <w:rsid w:val="00E24359"/>
    <w:rsid w:val="00E331C7"/>
    <w:rsid w:val="00E442C4"/>
    <w:rsid w:val="00E4748F"/>
    <w:rsid w:val="00E50F4D"/>
    <w:rsid w:val="00E74A56"/>
    <w:rsid w:val="00E7731A"/>
    <w:rsid w:val="00E80DDE"/>
    <w:rsid w:val="00E81E8F"/>
    <w:rsid w:val="00E92D3C"/>
    <w:rsid w:val="00EA42C8"/>
    <w:rsid w:val="00EC2E30"/>
    <w:rsid w:val="00EC42B9"/>
    <w:rsid w:val="00ED31C9"/>
    <w:rsid w:val="00EE0A9B"/>
    <w:rsid w:val="00EE2E4F"/>
    <w:rsid w:val="00F057A2"/>
    <w:rsid w:val="00F177A2"/>
    <w:rsid w:val="00F27066"/>
    <w:rsid w:val="00F86E57"/>
    <w:rsid w:val="00FC492C"/>
    <w:rsid w:val="00FD2445"/>
    <w:rsid w:val="00FD465D"/>
    <w:rsid w:val="00FD7D82"/>
    <w:rsid w:val="00FE1B7F"/>
    <w:rsid w:val="00FE7F96"/>
    <w:rsid w:val="00FF0A62"/>
    <w:rsid w:val="00FF2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39730"/>
  <w15:docId w15:val="{F36B990B-6A9E-4FEA-AA80-EED8B5DB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F91"/>
    <w:rPr>
      <w:rFonts w:ascii="Times New Roman" w:hAnsi="Times New Roman"/>
      <w:sz w:val="24"/>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C6374B"/>
    <w:pPr>
      <w:numPr>
        <w:ilvl w:val="1"/>
        <w:numId w:val="1"/>
      </w:numPr>
      <w:spacing w:before="240"/>
      <w:ind w:left="578" w:hanging="578"/>
      <w:outlineLvl w:val="1"/>
    </w:pPr>
    <w:rPr>
      <w:b/>
      <w:caps/>
    </w:rPr>
  </w:style>
  <w:style w:type="paragraph" w:styleId="Heading3">
    <w:name w:val="heading 3"/>
    <w:basedOn w:val="Normal"/>
    <w:next w:val="Normal"/>
    <w:link w:val="Heading3Char"/>
    <w:uiPriority w:val="9"/>
    <w:unhideWhenUsed/>
    <w:qFormat/>
    <w:rsid w:val="00C6374B"/>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
    <w:unhideWhenUsed/>
    <w:qFormat/>
    <w:rsid w:val="00E03C13"/>
    <w:pPr>
      <w:keepNext/>
      <w:keepLines/>
      <w:spacing w:before="200" w:after="120"/>
      <w:outlineLvl w:val="3"/>
    </w:pPr>
    <w:rPr>
      <w:rFonts w:eastAsiaTheme="majorEastAsia" w:cstheme="majorBidi"/>
      <w:bCs/>
      <w:i/>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C6374B"/>
    <w:rPr>
      <w:rFonts w:ascii="Times New Roman" w:hAnsi="Times New Roman"/>
      <w:b/>
      <w:caps/>
      <w:sz w:val="24"/>
    </w:rPr>
  </w:style>
  <w:style w:type="character" w:customStyle="1" w:styleId="Heading3Char">
    <w:name w:val="Heading 3 Char"/>
    <w:basedOn w:val="DefaultParagraphFont"/>
    <w:link w:val="Heading3"/>
    <w:uiPriority w:val="9"/>
    <w:rsid w:val="00C6374B"/>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E03C13"/>
    <w:rPr>
      <w:rFonts w:ascii="Times New Roman" w:eastAsiaTheme="majorEastAsia" w:hAnsi="Times New Roman" w:cstheme="majorBidi"/>
      <w:bCs/>
      <w:i/>
      <w:iCs/>
      <w:sz w:val="24"/>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63C4"/>
    <w:rPr>
      <w:rFonts w:ascii="Times New Roman" w:hAnsi="Times New Roman"/>
      <w:b/>
      <w:bCs/>
    </w:rPr>
  </w:style>
  <w:style w:type="character" w:customStyle="1" w:styleId="CommentSubjectChar">
    <w:name w:val="Comment Subject Char"/>
    <w:basedOn w:val="CommentTextChar"/>
    <w:link w:val="CommentSubject"/>
    <w:uiPriority w:val="99"/>
    <w:semiHidden/>
    <w:rsid w:val="002063C4"/>
    <w:rPr>
      <w:rFonts w:ascii="Times New Roman" w:hAnsi="Times New Roman"/>
      <w:b/>
      <w:bCs/>
      <w:sz w:val="20"/>
      <w:szCs w:val="20"/>
    </w:rPr>
  </w:style>
  <w:style w:type="paragraph" w:styleId="Header">
    <w:name w:val="header"/>
    <w:basedOn w:val="Normal"/>
    <w:link w:val="HeaderChar"/>
    <w:uiPriority w:val="99"/>
    <w:unhideWhenUsed/>
    <w:rsid w:val="00C7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32"/>
    <w:rPr>
      <w:rFonts w:ascii="Times New Roman" w:hAnsi="Times New Roman"/>
      <w:sz w:val="24"/>
    </w:rPr>
  </w:style>
  <w:style w:type="paragraph" w:styleId="Caption">
    <w:name w:val="caption"/>
    <w:basedOn w:val="Normal"/>
    <w:next w:val="Normal"/>
    <w:uiPriority w:val="35"/>
    <w:unhideWhenUsed/>
    <w:qFormat/>
    <w:rsid w:val="006163EA"/>
    <w:pPr>
      <w:spacing w:line="240" w:lineRule="auto"/>
    </w:pPr>
    <w:rPr>
      <w:i/>
      <w:iCs/>
      <w:color w:val="1F497D" w:themeColor="text2"/>
      <w:sz w:val="18"/>
      <w:szCs w:val="18"/>
    </w:rPr>
  </w:style>
  <w:style w:type="paragraph" w:customStyle="1" w:styleId="Default">
    <w:name w:val="Default"/>
    <w:rsid w:val="002A4A78"/>
    <w:pPr>
      <w:autoSpaceDE w:val="0"/>
      <w:autoSpaceDN w:val="0"/>
      <w:adjustRightInd w:val="0"/>
      <w:spacing w:after="0" w:line="240" w:lineRule="auto"/>
    </w:pPr>
    <w:rPr>
      <w:rFonts w:ascii="Cambria" w:hAnsi="Cambria" w:cs="Cambria"/>
      <w:color w:val="000000"/>
      <w:sz w:val="24"/>
      <w:szCs w:val="24"/>
      <w:lang w:val="en-US"/>
    </w:rPr>
  </w:style>
  <w:style w:type="paragraph" w:customStyle="1" w:styleId="Text">
    <w:name w:val="Text"/>
    <w:link w:val="TextCar"/>
    <w:rsid w:val="00240C26"/>
    <w:pPr>
      <w:spacing w:before="80" w:after="240" w:line="360" w:lineRule="auto"/>
    </w:pPr>
    <w:rPr>
      <w:rFonts w:ascii="Times New Roman" w:eastAsia="MS Mincho" w:hAnsi="Times New Roman" w:cs="Times New Roman"/>
      <w:sz w:val="24"/>
      <w:szCs w:val="24"/>
      <w:lang w:val="en-US"/>
    </w:rPr>
  </w:style>
  <w:style w:type="character" w:customStyle="1" w:styleId="TextCar">
    <w:name w:val="Text Car"/>
    <w:link w:val="Text"/>
    <w:rsid w:val="00240C26"/>
    <w:rPr>
      <w:rFonts w:ascii="Times New Roman" w:eastAsia="MS Mincho" w:hAnsi="Times New Roman" w:cs="Times New Roman"/>
      <w:sz w:val="24"/>
      <w:szCs w:val="24"/>
      <w:lang w:val="en-US"/>
    </w:rPr>
  </w:style>
  <w:style w:type="paragraph" w:styleId="Revision">
    <w:name w:val="Revision"/>
    <w:hidden/>
    <w:uiPriority w:val="99"/>
    <w:semiHidden/>
    <w:rsid w:val="00E24359"/>
    <w:pPr>
      <w:spacing w:after="0" w:line="240" w:lineRule="auto"/>
    </w:pPr>
    <w:rPr>
      <w:rFonts w:ascii="Times New Roman" w:hAnsi="Times New Roman"/>
      <w:sz w:val="24"/>
    </w:rPr>
  </w:style>
  <w:style w:type="table" w:styleId="TableGrid">
    <w:name w:val="Table Grid"/>
    <w:basedOn w:val="TableNormal"/>
    <w:uiPriority w:val="59"/>
    <w:rsid w:val="00D953C7"/>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3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6230-1B0B-4925-BB6C-C97F5213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4897</Words>
  <Characters>26499</Characters>
  <Application>Microsoft Office Word</Application>
  <DocSecurity>0</DocSecurity>
  <Lines>588</Lines>
  <Paragraphs>333</Paragraphs>
  <ScaleCrop>false</ScaleCrop>
  <HeadingPairs>
    <vt:vector size="2" baseType="variant">
      <vt:variant>
        <vt:lpstr>Title</vt:lpstr>
      </vt:variant>
      <vt:variant>
        <vt:i4>1</vt:i4>
      </vt:variant>
    </vt:vector>
  </HeadingPairs>
  <TitlesOfParts>
    <vt:vector size="1" baseType="lpstr">
      <vt:lpstr>Australian PI – INCRELEX (mecasermin)</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Mecasermin</dc:title>
  <dc:creator>Ipsen Pty Ltd</dc:creator>
  <cp:lastPrinted>2019-11-25T04:43:00Z</cp:lastPrinted>
  <dcterms:created xsi:type="dcterms:W3CDTF">2020-03-11T23:56:00Z</dcterms:created>
  <dcterms:modified xsi:type="dcterms:W3CDTF">2020-03-11T23:58:00Z</dcterms:modified>
</cp:coreProperties>
</file>