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2C782A">
            <w:pPr>
              <w:rPr>
                <w:rFonts w:ascii="Arial" w:hAnsi="Arial" w:cs="Arial"/>
                <w:b/>
                <w:color w:val="002C47"/>
                <w:sz w:val="36"/>
                <w:szCs w:val="36"/>
              </w:rPr>
            </w:pPr>
            <w:r>
              <w:rPr>
                <w:rFonts w:ascii="Arial" w:hAnsi="Arial" w:cs="Arial"/>
                <w:b/>
                <w:color w:val="002C47"/>
                <w:sz w:val="36"/>
                <w:szCs w:val="36"/>
              </w:rPr>
              <w:t>M</w:t>
            </w:r>
            <w:r w:rsidR="002C782A">
              <w:rPr>
                <w:rFonts w:ascii="Arial" w:hAnsi="Arial" w:cs="Arial"/>
                <w:b/>
                <w:color w:val="002C47"/>
                <w:sz w:val="36"/>
                <w:szCs w:val="36"/>
              </w:rPr>
              <w:t>ay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2C782A">
            <w:pPr>
              <w:pStyle w:val="Title"/>
              <w:rPr>
                <w:color w:val="FFFFFF" w:themeColor="background1"/>
              </w:rPr>
            </w:pPr>
            <w:r w:rsidRPr="00A964D1">
              <w:rPr>
                <w:color w:val="FFFFFF" w:themeColor="background1"/>
              </w:rPr>
              <w:t xml:space="preserve">Australian Public Assessment Report for </w:t>
            </w:r>
            <w:proofErr w:type="spellStart"/>
            <w:r w:rsidR="002C782A">
              <w:rPr>
                <w:color w:val="FFFFFF"/>
              </w:rPr>
              <w:t>Maraviroc</w:t>
            </w:r>
            <w:proofErr w:type="spellEnd"/>
          </w:p>
        </w:tc>
      </w:tr>
      <w:tr w:rsidR="0032583B" w:rsidRPr="00B64760" w:rsidTr="0032583B">
        <w:tc>
          <w:tcPr>
            <w:tcW w:w="9079" w:type="dxa"/>
          </w:tcPr>
          <w:p w:rsidR="0032583B" w:rsidRPr="008E7846" w:rsidRDefault="0032583B" w:rsidP="002C782A">
            <w:pPr>
              <w:pStyle w:val="Subtitle"/>
              <w:rPr>
                <w:color w:val="FFFFFF" w:themeColor="background1"/>
              </w:rPr>
            </w:pPr>
            <w:r w:rsidRPr="008E7846">
              <w:rPr>
                <w:color w:val="FFFFFF" w:themeColor="background1"/>
              </w:rPr>
              <w:t xml:space="preserve">Proprietary Product Name: </w:t>
            </w:r>
            <w:proofErr w:type="spellStart"/>
            <w:r w:rsidR="002C782A">
              <w:rPr>
                <w:color w:val="FFFFFF" w:themeColor="background1"/>
              </w:rPr>
              <w:t>Celsentri</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proofErr w:type="spellStart"/>
            <w:r w:rsidR="002C782A" w:rsidRPr="002C782A">
              <w:rPr>
                <w:color w:val="FFFFFF" w:themeColor="background1"/>
              </w:rPr>
              <w:t>ViiV</w:t>
            </w:r>
            <w:proofErr w:type="spellEnd"/>
            <w:r w:rsidR="002C782A" w:rsidRPr="002C782A">
              <w:rPr>
                <w:color w:val="FFFFFF" w:themeColor="background1"/>
              </w:rPr>
              <w:t xml:space="preserve"> Healthcare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2A42BB" w:rsidRPr="008702F2">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2A42BB">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B6C16" w:rsidRDefault="00BC412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6272731" w:history="1">
            <w:r w:rsidR="009B6C16" w:rsidRPr="009C72C0">
              <w:rPr>
                <w:rStyle w:val="Hyperlink"/>
                <w:noProof/>
              </w:rPr>
              <w:t>I. Introduction to product submission</w:t>
            </w:r>
            <w:r w:rsidR="009B6C16">
              <w:rPr>
                <w:noProof/>
                <w:webHidden/>
              </w:rPr>
              <w:tab/>
            </w:r>
            <w:r w:rsidR="009B6C16">
              <w:rPr>
                <w:noProof/>
                <w:webHidden/>
              </w:rPr>
              <w:fldChar w:fldCharType="begin"/>
            </w:r>
            <w:r w:rsidR="009B6C16">
              <w:rPr>
                <w:noProof/>
                <w:webHidden/>
              </w:rPr>
              <w:instrText xml:space="preserve"> PAGEREF _Toc366272731 \h </w:instrText>
            </w:r>
            <w:r w:rsidR="009B6C16">
              <w:rPr>
                <w:noProof/>
                <w:webHidden/>
              </w:rPr>
            </w:r>
            <w:r w:rsidR="009B6C16">
              <w:rPr>
                <w:noProof/>
                <w:webHidden/>
              </w:rPr>
              <w:fldChar w:fldCharType="separate"/>
            </w:r>
            <w:r w:rsidR="009B6C16">
              <w:rPr>
                <w:noProof/>
                <w:webHidden/>
              </w:rPr>
              <w:t>4</w:t>
            </w:r>
            <w:r w:rsidR="009B6C16">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32" w:history="1">
            <w:r w:rsidRPr="009C72C0">
              <w:rPr>
                <w:rStyle w:val="Hyperlink"/>
                <w:noProof/>
                <w:lang w:eastAsia="en-AU"/>
              </w:rPr>
              <w:t>Submission details</w:t>
            </w:r>
            <w:r>
              <w:rPr>
                <w:noProof/>
                <w:webHidden/>
              </w:rPr>
              <w:tab/>
            </w:r>
            <w:r>
              <w:rPr>
                <w:noProof/>
                <w:webHidden/>
              </w:rPr>
              <w:fldChar w:fldCharType="begin"/>
            </w:r>
            <w:r>
              <w:rPr>
                <w:noProof/>
                <w:webHidden/>
              </w:rPr>
              <w:instrText xml:space="preserve"> PAGEREF _Toc366272732 \h </w:instrText>
            </w:r>
            <w:r>
              <w:rPr>
                <w:noProof/>
                <w:webHidden/>
              </w:rPr>
            </w:r>
            <w:r>
              <w:rPr>
                <w:noProof/>
                <w:webHidden/>
              </w:rPr>
              <w:fldChar w:fldCharType="separate"/>
            </w:r>
            <w:r>
              <w:rPr>
                <w:noProof/>
                <w:webHidden/>
              </w:rPr>
              <w:t>4</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33" w:history="1">
            <w:r w:rsidRPr="009C72C0">
              <w:rPr>
                <w:rStyle w:val="Hyperlink"/>
                <w:noProof/>
              </w:rPr>
              <w:t>Product background</w:t>
            </w:r>
            <w:r>
              <w:rPr>
                <w:noProof/>
                <w:webHidden/>
              </w:rPr>
              <w:tab/>
            </w:r>
            <w:r>
              <w:rPr>
                <w:noProof/>
                <w:webHidden/>
              </w:rPr>
              <w:fldChar w:fldCharType="begin"/>
            </w:r>
            <w:r>
              <w:rPr>
                <w:noProof/>
                <w:webHidden/>
              </w:rPr>
              <w:instrText xml:space="preserve"> PAGEREF _Toc366272733 \h </w:instrText>
            </w:r>
            <w:r>
              <w:rPr>
                <w:noProof/>
                <w:webHidden/>
              </w:rPr>
            </w:r>
            <w:r>
              <w:rPr>
                <w:noProof/>
                <w:webHidden/>
              </w:rPr>
              <w:fldChar w:fldCharType="separate"/>
            </w:r>
            <w:r>
              <w:rPr>
                <w:noProof/>
                <w:webHidden/>
              </w:rPr>
              <w:t>4</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34" w:history="1">
            <w:r w:rsidRPr="009C72C0">
              <w:rPr>
                <w:rStyle w:val="Hyperlink"/>
                <w:noProof/>
              </w:rPr>
              <w:t>Regulatory status</w:t>
            </w:r>
            <w:r>
              <w:rPr>
                <w:noProof/>
                <w:webHidden/>
              </w:rPr>
              <w:tab/>
            </w:r>
            <w:r>
              <w:rPr>
                <w:noProof/>
                <w:webHidden/>
              </w:rPr>
              <w:fldChar w:fldCharType="begin"/>
            </w:r>
            <w:r>
              <w:rPr>
                <w:noProof/>
                <w:webHidden/>
              </w:rPr>
              <w:instrText xml:space="preserve"> PAGEREF _Toc366272734 \h </w:instrText>
            </w:r>
            <w:r>
              <w:rPr>
                <w:noProof/>
                <w:webHidden/>
              </w:rPr>
            </w:r>
            <w:r>
              <w:rPr>
                <w:noProof/>
                <w:webHidden/>
              </w:rPr>
              <w:fldChar w:fldCharType="separate"/>
            </w:r>
            <w:r>
              <w:rPr>
                <w:noProof/>
                <w:webHidden/>
              </w:rPr>
              <w:t>5</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35" w:history="1">
            <w:r w:rsidRPr="009C72C0">
              <w:rPr>
                <w:rStyle w:val="Hyperlink"/>
                <w:noProof/>
              </w:rPr>
              <w:t>Product Information</w:t>
            </w:r>
            <w:r>
              <w:rPr>
                <w:noProof/>
                <w:webHidden/>
              </w:rPr>
              <w:tab/>
            </w:r>
            <w:r>
              <w:rPr>
                <w:noProof/>
                <w:webHidden/>
              </w:rPr>
              <w:fldChar w:fldCharType="begin"/>
            </w:r>
            <w:r>
              <w:rPr>
                <w:noProof/>
                <w:webHidden/>
              </w:rPr>
              <w:instrText xml:space="preserve"> PAGEREF _Toc366272735 \h </w:instrText>
            </w:r>
            <w:r>
              <w:rPr>
                <w:noProof/>
                <w:webHidden/>
              </w:rPr>
            </w:r>
            <w:r>
              <w:rPr>
                <w:noProof/>
                <w:webHidden/>
              </w:rPr>
              <w:fldChar w:fldCharType="separate"/>
            </w:r>
            <w:r>
              <w:rPr>
                <w:noProof/>
                <w:webHidden/>
              </w:rPr>
              <w:t>5</w:t>
            </w:r>
            <w:r>
              <w:rPr>
                <w:noProof/>
                <w:webHidden/>
              </w:rPr>
              <w:fldChar w:fldCharType="end"/>
            </w:r>
          </w:hyperlink>
        </w:p>
        <w:p w:rsidR="009B6C16" w:rsidRDefault="009B6C16">
          <w:pPr>
            <w:pStyle w:val="TOC2"/>
            <w:rPr>
              <w:rFonts w:asciiTheme="minorHAnsi" w:eastAsiaTheme="minorEastAsia" w:hAnsiTheme="minorHAnsi" w:cstheme="minorBidi"/>
              <w:b w:val="0"/>
              <w:noProof/>
              <w:sz w:val="22"/>
              <w:lang w:eastAsia="en-AU"/>
            </w:rPr>
          </w:pPr>
          <w:hyperlink w:anchor="_Toc366272736" w:history="1">
            <w:r w:rsidRPr="009C72C0">
              <w:rPr>
                <w:rStyle w:val="Hyperlink"/>
                <w:noProof/>
              </w:rPr>
              <w:t>II. Quality findings</w:t>
            </w:r>
            <w:r>
              <w:rPr>
                <w:noProof/>
                <w:webHidden/>
              </w:rPr>
              <w:tab/>
            </w:r>
            <w:r>
              <w:rPr>
                <w:noProof/>
                <w:webHidden/>
              </w:rPr>
              <w:fldChar w:fldCharType="begin"/>
            </w:r>
            <w:r>
              <w:rPr>
                <w:noProof/>
                <w:webHidden/>
              </w:rPr>
              <w:instrText xml:space="preserve"> PAGEREF _Toc366272736 \h </w:instrText>
            </w:r>
            <w:r>
              <w:rPr>
                <w:noProof/>
                <w:webHidden/>
              </w:rPr>
            </w:r>
            <w:r>
              <w:rPr>
                <w:noProof/>
                <w:webHidden/>
              </w:rPr>
              <w:fldChar w:fldCharType="separate"/>
            </w:r>
            <w:r>
              <w:rPr>
                <w:noProof/>
                <w:webHidden/>
              </w:rPr>
              <w:t>5</w:t>
            </w:r>
            <w:r>
              <w:rPr>
                <w:noProof/>
                <w:webHidden/>
              </w:rPr>
              <w:fldChar w:fldCharType="end"/>
            </w:r>
          </w:hyperlink>
        </w:p>
        <w:p w:rsidR="009B6C16" w:rsidRDefault="009B6C16">
          <w:pPr>
            <w:pStyle w:val="TOC2"/>
            <w:rPr>
              <w:rFonts w:asciiTheme="minorHAnsi" w:eastAsiaTheme="minorEastAsia" w:hAnsiTheme="minorHAnsi" w:cstheme="minorBidi"/>
              <w:b w:val="0"/>
              <w:noProof/>
              <w:sz w:val="22"/>
              <w:lang w:eastAsia="en-AU"/>
            </w:rPr>
          </w:pPr>
          <w:hyperlink w:anchor="_Toc366272737" w:history="1">
            <w:r w:rsidRPr="009C72C0">
              <w:rPr>
                <w:rStyle w:val="Hyperlink"/>
                <w:noProof/>
              </w:rPr>
              <w:t>III. Nonclinical findings</w:t>
            </w:r>
            <w:r>
              <w:rPr>
                <w:noProof/>
                <w:webHidden/>
              </w:rPr>
              <w:tab/>
            </w:r>
            <w:r>
              <w:rPr>
                <w:noProof/>
                <w:webHidden/>
              </w:rPr>
              <w:fldChar w:fldCharType="begin"/>
            </w:r>
            <w:r>
              <w:rPr>
                <w:noProof/>
                <w:webHidden/>
              </w:rPr>
              <w:instrText xml:space="preserve"> PAGEREF _Toc366272737 \h </w:instrText>
            </w:r>
            <w:r>
              <w:rPr>
                <w:noProof/>
                <w:webHidden/>
              </w:rPr>
            </w:r>
            <w:r>
              <w:rPr>
                <w:noProof/>
                <w:webHidden/>
              </w:rPr>
              <w:fldChar w:fldCharType="separate"/>
            </w:r>
            <w:r>
              <w:rPr>
                <w:noProof/>
                <w:webHidden/>
              </w:rPr>
              <w:t>5</w:t>
            </w:r>
            <w:r>
              <w:rPr>
                <w:noProof/>
                <w:webHidden/>
              </w:rPr>
              <w:fldChar w:fldCharType="end"/>
            </w:r>
          </w:hyperlink>
        </w:p>
        <w:p w:rsidR="009B6C16" w:rsidRDefault="009B6C16">
          <w:pPr>
            <w:pStyle w:val="TOC2"/>
            <w:rPr>
              <w:rFonts w:asciiTheme="minorHAnsi" w:eastAsiaTheme="minorEastAsia" w:hAnsiTheme="minorHAnsi" w:cstheme="minorBidi"/>
              <w:b w:val="0"/>
              <w:noProof/>
              <w:sz w:val="22"/>
              <w:lang w:eastAsia="en-AU"/>
            </w:rPr>
          </w:pPr>
          <w:hyperlink w:anchor="_Toc366272738" w:history="1">
            <w:r w:rsidRPr="009C72C0">
              <w:rPr>
                <w:rStyle w:val="Hyperlink"/>
                <w:noProof/>
              </w:rPr>
              <w:t>IV. Clinical findings</w:t>
            </w:r>
            <w:r>
              <w:rPr>
                <w:noProof/>
                <w:webHidden/>
              </w:rPr>
              <w:tab/>
            </w:r>
            <w:r>
              <w:rPr>
                <w:noProof/>
                <w:webHidden/>
              </w:rPr>
              <w:fldChar w:fldCharType="begin"/>
            </w:r>
            <w:r>
              <w:rPr>
                <w:noProof/>
                <w:webHidden/>
              </w:rPr>
              <w:instrText xml:space="preserve"> PAGEREF _Toc366272738 \h </w:instrText>
            </w:r>
            <w:r>
              <w:rPr>
                <w:noProof/>
                <w:webHidden/>
              </w:rPr>
            </w:r>
            <w:r>
              <w:rPr>
                <w:noProof/>
                <w:webHidden/>
              </w:rPr>
              <w:fldChar w:fldCharType="separate"/>
            </w:r>
            <w:r>
              <w:rPr>
                <w:noProof/>
                <w:webHidden/>
              </w:rPr>
              <w:t>5</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39" w:history="1">
            <w:r w:rsidRPr="009C72C0">
              <w:rPr>
                <w:rStyle w:val="Hyperlink"/>
                <w:noProof/>
              </w:rPr>
              <w:t>Introduction</w:t>
            </w:r>
            <w:r>
              <w:rPr>
                <w:noProof/>
                <w:webHidden/>
              </w:rPr>
              <w:tab/>
            </w:r>
            <w:r>
              <w:rPr>
                <w:noProof/>
                <w:webHidden/>
              </w:rPr>
              <w:fldChar w:fldCharType="begin"/>
            </w:r>
            <w:r>
              <w:rPr>
                <w:noProof/>
                <w:webHidden/>
              </w:rPr>
              <w:instrText xml:space="preserve"> PAGEREF _Toc366272739 \h </w:instrText>
            </w:r>
            <w:r>
              <w:rPr>
                <w:noProof/>
                <w:webHidden/>
              </w:rPr>
            </w:r>
            <w:r>
              <w:rPr>
                <w:noProof/>
                <w:webHidden/>
              </w:rPr>
              <w:fldChar w:fldCharType="separate"/>
            </w:r>
            <w:r>
              <w:rPr>
                <w:noProof/>
                <w:webHidden/>
              </w:rPr>
              <w:t>6</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0" w:history="1">
            <w:r w:rsidRPr="009C72C0">
              <w:rPr>
                <w:rStyle w:val="Hyperlink"/>
                <w:noProof/>
              </w:rPr>
              <w:t>Pharmacokinetics</w:t>
            </w:r>
            <w:r>
              <w:rPr>
                <w:noProof/>
                <w:webHidden/>
              </w:rPr>
              <w:tab/>
            </w:r>
            <w:r>
              <w:rPr>
                <w:noProof/>
                <w:webHidden/>
              </w:rPr>
              <w:fldChar w:fldCharType="begin"/>
            </w:r>
            <w:r>
              <w:rPr>
                <w:noProof/>
                <w:webHidden/>
              </w:rPr>
              <w:instrText xml:space="preserve"> PAGEREF _Toc366272740 \h </w:instrText>
            </w:r>
            <w:r>
              <w:rPr>
                <w:noProof/>
                <w:webHidden/>
              </w:rPr>
            </w:r>
            <w:r>
              <w:rPr>
                <w:noProof/>
                <w:webHidden/>
              </w:rPr>
              <w:fldChar w:fldCharType="separate"/>
            </w:r>
            <w:r>
              <w:rPr>
                <w:noProof/>
                <w:webHidden/>
              </w:rPr>
              <w:t>11</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1" w:history="1">
            <w:r w:rsidRPr="009C72C0">
              <w:rPr>
                <w:rStyle w:val="Hyperlink"/>
                <w:noProof/>
              </w:rPr>
              <w:t>Pharmacodynamics</w:t>
            </w:r>
            <w:r>
              <w:rPr>
                <w:noProof/>
                <w:webHidden/>
              </w:rPr>
              <w:tab/>
            </w:r>
            <w:r>
              <w:rPr>
                <w:noProof/>
                <w:webHidden/>
              </w:rPr>
              <w:fldChar w:fldCharType="begin"/>
            </w:r>
            <w:r>
              <w:rPr>
                <w:noProof/>
                <w:webHidden/>
              </w:rPr>
              <w:instrText xml:space="preserve"> PAGEREF _Toc366272741 \h </w:instrText>
            </w:r>
            <w:r>
              <w:rPr>
                <w:noProof/>
                <w:webHidden/>
              </w:rPr>
            </w:r>
            <w:r>
              <w:rPr>
                <w:noProof/>
                <w:webHidden/>
              </w:rPr>
              <w:fldChar w:fldCharType="separate"/>
            </w:r>
            <w:r>
              <w:rPr>
                <w:noProof/>
                <w:webHidden/>
              </w:rPr>
              <w:t>12</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2" w:history="1">
            <w:r w:rsidRPr="009C72C0">
              <w:rPr>
                <w:rStyle w:val="Hyperlink"/>
                <w:noProof/>
              </w:rPr>
              <w:t>Efficacy</w:t>
            </w:r>
            <w:r>
              <w:rPr>
                <w:noProof/>
                <w:webHidden/>
              </w:rPr>
              <w:tab/>
            </w:r>
            <w:r>
              <w:rPr>
                <w:noProof/>
                <w:webHidden/>
              </w:rPr>
              <w:fldChar w:fldCharType="begin"/>
            </w:r>
            <w:r>
              <w:rPr>
                <w:noProof/>
                <w:webHidden/>
              </w:rPr>
              <w:instrText xml:space="preserve"> PAGEREF _Toc366272742 \h </w:instrText>
            </w:r>
            <w:r>
              <w:rPr>
                <w:noProof/>
                <w:webHidden/>
              </w:rPr>
            </w:r>
            <w:r>
              <w:rPr>
                <w:noProof/>
                <w:webHidden/>
              </w:rPr>
              <w:fldChar w:fldCharType="separate"/>
            </w:r>
            <w:r>
              <w:rPr>
                <w:noProof/>
                <w:webHidden/>
              </w:rPr>
              <w:t>12</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3" w:history="1">
            <w:r w:rsidRPr="009C72C0">
              <w:rPr>
                <w:rStyle w:val="Hyperlink"/>
                <w:noProof/>
              </w:rPr>
              <w:t>Safety</w:t>
            </w:r>
            <w:r>
              <w:rPr>
                <w:noProof/>
                <w:webHidden/>
              </w:rPr>
              <w:tab/>
            </w:r>
            <w:r>
              <w:rPr>
                <w:noProof/>
                <w:webHidden/>
              </w:rPr>
              <w:fldChar w:fldCharType="begin"/>
            </w:r>
            <w:r>
              <w:rPr>
                <w:noProof/>
                <w:webHidden/>
              </w:rPr>
              <w:instrText xml:space="preserve"> PAGEREF _Toc366272743 \h </w:instrText>
            </w:r>
            <w:r>
              <w:rPr>
                <w:noProof/>
                <w:webHidden/>
              </w:rPr>
            </w:r>
            <w:r>
              <w:rPr>
                <w:noProof/>
                <w:webHidden/>
              </w:rPr>
              <w:fldChar w:fldCharType="separate"/>
            </w:r>
            <w:r>
              <w:rPr>
                <w:noProof/>
                <w:webHidden/>
              </w:rPr>
              <w:t>19</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4" w:history="1">
            <w:r w:rsidRPr="009C72C0">
              <w:rPr>
                <w:rStyle w:val="Hyperlink"/>
                <w:noProof/>
              </w:rPr>
              <w:t>List of questions</w:t>
            </w:r>
            <w:r>
              <w:rPr>
                <w:noProof/>
                <w:webHidden/>
              </w:rPr>
              <w:tab/>
            </w:r>
            <w:r>
              <w:rPr>
                <w:noProof/>
                <w:webHidden/>
              </w:rPr>
              <w:fldChar w:fldCharType="begin"/>
            </w:r>
            <w:r>
              <w:rPr>
                <w:noProof/>
                <w:webHidden/>
              </w:rPr>
              <w:instrText xml:space="preserve"> PAGEREF _Toc366272744 \h </w:instrText>
            </w:r>
            <w:r>
              <w:rPr>
                <w:noProof/>
                <w:webHidden/>
              </w:rPr>
            </w:r>
            <w:r>
              <w:rPr>
                <w:noProof/>
                <w:webHidden/>
              </w:rPr>
              <w:fldChar w:fldCharType="separate"/>
            </w:r>
            <w:r>
              <w:rPr>
                <w:noProof/>
                <w:webHidden/>
              </w:rPr>
              <w:t>20</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5" w:history="1">
            <w:r w:rsidRPr="009C72C0">
              <w:rPr>
                <w:rStyle w:val="Hyperlink"/>
                <w:noProof/>
              </w:rPr>
              <w:t>First round clinical summary and conclusions</w:t>
            </w:r>
            <w:r>
              <w:rPr>
                <w:noProof/>
                <w:webHidden/>
              </w:rPr>
              <w:tab/>
            </w:r>
            <w:r>
              <w:rPr>
                <w:noProof/>
                <w:webHidden/>
              </w:rPr>
              <w:fldChar w:fldCharType="begin"/>
            </w:r>
            <w:r>
              <w:rPr>
                <w:noProof/>
                <w:webHidden/>
              </w:rPr>
              <w:instrText xml:space="preserve"> PAGEREF _Toc366272745 \h </w:instrText>
            </w:r>
            <w:r>
              <w:rPr>
                <w:noProof/>
                <w:webHidden/>
              </w:rPr>
            </w:r>
            <w:r>
              <w:rPr>
                <w:noProof/>
                <w:webHidden/>
              </w:rPr>
              <w:fldChar w:fldCharType="separate"/>
            </w:r>
            <w:r>
              <w:rPr>
                <w:noProof/>
                <w:webHidden/>
              </w:rPr>
              <w:t>21</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6" w:history="1">
            <w:r w:rsidRPr="009C72C0">
              <w:rPr>
                <w:rStyle w:val="Hyperlink"/>
                <w:noProof/>
              </w:rPr>
              <w:t>Supplementary clinical evaluation report</w:t>
            </w:r>
            <w:r>
              <w:rPr>
                <w:noProof/>
                <w:webHidden/>
              </w:rPr>
              <w:tab/>
            </w:r>
            <w:r>
              <w:rPr>
                <w:noProof/>
                <w:webHidden/>
              </w:rPr>
              <w:fldChar w:fldCharType="begin"/>
            </w:r>
            <w:r>
              <w:rPr>
                <w:noProof/>
                <w:webHidden/>
              </w:rPr>
              <w:instrText xml:space="preserve"> PAGEREF _Toc366272746 \h </w:instrText>
            </w:r>
            <w:r>
              <w:rPr>
                <w:noProof/>
                <w:webHidden/>
              </w:rPr>
            </w:r>
            <w:r>
              <w:rPr>
                <w:noProof/>
                <w:webHidden/>
              </w:rPr>
              <w:fldChar w:fldCharType="separate"/>
            </w:r>
            <w:r>
              <w:rPr>
                <w:noProof/>
                <w:webHidden/>
              </w:rPr>
              <w:t>22</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7" w:history="1">
            <w:r w:rsidRPr="009C72C0">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_Toc366272747 \h </w:instrText>
            </w:r>
            <w:r>
              <w:rPr>
                <w:noProof/>
                <w:webHidden/>
              </w:rPr>
            </w:r>
            <w:r>
              <w:rPr>
                <w:noProof/>
                <w:webHidden/>
              </w:rPr>
              <w:fldChar w:fldCharType="separate"/>
            </w:r>
            <w:r>
              <w:rPr>
                <w:noProof/>
                <w:webHidden/>
              </w:rPr>
              <w:t>35</w:t>
            </w:r>
            <w:r>
              <w:rPr>
                <w:noProof/>
                <w:webHidden/>
              </w:rPr>
              <w:fldChar w:fldCharType="end"/>
            </w:r>
          </w:hyperlink>
        </w:p>
        <w:p w:rsidR="009B6C16" w:rsidRDefault="009B6C16">
          <w:pPr>
            <w:pStyle w:val="TOC2"/>
            <w:rPr>
              <w:rFonts w:asciiTheme="minorHAnsi" w:eastAsiaTheme="minorEastAsia" w:hAnsiTheme="minorHAnsi" w:cstheme="minorBidi"/>
              <w:b w:val="0"/>
              <w:noProof/>
              <w:sz w:val="22"/>
              <w:lang w:eastAsia="en-AU"/>
            </w:rPr>
          </w:pPr>
          <w:hyperlink w:anchor="_Toc366272748" w:history="1">
            <w:r w:rsidRPr="009C72C0">
              <w:rPr>
                <w:rStyle w:val="Hyperlink"/>
                <w:noProof/>
              </w:rPr>
              <w:t>V. Pharmacovigilance findings</w:t>
            </w:r>
            <w:r>
              <w:rPr>
                <w:noProof/>
                <w:webHidden/>
              </w:rPr>
              <w:tab/>
            </w:r>
            <w:r>
              <w:rPr>
                <w:noProof/>
                <w:webHidden/>
              </w:rPr>
              <w:fldChar w:fldCharType="begin"/>
            </w:r>
            <w:r>
              <w:rPr>
                <w:noProof/>
                <w:webHidden/>
              </w:rPr>
              <w:instrText xml:space="preserve"> PAGEREF _Toc366272748 \h </w:instrText>
            </w:r>
            <w:r>
              <w:rPr>
                <w:noProof/>
                <w:webHidden/>
              </w:rPr>
            </w:r>
            <w:r>
              <w:rPr>
                <w:noProof/>
                <w:webHidden/>
              </w:rPr>
              <w:fldChar w:fldCharType="separate"/>
            </w:r>
            <w:r>
              <w:rPr>
                <w:noProof/>
                <w:webHidden/>
              </w:rPr>
              <w:t>35</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49" w:history="1">
            <w:r w:rsidRPr="009C72C0">
              <w:rPr>
                <w:rStyle w:val="Hyperlink"/>
                <w:noProof/>
                <w:lang w:eastAsia="en-AU"/>
              </w:rPr>
              <w:t>Risk management plan</w:t>
            </w:r>
            <w:r>
              <w:rPr>
                <w:noProof/>
                <w:webHidden/>
              </w:rPr>
              <w:tab/>
            </w:r>
            <w:r>
              <w:rPr>
                <w:noProof/>
                <w:webHidden/>
              </w:rPr>
              <w:fldChar w:fldCharType="begin"/>
            </w:r>
            <w:r>
              <w:rPr>
                <w:noProof/>
                <w:webHidden/>
              </w:rPr>
              <w:instrText xml:space="preserve"> PAGEREF _Toc366272749 \h </w:instrText>
            </w:r>
            <w:r>
              <w:rPr>
                <w:noProof/>
                <w:webHidden/>
              </w:rPr>
            </w:r>
            <w:r>
              <w:rPr>
                <w:noProof/>
                <w:webHidden/>
              </w:rPr>
              <w:fldChar w:fldCharType="separate"/>
            </w:r>
            <w:r>
              <w:rPr>
                <w:noProof/>
                <w:webHidden/>
              </w:rPr>
              <w:t>35</w:t>
            </w:r>
            <w:r>
              <w:rPr>
                <w:noProof/>
                <w:webHidden/>
              </w:rPr>
              <w:fldChar w:fldCharType="end"/>
            </w:r>
          </w:hyperlink>
        </w:p>
        <w:p w:rsidR="009B6C16" w:rsidRDefault="009B6C16">
          <w:pPr>
            <w:pStyle w:val="TOC2"/>
            <w:rPr>
              <w:rFonts w:asciiTheme="minorHAnsi" w:eastAsiaTheme="minorEastAsia" w:hAnsiTheme="minorHAnsi" w:cstheme="minorBidi"/>
              <w:b w:val="0"/>
              <w:noProof/>
              <w:sz w:val="22"/>
              <w:lang w:eastAsia="en-AU"/>
            </w:rPr>
          </w:pPr>
          <w:hyperlink w:anchor="_Toc366272750" w:history="1">
            <w:r w:rsidRPr="009C72C0">
              <w:rPr>
                <w:rStyle w:val="Hyperlink"/>
                <w:noProof/>
              </w:rPr>
              <w:t>VI. Overall conclusion and risk/benefit assessment</w:t>
            </w:r>
            <w:r>
              <w:rPr>
                <w:noProof/>
                <w:webHidden/>
              </w:rPr>
              <w:tab/>
            </w:r>
            <w:r>
              <w:rPr>
                <w:noProof/>
                <w:webHidden/>
              </w:rPr>
              <w:fldChar w:fldCharType="begin"/>
            </w:r>
            <w:r>
              <w:rPr>
                <w:noProof/>
                <w:webHidden/>
              </w:rPr>
              <w:instrText xml:space="preserve"> PAGEREF _Toc366272750 \h </w:instrText>
            </w:r>
            <w:r>
              <w:rPr>
                <w:noProof/>
                <w:webHidden/>
              </w:rPr>
            </w:r>
            <w:r>
              <w:rPr>
                <w:noProof/>
                <w:webHidden/>
              </w:rPr>
              <w:fldChar w:fldCharType="separate"/>
            </w:r>
            <w:r>
              <w:rPr>
                <w:noProof/>
                <w:webHidden/>
              </w:rPr>
              <w:t>39</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1" w:history="1">
            <w:r w:rsidRPr="009C72C0">
              <w:rPr>
                <w:rStyle w:val="Hyperlink"/>
                <w:noProof/>
              </w:rPr>
              <w:t>Quality</w:t>
            </w:r>
            <w:r>
              <w:rPr>
                <w:noProof/>
                <w:webHidden/>
              </w:rPr>
              <w:tab/>
            </w:r>
            <w:r>
              <w:rPr>
                <w:noProof/>
                <w:webHidden/>
              </w:rPr>
              <w:fldChar w:fldCharType="begin"/>
            </w:r>
            <w:r>
              <w:rPr>
                <w:noProof/>
                <w:webHidden/>
              </w:rPr>
              <w:instrText xml:space="preserve"> PAGEREF _Toc366272751 \h </w:instrText>
            </w:r>
            <w:r>
              <w:rPr>
                <w:noProof/>
                <w:webHidden/>
              </w:rPr>
            </w:r>
            <w:r>
              <w:rPr>
                <w:noProof/>
                <w:webHidden/>
              </w:rPr>
              <w:fldChar w:fldCharType="separate"/>
            </w:r>
            <w:r>
              <w:rPr>
                <w:noProof/>
                <w:webHidden/>
              </w:rPr>
              <w:t>39</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2" w:history="1">
            <w:r w:rsidRPr="009C72C0">
              <w:rPr>
                <w:rStyle w:val="Hyperlink"/>
                <w:noProof/>
              </w:rPr>
              <w:t>Nonclinical</w:t>
            </w:r>
            <w:r>
              <w:rPr>
                <w:noProof/>
                <w:webHidden/>
              </w:rPr>
              <w:tab/>
            </w:r>
            <w:r>
              <w:rPr>
                <w:noProof/>
                <w:webHidden/>
              </w:rPr>
              <w:fldChar w:fldCharType="begin"/>
            </w:r>
            <w:r>
              <w:rPr>
                <w:noProof/>
                <w:webHidden/>
              </w:rPr>
              <w:instrText xml:space="preserve"> PAGEREF _Toc366272752 \h </w:instrText>
            </w:r>
            <w:r>
              <w:rPr>
                <w:noProof/>
                <w:webHidden/>
              </w:rPr>
            </w:r>
            <w:r>
              <w:rPr>
                <w:noProof/>
                <w:webHidden/>
              </w:rPr>
              <w:fldChar w:fldCharType="separate"/>
            </w:r>
            <w:r>
              <w:rPr>
                <w:noProof/>
                <w:webHidden/>
              </w:rPr>
              <w:t>39</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3" w:history="1">
            <w:r w:rsidRPr="009C72C0">
              <w:rPr>
                <w:rStyle w:val="Hyperlink"/>
                <w:noProof/>
              </w:rPr>
              <w:t>Clinical</w:t>
            </w:r>
            <w:r>
              <w:rPr>
                <w:noProof/>
                <w:webHidden/>
              </w:rPr>
              <w:tab/>
            </w:r>
            <w:r>
              <w:rPr>
                <w:noProof/>
                <w:webHidden/>
              </w:rPr>
              <w:fldChar w:fldCharType="begin"/>
            </w:r>
            <w:r>
              <w:rPr>
                <w:noProof/>
                <w:webHidden/>
              </w:rPr>
              <w:instrText xml:space="preserve"> PAGEREF _Toc366272753 \h </w:instrText>
            </w:r>
            <w:r>
              <w:rPr>
                <w:noProof/>
                <w:webHidden/>
              </w:rPr>
            </w:r>
            <w:r>
              <w:rPr>
                <w:noProof/>
                <w:webHidden/>
              </w:rPr>
              <w:fldChar w:fldCharType="separate"/>
            </w:r>
            <w:r>
              <w:rPr>
                <w:noProof/>
                <w:webHidden/>
              </w:rPr>
              <w:t>39</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4" w:history="1">
            <w:r w:rsidRPr="009C72C0">
              <w:rPr>
                <w:rStyle w:val="Hyperlink"/>
                <w:noProof/>
                <w:lang w:eastAsia="en-AU"/>
              </w:rPr>
              <w:t>Risk management plan</w:t>
            </w:r>
            <w:r>
              <w:rPr>
                <w:noProof/>
                <w:webHidden/>
              </w:rPr>
              <w:tab/>
            </w:r>
            <w:r>
              <w:rPr>
                <w:noProof/>
                <w:webHidden/>
              </w:rPr>
              <w:fldChar w:fldCharType="begin"/>
            </w:r>
            <w:r>
              <w:rPr>
                <w:noProof/>
                <w:webHidden/>
              </w:rPr>
              <w:instrText xml:space="preserve"> PAGEREF _Toc366272754 \h </w:instrText>
            </w:r>
            <w:r>
              <w:rPr>
                <w:noProof/>
                <w:webHidden/>
              </w:rPr>
            </w:r>
            <w:r>
              <w:rPr>
                <w:noProof/>
                <w:webHidden/>
              </w:rPr>
              <w:fldChar w:fldCharType="separate"/>
            </w:r>
            <w:r>
              <w:rPr>
                <w:noProof/>
                <w:webHidden/>
              </w:rPr>
              <w:t>46</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5" w:history="1">
            <w:r w:rsidRPr="009C72C0">
              <w:rPr>
                <w:rStyle w:val="Hyperlink"/>
                <w:noProof/>
              </w:rPr>
              <w:t>Risk-benefit analysis</w:t>
            </w:r>
            <w:r>
              <w:rPr>
                <w:noProof/>
                <w:webHidden/>
              </w:rPr>
              <w:tab/>
            </w:r>
            <w:r>
              <w:rPr>
                <w:noProof/>
                <w:webHidden/>
              </w:rPr>
              <w:fldChar w:fldCharType="begin"/>
            </w:r>
            <w:r>
              <w:rPr>
                <w:noProof/>
                <w:webHidden/>
              </w:rPr>
              <w:instrText xml:space="preserve"> PAGEREF _Toc366272755 \h </w:instrText>
            </w:r>
            <w:r>
              <w:rPr>
                <w:noProof/>
                <w:webHidden/>
              </w:rPr>
            </w:r>
            <w:r>
              <w:rPr>
                <w:noProof/>
                <w:webHidden/>
              </w:rPr>
              <w:fldChar w:fldCharType="separate"/>
            </w:r>
            <w:r>
              <w:rPr>
                <w:noProof/>
                <w:webHidden/>
              </w:rPr>
              <w:t>46</w:t>
            </w:r>
            <w:r>
              <w:rPr>
                <w:noProof/>
                <w:webHidden/>
              </w:rPr>
              <w:fldChar w:fldCharType="end"/>
            </w:r>
          </w:hyperlink>
        </w:p>
        <w:p w:rsidR="009B6C16" w:rsidRDefault="009B6C16">
          <w:pPr>
            <w:pStyle w:val="TOC3"/>
            <w:rPr>
              <w:rFonts w:asciiTheme="minorHAnsi" w:eastAsiaTheme="minorEastAsia" w:hAnsiTheme="minorHAnsi" w:cstheme="minorBidi"/>
              <w:noProof/>
              <w:lang w:eastAsia="en-AU"/>
            </w:rPr>
          </w:pPr>
          <w:hyperlink w:anchor="_Toc366272756" w:history="1">
            <w:r w:rsidRPr="009C72C0">
              <w:rPr>
                <w:rStyle w:val="Hyperlink"/>
                <w:noProof/>
              </w:rPr>
              <w:t>Outcome</w:t>
            </w:r>
            <w:r>
              <w:rPr>
                <w:noProof/>
                <w:webHidden/>
              </w:rPr>
              <w:tab/>
            </w:r>
            <w:r>
              <w:rPr>
                <w:noProof/>
                <w:webHidden/>
              </w:rPr>
              <w:fldChar w:fldCharType="begin"/>
            </w:r>
            <w:r>
              <w:rPr>
                <w:noProof/>
                <w:webHidden/>
              </w:rPr>
              <w:instrText xml:space="preserve"> PAGEREF _Toc366272756 \h </w:instrText>
            </w:r>
            <w:r>
              <w:rPr>
                <w:noProof/>
                <w:webHidden/>
              </w:rPr>
            </w:r>
            <w:r>
              <w:rPr>
                <w:noProof/>
                <w:webHidden/>
              </w:rPr>
              <w:fldChar w:fldCharType="separate"/>
            </w:r>
            <w:r>
              <w:rPr>
                <w:noProof/>
                <w:webHidden/>
              </w:rPr>
              <w:t>54</w:t>
            </w:r>
            <w:r>
              <w:rPr>
                <w:noProof/>
                <w:webHidden/>
              </w:rPr>
              <w:fldChar w:fldCharType="end"/>
            </w:r>
          </w:hyperlink>
        </w:p>
        <w:p w:rsidR="009B6C16" w:rsidRDefault="009B6C16">
          <w:pPr>
            <w:pStyle w:val="TOC2"/>
            <w:tabs>
              <w:tab w:val="left" w:pos="2448"/>
            </w:tabs>
            <w:rPr>
              <w:rFonts w:asciiTheme="minorHAnsi" w:eastAsiaTheme="minorEastAsia" w:hAnsiTheme="minorHAnsi" w:cstheme="minorBidi"/>
              <w:b w:val="0"/>
              <w:noProof/>
              <w:sz w:val="22"/>
              <w:lang w:eastAsia="en-AU"/>
            </w:rPr>
          </w:pPr>
          <w:hyperlink w:anchor="_Toc366272757" w:history="1">
            <w:r w:rsidRPr="009C72C0">
              <w:rPr>
                <w:rStyle w:val="Hyperlink"/>
                <w:noProof/>
              </w:rPr>
              <w:t>Attachment 1.</w:t>
            </w:r>
            <w:r>
              <w:rPr>
                <w:rFonts w:asciiTheme="minorHAnsi" w:eastAsiaTheme="minorEastAsia" w:hAnsiTheme="minorHAnsi" w:cstheme="minorBidi"/>
                <w:b w:val="0"/>
                <w:noProof/>
                <w:sz w:val="22"/>
                <w:lang w:eastAsia="en-AU"/>
              </w:rPr>
              <w:tab/>
            </w:r>
            <w:r w:rsidRPr="009C72C0">
              <w:rPr>
                <w:rStyle w:val="Hyperlink"/>
                <w:noProof/>
              </w:rPr>
              <w:t>Product Information</w:t>
            </w:r>
            <w:r>
              <w:rPr>
                <w:noProof/>
                <w:webHidden/>
              </w:rPr>
              <w:tab/>
            </w:r>
            <w:r>
              <w:rPr>
                <w:noProof/>
                <w:webHidden/>
              </w:rPr>
              <w:fldChar w:fldCharType="begin"/>
            </w:r>
            <w:r>
              <w:rPr>
                <w:noProof/>
                <w:webHidden/>
              </w:rPr>
              <w:instrText xml:space="preserve"> PAGEREF _Toc366272757 \h </w:instrText>
            </w:r>
            <w:r>
              <w:rPr>
                <w:noProof/>
                <w:webHidden/>
              </w:rPr>
            </w:r>
            <w:r>
              <w:rPr>
                <w:noProof/>
                <w:webHidden/>
              </w:rPr>
              <w:fldChar w:fldCharType="separate"/>
            </w:r>
            <w:r>
              <w:rPr>
                <w:noProof/>
                <w:webHidden/>
              </w:rPr>
              <w:t>54</w:t>
            </w:r>
            <w:r>
              <w:rPr>
                <w:noProof/>
                <w:webHidden/>
              </w:rPr>
              <w:fldChar w:fldCharType="end"/>
            </w:r>
          </w:hyperlink>
        </w:p>
        <w:p w:rsidR="009B6C16" w:rsidRDefault="009B6C16">
          <w:pPr>
            <w:pStyle w:val="TOC2"/>
            <w:tabs>
              <w:tab w:val="left" w:pos="2448"/>
            </w:tabs>
            <w:rPr>
              <w:rFonts w:asciiTheme="minorHAnsi" w:eastAsiaTheme="minorEastAsia" w:hAnsiTheme="minorHAnsi" w:cstheme="minorBidi"/>
              <w:b w:val="0"/>
              <w:noProof/>
              <w:sz w:val="22"/>
              <w:lang w:eastAsia="en-AU"/>
            </w:rPr>
          </w:pPr>
          <w:hyperlink w:anchor="_Toc366272758" w:history="1">
            <w:r w:rsidRPr="009C72C0">
              <w:rPr>
                <w:rStyle w:val="Hyperlink"/>
                <w:noProof/>
              </w:rPr>
              <w:t>Attachment 2.</w:t>
            </w:r>
            <w:r>
              <w:rPr>
                <w:rFonts w:asciiTheme="minorHAnsi" w:eastAsiaTheme="minorEastAsia" w:hAnsiTheme="minorHAnsi" w:cstheme="minorBidi"/>
                <w:b w:val="0"/>
                <w:noProof/>
                <w:sz w:val="22"/>
                <w:lang w:eastAsia="en-AU"/>
              </w:rPr>
              <w:tab/>
            </w:r>
            <w:r w:rsidRPr="009C72C0">
              <w:rPr>
                <w:rStyle w:val="Hyperlink"/>
                <w:noProof/>
              </w:rPr>
              <w:t>Extract from the Clinical Evaluation Report</w:t>
            </w:r>
            <w:r>
              <w:rPr>
                <w:noProof/>
                <w:webHidden/>
              </w:rPr>
              <w:tab/>
            </w:r>
            <w:r>
              <w:rPr>
                <w:noProof/>
                <w:webHidden/>
              </w:rPr>
              <w:fldChar w:fldCharType="begin"/>
            </w:r>
            <w:r>
              <w:rPr>
                <w:noProof/>
                <w:webHidden/>
              </w:rPr>
              <w:instrText xml:space="preserve"> PAGEREF _Toc366272758 \h </w:instrText>
            </w:r>
            <w:r>
              <w:rPr>
                <w:noProof/>
                <w:webHidden/>
              </w:rPr>
            </w:r>
            <w:r>
              <w:rPr>
                <w:noProof/>
                <w:webHidden/>
              </w:rPr>
              <w:fldChar w:fldCharType="separate"/>
            </w:r>
            <w:r>
              <w:rPr>
                <w:noProof/>
                <w:webHidden/>
              </w:rPr>
              <w:t>55</w:t>
            </w:r>
            <w:r>
              <w:rPr>
                <w:noProof/>
                <w:webHidden/>
              </w:rPr>
              <w:fldChar w:fldCharType="end"/>
            </w:r>
          </w:hyperlink>
        </w:p>
        <w:p w:rsidR="003A7F6C" w:rsidRPr="00B811C6" w:rsidRDefault="00BC4122" w:rsidP="00B811C6">
          <w:pPr>
            <w:pStyle w:val="TOC2"/>
          </w:pPr>
          <w:r>
            <w:fldChar w:fldCharType="end"/>
          </w:r>
        </w:p>
      </w:sdtContent>
    </w:sdt>
    <w:bookmarkStart w:id="2" w:name="_Toc314842482" w:displacedByCustomXml="prev"/>
    <w:p w:rsidR="008E7846" w:rsidRDefault="00F53C07" w:rsidP="008E7846">
      <w:pPr>
        <w:pStyle w:val="Heading2"/>
      </w:pPr>
      <w:bookmarkStart w:id="3" w:name="_Toc366272731"/>
      <w:r>
        <w:lastRenderedPageBreak/>
        <w:t>I.</w:t>
      </w:r>
      <w:r w:rsidR="008E7846">
        <w:t xml:space="preserve"> Introduction to product submission</w:t>
      </w:r>
      <w:bookmarkEnd w:id="0"/>
      <w:bookmarkEnd w:id="2"/>
      <w:bookmarkEnd w:id="3"/>
    </w:p>
    <w:p w:rsidR="002C782A" w:rsidRDefault="002C782A" w:rsidP="002C782A">
      <w:pPr>
        <w:pStyle w:val="Heading3"/>
        <w:rPr>
          <w:lang w:eastAsia="en-AU"/>
        </w:rPr>
      </w:pPr>
      <w:bookmarkStart w:id="4" w:name="_Toc247691502"/>
      <w:bookmarkStart w:id="5" w:name="_Toc355615874"/>
      <w:bookmarkStart w:id="6" w:name="_Toc366272732"/>
      <w:bookmarkEnd w:id="1"/>
      <w:r>
        <w:rPr>
          <w:lang w:eastAsia="en-AU"/>
        </w:rPr>
        <w:t xml:space="preserve">Submission </w:t>
      </w:r>
      <w:r w:rsidR="009B6C16">
        <w:rPr>
          <w:lang w:eastAsia="en-AU"/>
        </w:rPr>
        <w:t>d</w:t>
      </w:r>
      <w:r>
        <w:rPr>
          <w:lang w:eastAsia="en-AU"/>
        </w:rPr>
        <w:t>etails</w:t>
      </w:r>
      <w:bookmarkEnd w:id="4"/>
      <w:bookmarkEnd w:id="5"/>
      <w:bookmarkEnd w:id="6"/>
    </w:p>
    <w:tbl>
      <w:tblPr>
        <w:tblW w:w="9497" w:type="dxa"/>
        <w:tblInd w:w="108" w:type="dxa"/>
        <w:tblLook w:val="01E0"/>
      </w:tblPr>
      <w:tblGrid>
        <w:gridCol w:w="2907"/>
        <w:gridCol w:w="6590"/>
      </w:tblGrid>
      <w:tr w:rsidR="002C782A" w:rsidRPr="001E4C86" w:rsidTr="00546C7E">
        <w:tc>
          <w:tcPr>
            <w:tcW w:w="2907" w:type="dxa"/>
          </w:tcPr>
          <w:p w:rsidR="002C782A" w:rsidRPr="000C137D" w:rsidRDefault="002C782A" w:rsidP="00546C7E">
            <w:pPr>
              <w:rPr>
                <w:i/>
              </w:rPr>
            </w:pPr>
            <w:r w:rsidRPr="000C137D">
              <w:rPr>
                <w:i/>
              </w:rPr>
              <w:t>Type of Submission</w:t>
            </w:r>
            <w:r w:rsidR="00546C7E">
              <w:rPr>
                <w:i/>
              </w:rPr>
              <w:t>:</w:t>
            </w:r>
          </w:p>
        </w:tc>
        <w:tc>
          <w:tcPr>
            <w:tcW w:w="6590" w:type="dxa"/>
          </w:tcPr>
          <w:p w:rsidR="002C782A" w:rsidRPr="000C137D" w:rsidRDefault="002C782A" w:rsidP="00546C7E">
            <w:r>
              <w:t>Major variation – extension of indications</w:t>
            </w:r>
          </w:p>
        </w:tc>
      </w:tr>
      <w:tr w:rsidR="002C782A" w:rsidRPr="001E4C86" w:rsidTr="00546C7E">
        <w:tc>
          <w:tcPr>
            <w:tcW w:w="2907" w:type="dxa"/>
          </w:tcPr>
          <w:p w:rsidR="002C782A" w:rsidRPr="000C137D" w:rsidRDefault="002C782A" w:rsidP="00546C7E">
            <w:pPr>
              <w:rPr>
                <w:i/>
              </w:rPr>
            </w:pPr>
            <w:r w:rsidRPr="000C137D">
              <w:rPr>
                <w:i/>
              </w:rPr>
              <w:t>Decision:</w:t>
            </w:r>
          </w:p>
        </w:tc>
        <w:tc>
          <w:tcPr>
            <w:tcW w:w="6590" w:type="dxa"/>
          </w:tcPr>
          <w:p w:rsidR="002C782A" w:rsidRPr="000C137D" w:rsidRDefault="002C782A" w:rsidP="00546C7E">
            <w:r w:rsidRPr="000C137D">
              <w:t xml:space="preserve">Approved </w:t>
            </w:r>
          </w:p>
        </w:tc>
      </w:tr>
      <w:tr w:rsidR="002C782A" w:rsidRPr="001E4C86" w:rsidTr="00546C7E">
        <w:tc>
          <w:tcPr>
            <w:tcW w:w="2907" w:type="dxa"/>
          </w:tcPr>
          <w:p w:rsidR="002C782A" w:rsidRPr="000C137D" w:rsidRDefault="002C782A" w:rsidP="00546C7E">
            <w:pPr>
              <w:rPr>
                <w:i/>
              </w:rPr>
            </w:pPr>
            <w:r w:rsidRPr="000C137D">
              <w:rPr>
                <w:i/>
              </w:rPr>
              <w:t>Date of Decision:</w:t>
            </w:r>
          </w:p>
        </w:tc>
        <w:tc>
          <w:tcPr>
            <w:tcW w:w="6590" w:type="dxa"/>
          </w:tcPr>
          <w:p w:rsidR="002C782A" w:rsidRPr="000C137D" w:rsidRDefault="002C782A" w:rsidP="00546C7E">
            <w:r>
              <w:t>22 August 2012</w:t>
            </w:r>
          </w:p>
        </w:tc>
      </w:tr>
    </w:tbl>
    <w:p w:rsidR="002C782A" w:rsidRPr="001E4C86" w:rsidRDefault="002C782A" w:rsidP="002C782A">
      <w:pPr>
        <w:rPr>
          <w:highlight w:val="yellow"/>
        </w:rPr>
      </w:pPr>
    </w:p>
    <w:tbl>
      <w:tblPr>
        <w:tblW w:w="9497" w:type="dxa"/>
        <w:tblInd w:w="108" w:type="dxa"/>
        <w:tblLook w:val="01E0"/>
      </w:tblPr>
      <w:tblGrid>
        <w:gridCol w:w="2907"/>
        <w:gridCol w:w="6590"/>
      </w:tblGrid>
      <w:tr w:rsidR="002C782A" w:rsidRPr="000C137D" w:rsidTr="00546C7E">
        <w:tc>
          <w:tcPr>
            <w:tcW w:w="2907" w:type="dxa"/>
          </w:tcPr>
          <w:p w:rsidR="002C782A" w:rsidRPr="000C137D" w:rsidRDefault="002C782A" w:rsidP="00546C7E">
            <w:pPr>
              <w:rPr>
                <w:i/>
              </w:rPr>
            </w:pPr>
            <w:r w:rsidRPr="000C137D">
              <w:rPr>
                <w:i/>
              </w:rPr>
              <w:t>Active ingredient:</w:t>
            </w:r>
          </w:p>
        </w:tc>
        <w:tc>
          <w:tcPr>
            <w:tcW w:w="6590" w:type="dxa"/>
          </w:tcPr>
          <w:p w:rsidR="002C782A" w:rsidRPr="000C137D" w:rsidRDefault="002C782A" w:rsidP="00546C7E">
            <w:r>
              <w:t xml:space="preserve">Maraviroc </w:t>
            </w:r>
          </w:p>
        </w:tc>
      </w:tr>
      <w:tr w:rsidR="002C782A" w:rsidRPr="000C137D" w:rsidTr="00546C7E">
        <w:tc>
          <w:tcPr>
            <w:tcW w:w="2907" w:type="dxa"/>
          </w:tcPr>
          <w:p w:rsidR="002C782A" w:rsidRPr="000C137D" w:rsidRDefault="002C782A" w:rsidP="00546C7E">
            <w:pPr>
              <w:rPr>
                <w:i/>
              </w:rPr>
            </w:pPr>
            <w:r>
              <w:rPr>
                <w:i/>
              </w:rPr>
              <w:t>Product Name</w:t>
            </w:r>
            <w:r w:rsidRPr="000C137D">
              <w:rPr>
                <w:i/>
              </w:rPr>
              <w:t>:</w:t>
            </w:r>
          </w:p>
        </w:tc>
        <w:tc>
          <w:tcPr>
            <w:tcW w:w="6590" w:type="dxa"/>
          </w:tcPr>
          <w:p w:rsidR="002C782A" w:rsidRPr="000C137D" w:rsidRDefault="002C782A" w:rsidP="00546C7E">
            <w:r>
              <w:t>Celsentri</w:t>
            </w:r>
          </w:p>
        </w:tc>
      </w:tr>
      <w:tr w:rsidR="002C782A" w:rsidRPr="000C137D" w:rsidTr="00546C7E">
        <w:tc>
          <w:tcPr>
            <w:tcW w:w="2907" w:type="dxa"/>
          </w:tcPr>
          <w:p w:rsidR="002C782A" w:rsidRPr="000C137D" w:rsidRDefault="002C782A" w:rsidP="00546C7E">
            <w:pPr>
              <w:rPr>
                <w:i/>
              </w:rPr>
            </w:pPr>
            <w:r w:rsidRPr="000C137D">
              <w:rPr>
                <w:i/>
              </w:rPr>
              <w:t xml:space="preserve">Sponsor’s Name and </w:t>
            </w:r>
            <w:r>
              <w:rPr>
                <w:i/>
              </w:rPr>
              <w:t>A</w:t>
            </w:r>
            <w:r w:rsidRPr="000C137D">
              <w:rPr>
                <w:i/>
              </w:rPr>
              <w:t>ddress</w:t>
            </w:r>
            <w:r w:rsidR="007212CB">
              <w:rPr>
                <w:i/>
              </w:rPr>
              <w:t>:</w:t>
            </w:r>
          </w:p>
        </w:tc>
        <w:tc>
          <w:tcPr>
            <w:tcW w:w="6590" w:type="dxa"/>
          </w:tcPr>
          <w:p w:rsidR="002C782A" w:rsidRPr="000C137D" w:rsidRDefault="002C782A" w:rsidP="007212CB">
            <w:pPr>
              <w:spacing w:after="0"/>
            </w:pPr>
            <w:r>
              <w:t>ViiV Healthcare Pty Ltd</w:t>
            </w:r>
            <w:r w:rsidR="007212CB">
              <w:br/>
              <w:t>Level 4, 436 Johnston street,</w:t>
            </w:r>
            <w:r w:rsidR="007212CB">
              <w:br/>
            </w:r>
            <w:r>
              <w:t>Abbotsford VIC 3067</w:t>
            </w:r>
          </w:p>
        </w:tc>
      </w:tr>
      <w:tr w:rsidR="002C782A" w:rsidRPr="000C137D" w:rsidTr="00546C7E">
        <w:tc>
          <w:tcPr>
            <w:tcW w:w="2907" w:type="dxa"/>
          </w:tcPr>
          <w:p w:rsidR="002C782A" w:rsidRPr="000C137D" w:rsidRDefault="002C782A" w:rsidP="00546C7E">
            <w:pPr>
              <w:rPr>
                <w:i/>
              </w:rPr>
            </w:pPr>
            <w:r>
              <w:rPr>
                <w:i/>
              </w:rPr>
              <w:t>Dose form</w:t>
            </w:r>
            <w:r w:rsidRPr="000C137D">
              <w:rPr>
                <w:i/>
              </w:rPr>
              <w:t>:</w:t>
            </w:r>
          </w:p>
        </w:tc>
        <w:tc>
          <w:tcPr>
            <w:tcW w:w="6590" w:type="dxa"/>
          </w:tcPr>
          <w:p w:rsidR="002C782A" w:rsidRPr="000C137D" w:rsidRDefault="002C782A" w:rsidP="00546C7E">
            <w:r>
              <w:t>Tablet</w:t>
            </w:r>
          </w:p>
        </w:tc>
      </w:tr>
      <w:tr w:rsidR="002C782A" w:rsidRPr="000C137D" w:rsidTr="00546C7E">
        <w:trPr>
          <w:trHeight w:val="509"/>
        </w:trPr>
        <w:tc>
          <w:tcPr>
            <w:tcW w:w="2907" w:type="dxa"/>
          </w:tcPr>
          <w:p w:rsidR="002C782A" w:rsidRPr="000C137D" w:rsidRDefault="002C782A" w:rsidP="00546C7E">
            <w:pPr>
              <w:rPr>
                <w:i/>
              </w:rPr>
            </w:pPr>
            <w:r>
              <w:rPr>
                <w:i/>
              </w:rPr>
              <w:t>Strengths</w:t>
            </w:r>
            <w:r w:rsidRPr="000C137D">
              <w:rPr>
                <w:i/>
              </w:rPr>
              <w:t>:</w:t>
            </w:r>
          </w:p>
        </w:tc>
        <w:tc>
          <w:tcPr>
            <w:tcW w:w="6590" w:type="dxa"/>
          </w:tcPr>
          <w:p w:rsidR="002C782A" w:rsidRPr="000C137D" w:rsidRDefault="002C782A" w:rsidP="00546C7E">
            <w:r>
              <w:t xml:space="preserve">150 mg </w:t>
            </w:r>
            <w:r w:rsidRPr="000C137D">
              <w:t xml:space="preserve">and </w:t>
            </w:r>
            <w:r>
              <w:t>300 mg</w:t>
            </w:r>
          </w:p>
        </w:tc>
      </w:tr>
      <w:tr w:rsidR="002C782A" w:rsidRPr="000C137D" w:rsidTr="00546C7E">
        <w:tc>
          <w:tcPr>
            <w:tcW w:w="2907" w:type="dxa"/>
          </w:tcPr>
          <w:p w:rsidR="002C782A" w:rsidRPr="000C137D" w:rsidRDefault="002C782A" w:rsidP="00546C7E">
            <w:pPr>
              <w:rPr>
                <w:i/>
              </w:rPr>
            </w:pPr>
            <w:r>
              <w:rPr>
                <w:i/>
              </w:rPr>
              <w:t>Containers</w:t>
            </w:r>
            <w:r w:rsidRPr="000C137D">
              <w:rPr>
                <w:i/>
              </w:rPr>
              <w:t>:</w:t>
            </w:r>
          </w:p>
        </w:tc>
        <w:tc>
          <w:tcPr>
            <w:tcW w:w="6590" w:type="dxa"/>
          </w:tcPr>
          <w:p w:rsidR="002C782A" w:rsidRPr="000C137D" w:rsidRDefault="002C782A" w:rsidP="00546C7E">
            <w:r>
              <w:t>Bottle, blister pack</w:t>
            </w:r>
          </w:p>
        </w:tc>
      </w:tr>
      <w:tr w:rsidR="002C782A" w:rsidRPr="000C137D" w:rsidTr="00546C7E">
        <w:tc>
          <w:tcPr>
            <w:tcW w:w="2907" w:type="dxa"/>
          </w:tcPr>
          <w:p w:rsidR="002C782A" w:rsidRPr="000C137D" w:rsidRDefault="002C782A" w:rsidP="00546C7E">
            <w:pPr>
              <w:rPr>
                <w:i/>
              </w:rPr>
            </w:pPr>
            <w:r w:rsidRPr="000C137D">
              <w:rPr>
                <w:i/>
              </w:rPr>
              <w:t>Pack sizes:</w:t>
            </w:r>
          </w:p>
        </w:tc>
        <w:tc>
          <w:tcPr>
            <w:tcW w:w="6590" w:type="dxa"/>
          </w:tcPr>
          <w:p w:rsidR="002C782A" w:rsidRPr="000C137D" w:rsidRDefault="002C782A" w:rsidP="00546C7E">
            <w:r>
              <w:t>180 tablets (bottle); 60 tablets (blister)</w:t>
            </w:r>
          </w:p>
        </w:tc>
      </w:tr>
      <w:tr w:rsidR="002C782A" w:rsidRPr="000C137D" w:rsidTr="00546C7E">
        <w:trPr>
          <w:trHeight w:val="864"/>
        </w:trPr>
        <w:tc>
          <w:tcPr>
            <w:tcW w:w="2907" w:type="dxa"/>
          </w:tcPr>
          <w:p w:rsidR="002C782A" w:rsidRPr="000C137D" w:rsidRDefault="002C782A" w:rsidP="00546C7E">
            <w:pPr>
              <w:rPr>
                <w:i/>
              </w:rPr>
            </w:pPr>
            <w:r w:rsidRPr="000C137D">
              <w:rPr>
                <w:i/>
              </w:rPr>
              <w:t>Approved Therapeutic use:</w:t>
            </w:r>
          </w:p>
        </w:tc>
        <w:tc>
          <w:tcPr>
            <w:tcW w:w="6590" w:type="dxa"/>
          </w:tcPr>
          <w:p w:rsidR="002C782A" w:rsidRDefault="002C782A" w:rsidP="00546C7E">
            <w:pPr>
              <w:spacing w:after="0" w:line="240" w:lineRule="auto"/>
              <w:rPr>
                <w:rFonts w:eastAsia="MS Mincho"/>
                <w:lang w:eastAsia="ja-JP"/>
              </w:rPr>
            </w:pPr>
            <w:r w:rsidRPr="00B2405A">
              <w:rPr>
                <w:rFonts w:eastAsia="MS Mincho"/>
                <w:lang w:eastAsia="ja-JP"/>
              </w:rPr>
              <w:t>C</w:t>
            </w:r>
            <w:r>
              <w:rPr>
                <w:rFonts w:eastAsia="MS Mincho"/>
                <w:lang w:eastAsia="ja-JP"/>
              </w:rPr>
              <w:t>elsentri</w:t>
            </w:r>
            <w:r w:rsidRPr="00B2405A">
              <w:rPr>
                <w:rFonts w:eastAsia="MS Mincho"/>
                <w:lang w:eastAsia="ja-JP"/>
              </w:rPr>
              <w:t>, in combination with other antiretroviral medicinal products, is indicated for adult patients infected with only CCR5</w:t>
            </w:r>
            <w:r>
              <w:rPr>
                <w:rFonts w:eastAsia="MS Mincho"/>
                <w:lang w:eastAsia="ja-JP"/>
              </w:rPr>
              <w:noBreakHyphen/>
            </w:r>
            <w:r w:rsidRPr="00B2405A">
              <w:rPr>
                <w:rFonts w:eastAsia="MS Mincho"/>
                <w:lang w:eastAsia="ja-JP"/>
              </w:rPr>
              <w:t>tropic HIV-1.</w:t>
            </w:r>
          </w:p>
          <w:p w:rsidR="002C782A" w:rsidRPr="000C137D" w:rsidRDefault="002C782A" w:rsidP="00546C7E">
            <w:pPr>
              <w:spacing w:after="0" w:line="240" w:lineRule="auto"/>
              <w:rPr>
                <w:rFonts w:eastAsia="MS Mincho"/>
                <w:lang w:eastAsia="ja-JP"/>
              </w:rPr>
            </w:pPr>
            <w:r w:rsidRPr="00065E49">
              <w:rPr>
                <w:rFonts w:eastAsia="MS Mincho"/>
                <w:lang w:eastAsia="ja-JP"/>
              </w:rPr>
              <w:t>The use of other active agents with C</w:t>
            </w:r>
            <w:r>
              <w:rPr>
                <w:rFonts w:eastAsia="MS Mincho"/>
                <w:lang w:eastAsia="ja-JP"/>
              </w:rPr>
              <w:t xml:space="preserve">elsentri </w:t>
            </w:r>
            <w:r w:rsidRPr="00065E49">
              <w:rPr>
                <w:rFonts w:eastAsia="MS Mincho"/>
                <w:lang w:eastAsia="ja-JP"/>
              </w:rPr>
              <w:t>is associated with a greater likelihood of treatment response.</w:t>
            </w:r>
          </w:p>
        </w:tc>
      </w:tr>
      <w:tr w:rsidR="002C782A" w:rsidRPr="000C137D" w:rsidTr="00546C7E">
        <w:tc>
          <w:tcPr>
            <w:tcW w:w="2907" w:type="dxa"/>
          </w:tcPr>
          <w:p w:rsidR="002C782A" w:rsidRPr="000C137D" w:rsidRDefault="002C782A" w:rsidP="00546C7E">
            <w:pPr>
              <w:rPr>
                <w:i/>
              </w:rPr>
            </w:pPr>
            <w:r>
              <w:rPr>
                <w:i/>
              </w:rPr>
              <w:t>Route</w:t>
            </w:r>
            <w:r w:rsidRPr="000C137D">
              <w:rPr>
                <w:i/>
              </w:rPr>
              <w:t xml:space="preserve"> of administration:</w:t>
            </w:r>
          </w:p>
        </w:tc>
        <w:tc>
          <w:tcPr>
            <w:tcW w:w="6590" w:type="dxa"/>
          </w:tcPr>
          <w:p w:rsidR="002C782A" w:rsidRPr="000C137D" w:rsidRDefault="002C782A" w:rsidP="00546C7E">
            <w:r>
              <w:t>Oral</w:t>
            </w:r>
          </w:p>
        </w:tc>
      </w:tr>
      <w:tr w:rsidR="002C782A" w:rsidRPr="000C137D" w:rsidTr="00546C7E">
        <w:tc>
          <w:tcPr>
            <w:tcW w:w="2907" w:type="dxa"/>
          </w:tcPr>
          <w:p w:rsidR="002C782A" w:rsidRPr="000C137D" w:rsidRDefault="002C782A" w:rsidP="00546C7E">
            <w:pPr>
              <w:rPr>
                <w:i/>
              </w:rPr>
            </w:pPr>
            <w:r w:rsidRPr="000C137D">
              <w:rPr>
                <w:i/>
              </w:rPr>
              <w:t>Dosage</w:t>
            </w:r>
            <w:r>
              <w:rPr>
                <w:i/>
              </w:rPr>
              <w:t xml:space="preserve"> (abbreviated)</w:t>
            </w:r>
            <w:r w:rsidRPr="000C137D">
              <w:rPr>
                <w:i/>
              </w:rPr>
              <w:t>:</w:t>
            </w:r>
          </w:p>
        </w:tc>
        <w:tc>
          <w:tcPr>
            <w:tcW w:w="6590" w:type="dxa"/>
          </w:tcPr>
          <w:p w:rsidR="002C782A" w:rsidRPr="000C137D" w:rsidRDefault="002C782A" w:rsidP="00546C7E">
            <w:r>
              <w:t>Adults: 150 mg, 300 mg or 600 mg twice daily depending on interactions with co-administered antiretroviral therapy and other medicinal products.</w:t>
            </w:r>
          </w:p>
        </w:tc>
      </w:tr>
      <w:tr w:rsidR="002C782A" w:rsidRPr="005A27B0" w:rsidTr="00546C7E">
        <w:tc>
          <w:tcPr>
            <w:tcW w:w="2907" w:type="dxa"/>
          </w:tcPr>
          <w:p w:rsidR="002C782A" w:rsidRPr="000C137D" w:rsidRDefault="002C782A" w:rsidP="00546C7E">
            <w:pPr>
              <w:rPr>
                <w:i/>
              </w:rPr>
            </w:pPr>
            <w:r>
              <w:rPr>
                <w:i/>
              </w:rPr>
              <w:t>ARTG Numbers</w:t>
            </w:r>
            <w:r w:rsidR="00546C7E">
              <w:rPr>
                <w:i/>
              </w:rPr>
              <w:t>:</w:t>
            </w:r>
          </w:p>
        </w:tc>
        <w:tc>
          <w:tcPr>
            <w:tcW w:w="6590" w:type="dxa"/>
          </w:tcPr>
          <w:p w:rsidR="002C782A" w:rsidRPr="005A27B0" w:rsidRDefault="002C782A" w:rsidP="00546C7E">
            <w:r w:rsidRPr="00B2405A">
              <w:t>137330</w:t>
            </w:r>
            <w:r>
              <w:t xml:space="preserve">, </w:t>
            </w:r>
            <w:r w:rsidRPr="00B2405A">
              <w:t>137332</w:t>
            </w:r>
            <w:r>
              <w:t xml:space="preserve">, </w:t>
            </w:r>
            <w:r w:rsidRPr="00B2405A">
              <w:t>137331</w:t>
            </w:r>
            <w:r>
              <w:t xml:space="preserve">, </w:t>
            </w:r>
            <w:r w:rsidRPr="00B2405A">
              <w:t>137329</w:t>
            </w:r>
          </w:p>
        </w:tc>
      </w:tr>
    </w:tbl>
    <w:p w:rsidR="002C782A" w:rsidRDefault="007212CB" w:rsidP="00A97E7E">
      <w:pPr>
        <w:pStyle w:val="Heading3"/>
      </w:pPr>
      <w:bookmarkStart w:id="7" w:name="_Toc247691503"/>
      <w:bookmarkStart w:id="8" w:name="_Toc355615875"/>
      <w:bookmarkStart w:id="9" w:name="_Toc366272733"/>
      <w:r>
        <w:t>Product b</w:t>
      </w:r>
      <w:r w:rsidR="002C782A">
        <w:t>ackground</w:t>
      </w:r>
      <w:bookmarkEnd w:id="7"/>
      <w:bookmarkEnd w:id="8"/>
      <w:bookmarkEnd w:id="9"/>
    </w:p>
    <w:p w:rsidR="002C782A" w:rsidRPr="000C4204" w:rsidRDefault="002C782A" w:rsidP="00A97E7E">
      <w:r w:rsidRPr="000C4204">
        <w:t xml:space="preserve">An </w:t>
      </w:r>
      <w:r w:rsidRPr="00D016B1">
        <w:t xml:space="preserve">essential step in the </w:t>
      </w:r>
      <w:r>
        <w:t>h</w:t>
      </w:r>
      <w:r w:rsidRPr="00D016B1">
        <w:t xml:space="preserve">uman immunodeficiency virus </w:t>
      </w:r>
      <w:r>
        <w:t>(</w:t>
      </w:r>
      <w:r w:rsidRPr="00D016B1">
        <w:t>HIV</w:t>
      </w:r>
      <w:r>
        <w:t>)</w:t>
      </w:r>
      <w:r w:rsidRPr="00D016B1">
        <w:t xml:space="preserve"> replication</w:t>
      </w:r>
      <w:r w:rsidRPr="000C4204">
        <w:t xml:space="preserve"> cycle is attachment to both the </w:t>
      </w:r>
      <w:r>
        <w:t>helper T cell (</w:t>
      </w:r>
      <w:r w:rsidRPr="000C4204">
        <w:t>CD4</w:t>
      </w:r>
      <w:r w:rsidRPr="00D016B1">
        <w:rPr>
          <w:vertAlign w:val="superscript"/>
        </w:rPr>
        <w:t>+</w:t>
      </w:r>
      <w:r>
        <w:t xml:space="preserve">) </w:t>
      </w:r>
      <w:r w:rsidRPr="000C4204">
        <w:t>receptor and one of the chemokine</w:t>
      </w:r>
      <w:r>
        <w:t xml:space="preserve"> co</w:t>
      </w:r>
      <w:r>
        <w:noBreakHyphen/>
        <w:t>receptors (CC)</w:t>
      </w:r>
      <w:r w:rsidRPr="000C4204">
        <w:t>, either CCR5 or CXCR4</w:t>
      </w:r>
      <w:r>
        <w:t>.</w:t>
      </w:r>
      <w:r>
        <w:rPr>
          <w:rStyle w:val="FootnoteReference"/>
        </w:rPr>
        <w:footnoteReference w:id="1"/>
      </w:r>
      <w:r w:rsidRPr="000C4204">
        <w:t xml:space="preserve"> Maraviroc is a selective CCR5 co-receptor antagonist, active </w:t>
      </w:r>
      <w:r w:rsidRPr="000C4204">
        <w:rPr>
          <w:i/>
        </w:rPr>
        <w:t>in vitro</w:t>
      </w:r>
      <w:r w:rsidRPr="000C4204">
        <w:t xml:space="preserve"> against a wide range of clinical isolates including those resistant to existing drug classes.</w:t>
      </w:r>
    </w:p>
    <w:p w:rsidR="002C782A" w:rsidRDefault="002C782A" w:rsidP="00A97E7E">
      <w:r w:rsidRPr="00065E49">
        <w:lastRenderedPageBreak/>
        <w:t xml:space="preserve">Celsentri was first registered on the Australian Register of Therapeutic Goods (ARTG) in February 2008 for </w:t>
      </w:r>
      <w:r>
        <w:t xml:space="preserve">treatment </w:t>
      </w:r>
      <w:r w:rsidRPr="003704ED">
        <w:t>experienced adult patients</w:t>
      </w:r>
      <w:r w:rsidR="00A97E7E">
        <w:t>, as follows:</w:t>
      </w:r>
    </w:p>
    <w:p w:rsidR="002C782A" w:rsidRPr="00065E49" w:rsidRDefault="002C782A" w:rsidP="002C782A">
      <w:pPr>
        <w:rPr>
          <w:i/>
        </w:rPr>
      </w:pPr>
      <w:r w:rsidRPr="00065E49">
        <w:rPr>
          <w:i/>
        </w:rPr>
        <w:t>Celsentri, in combination with other antiretroviral medicinal products, is indicated for treatment-experienced adult patients infected with only CCR5-tropic HIV-1.</w:t>
      </w:r>
    </w:p>
    <w:p w:rsidR="002C782A" w:rsidRPr="00065E49" w:rsidRDefault="002C782A" w:rsidP="002C782A">
      <w:pPr>
        <w:rPr>
          <w:i/>
        </w:rPr>
      </w:pPr>
      <w:r w:rsidRPr="00065E49">
        <w:rPr>
          <w:i/>
        </w:rPr>
        <w:t>This indication is based on analyses of plasma HIV-1 RNA levels and CD4</w:t>
      </w:r>
      <w:r w:rsidRPr="00363DC9">
        <w:rPr>
          <w:i/>
          <w:vertAlign w:val="superscript"/>
        </w:rPr>
        <w:t>+</w:t>
      </w:r>
      <w:r w:rsidRPr="00065E49">
        <w:rPr>
          <w:i/>
        </w:rPr>
        <w:t xml:space="preserve"> cell counts at 24 weeks in two double-blind, placebo-controlled trials in treatment-experienced patients with clinically advanced disease resistant to three or four classes of antiretrovirals.</w:t>
      </w:r>
    </w:p>
    <w:p w:rsidR="002C782A" w:rsidRPr="00065E49" w:rsidRDefault="002C782A" w:rsidP="002C782A">
      <w:pPr>
        <w:rPr>
          <w:i/>
        </w:rPr>
      </w:pPr>
      <w:r w:rsidRPr="00065E49">
        <w:rPr>
          <w:i/>
        </w:rPr>
        <w:t>The use of other active agents with CELSENTRI is associated with a greater likelihood of treatment response.</w:t>
      </w:r>
    </w:p>
    <w:p w:rsidR="002C782A" w:rsidRPr="00065E49" w:rsidRDefault="002C782A" w:rsidP="002C782A">
      <w:r w:rsidRPr="00065E49">
        <w:t xml:space="preserve">This AusPAR describes the application by ViiV Healthcare Pty Ltd (the sponsor) to </w:t>
      </w:r>
      <w:r>
        <w:t xml:space="preserve">extend </w:t>
      </w:r>
      <w:r w:rsidRPr="00065E49">
        <w:t>the approved indications for Celsentri</w:t>
      </w:r>
      <w:r>
        <w:t xml:space="preserve"> to include </w:t>
      </w:r>
      <w:r>
        <w:rPr>
          <w:rFonts w:cs="Arial"/>
        </w:rPr>
        <w:t>treatment naïve patients</w:t>
      </w:r>
      <w:r w:rsidRPr="00065E49">
        <w:t xml:space="preserve">. The requested </w:t>
      </w:r>
      <w:r>
        <w:t xml:space="preserve">(amended) </w:t>
      </w:r>
      <w:r w:rsidR="00A97E7E">
        <w:t>indications are:</w:t>
      </w:r>
    </w:p>
    <w:p w:rsidR="002C782A" w:rsidRPr="00065E49" w:rsidRDefault="002C782A" w:rsidP="002C782A">
      <w:pPr>
        <w:ind w:left="720"/>
        <w:rPr>
          <w:i/>
        </w:rPr>
      </w:pPr>
      <w:r w:rsidRPr="00065E49">
        <w:rPr>
          <w:i/>
        </w:rPr>
        <w:t>Celsentri, in combination with other antiretroviral medicinal product, is indicated for adult patients infected with CCR5-tropic HIV-1.</w:t>
      </w:r>
    </w:p>
    <w:p w:rsidR="002C782A" w:rsidRPr="00065E49" w:rsidRDefault="002C782A" w:rsidP="002C782A">
      <w:pPr>
        <w:ind w:left="720"/>
        <w:rPr>
          <w:i/>
        </w:rPr>
      </w:pPr>
      <w:r w:rsidRPr="00065E49">
        <w:rPr>
          <w:i/>
        </w:rPr>
        <w:t>The use of other active agents with CELSENTRI is associated with a greater likelihood of treatment response.</w:t>
      </w:r>
    </w:p>
    <w:p w:rsidR="002C782A" w:rsidRPr="003F31A2" w:rsidRDefault="0045149F" w:rsidP="002C782A">
      <w:pPr>
        <w:pStyle w:val="Heading3"/>
      </w:pPr>
      <w:bookmarkStart w:id="10" w:name="_Toc355615876"/>
      <w:bookmarkStart w:id="11" w:name="_Toc247691504"/>
      <w:bookmarkStart w:id="12" w:name="_Toc366272734"/>
      <w:r>
        <w:t>Regulatory s</w:t>
      </w:r>
      <w:r w:rsidR="002C782A">
        <w:t>tatus</w:t>
      </w:r>
      <w:bookmarkEnd w:id="10"/>
      <w:bookmarkEnd w:id="11"/>
      <w:bookmarkEnd w:id="12"/>
    </w:p>
    <w:p w:rsidR="002C782A" w:rsidRDefault="002C782A" w:rsidP="0045149F">
      <w:r>
        <w:t xml:space="preserve">Celsentri </w:t>
      </w:r>
      <w:r w:rsidRPr="00C678F4">
        <w:t>received initial ARTG R</w:t>
      </w:r>
      <w:r w:rsidR="0045149F">
        <w:t>egistration on 4 February 2008.</w:t>
      </w:r>
    </w:p>
    <w:p w:rsidR="002C782A" w:rsidRPr="00C678F4" w:rsidRDefault="002C782A" w:rsidP="0045149F">
      <w:r w:rsidRPr="00C678F4">
        <w:t xml:space="preserve">At the time of </w:t>
      </w:r>
      <w:r>
        <w:t xml:space="preserve">the current </w:t>
      </w:r>
      <w:r w:rsidRPr="00C678F4">
        <w:t xml:space="preserve">application, </w:t>
      </w:r>
      <w:r>
        <w:t>a</w:t>
      </w:r>
      <w:r w:rsidRPr="00C678F4">
        <w:t xml:space="preserve"> similar application and data package </w:t>
      </w:r>
      <w:r>
        <w:t xml:space="preserve">were </w:t>
      </w:r>
      <w:r w:rsidRPr="00C678F4">
        <w:t xml:space="preserve">submitted to Canada, the European Union </w:t>
      </w:r>
      <w:r>
        <w:t xml:space="preserve">(EU) </w:t>
      </w:r>
      <w:r w:rsidRPr="00C678F4">
        <w:t>and the United States</w:t>
      </w:r>
      <w:r>
        <w:t xml:space="preserve"> (US)</w:t>
      </w:r>
      <w:r w:rsidRPr="00C678F4">
        <w:t xml:space="preserve">. Canada and the </w:t>
      </w:r>
      <w:r>
        <w:t xml:space="preserve">US </w:t>
      </w:r>
      <w:r w:rsidRPr="00C678F4">
        <w:t xml:space="preserve">approved the indication for treatment </w:t>
      </w:r>
      <w:r>
        <w:t xml:space="preserve">naïve </w:t>
      </w:r>
      <w:r w:rsidRPr="00C678F4">
        <w:t xml:space="preserve">patients. Both have included in the </w:t>
      </w:r>
      <w:r w:rsidRPr="008A170C">
        <w:rPr>
          <w:i/>
        </w:rPr>
        <w:t>Indication</w:t>
      </w:r>
      <w:r w:rsidRPr="00C678F4">
        <w:t>, a statement concerning the risk of development of viral resistance to lamivudine and emergence of CXCR4 tropic HIV</w:t>
      </w:r>
      <w:r>
        <w:noBreakHyphen/>
      </w:r>
      <w:r w:rsidRPr="00C678F4">
        <w:t>1 and instruction to use highly sensitive tropism testing prior to initiating therapy. The application was rejected in the EU.</w:t>
      </w:r>
    </w:p>
    <w:p w:rsidR="002C782A" w:rsidRDefault="002C782A" w:rsidP="002C782A">
      <w:pPr>
        <w:pStyle w:val="Heading3"/>
      </w:pPr>
      <w:bookmarkStart w:id="13" w:name="_Toc247691505"/>
      <w:bookmarkStart w:id="14" w:name="_Toc355615877"/>
      <w:bookmarkStart w:id="15" w:name="_Toc366272735"/>
      <w:r>
        <w:t>Product Information</w:t>
      </w:r>
      <w:bookmarkEnd w:id="13"/>
      <w:bookmarkEnd w:id="14"/>
      <w:bookmarkEnd w:id="15"/>
    </w:p>
    <w:p w:rsidR="002C782A" w:rsidRDefault="002C782A" w:rsidP="0045149F">
      <w:r>
        <w:t>The approved product information (PI) current at the time this AusPAR was prepared can be found as Attachment 1.</w:t>
      </w:r>
    </w:p>
    <w:p w:rsidR="002C782A" w:rsidRPr="003602A9" w:rsidRDefault="002C782A" w:rsidP="002C782A">
      <w:pPr>
        <w:pStyle w:val="Heading2"/>
        <w:ind w:left="-11"/>
      </w:pPr>
      <w:bookmarkStart w:id="16" w:name="_Toc247691506"/>
      <w:bookmarkStart w:id="17" w:name="_Toc355615878"/>
      <w:bookmarkStart w:id="18" w:name="_Toc366272736"/>
      <w:r>
        <w:t>II. Qua</w:t>
      </w:r>
      <w:r w:rsidR="0045149F">
        <w:t>lity f</w:t>
      </w:r>
      <w:r>
        <w:t>indings</w:t>
      </w:r>
      <w:bookmarkEnd w:id="16"/>
      <w:bookmarkEnd w:id="17"/>
      <w:bookmarkEnd w:id="18"/>
    </w:p>
    <w:p w:rsidR="002C782A" w:rsidRDefault="002C782A" w:rsidP="0045149F">
      <w:r>
        <w:t>There was no requirement for a quality evaluation in a submission of this type.</w:t>
      </w:r>
    </w:p>
    <w:p w:rsidR="002C782A" w:rsidRDefault="002C782A" w:rsidP="002C782A">
      <w:pPr>
        <w:pStyle w:val="Heading2"/>
      </w:pPr>
      <w:bookmarkStart w:id="19" w:name="_Toc196046439"/>
      <w:bookmarkStart w:id="20" w:name="_Toc247691510"/>
      <w:bookmarkStart w:id="21" w:name="_Toc355615879"/>
      <w:bookmarkStart w:id="22" w:name="_Toc366272737"/>
      <w:r>
        <w:t>III. Nonclinical</w:t>
      </w:r>
      <w:bookmarkEnd w:id="19"/>
      <w:r w:rsidR="0045149F">
        <w:t xml:space="preserve"> f</w:t>
      </w:r>
      <w:r>
        <w:t>indings</w:t>
      </w:r>
      <w:bookmarkEnd w:id="20"/>
      <w:bookmarkEnd w:id="21"/>
      <w:bookmarkEnd w:id="22"/>
    </w:p>
    <w:p w:rsidR="002C782A" w:rsidRDefault="002C782A" w:rsidP="002C782A">
      <w:r>
        <w:t xml:space="preserve">There was no requirement for a nonclinical </w:t>
      </w:r>
      <w:r w:rsidRPr="0045149F">
        <w:t>e</w:t>
      </w:r>
      <w:r>
        <w:t>valuation in a submission of this type.</w:t>
      </w:r>
    </w:p>
    <w:p w:rsidR="002C782A" w:rsidRPr="00254787" w:rsidRDefault="002C782A" w:rsidP="002C782A">
      <w:pPr>
        <w:pStyle w:val="Heading2"/>
      </w:pPr>
      <w:bookmarkStart w:id="23" w:name="_Toc196046462"/>
      <w:bookmarkStart w:id="24" w:name="_Toc247691516"/>
      <w:bookmarkStart w:id="25" w:name="_Toc355615880"/>
      <w:bookmarkStart w:id="26" w:name="_Toc163441353"/>
      <w:bookmarkStart w:id="27" w:name="_Toc163441348"/>
      <w:bookmarkStart w:id="28" w:name="_Toc366272738"/>
      <w:r>
        <w:t xml:space="preserve">IV. </w:t>
      </w:r>
      <w:r w:rsidRPr="00254787">
        <w:t>Clinical</w:t>
      </w:r>
      <w:bookmarkEnd w:id="23"/>
      <w:r w:rsidR="0045149F">
        <w:t xml:space="preserve"> f</w:t>
      </w:r>
      <w:r>
        <w:t>indings</w:t>
      </w:r>
      <w:bookmarkEnd w:id="24"/>
      <w:bookmarkEnd w:id="25"/>
      <w:bookmarkEnd w:id="28"/>
    </w:p>
    <w:p w:rsidR="002C782A" w:rsidRPr="00546C7E" w:rsidRDefault="002C782A" w:rsidP="0045149F">
      <w:bookmarkStart w:id="29" w:name="_Toc196046463"/>
      <w:bookmarkStart w:id="30" w:name="_Toc247691517"/>
      <w:r w:rsidRPr="00546C7E">
        <w:t>A summary of the clinical findings is presented in this section. Further details of these clinical findings can be found in Attachment 2.</w:t>
      </w:r>
    </w:p>
    <w:p w:rsidR="002C782A" w:rsidRDefault="002C782A" w:rsidP="0045149F">
      <w:pPr>
        <w:pStyle w:val="Heading3"/>
      </w:pPr>
      <w:bookmarkStart w:id="31" w:name="_Toc355615881"/>
      <w:bookmarkStart w:id="32" w:name="_Toc366272739"/>
      <w:r w:rsidRPr="00254787">
        <w:lastRenderedPageBreak/>
        <w:t>Introduction</w:t>
      </w:r>
      <w:bookmarkEnd w:id="29"/>
      <w:bookmarkEnd w:id="30"/>
      <w:bookmarkEnd w:id="31"/>
      <w:bookmarkEnd w:id="32"/>
    </w:p>
    <w:p w:rsidR="002C782A" w:rsidRDefault="002C782A" w:rsidP="0045149F">
      <w:pPr>
        <w:pStyle w:val="Heading4"/>
      </w:pPr>
      <w:r>
        <w:t>Background and rationale</w:t>
      </w:r>
    </w:p>
    <w:p w:rsidR="002C782A" w:rsidRPr="009F35BE" w:rsidRDefault="002C782A" w:rsidP="0045149F">
      <w:r w:rsidRPr="009F35BE">
        <w:t xml:space="preserve">The rationale for development of maraviroc was the finding that individuals who are heterozygous for the </w:t>
      </w:r>
      <w:r w:rsidR="0045149F">
        <w:sym w:font="Symbol" w:char="F044"/>
      </w:r>
      <w:r w:rsidRPr="009F35BE">
        <w:t xml:space="preserve">32 mutant CCR5 allele with fewer functional CCR5 receptors, have lower serum </w:t>
      </w:r>
      <w:r>
        <w:t>viral loads (VLs)</w:t>
      </w:r>
      <w:r w:rsidRPr="009F35BE">
        <w:t xml:space="preserve">, a better response to highly active antiretroviral therapy (HAART) and delayed progression to </w:t>
      </w:r>
      <w:r w:rsidRPr="0075491C">
        <w:t xml:space="preserve">acquired immunodeficiency syndrome </w:t>
      </w:r>
      <w:r>
        <w:t>(</w:t>
      </w:r>
      <w:r w:rsidRPr="009F35BE">
        <w:t>AIDS</w:t>
      </w:r>
      <w:r>
        <w:t>)</w:t>
      </w:r>
      <w:r w:rsidR="0045149F">
        <w:t xml:space="preserve"> or death.</w:t>
      </w:r>
    </w:p>
    <w:p w:rsidR="002C782A" w:rsidRPr="009F35BE" w:rsidRDefault="002C782A" w:rsidP="002C782A">
      <w:r w:rsidRPr="009F35BE">
        <w:t xml:space="preserve">CCR5 is the co-receptor which predominates during the early stages of HIV-1 infection. Between 85% and 90% of treatment </w:t>
      </w:r>
      <w:r>
        <w:t>naïve</w:t>
      </w:r>
      <w:r w:rsidRPr="009F35BE">
        <w:t xml:space="preserve"> patients repor</w:t>
      </w:r>
      <w:r>
        <w:t>tedly have only CCR5-tropic HIV</w:t>
      </w:r>
      <w:r>
        <w:noBreakHyphen/>
      </w:r>
      <w:r w:rsidRPr="009F35BE">
        <w:t>1 detectable. Thus, a CCR5 antagonist was considered to have the potential to provide benefit to a sizeable proportion of the treatment</w:t>
      </w:r>
      <w:r>
        <w:t xml:space="preserve"> </w:t>
      </w:r>
      <w:r w:rsidRPr="009F35BE">
        <w:t>naïve population.</w:t>
      </w:r>
    </w:p>
    <w:p w:rsidR="002C782A" w:rsidRPr="0075491C" w:rsidRDefault="002C782A" w:rsidP="00E570DD">
      <w:r>
        <w:t xml:space="preserve">Maraviroc is currently indicated for treatment experienced adults, based on clinical trial data up to 24 weeks. The proposed indication would extend the use of maraviroc to treatment </w:t>
      </w:r>
      <w:r w:rsidRPr="009F35BE">
        <w:t xml:space="preserve">naïve </w:t>
      </w:r>
      <w:r w:rsidR="0045149F">
        <w:t>patients.</w:t>
      </w:r>
    </w:p>
    <w:p w:rsidR="002C782A" w:rsidRDefault="002C782A" w:rsidP="002C782A">
      <w:r w:rsidRPr="0075491C">
        <w:t>The</w:t>
      </w:r>
      <w:r>
        <w:t xml:space="preserve"> application is based on the:</w:t>
      </w:r>
    </w:p>
    <w:p w:rsidR="002C782A" w:rsidRPr="00E570DD" w:rsidRDefault="002C782A" w:rsidP="00E570DD">
      <w:pPr>
        <w:pStyle w:val="ListBullet"/>
      </w:pPr>
      <w:r w:rsidRPr="00E570DD">
        <w:t>48 Week and 96 Week results of pivotal Study A4001026</w:t>
      </w:r>
      <w:r w:rsidRPr="008D3CBC">
        <w:rPr>
          <w:rStyle w:val="FootnoteReference"/>
        </w:rPr>
        <w:footnoteReference w:id="2"/>
      </w:r>
      <w:r w:rsidRPr="00E570DD">
        <w:t xml:space="preserve"> for treatment naïve patients</w:t>
      </w:r>
    </w:p>
    <w:p w:rsidR="002C782A" w:rsidRPr="00E570DD" w:rsidRDefault="002C782A" w:rsidP="00E570DD">
      <w:pPr>
        <w:pStyle w:val="ListBullet"/>
      </w:pPr>
      <w:r w:rsidRPr="00E570DD">
        <w:t>48 Week results from the two pivotal Phase III Studies A4001027 and A4001028 in treatment experience patients infec</w:t>
      </w:r>
      <w:r w:rsidR="00E570DD">
        <w:t>ted with CCR5-tropic HIV-1, and</w:t>
      </w:r>
    </w:p>
    <w:p w:rsidR="002C782A" w:rsidRPr="00E570DD" w:rsidRDefault="002C782A" w:rsidP="00E570DD">
      <w:pPr>
        <w:pStyle w:val="ListBullet"/>
      </w:pPr>
      <w:r w:rsidRPr="00E570DD">
        <w:t>48 Week results for supportive Study A4001029 examining the safety of maraviroc in treatment experienced patients infected with non-CCR5 tropic or non</w:t>
      </w:r>
      <w:r w:rsidR="00E570DD">
        <w:t>-phenotypable HIV-1.</w:t>
      </w:r>
    </w:p>
    <w:p w:rsidR="002C782A" w:rsidRDefault="002C782A" w:rsidP="008D3CBC">
      <w:pPr>
        <w:sectPr w:rsidR="002C782A" w:rsidSect="00546C7E">
          <w:headerReference w:type="even" r:id="rId16"/>
          <w:headerReference w:type="default" r:id="rId17"/>
          <w:footerReference w:type="default" r:id="rId18"/>
          <w:headerReference w:type="first" r:id="rId19"/>
          <w:footerReference w:type="first" r:id="rId20"/>
          <w:pgSz w:w="11906" w:h="16838" w:code="9"/>
          <w:pgMar w:top="1701" w:right="1701" w:bottom="1559" w:left="1701" w:header="907" w:footer="142" w:gutter="0"/>
          <w:cols w:space="708"/>
          <w:docGrid w:linePitch="360"/>
        </w:sectPr>
      </w:pPr>
      <w:r>
        <w:t>The sponsor provided assurance that these studies were performed in compliance with Good Clinical Practice requirements. Studies A4001026, A4001027, A2001028 and A4001029 are summarised in Tables 1, 2, 3 and 4, respectively, below.</w:t>
      </w:r>
    </w:p>
    <w:p w:rsidR="002C782A" w:rsidRDefault="002C782A" w:rsidP="008D3CBC">
      <w:pPr>
        <w:pStyle w:val="TableTitle"/>
      </w:pPr>
      <w:bookmarkStart w:id="33" w:name="_Ref303328167"/>
      <w:bookmarkStart w:id="34" w:name="_Ref303328170"/>
      <w:r>
        <w:lastRenderedPageBreak/>
        <w:t xml:space="preserve">Table </w:t>
      </w:r>
      <w:bookmarkEnd w:id="33"/>
      <w:r>
        <w:t>1 Summary of Study A4001026</w:t>
      </w:r>
      <w:bookmarkEnd w:id="34"/>
    </w:p>
    <w:tbl>
      <w:tblPr>
        <w:tblW w:w="0" w:type="auto"/>
        <w:tblBorders>
          <w:top w:val="single" w:sz="12" w:space="0" w:color="auto"/>
          <w:left w:val="single" w:sz="4" w:space="0" w:color="auto"/>
          <w:bottom w:val="single" w:sz="12" w:space="0" w:color="auto"/>
          <w:right w:val="single" w:sz="12" w:space="0" w:color="auto"/>
          <w:insideH w:val="single" w:sz="12" w:space="0" w:color="auto"/>
          <w:insideV w:val="single" w:sz="4" w:space="0" w:color="auto"/>
        </w:tblBorders>
        <w:tblLook w:val="01E0"/>
      </w:tblPr>
      <w:tblGrid>
        <w:gridCol w:w="1896"/>
        <w:gridCol w:w="4166"/>
        <w:gridCol w:w="2268"/>
        <w:gridCol w:w="2410"/>
        <w:gridCol w:w="3543"/>
      </w:tblGrid>
      <w:tr w:rsidR="002C782A" w:rsidRPr="000E4A42" w:rsidTr="008D3CBC">
        <w:trPr>
          <w:tblHeader/>
        </w:trPr>
        <w:tc>
          <w:tcPr>
            <w:tcW w:w="1896" w:type="dxa"/>
            <w:shd w:val="clear" w:color="auto" w:fill="0070C0"/>
            <w:hideMark/>
          </w:tcPr>
          <w:p w:rsidR="002C782A" w:rsidRPr="000E4A42"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0E4A42">
              <w:rPr>
                <w:rFonts w:cs="Arial"/>
                <w:b/>
                <w:color w:val="FFFFFF" w:themeColor="background1"/>
                <w:sz w:val="20"/>
                <w:szCs w:val="20"/>
              </w:rPr>
              <w:t>Investigator, Country, Year</w:t>
            </w:r>
          </w:p>
        </w:tc>
        <w:tc>
          <w:tcPr>
            <w:tcW w:w="4166" w:type="dxa"/>
            <w:shd w:val="clear" w:color="auto" w:fill="0070C0"/>
            <w:hideMark/>
          </w:tcPr>
          <w:p w:rsidR="002C782A" w:rsidRPr="000E4A42"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0E4A42">
              <w:rPr>
                <w:rFonts w:cs="Arial"/>
                <w:b/>
                <w:color w:val="FFFFFF" w:themeColor="background1"/>
                <w:sz w:val="20"/>
                <w:szCs w:val="20"/>
              </w:rPr>
              <w:t>Design/objectives</w:t>
            </w:r>
          </w:p>
        </w:tc>
        <w:tc>
          <w:tcPr>
            <w:tcW w:w="2268" w:type="dxa"/>
            <w:shd w:val="clear" w:color="auto" w:fill="0070C0"/>
            <w:hideMark/>
          </w:tcPr>
          <w:p w:rsidR="002C782A" w:rsidRPr="000E4A42"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0E4A42">
              <w:rPr>
                <w:rFonts w:cs="Arial"/>
                <w:b/>
                <w:color w:val="FFFFFF" w:themeColor="background1"/>
                <w:sz w:val="20"/>
                <w:szCs w:val="20"/>
              </w:rPr>
              <w:t>Participants</w:t>
            </w:r>
          </w:p>
        </w:tc>
        <w:tc>
          <w:tcPr>
            <w:tcW w:w="2410" w:type="dxa"/>
            <w:shd w:val="clear" w:color="auto" w:fill="0070C0"/>
            <w:hideMark/>
          </w:tcPr>
          <w:p w:rsidR="002C782A" w:rsidRPr="000E4A42"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0E4A42">
              <w:rPr>
                <w:rFonts w:cs="Arial"/>
                <w:b/>
                <w:color w:val="FFFFFF" w:themeColor="background1"/>
                <w:sz w:val="20"/>
                <w:szCs w:val="20"/>
              </w:rPr>
              <w:t>Efficacy results</w:t>
            </w:r>
          </w:p>
        </w:tc>
        <w:tc>
          <w:tcPr>
            <w:tcW w:w="3543" w:type="dxa"/>
            <w:shd w:val="clear" w:color="auto" w:fill="0070C0"/>
            <w:hideMark/>
          </w:tcPr>
          <w:p w:rsidR="002C782A" w:rsidRPr="000E4A42"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0E4A42">
              <w:rPr>
                <w:rFonts w:cs="Arial"/>
                <w:b/>
                <w:color w:val="FFFFFF" w:themeColor="background1"/>
                <w:sz w:val="20"/>
                <w:szCs w:val="20"/>
              </w:rPr>
              <w:t>Safety results</w:t>
            </w:r>
          </w:p>
        </w:tc>
      </w:tr>
      <w:tr w:rsidR="002C782A" w:rsidTr="00A41D88">
        <w:tc>
          <w:tcPr>
            <w:tcW w:w="1896" w:type="dxa"/>
          </w:tcPr>
          <w:p w:rsidR="002C782A" w:rsidRDefault="002C782A" w:rsidP="00546C7E">
            <w:pPr>
              <w:spacing w:after="0"/>
              <w:rPr>
                <w:rFonts w:cs="Arial"/>
                <w:kern w:val="16"/>
                <w:sz w:val="20"/>
                <w:szCs w:val="20"/>
              </w:rPr>
            </w:pPr>
            <w:r>
              <w:rPr>
                <w:rFonts w:cs="Arial"/>
                <w:sz w:val="20"/>
                <w:szCs w:val="20"/>
              </w:rPr>
              <w:t>James M Goodrich</w:t>
            </w:r>
          </w:p>
          <w:p w:rsidR="002C782A" w:rsidRDefault="002C782A" w:rsidP="00546C7E">
            <w:pPr>
              <w:spacing w:after="0"/>
              <w:rPr>
                <w:rFonts w:cs="Arial"/>
                <w:sz w:val="20"/>
                <w:szCs w:val="20"/>
              </w:rPr>
            </w:pPr>
            <w:r>
              <w:rPr>
                <w:rFonts w:cs="Arial"/>
                <w:sz w:val="20"/>
                <w:szCs w:val="20"/>
              </w:rPr>
              <w:t xml:space="preserve">Conducted in Argentina (9), Australia (10), Belgium (4), Canada (17), </w:t>
            </w:r>
            <w:r w:rsidR="00ED546C">
              <w:rPr>
                <w:rFonts w:cs="Arial"/>
                <w:sz w:val="20"/>
                <w:szCs w:val="20"/>
              </w:rPr>
              <w:br/>
            </w:r>
            <w:r>
              <w:rPr>
                <w:rFonts w:cs="Arial"/>
                <w:sz w:val="20"/>
                <w:szCs w:val="20"/>
              </w:rPr>
              <w:t xml:space="preserve">Italy (8), </w:t>
            </w:r>
            <w:r w:rsidR="00ED546C">
              <w:rPr>
                <w:rFonts w:cs="Arial"/>
                <w:sz w:val="20"/>
                <w:szCs w:val="20"/>
              </w:rPr>
              <w:br/>
            </w:r>
            <w:r>
              <w:rPr>
                <w:rFonts w:cs="Arial"/>
                <w:sz w:val="20"/>
                <w:szCs w:val="20"/>
              </w:rPr>
              <w:t xml:space="preserve">Mexico (4), Netherlands (1), Poland (7), </w:t>
            </w:r>
            <w:r w:rsidR="00ED546C">
              <w:rPr>
                <w:rFonts w:cs="Arial"/>
                <w:sz w:val="20"/>
                <w:szCs w:val="20"/>
              </w:rPr>
              <w:br/>
            </w:r>
            <w:r>
              <w:rPr>
                <w:rFonts w:cs="Arial"/>
                <w:sz w:val="20"/>
                <w:szCs w:val="20"/>
              </w:rPr>
              <w:t xml:space="preserve">South Africa (13), Switzerland (7), </w:t>
            </w:r>
            <w:r w:rsidR="00ED546C">
              <w:rPr>
                <w:rFonts w:cs="Arial"/>
                <w:sz w:val="20"/>
                <w:szCs w:val="20"/>
              </w:rPr>
              <w:br/>
            </w:r>
            <w:r>
              <w:rPr>
                <w:rFonts w:cs="Arial"/>
                <w:sz w:val="20"/>
                <w:szCs w:val="20"/>
              </w:rPr>
              <w:t xml:space="preserve">UK (7), </w:t>
            </w:r>
            <w:r w:rsidR="00ED546C">
              <w:rPr>
                <w:rFonts w:cs="Arial"/>
                <w:sz w:val="20"/>
                <w:szCs w:val="20"/>
              </w:rPr>
              <w:br/>
            </w:r>
            <w:r w:rsidR="008D3CBC">
              <w:rPr>
                <w:rFonts w:cs="Arial"/>
                <w:sz w:val="20"/>
                <w:szCs w:val="20"/>
              </w:rPr>
              <w:t>US including Puerto Rico (40)</w:t>
            </w:r>
          </w:p>
          <w:p w:rsidR="002C782A" w:rsidRDefault="002C782A" w:rsidP="00546C7E">
            <w:pPr>
              <w:spacing w:after="0"/>
              <w:rPr>
                <w:rFonts w:cs="Arial"/>
                <w:sz w:val="20"/>
                <w:szCs w:val="20"/>
              </w:rPr>
            </w:pPr>
            <w:r>
              <w:rPr>
                <w:rFonts w:cs="Arial"/>
                <w:sz w:val="20"/>
                <w:szCs w:val="20"/>
              </w:rPr>
              <w:t xml:space="preserve">November 2004 </w:t>
            </w:r>
            <w:r w:rsidR="00B17D46">
              <w:rPr>
                <w:rFonts w:cs="Arial"/>
                <w:sz w:val="20"/>
                <w:szCs w:val="20"/>
              </w:rPr>
              <w:t>to</w:t>
            </w:r>
            <w:r w:rsidR="008D3CBC">
              <w:rPr>
                <w:rFonts w:cs="Arial"/>
                <w:sz w:val="20"/>
                <w:szCs w:val="20"/>
              </w:rPr>
              <w:t xml:space="preserve"> March 2008.</w:t>
            </w:r>
          </w:p>
          <w:p w:rsidR="002C782A"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rPr>
                <w:rFonts w:cs="Arial"/>
                <w:kern w:val="16"/>
                <w:sz w:val="20"/>
                <w:szCs w:val="20"/>
              </w:rPr>
            </w:pPr>
            <w:r>
              <w:rPr>
                <w:rFonts w:cs="Arial"/>
                <w:sz w:val="20"/>
                <w:szCs w:val="20"/>
              </w:rPr>
              <w:t>Maraviroc QD arm discontinued January 2006</w:t>
            </w:r>
          </w:p>
        </w:tc>
        <w:tc>
          <w:tcPr>
            <w:tcW w:w="4166" w:type="dxa"/>
            <w:hideMark/>
          </w:tcPr>
          <w:p w:rsidR="002C782A" w:rsidRDefault="002C782A" w:rsidP="00ED546C">
            <w:pPr>
              <w:spacing w:after="0"/>
              <w:rPr>
                <w:rFonts w:cs="Arial"/>
                <w:kern w:val="16"/>
                <w:sz w:val="20"/>
                <w:szCs w:val="20"/>
              </w:rPr>
            </w:pPr>
            <w:r>
              <w:rPr>
                <w:rFonts w:cs="Arial"/>
                <w:sz w:val="20"/>
                <w:szCs w:val="20"/>
              </w:rPr>
              <w:t>Phase IIb/III, 96 week, multinational, multi-centre, double blind, randomised (1:1:1) study. Primary objective: to assess non-inferiority of response at Week 48 in terms of plasma VL &lt; 400 copies/mL and &lt; 50 copies/mL for maraviroc compared to efavirenz each in combination with zidovudine/lamivudine in antiretroviral-naïve, CCR5-tropic HIV-1 infected patients. Similar assessments at Week 24 and Week 96 were secondary objectives. Non-inferiority was shown if the lower bound (LB) of the one sided 97.5% CI for the difference in percentage with specified response was above -10%.</w:t>
            </w:r>
            <w:r w:rsidR="00ED546C">
              <w:rPr>
                <w:rFonts w:cs="Arial"/>
                <w:sz w:val="20"/>
                <w:szCs w:val="20"/>
              </w:rPr>
              <w:br/>
            </w:r>
            <w:r>
              <w:rPr>
                <w:rFonts w:cs="Arial"/>
                <w:sz w:val="20"/>
                <w:szCs w:val="20"/>
              </w:rPr>
              <w:t>Treatments were: Maraviroc 300 mg QD (discontinued early for lack of efficacy), maraviroc 300 mg BID, and efavirenz 600 mg QD, each with zidovudine 300 mg BID and lamivudine 1</w:t>
            </w:r>
            <w:r w:rsidR="008D3CBC">
              <w:rPr>
                <w:rFonts w:cs="Arial"/>
                <w:sz w:val="20"/>
                <w:szCs w:val="20"/>
              </w:rPr>
              <w:t>50 mg BID.</w:t>
            </w:r>
            <w:r w:rsidR="00ED546C">
              <w:rPr>
                <w:rFonts w:cs="Arial"/>
                <w:sz w:val="20"/>
                <w:szCs w:val="20"/>
              </w:rPr>
              <w:br/>
            </w:r>
            <w:r>
              <w:rPr>
                <w:rFonts w:cs="Arial"/>
                <w:sz w:val="20"/>
                <w:szCs w:val="20"/>
              </w:rPr>
              <w:t>Groups were stratified by screening VL (&lt;100,000 or ≥100,000 copies/mL) and by geographic location (Northern versus Southern Hemisphere). Primary analysis at 48 Weeks was adjusted for randomisation strata.</w:t>
            </w:r>
          </w:p>
        </w:tc>
        <w:tc>
          <w:tcPr>
            <w:tcW w:w="2268" w:type="dxa"/>
            <w:hideMark/>
          </w:tcPr>
          <w:p w:rsidR="002C782A" w:rsidRDefault="002C782A" w:rsidP="00546C7E">
            <w:pPr>
              <w:spacing w:after="0"/>
              <w:rPr>
                <w:rFonts w:cs="Arial"/>
                <w:sz w:val="20"/>
                <w:szCs w:val="20"/>
              </w:rPr>
            </w:pPr>
            <w:r>
              <w:rPr>
                <w:rFonts w:cs="Arial"/>
                <w:sz w:val="20"/>
                <w:szCs w:val="20"/>
              </w:rPr>
              <w:t xml:space="preserve">Treatment </w:t>
            </w:r>
            <w:r w:rsidRPr="0043166D">
              <w:rPr>
                <w:rFonts w:cs="Arial"/>
                <w:sz w:val="20"/>
                <w:szCs w:val="20"/>
              </w:rPr>
              <w:t>naïve</w:t>
            </w:r>
            <w:r>
              <w:rPr>
                <w:rFonts w:cs="Arial"/>
                <w:sz w:val="20"/>
                <w:szCs w:val="20"/>
              </w:rPr>
              <w:t xml:space="preserve"> participants ≥16 years of age, infected with CCR5-tropic HIV</w:t>
            </w:r>
            <w:r>
              <w:rPr>
                <w:rFonts w:cs="Arial"/>
                <w:sz w:val="20"/>
                <w:szCs w:val="20"/>
              </w:rPr>
              <w:noBreakHyphen/>
              <w:t>1 with VL ≥ 2000 copies/mL.</w:t>
            </w:r>
          </w:p>
          <w:p w:rsidR="002C782A" w:rsidRDefault="002C782A" w:rsidP="00546C7E">
            <w:pPr>
              <w:spacing w:after="0"/>
              <w:rPr>
                <w:rFonts w:cs="Arial"/>
                <w:sz w:val="20"/>
                <w:szCs w:val="20"/>
              </w:rPr>
            </w:pPr>
            <w:r>
              <w:rPr>
                <w:rFonts w:cs="Arial"/>
                <w:kern w:val="16"/>
                <w:sz w:val="20"/>
                <w:szCs w:val="20"/>
              </w:rPr>
              <w:t>Patients:</w:t>
            </w:r>
            <w:r w:rsidR="00ED546C">
              <w:rPr>
                <w:rFonts w:cs="Arial"/>
                <w:kern w:val="16"/>
                <w:sz w:val="20"/>
                <w:szCs w:val="20"/>
              </w:rPr>
              <w:br/>
            </w:r>
            <w:r>
              <w:rPr>
                <w:rFonts w:cs="Arial"/>
                <w:sz w:val="20"/>
                <w:szCs w:val="20"/>
              </w:rPr>
              <w:t>Screened: 1730, Randomised: 740</w:t>
            </w:r>
          </w:p>
          <w:p w:rsidR="002C782A" w:rsidRDefault="002C782A" w:rsidP="00546C7E">
            <w:pPr>
              <w:spacing w:after="0"/>
              <w:rPr>
                <w:rFonts w:cs="Arial"/>
                <w:sz w:val="20"/>
                <w:szCs w:val="20"/>
              </w:rPr>
            </w:pPr>
            <w:r>
              <w:rPr>
                <w:rFonts w:cs="Arial"/>
                <w:sz w:val="20"/>
                <w:szCs w:val="20"/>
              </w:rPr>
              <w:t>Maraviroc BID: 360</w:t>
            </w:r>
            <w:r w:rsidR="00ED546C">
              <w:rPr>
                <w:rFonts w:cs="Arial"/>
                <w:sz w:val="20"/>
                <w:szCs w:val="20"/>
              </w:rPr>
              <w:br/>
            </w:r>
            <w:r>
              <w:rPr>
                <w:rFonts w:cs="Arial"/>
                <w:sz w:val="20"/>
                <w:szCs w:val="20"/>
              </w:rPr>
              <w:t>Efavirenz QD: 361</w:t>
            </w:r>
          </w:p>
          <w:p w:rsidR="002C782A" w:rsidRDefault="002C782A" w:rsidP="00546C7E">
            <w:pPr>
              <w:spacing w:after="0"/>
              <w:rPr>
                <w:rFonts w:cs="Arial"/>
                <w:sz w:val="20"/>
                <w:szCs w:val="20"/>
              </w:rPr>
            </w:pPr>
            <w:r>
              <w:rPr>
                <w:rFonts w:cs="Arial"/>
                <w:sz w:val="20"/>
                <w:szCs w:val="20"/>
              </w:rPr>
              <w:t>Mean age: approx 37 years, range 18–77 years</w:t>
            </w:r>
          </w:p>
          <w:p w:rsidR="002C782A" w:rsidRDefault="002C782A" w:rsidP="00ED54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rPr>
                <w:rFonts w:cs="Arial"/>
                <w:kern w:val="16"/>
                <w:sz w:val="20"/>
                <w:szCs w:val="20"/>
              </w:rPr>
            </w:pPr>
            <w:r>
              <w:rPr>
                <w:rFonts w:cs="Arial"/>
                <w:sz w:val="20"/>
                <w:szCs w:val="20"/>
              </w:rPr>
              <w:t xml:space="preserve">White: approx. 55%, Black: 35%, </w:t>
            </w:r>
            <w:r w:rsidR="00B17D46">
              <w:rPr>
                <w:rFonts w:cs="Arial"/>
                <w:sz w:val="20"/>
                <w:szCs w:val="20"/>
              </w:rPr>
              <w:br/>
            </w:r>
            <w:r>
              <w:rPr>
                <w:rFonts w:cs="Arial"/>
                <w:sz w:val="20"/>
                <w:szCs w:val="20"/>
              </w:rPr>
              <w:t>Hispanic: approx. 20%</w:t>
            </w:r>
          </w:p>
        </w:tc>
        <w:tc>
          <w:tcPr>
            <w:tcW w:w="2410" w:type="dxa"/>
            <w:hideMark/>
          </w:tcPr>
          <w:p w:rsidR="002C782A" w:rsidRDefault="002C782A" w:rsidP="00ED546C">
            <w:pPr>
              <w:spacing w:after="0"/>
              <w:rPr>
                <w:rFonts w:cs="Arial"/>
                <w:kern w:val="16"/>
                <w:sz w:val="20"/>
                <w:szCs w:val="20"/>
              </w:rPr>
            </w:pPr>
            <w:r>
              <w:rPr>
                <w:rFonts w:cs="Arial"/>
                <w:sz w:val="20"/>
                <w:szCs w:val="20"/>
              </w:rPr>
              <w:t xml:space="preserve">Non-inferiority shown for VL &lt; 400 copies/mL for the FAS. LB of one sided 97.5% CI: </w:t>
            </w:r>
            <w:r>
              <w:rPr>
                <w:rFonts w:cs="Arial"/>
                <w:sz w:val="20"/>
                <w:szCs w:val="20"/>
              </w:rPr>
              <w:noBreakHyphen/>
              <w:t>9.5%.</w:t>
            </w:r>
            <w:r w:rsidR="00ED546C">
              <w:rPr>
                <w:rFonts w:cs="Arial"/>
                <w:sz w:val="20"/>
                <w:szCs w:val="20"/>
              </w:rPr>
              <w:br/>
            </w:r>
            <w:r>
              <w:rPr>
                <w:rFonts w:cs="Arial"/>
                <w:sz w:val="20"/>
                <w:szCs w:val="20"/>
              </w:rPr>
              <w:t xml:space="preserve">Non-inferiority not shown for VL &lt; 50 copies/mL for the FAS as the LB of the CI was </w:t>
            </w:r>
            <w:r>
              <w:rPr>
                <w:rFonts w:cs="Arial"/>
                <w:sz w:val="20"/>
                <w:szCs w:val="20"/>
              </w:rPr>
              <w:noBreakHyphen/>
              <w:t>10.9%.  Non-inferiority was not shown for PP sets for VL &lt; 400 copies/mL or &lt; 50 copies/mL The Week 96 secondary analysis results failed to show non-inferiority for both VLs and both analysis populations.</w:t>
            </w:r>
            <w:r w:rsidR="00ED546C">
              <w:rPr>
                <w:rFonts w:cs="Arial"/>
                <w:sz w:val="20"/>
                <w:szCs w:val="20"/>
              </w:rPr>
              <w:t xml:space="preserve"> </w:t>
            </w:r>
            <w:r>
              <w:rPr>
                <w:rFonts w:cs="Arial"/>
                <w:sz w:val="20"/>
                <w:szCs w:val="20"/>
              </w:rPr>
              <w:t>Results based on enhanced sensitivity Trofile assay</w:t>
            </w:r>
            <w:r>
              <w:rPr>
                <w:rStyle w:val="FootnoteReference"/>
                <w:rFonts w:cs="Arial"/>
                <w:sz w:val="20"/>
                <w:szCs w:val="20"/>
              </w:rPr>
              <w:footnoteReference w:id="3"/>
            </w:r>
            <w:r>
              <w:rPr>
                <w:rFonts w:cs="Arial"/>
                <w:sz w:val="20"/>
                <w:szCs w:val="20"/>
              </w:rPr>
              <w:t xml:space="preserve"> were included.</w:t>
            </w:r>
          </w:p>
        </w:tc>
        <w:tc>
          <w:tcPr>
            <w:tcW w:w="3543" w:type="dxa"/>
            <w:hideMark/>
          </w:tcPr>
          <w:p w:rsidR="002C782A" w:rsidRDefault="002C782A" w:rsidP="00B17D46">
            <w:pPr>
              <w:spacing w:after="0"/>
              <w:rPr>
                <w:rFonts w:cs="Arial"/>
                <w:kern w:val="16"/>
                <w:sz w:val="20"/>
                <w:szCs w:val="20"/>
              </w:rPr>
            </w:pPr>
            <w:r>
              <w:rPr>
                <w:rFonts w:cs="Arial"/>
                <w:sz w:val="20"/>
                <w:szCs w:val="20"/>
              </w:rPr>
              <w:t>Safety to 96 weeks: Approximately 94% of both groups reported adverse events (AE).</w:t>
            </w:r>
            <w:r w:rsidR="00B17D46">
              <w:rPr>
                <w:rFonts w:cs="Arial"/>
                <w:sz w:val="20"/>
                <w:szCs w:val="20"/>
              </w:rPr>
              <w:br/>
            </w:r>
            <w:r>
              <w:rPr>
                <w:rFonts w:cs="Arial"/>
                <w:sz w:val="20"/>
                <w:szCs w:val="20"/>
              </w:rPr>
              <w:t>Treatment related AEs: 65% for maraviroc, 79% for efavirenz.</w:t>
            </w:r>
            <w:r w:rsidR="00ED546C">
              <w:rPr>
                <w:rFonts w:cs="Arial"/>
                <w:sz w:val="20"/>
                <w:szCs w:val="20"/>
              </w:rPr>
              <w:t xml:space="preserve"> </w:t>
            </w:r>
            <w:r w:rsidR="00B17D46">
              <w:rPr>
                <w:rFonts w:cs="Arial"/>
                <w:sz w:val="20"/>
                <w:szCs w:val="20"/>
              </w:rPr>
              <w:br/>
            </w:r>
            <w:r>
              <w:rPr>
                <w:rFonts w:cs="Arial"/>
                <w:sz w:val="20"/>
                <w:szCs w:val="20"/>
              </w:rPr>
              <w:t>Deaths on study drug or within 28 days of discontinuation: maraviroc 2; efavirenz 3.</w:t>
            </w:r>
            <w:r w:rsidR="00B17D46">
              <w:rPr>
                <w:rFonts w:cs="Arial"/>
                <w:sz w:val="20"/>
                <w:szCs w:val="20"/>
              </w:rPr>
              <w:t xml:space="preserve"> </w:t>
            </w:r>
            <w:r>
              <w:rPr>
                <w:rFonts w:cs="Arial"/>
                <w:sz w:val="20"/>
                <w:szCs w:val="20"/>
              </w:rPr>
              <w:t xml:space="preserve">Two deaths were considered related to the study drug, each in the maraviroc group: one case of nasopharyngeal cancer, reported on Day 502 and one case of diffuse large B-cell lymphoma, reported Day 268. </w:t>
            </w:r>
            <w:r w:rsidR="00ED546C">
              <w:rPr>
                <w:rFonts w:cs="Arial"/>
                <w:sz w:val="20"/>
                <w:szCs w:val="20"/>
              </w:rPr>
              <w:br/>
            </w:r>
            <w:r>
              <w:rPr>
                <w:rFonts w:cs="Arial"/>
                <w:sz w:val="20"/>
                <w:szCs w:val="20"/>
              </w:rPr>
              <w:t>Serious AEs considered treatment related: maraviroc 2.8%; efavirenz 4.2%.</w:t>
            </w:r>
            <w:r w:rsidR="00B17D46">
              <w:rPr>
                <w:rFonts w:cs="Arial"/>
                <w:sz w:val="20"/>
                <w:szCs w:val="20"/>
              </w:rPr>
              <w:t xml:space="preserve"> </w:t>
            </w:r>
            <w:r>
              <w:rPr>
                <w:rFonts w:cs="Arial"/>
                <w:sz w:val="20"/>
                <w:szCs w:val="20"/>
              </w:rPr>
              <w:t>Permanent discontinuation due to treatment related AEs: maraviroc 4.2%; efavirenz 13.0%.</w:t>
            </w:r>
          </w:p>
        </w:tc>
      </w:tr>
    </w:tbl>
    <w:p w:rsidR="002C782A" w:rsidRDefault="002C782A" w:rsidP="002C782A">
      <w:pPr>
        <w:sectPr w:rsidR="002C782A">
          <w:footerReference w:type="default" r:id="rId21"/>
          <w:endnotePr>
            <w:numFmt w:val="decimal"/>
          </w:endnotePr>
          <w:pgSz w:w="16838" w:h="11906" w:orient="landscape"/>
          <w:pgMar w:top="1134" w:right="1134" w:bottom="1134" w:left="1247" w:header="907" w:footer="1021" w:gutter="0"/>
          <w:cols w:space="720"/>
        </w:sectPr>
      </w:pPr>
    </w:p>
    <w:p w:rsidR="002C782A" w:rsidRDefault="002C782A" w:rsidP="00163B89">
      <w:pPr>
        <w:pStyle w:val="TableTitle"/>
      </w:pPr>
      <w:bookmarkStart w:id="35" w:name="_Ref303263360"/>
      <w:bookmarkStart w:id="36" w:name="_Ref303263364"/>
      <w:r>
        <w:lastRenderedPageBreak/>
        <w:t xml:space="preserve">Table </w:t>
      </w:r>
      <w:bookmarkEnd w:id="35"/>
      <w:r>
        <w:t>2 Summary of Study A4001027</w:t>
      </w:r>
      <w:bookmarkStart w:id="37" w:name="Marker"/>
      <w:bookmarkEnd w:id="36"/>
      <w:bookmarkEnd w:id="37"/>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ook w:val="01E0"/>
      </w:tblPr>
      <w:tblGrid>
        <w:gridCol w:w="1951"/>
        <w:gridCol w:w="4111"/>
        <w:gridCol w:w="2268"/>
        <w:gridCol w:w="2410"/>
        <w:gridCol w:w="3543"/>
      </w:tblGrid>
      <w:tr w:rsidR="002C782A" w:rsidRPr="00DD381C" w:rsidTr="0060752B">
        <w:trPr>
          <w:tblHeader/>
        </w:trPr>
        <w:tc>
          <w:tcPr>
            <w:tcW w:w="1951"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DD381C"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DD381C">
              <w:rPr>
                <w:rFonts w:cs="Arial"/>
                <w:b/>
                <w:color w:val="FFFFFF" w:themeColor="background1"/>
                <w:sz w:val="20"/>
                <w:szCs w:val="20"/>
              </w:rPr>
              <w:t>Investigator, Country, Year</w:t>
            </w:r>
          </w:p>
        </w:tc>
        <w:tc>
          <w:tcPr>
            <w:tcW w:w="4111"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DD381C"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DD381C">
              <w:rPr>
                <w:rFonts w:cs="Arial"/>
                <w:b/>
                <w:color w:val="FFFFFF" w:themeColor="background1"/>
                <w:sz w:val="20"/>
                <w:szCs w:val="20"/>
              </w:rPr>
              <w:t>Design/objectives</w:t>
            </w:r>
          </w:p>
        </w:tc>
        <w:tc>
          <w:tcPr>
            <w:tcW w:w="2268"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DD381C"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DD381C">
              <w:rPr>
                <w:rFonts w:cs="Arial"/>
                <w:b/>
                <w:color w:val="FFFFFF" w:themeColor="background1"/>
                <w:sz w:val="20"/>
                <w:szCs w:val="20"/>
              </w:rPr>
              <w:t>Participants</w:t>
            </w:r>
          </w:p>
        </w:tc>
        <w:tc>
          <w:tcPr>
            <w:tcW w:w="2410"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DD381C"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DD381C">
              <w:rPr>
                <w:rFonts w:cs="Arial"/>
                <w:b/>
                <w:color w:val="FFFFFF" w:themeColor="background1"/>
                <w:sz w:val="20"/>
                <w:szCs w:val="20"/>
              </w:rPr>
              <w:t>Efficacy results</w:t>
            </w:r>
          </w:p>
        </w:tc>
        <w:tc>
          <w:tcPr>
            <w:tcW w:w="3543" w:type="dxa"/>
            <w:tcBorders>
              <w:top w:val="single" w:sz="12" w:space="0" w:color="auto"/>
              <w:left w:val="single" w:sz="4" w:space="0" w:color="auto"/>
              <w:bottom w:val="single" w:sz="12" w:space="0" w:color="auto"/>
              <w:right w:val="single" w:sz="12" w:space="0" w:color="auto"/>
            </w:tcBorders>
            <w:shd w:val="clear" w:color="auto" w:fill="0070C0"/>
            <w:hideMark/>
          </w:tcPr>
          <w:p w:rsidR="002C782A" w:rsidRPr="00DD381C"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DD381C">
              <w:rPr>
                <w:rFonts w:cs="Arial"/>
                <w:b/>
                <w:color w:val="FFFFFF" w:themeColor="background1"/>
                <w:sz w:val="20"/>
                <w:szCs w:val="20"/>
              </w:rPr>
              <w:t>Safety results</w:t>
            </w:r>
          </w:p>
        </w:tc>
      </w:tr>
      <w:tr w:rsidR="002C782A" w:rsidRPr="00770C0D" w:rsidTr="00A41D88">
        <w:tc>
          <w:tcPr>
            <w:tcW w:w="1951"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kern w:val="16"/>
                <w:sz w:val="20"/>
                <w:szCs w:val="20"/>
              </w:rPr>
            </w:pPr>
            <w:r w:rsidRPr="00770C0D">
              <w:rPr>
                <w:rFonts w:cs="Arial"/>
                <w:sz w:val="20"/>
                <w:szCs w:val="20"/>
              </w:rPr>
              <w:t>Multiple centres in North America</w:t>
            </w:r>
          </w:p>
          <w:p w:rsidR="002C782A" w:rsidRPr="00770C0D" w:rsidRDefault="002C782A" w:rsidP="00546C7E">
            <w:pPr>
              <w:spacing w:after="0" w:line="240" w:lineRule="auto"/>
              <w:rPr>
                <w:rFonts w:cs="Arial"/>
                <w:sz w:val="20"/>
                <w:szCs w:val="20"/>
              </w:rPr>
            </w:pPr>
            <w:r w:rsidRPr="00770C0D">
              <w:rPr>
                <w:rFonts w:cs="Arial"/>
                <w:sz w:val="20"/>
                <w:szCs w:val="20"/>
              </w:rPr>
              <w:t>Multiple investigators</w:t>
            </w:r>
          </w:p>
          <w:p w:rsidR="002C782A" w:rsidRPr="00770C0D"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kern w:val="16"/>
                <w:sz w:val="20"/>
                <w:szCs w:val="20"/>
              </w:rPr>
            </w:pPr>
            <w:r w:rsidRPr="00770C0D">
              <w:rPr>
                <w:rFonts w:cs="Arial"/>
                <w:sz w:val="20"/>
                <w:szCs w:val="20"/>
              </w:rPr>
              <w:t>November 2004 to April 2007</w:t>
            </w:r>
          </w:p>
        </w:tc>
        <w:tc>
          <w:tcPr>
            <w:tcW w:w="4111" w:type="dxa"/>
            <w:tcBorders>
              <w:top w:val="single" w:sz="12" w:space="0" w:color="auto"/>
              <w:left w:val="single" w:sz="4" w:space="0" w:color="auto"/>
              <w:bottom w:val="single" w:sz="12" w:space="0" w:color="auto"/>
              <w:right w:val="single" w:sz="4" w:space="0" w:color="auto"/>
            </w:tcBorders>
            <w:hideMark/>
          </w:tcPr>
          <w:p w:rsidR="002C782A" w:rsidRPr="00770C0D" w:rsidRDefault="002C782A" w:rsidP="00B17D46">
            <w:pPr>
              <w:spacing w:after="0" w:line="240" w:lineRule="auto"/>
              <w:rPr>
                <w:rFonts w:cs="Arial"/>
                <w:kern w:val="16"/>
                <w:sz w:val="20"/>
                <w:szCs w:val="20"/>
              </w:rPr>
            </w:pPr>
            <w:r w:rsidRPr="00770C0D">
              <w:rPr>
                <w:rFonts w:cs="Arial"/>
                <w:sz w:val="20"/>
                <w:szCs w:val="20"/>
              </w:rPr>
              <w:t xml:space="preserve">A multicentre, double-blind, placebo-controlled trial, randomised 2:2:1 to treatment with maraviroc 300 mg </w:t>
            </w:r>
            <w:r>
              <w:rPr>
                <w:rFonts w:cs="Arial"/>
                <w:sz w:val="20"/>
                <w:szCs w:val="20"/>
              </w:rPr>
              <w:t xml:space="preserve">once daily (QD) </w:t>
            </w:r>
            <w:r w:rsidRPr="00770C0D">
              <w:rPr>
                <w:rFonts w:cs="Arial"/>
                <w:sz w:val="20"/>
                <w:szCs w:val="20"/>
              </w:rPr>
              <w:t xml:space="preserve">or maraviroc 300 mg </w:t>
            </w:r>
            <w:r>
              <w:rPr>
                <w:rFonts w:cs="Arial"/>
                <w:sz w:val="20"/>
                <w:szCs w:val="20"/>
              </w:rPr>
              <w:t xml:space="preserve">twice daily (BID) </w:t>
            </w:r>
            <w:r w:rsidRPr="00770C0D">
              <w:rPr>
                <w:rFonts w:cs="Arial"/>
                <w:sz w:val="20"/>
                <w:szCs w:val="20"/>
              </w:rPr>
              <w:t>in combination with optimised background therapy (OBT) versus matching placebo with OBT, to investigate superiority of maraviroc v</w:t>
            </w:r>
            <w:r>
              <w:rPr>
                <w:rFonts w:cs="Arial"/>
                <w:sz w:val="20"/>
                <w:szCs w:val="20"/>
              </w:rPr>
              <w:t xml:space="preserve">ersus </w:t>
            </w:r>
            <w:r w:rsidR="0060752B">
              <w:rPr>
                <w:rFonts w:cs="Arial"/>
                <w:sz w:val="20"/>
                <w:szCs w:val="20"/>
              </w:rPr>
              <w:t>placebo.</w:t>
            </w:r>
            <w:r w:rsidR="00B17D46">
              <w:rPr>
                <w:rFonts w:cs="Arial"/>
                <w:sz w:val="20"/>
                <w:szCs w:val="20"/>
              </w:rPr>
              <w:br/>
            </w:r>
            <w:r w:rsidRPr="00770C0D">
              <w:rPr>
                <w:rFonts w:cs="Arial"/>
                <w:sz w:val="20"/>
                <w:szCs w:val="20"/>
              </w:rPr>
              <w:t>Primary objective: To assess whether maraviroc added to OBT provides an additional reduction in plasma</w:t>
            </w:r>
            <w:r>
              <w:rPr>
                <w:rFonts w:cs="Arial"/>
                <w:sz w:val="20"/>
                <w:szCs w:val="20"/>
              </w:rPr>
              <w:t xml:space="preserve"> HIV</w:t>
            </w:r>
            <w:r>
              <w:rPr>
                <w:rFonts w:cs="Arial"/>
                <w:sz w:val="20"/>
                <w:szCs w:val="20"/>
              </w:rPr>
              <w:noBreakHyphen/>
              <w:t xml:space="preserve">1 </w:t>
            </w:r>
            <w:r w:rsidRPr="000F0B88">
              <w:rPr>
                <w:rFonts w:cs="Arial"/>
                <w:sz w:val="20"/>
                <w:szCs w:val="20"/>
              </w:rPr>
              <w:t>ribonucleic acid (</w:t>
            </w:r>
            <w:r w:rsidRPr="00770C0D">
              <w:rPr>
                <w:rFonts w:cs="Arial"/>
                <w:sz w:val="20"/>
                <w:szCs w:val="20"/>
              </w:rPr>
              <w:t>RNA</w:t>
            </w:r>
            <w:r>
              <w:rPr>
                <w:rFonts w:cs="Arial"/>
                <w:sz w:val="20"/>
                <w:szCs w:val="20"/>
              </w:rPr>
              <w:t>)</w:t>
            </w:r>
            <w:r w:rsidRPr="00770C0D">
              <w:rPr>
                <w:rFonts w:cs="Arial"/>
                <w:sz w:val="20"/>
                <w:szCs w:val="20"/>
              </w:rPr>
              <w:t xml:space="preserve"> compared to OBT alone, as measured by the difference between each of the two maraviroc regimens versus the placebo regimen in the mean change</w:t>
            </w:r>
            <w:r>
              <w:rPr>
                <w:rFonts w:cs="Arial"/>
                <w:sz w:val="20"/>
                <w:szCs w:val="20"/>
              </w:rPr>
              <w:t>s from baseline in plasma HIV</w:t>
            </w:r>
            <w:r>
              <w:rPr>
                <w:rFonts w:cs="Arial"/>
                <w:sz w:val="20"/>
                <w:szCs w:val="20"/>
              </w:rPr>
              <w:noBreakHyphen/>
              <w:t xml:space="preserve">1 </w:t>
            </w:r>
            <w:r w:rsidRPr="00770C0D">
              <w:rPr>
                <w:rFonts w:cs="Arial"/>
                <w:sz w:val="20"/>
                <w:szCs w:val="20"/>
              </w:rPr>
              <w:t>RNA at Week 48.</w:t>
            </w:r>
            <w:r w:rsidR="00B17D46">
              <w:rPr>
                <w:rFonts w:cs="Arial"/>
                <w:sz w:val="20"/>
                <w:szCs w:val="20"/>
              </w:rPr>
              <w:br/>
            </w:r>
            <w:r w:rsidRPr="00770C0D">
              <w:rPr>
                <w:rFonts w:cs="Arial"/>
                <w:sz w:val="20"/>
                <w:szCs w:val="20"/>
              </w:rPr>
              <w:t xml:space="preserve">If the 2-sided 97.5% confidence interval </w:t>
            </w:r>
            <w:r>
              <w:rPr>
                <w:rFonts w:cs="Arial"/>
                <w:sz w:val="20"/>
                <w:szCs w:val="20"/>
              </w:rPr>
              <w:t xml:space="preserve">(CI) </w:t>
            </w:r>
            <w:r w:rsidRPr="00770C0D">
              <w:rPr>
                <w:rFonts w:cs="Arial"/>
                <w:sz w:val="20"/>
                <w:szCs w:val="20"/>
              </w:rPr>
              <w:t>was completely</w:t>
            </w:r>
            <w:r>
              <w:rPr>
                <w:rFonts w:cs="Arial"/>
                <w:sz w:val="20"/>
                <w:szCs w:val="20"/>
              </w:rPr>
              <w:t xml:space="preserve"> to the left side and excluded zero</w:t>
            </w:r>
            <w:r w:rsidRPr="00770C0D">
              <w:rPr>
                <w:rFonts w:cs="Arial"/>
                <w:sz w:val="20"/>
                <w:szCs w:val="20"/>
              </w:rPr>
              <w:t>, the superiority of maraviroc over placebo was concluded.</w:t>
            </w:r>
            <w:r w:rsidR="00B17D46">
              <w:rPr>
                <w:rFonts w:cs="Arial"/>
                <w:sz w:val="20"/>
                <w:szCs w:val="20"/>
              </w:rPr>
              <w:br/>
            </w:r>
            <w:r w:rsidRPr="00770C0D">
              <w:rPr>
                <w:rFonts w:cs="Arial"/>
                <w:sz w:val="20"/>
                <w:szCs w:val="20"/>
              </w:rPr>
              <w:t>NB</w:t>
            </w:r>
            <w:r>
              <w:rPr>
                <w:rFonts w:cs="Arial"/>
                <w:sz w:val="20"/>
                <w:szCs w:val="20"/>
              </w:rPr>
              <w:t>:</w:t>
            </w:r>
            <w:r w:rsidRPr="00770C0D">
              <w:rPr>
                <w:rFonts w:cs="Arial"/>
                <w:sz w:val="20"/>
                <w:szCs w:val="20"/>
              </w:rPr>
              <w:t xml:space="preserve"> in case of concomitant protease inhib</w:t>
            </w:r>
            <w:r>
              <w:rPr>
                <w:rFonts w:cs="Arial"/>
                <w:sz w:val="20"/>
                <w:szCs w:val="20"/>
              </w:rPr>
              <w:t>itor use except tipranavir, and/</w:t>
            </w:r>
            <w:r w:rsidRPr="00770C0D">
              <w:rPr>
                <w:rFonts w:cs="Arial"/>
                <w:sz w:val="20"/>
                <w:szCs w:val="20"/>
              </w:rPr>
              <w:t>or delavirdine</w:t>
            </w:r>
            <w:r>
              <w:rPr>
                <w:rFonts w:cs="Arial"/>
                <w:sz w:val="20"/>
                <w:szCs w:val="20"/>
              </w:rPr>
              <w:t xml:space="preserve"> use</w:t>
            </w:r>
            <w:r w:rsidRPr="00770C0D">
              <w:rPr>
                <w:rFonts w:cs="Arial"/>
                <w:sz w:val="20"/>
                <w:szCs w:val="20"/>
              </w:rPr>
              <w:t>, the mara</w:t>
            </w:r>
            <w:r w:rsidR="00B17D46">
              <w:rPr>
                <w:rFonts w:cs="Arial"/>
                <w:sz w:val="20"/>
                <w:szCs w:val="20"/>
              </w:rPr>
              <w:t>viroc dose was reduced from 300 </w:t>
            </w:r>
            <w:r w:rsidRPr="00770C0D">
              <w:rPr>
                <w:rFonts w:cs="Arial"/>
                <w:sz w:val="20"/>
                <w:szCs w:val="20"/>
              </w:rPr>
              <w:t>mg to 150 mg.</w:t>
            </w:r>
          </w:p>
        </w:tc>
        <w:tc>
          <w:tcPr>
            <w:tcW w:w="2268"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kern w:val="16"/>
                <w:sz w:val="20"/>
                <w:szCs w:val="20"/>
              </w:rPr>
            </w:pPr>
            <w:r>
              <w:rPr>
                <w:rFonts w:cs="Arial"/>
                <w:sz w:val="20"/>
                <w:szCs w:val="20"/>
              </w:rPr>
              <w:t xml:space="preserve">CCR5 tropic HIV-1 </w:t>
            </w:r>
            <w:r w:rsidRPr="00770C0D">
              <w:rPr>
                <w:rFonts w:cs="Arial"/>
                <w:sz w:val="20"/>
                <w:szCs w:val="20"/>
              </w:rPr>
              <w:t>infected patients ≥ 16 years of age with ≥ 6 months of prior treatment with at least 1 agent from 3 antiretroviral drug classes or documented multi-class resis</w:t>
            </w:r>
            <w:r>
              <w:rPr>
                <w:rFonts w:cs="Arial"/>
                <w:sz w:val="20"/>
                <w:szCs w:val="20"/>
              </w:rPr>
              <w:t>tance, with plasma VL ≥ </w:t>
            </w:r>
            <w:r w:rsidR="00B17D46">
              <w:rPr>
                <w:rFonts w:cs="Arial"/>
                <w:sz w:val="20"/>
                <w:szCs w:val="20"/>
              </w:rPr>
              <w:t>5,000 </w:t>
            </w:r>
            <w:r w:rsidRPr="00770C0D">
              <w:rPr>
                <w:rFonts w:cs="Arial"/>
                <w:sz w:val="20"/>
                <w:szCs w:val="20"/>
              </w:rPr>
              <w:t>copies/mL</w:t>
            </w:r>
          </w:p>
          <w:p w:rsidR="002C782A" w:rsidRPr="00770C0D" w:rsidRDefault="002C782A" w:rsidP="00546C7E">
            <w:pPr>
              <w:spacing w:after="0" w:line="240" w:lineRule="auto"/>
              <w:rPr>
                <w:rFonts w:cs="Arial"/>
                <w:sz w:val="20"/>
                <w:szCs w:val="20"/>
              </w:rPr>
            </w:pPr>
            <w:r w:rsidRPr="00770C0D">
              <w:rPr>
                <w:rFonts w:cs="Arial"/>
                <w:sz w:val="20"/>
                <w:szCs w:val="20"/>
              </w:rPr>
              <w:t>Screened</w:t>
            </w:r>
            <w:r>
              <w:rPr>
                <w:rFonts w:cs="Arial"/>
                <w:sz w:val="20"/>
                <w:szCs w:val="20"/>
              </w:rPr>
              <w:t>:</w:t>
            </w:r>
            <w:r w:rsidRPr="00770C0D">
              <w:rPr>
                <w:rFonts w:cs="Arial"/>
                <w:sz w:val="20"/>
                <w:szCs w:val="20"/>
              </w:rPr>
              <w:t xml:space="preserve"> 1816</w:t>
            </w:r>
            <w:r w:rsidR="00B17D46">
              <w:rPr>
                <w:rFonts w:cs="Arial"/>
                <w:sz w:val="20"/>
                <w:szCs w:val="20"/>
              </w:rPr>
              <w:br/>
            </w:r>
            <w:r w:rsidRPr="00770C0D">
              <w:rPr>
                <w:rFonts w:cs="Arial"/>
                <w:sz w:val="20"/>
                <w:szCs w:val="20"/>
              </w:rPr>
              <w:t>Randomised</w:t>
            </w:r>
            <w:r>
              <w:rPr>
                <w:rFonts w:cs="Arial"/>
                <w:sz w:val="20"/>
                <w:szCs w:val="20"/>
              </w:rPr>
              <w:t>:</w:t>
            </w:r>
            <w:r w:rsidRPr="00770C0D">
              <w:rPr>
                <w:rFonts w:cs="Arial"/>
                <w:sz w:val="20"/>
                <w:szCs w:val="20"/>
              </w:rPr>
              <w:t xml:space="preserve"> 601</w:t>
            </w:r>
            <w:r w:rsidR="00B17D46">
              <w:rPr>
                <w:rFonts w:cs="Arial"/>
                <w:sz w:val="20"/>
                <w:szCs w:val="20"/>
              </w:rPr>
              <w:br/>
            </w:r>
            <w:r w:rsidRPr="00770C0D">
              <w:rPr>
                <w:rFonts w:cs="Arial"/>
                <w:sz w:val="20"/>
                <w:szCs w:val="20"/>
              </w:rPr>
              <w:t>Treated</w:t>
            </w:r>
            <w:r>
              <w:rPr>
                <w:rFonts w:cs="Arial"/>
                <w:sz w:val="20"/>
                <w:szCs w:val="20"/>
              </w:rPr>
              <w:t>:</w:t>
            </w:r>
            <w:r w:rsidR="0060752B">
              <w:rPr>
                <w:rFonts w:cs="Arial"/>
                <w:sz w:val="20"/>
                <w:szCs w:val="20"/>
              </w:rPr>
              <w:t xml:space="preserve"> 585:</w:t>
            </w:r>
          </w:p>
          <w:p w:rsidR="002C782A" w:rsidRPr="00770C0D" w:rsidRDefault="002C782A" w:rsidP="00546C7E">
            <w:pPr>
              <w:spacing w:after="0" w:line="240" w:lineRule="auto"/>
              <w:rPr>
                <w:rFonts w:cs="Arial"/>
                <w:sz w:val="20"/>
                <w:szCs w:val="20"/>
              </w:rPr>
            </w:pPr>
            <w:r w:rsidRPr="00770C0D">
              <w:rPr>
                <w:rFonts w:cs="Arial"/>
                <w:sz w:val="20"/>
                <w:szCs w:val="20"/>
              </w:rPr>
              <w:t>Maraviroc QD</w:t>
            </w:r>
            <w:r>
              <w:rPr>
                <w:rFonts w:cs="Arial"/>
                <w:sz w:val="20"/>
                <w:szCs w:val="20"/>
              </w:rPr>
              <w:t>:</w:t>
            </w:r>
            <w:r w:rsidRPr="00770C0D">
              <w:rPr>
                <w:rFonts w:cs="Arial"/>
                <w:sz w:val="20"/>
                <w:szCs w:val="20"/>
              </w:rPr>
              <w:t xml:space="preserve"> 232; Maraviroc BID</w:t>
            </w:r>
            <w:r>
              <w:rPr>
                <w:rFonts w:cs="Arial"/>
                <w:sz w:val="20"/>
                <w:szCs w:val="20"/>
              </w:rPr>
              <w:t>:</w:t>
            </w:r>
            <w:r w:rsidRPr="00770C0D">
              <w:rPr>
                <w:rFonts w:cs="Arial"/>
                <w:sz w:val="20"/>
                <w:szCs w:val="20"/>
              </w:rPr>
              <w:t xml:space="preserve"> 235; Placebo</w:t>
            </w:r>
            <w:r>
              <w:rPr>
                <w:rFonts w:cs="Arial"/>
                <w:sz w:val="20"/>
                <w:szCs w:val="20"/>
              </w:rPr>
              <w:t>:</w:t>
            </w:r>
            <w:r w:rsidRPr="00770C0D">
              <w:rPr>
                <w:rFonts w:cs="Arial"/>
                <w:sz w:val="20"/>
                <w:szCs w:val="20"/>
              </w:rPr>
              <w:t xml:space="preserve"> 118</w:t>
            </w:r>
          </w:p>
          <w:p w:rsidR="002C782A" w:rsidRPr="00770C0D"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kern w:val="16"/>
                <w:sz w:val="20"/>
                <w:szCs w:val="20"/>
              </w:rPr>
            </w:pPr>
            <w:r w:rsidRPr="00770C0D">
              <w:rPr>
                <w:rFonts w:cs="Arial"/>
                <w:sz w:val="20"/>
                <w:szCs w:val="20"/>
              </w:rPr>
              <w:t>Males</w:t>
            </w:r>
            <w:r>
              <w:rPr>
                <w:rFonts w:cs="Arial"/>
                <w:sz w:val="20"/>
                <w:szCs w:val="20"/>
              </w:rPr>
              <w:t>:</w:t>
            </w:r>
            <w:r w:rsidRPr="00770C0D">
              <w:rPr>
                <w:rFonts w:cs="Arial"/>
                <w:sz w:val="20"/>
                <w:szCs w:val="20"/>
              </w:rPr>
              <w:t xml:space="preserve"> approx. 90%</w:t>
            </w:r>
            <w:r>
              <w:rPr>
                <w:rFonts w:cs="Arial"/>
                <w:sz w:val="20"/>
                <w:szCs w:val="20"/>
              </w:rPr>
              <w:t>,</w:t>
            </w:r>
            <w:r w:rsidRPr="00770C0D">
              <w:rPr>
                <w:rFonts w:cs="Arial"/>
                <w:sz w:val="20"/>
                <w:szCs w:val="20"/>
              </w:rPr>
              <w:t xml:space="preserve"> the majority between 35 and 54 years of age and more than 80% were </w:t>
            </w:r>
            <w:r>
              <w:rPr>
                <w:rFonts w:cs="Arial"/>
                <w:sz w:val="20"/>
                <w:szCs w:val="20"/>
              </w:rPr>
              <w:t>W</w:t>
            </w:r>
            <w:r w:rsidRPr="00770C0D">
              <w:rPr>
                <w:rFonts w:cs="Arial"/>
                <w:sz w:val="20"/>
                <w:szCs w:val="20"/>
              </w:rPr>
              <w:t>hite.</w:t>
            </w:r>
          </w:p>
        </w:tc>
        <w:tc>
          <w:tcPr>
            <w:tcW w:w="2410"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sz w:val="20"/>
                <w:szCs w:val="20"/>
              </w:rPr>
            </w:pPr>
            <w:r w:rsidRPr="00770C0D">
              <w:rPr>
                <w:rFonts w:cs="Arial"/>
                <w:sz w:val="20"/>
                <w:szCs w:val="20"/>
              </w:rPr>
              <w:t>Superiority was shown in the pre-defined terms.</w:t>
            </w:r>
            <w:r w:rsidR="00B17D46">
              <w:rPr>
                <w:rFonts w:cs="Arial"/>
                <w:sz w:val="20"/>
                <w:szCs w:val="20"/>
              </w:rPr>
              <w:br/>
            </w:r>
            <w:r w:rsidRPr="00770C0D">
              <w:rPr>
                <w:rFonts w:cs="Arial"/>
                <w:sz w:val="20"/>
                <w:szCs w:val="20"/>
              </w:rPr>
              <w:t xml:space="preserve">Adjusted mean changes from baseline in </w:t>
            </w:r>
            <w:r>
              <w:rPr>
                <w:rFonts w:cs="Arial"/>
                <w:sz w:val="20"/>
                <w:szCs w:val="20"/>
              </w:rPr>
              <w:t>VL</w:t>
            </w:r>
            <w:r w:rsidRPr="00770C0D">
              <w:rPr>
                <w:rFonts w:cs="Arial"/>
                <w:sz w:val="20"/>
                <w:szCs w:val="20"/>
              </w:rPr>
              <w:t xml:space="preserve"> log</w:t>
            </w:r>
            <w:r w:rsidRPr="00770C0D">
              <w:rPr>
                <w:rFonts w:cs="Arial"/>
                <w:sz w:val="20"/>
                <w:szCs w:val="20"/>
                <w:vertAlign w:val="subscript"/>
              </w:rPr>
              <w:t>10</w:t>
            </w:r>
            <w:r w:rsidRPr="00770C0D">
              <w:rPr>
                <w:rFonts w:cs="Arial"/>
                <w:sz w:val="20"/>
                <w:szCs w:val="20"/>
              </w:rPr>
              <w:t xml:space="preserve"> copies/mL were</w:t>
            </w:r>
            <w:proofErr w:type="gramStart"/>
            <w:r w:rsidRPr="00770C0D">
              <w:rPr>
                <w:rFonts w:cs="Arial"/>
                <w:sz w:val="20"/>
                <w:szCs w:val="20"/>
              </w:rPr>
              <w:t>:</w:t>
            </w:r>
            <w:proofErr w:type="gramEnd"/>
            <w:r w:rsidR="00B17D46">
              <w:rPr>
                <w:rFonts w:cs="Arial"/>
                <w:sz w:val="20"/>
                <w:szCs w:val="20"/>
              </w:rPr>
              <w:br/>
            </w:r>
            <w:r w:rsidRPr="00770C0D">
              <w:rPr>
                <w:rFonts w:cs="Arial"/>
                <w:sz w:val="20"/>
                <w:szCs w:val="20"/>
              </w:rPr>
              <w:t>Maraviroc QD -</w:t>
            </w:r>
            <w:r>
              <w:rPr>
                <w:rFonts w:cs="Arial"/>
                <w:sz w:val="20"/>
                <w:szCs w:val="20"/>
              </w:rPr>
              <w:t xml:space="preserve"> </w:t>
            </w:r>
            <w:r w:rsidRPr="00770C0D">
              <w:rPr>
                <w:rFonts w:cs="Arial"/>
                <w:sz w:val="20"/>
                <w:szCs w:val="20"/>
              </w:rPr>
              <w:t>1.656</w:t>
            </w:r>
            <w:r w:rsidR="00B17D46">
              <w:rPr>
                <w:rFonts w:cs="Arial"/>
                <w:sz w:val="20"/>
                <w:szCs w:val="20"/>
              </w:rPr>
              <w:br/>
            </w:r>
            <w:r>
              <w:rPr>
                <w:rFonts w:cs="Arial"/>
                <w:sz w:val="20"/>
                <w:szCs w:val="20"/>
              </w:rPr>
              <w:t>Maraviroc BID</w:t>
            </w:r>
            <w:r w:rsidRPr="00770C0D">
              <w:rPr>
                <w:rFonts w:cs="Arial"/>
                <w:sz w:val="20"/>
                <w:szCs w:val="20"/>
              </w:rPr>
              <w:t xml:space="preserve"> -</w:t>
            </w:r>
            <w:r>
              <w:rPr>
                <w:rFonts w:cs="Arial"/>
                <w:sz w:val="20"/>
                <w:szCs w:val="20"/>
              </w:rPr>
              <w:t xml:space="preserve"> </w:t>
            </w:r>
            <w:r w:rsidRPr="00770C0D">
              <w:rPr>
                <w:rFonts w:cs="Arial"/>
                <w:sz w:val="20"/>
                <w:szCs w:val="20"/>
              </w:rPr>
              <w:t xml:space="preserve">7.824 </w:t>
            </w:r>
            <w:r w:rsidR="00B17D46">
              <w:rPr>
                <w:rFonts w:cs="Arial"/>
                <w:sz w:val="20"/>
                <w:szCs w:val="20"/>
              </w:rPr>
              <w:br/>
            </w:r>
            <w:r w:rsidRPr="00770C0D">
              <w:rPr>
                <w:rFonts w:cs="Arial"/>
                <w:sz w:val="20"/>
                <w:szCs w:val="20"/>
              </w:rPr>
              <w:t>Placebo -</w:t>
            </w:r>
            <w:r>
              <w:rPr>
                <w:rFonts w:cs="Arial"/>
                <w:sz w:val="20"/>
                <w:szCs w:val="20"/>
              </w:rPr>
              <w:t xml:space="preserve"> </w:t>
            </w:r>
            <w:r w:rsidR="0060752B">
              <w:rPr>
                <w:rFonts w:cs="Arial"/>
                <w:sz w:val="20"/>
                <w:szCs w:val="20"/>
              </w:rPr>
              <w:t>0.803.</w:t>
            </w:r>
          </w:p>
          <w:p w:rsidR="002C782A" w:rsidRPr="00B17D46" w:rsidRDefault="002C782A" w:rsidP="00B17D46">
            <w:pPr>
              <w:spacing w:after="0" w:line="240" w:lineRule="auto"/>
              <w:rPr>
                <w:rFonts w:cs="Arial"/>
                <w:sz w:val="20"/>
                <w:szCs w:val="20"/>
              </w:rPr>
            </w:pPr>
            <w:r w:rsidRPr="00770C0D">
              <w:rPr>
                <w:rFonts w:cs="Arial"/>
                <w:sz w:val="20"/>
                <w:szCs w:val="20"/>
              </w:rPr>
              <w:t>The treatment differences (95% CI) were</w:t>
            </w:r>
            <w:proofErr w:type="gramStart"/>
            <w:r w:rsidRPr="00770C0D">
              <w:rPr>
                <w:rFonts w:cs="Arial"/>
                <w:sz w:val="20"/>
                <w:szCs w:val="20"/>
              </w:rPr>
              <w:t>:</w:t>
            </w:r>
            <w:proofErr w:type="gramEnd"/>
            <w:r w:rsidR="00B17D46">
              <w:rPr>
                <w:rFonts w:cs="Arial"/>
                <w:sz w:val="20"/>
                <w:szCs w:val="20"/>
              </w:rPr>
              <w:br/>
            </w:r>
            <w:r>
              <w:rPr>
                <w:rFonts w:cs="Arial"/>
                <w:sz w:val="20"/>
                <w:szCs w:val="20"/>
              </w:rPr>
              <w:t xml:space="preserve">Maraviroc QD - placebo: </w:t>
            </w:r>
            <w:r>
              <w:rPr>
                <w:rFonts w:cs="Arial"/>
                <w:sz w:val="20"/>
                <w:szCs w:val="20"/>
              </w:rPr>
              <w:noBreakHyphen/>
            </w:r>
            <w:r w:rsidRPr="00770C0D">
              <w:rPr>
                <w:rFonts w:cs="Arial"/>
                <w:sz w:val="20"/>
                <w:szCs w:val="20"/>
              </w:rPr>
              <w:t>0.853 (-1.217, -0.489)</w:t>
            </w:r>
            <w:r>
              <w:rPr>
                <w:rFonts w:cs="Arial"/>
                <w:sz w:val="20"/>
                <w:szCs w:val="20"/>
              </w:rPr>
              <w:t>.</w:t>
            </w:r>
            <w:r w:rsidRPr="00770C0D">
              <w:rPr>
                <w:rFonts w:cs="Arial"/>
                <w:sz w:val="20"/>
                <w:szCs w:val="20"/>
              </w:rPr>
              <w:t xml:space="preserve"> </w:t>
            </w:r>
            <w:r>
              <w:rPr>
                <w:rFonts w:cs="Arial"/>
                <w:sz w:val="20"/>
                <w:szCs w:val="20"/>
              </w:rPr>
              <w:t xml:space="preserve">Maraviroc BID - placebo </w:t>
            </w:r>
            <w:r>
              <w:rPr>
                <w:rFonts w:cs="Arial"/>
                <w:sz w:val="20"/>
                <w:szCs w:val="20"/>
              </w:rPr>
              <w:noBreakHyphen/>
            </w:r>
            <w:r w:rsidRPr="00770C0D">
              <w:rPr>
                <w:rFonts w:cs="Arial"/>
                <w:sz w:val="20"/>
                <w:szCs w:val="20"/>
              </w:rPr>
              <w:t>1.021 (1.385, -0.658)</w:t>
            </w:r>
            <w:r>
              <w:rPr>
                <w:rFonts w:cs="Arial"/>
                <w:sz w:val="20"/>
                <w:szCs w:val="20"/>
              </w:rPr>
              <w:t>.</w:t>
            </w:r>
          </w:p>
        </w:tc>
        <w:tc>
          <w:tcPr>
            <w:tcW w:w="3543" w:type="dxa"/>
            <w:tcBorders>
              <w:top w:val="single" w:sz="12" w:space="0" w:color="auto"/>
              <w:left w:val="single" w:sz="4" w:space="0" w:color="auto"/>
              <w:bottom w:val="single" w:sz="12" w:space="0" w:color="auto"/>
              <w:right w:val="single" w:sz="12" w:space="0" w:color="auto"/>
            </w:tcBorders>
            <w:hideMark/>
          </w:tcPr>
          <w:p w:rsidR="002C782A" w:rsidRPr="00770C0D" w:rsidRDefault="002C782A" w:rsidP="00A41D88">
            <w:pPr>
              <w:spacing w:after="0" w:line="240" w:lineRule="auto"/>
              <w:rPr>
                <w:rFonts w:cs="Arial"/>
                <w:kern w:val="16"/>
                <w:sz w:val="20"/>
                <w:szCs w:val="20"/>
              </w:rPr>
            </w:pPr>
            <w:r>
              <w:rPr>
                <w:rFonts w:cs="Arial"/>
                <w:sz w:val="20"/>
                <w:szCs w:val="20"/>
              </w:rPr>
              <w:t>All-</w:t>
            </w:r>
            <w:r w:rsidRPr="00770C0D">
              <w:rPr>
                <w:rFonts w:cs="Arial"/>
                <w:sz w:val="20"/>
                <w:szCs w:val="20"/>
              </w:rPr>
              <w:t xml:space="preserve">causality adverse events </w:t>
            </w:r>
            <w:r>
              <w:rPr>
                <w:rFonts w:cs="Arial"/>
                <w:sz w:val="20"/>
                <w:szCs w:val="20"/>
              </w:rPr>
              <w:t xml:space="preserve">(AEs) </w:t>
            </w:r>
            <w:r w:rsidRPr="00770C0D">
              <w:rPr>
                <w:rFonts w:cs="Arial"/>
                <w:sz w:val="20"/>
                <w:szCs w:val="20"/>
              </w:rPr>
              <w:t>were reported by bet</w:t>
            </w:r>
            <w:r>
              <w:rPr>
                <w:rFonts w:cs="Arial"/>
                <w:sz w:val="20"/>
                <w:szCs w:val="20"/>
              </w:rPr>
              <w:t>ween 85</w:t>
            </w:r>
            <w:r w:rsidRPr="00770C0D">
              <w:rPr>
                <w:rFonts w:cs="Arial"/>
                <w:sz w:val="20"/>
                <w:szCs w:val="20"/>
              </w:rPr>
              <w:t xml:space="preserve">-92.3% of participants. Treatment related </w:t>
            </w:r>
            <w:r>
              <w:rPr>
                <w:rFonts w:cs="Arial"/>
                <w:sz w:val="20"/>
                <w:szCs w:val="20"/>
              </w:rPr>
              <w:t>AE</w:t>
            </w:r>
            <w:r w:rsidRPr="00770C0D">
              <w:rPr>
                <w:rFonts w:cs="Arial"/>
                <w:sz w:val="20"/>
                <w:szCs w:val="20"/>
              </w:rPr>
              <w:t>s were reported by approximately 41%, 49% and 42% of patients in the maraviroc QD, maraviroc BID and placebo treatment groups, respectively.Category C</w:t>
            </w:r>
            <w:r>
              <w:rPr>
                <w:rStyle w:val="FootnoteReference"/>
                <w:rFonts w:cs="Arial"/>
                <w:sz w:val="20"/>
                <w:szCs w:val="20"/>
              </w:rPr>
              <w:footnoteReference w:id="4"/>
            </w:r>
            <w:r w:rsidRPr="00770C0D">
              <w:rPr>
                <w:rFonts w:cs="Arial"/>
                <w:sz w:val="20"/>
                <w:szCs w:val="20"/>
              </w:rPr>
              <w:t xml:space="preserve"> infections and infestations: 4.3% </w:t>
            </w:r>
            <w:r>
              <w:rPr>
                <w:rFonts w:cs="Arial"/>
                <w:sz w:val="20"/>
                <w:szCs w:val="20"/>
              </w:rPr>
              <w:t xml:space="preserve">of the </w:t>
            </w:r>
            <w:r w:rsidRPr="00770C0D">
              <w:rPr>
                <w:rFonts w:cs="Arial"/>
                <w:sz w:val="20"/>
                <w:szCs w:val="20"/>
              </w:rPr>
              <w:t>maraviroc QD</w:t>
            </w:r>
            <w:r>
              <w:rPr>
                <w:rFonts w:cs="Arial"/>
                <w:sz w:val="20"/>
                <w:szCs w:val="20"/>
              </w:rPr>
              <w:t xml:space="preserve"> group</w:t>
            </w:r>
            <w:r w:rsidRPr="00770C0D">
              <w:rPr>
                <w:rFonts w:cs="Arial"/>
                <w:sz w:val="20"/>
                <w:szCs w:val="20"/>
              </w:rPr>
              <w:t xml:space="preserve">, 4.7% </w:t>
            </w:r>
            <w:r>
              <w:rPr>
                <w:rFonts w:cs="Arial"/>
                <w:sz w:val="20"/>
                <w:szCs w:val="20"/>
              </w:rPr>
              <w:t xml:space="preserve">of the </w:t>
            </w:r>
            <w:r w:rsidRPr="00770C0D">
              <w:rPr>
                <w:rFonts w:cs="Arial"/>
                <w:sz w:val="20"/>
                <w:szCs w:val="20"/>
              </w:rPr>
              <w:t xml:space="preserve">maraviroc BID </w:t>
            </w:r>
            <w:r>
              <w:rPr>
                <w:rFonts w:cs="Arial"/>
                <w:sz w:val="20"/>
                <w:szCs w:val="20"/>
              </w:rPr>
              <w:t xml:space="preserve">group, </w:t>
            </w:r>
            <w:r w:rsidRPr="00770C0D">
              <w:rPr>
                <w:rFonts w:cs="Arial"/>
                <w:sz w:val="20"/>
                <w:szCs w:val="20"/>
              </w:rPr>
              <w:t xml:space="preserve">1.7% </w:t>
            </w:r>
            <w:r>
              <w:rPr>
                <w:rFonts w:cs="Arial"/>
                <w:sz w:val="20"/>
                <w:szCs w:val="20"/>
              </w:rPr>
              <w:t xml:space="preserve">of </w:t>
            </w:r>
            <w:r w:rsidRPr="00770C0D">
              <w:rPr>
                <w:rFonts w:cs="Arial"/>
                <w:sz w:val="20"/>
                <w:szCs w:val="20"/>
              </w:rPr>
              <w:t xml:space="preserve">placebo patients. Deaths: 2 maraviroc QD, 4 maraviroc BID and 1 placebo. No death was considered treatment related. Permanent discontinuations due to study drug related </w:t>
            </w:r>
            <w:r>
              <w:rPr>
                <w:rFonts w:cs="Arial"/>
                <w:sz w:val="20"/>
                <w:szCs w:val="20"/>
              </w:rPr>
              <w:t>AEs</w:t>
            </w:r>
            <w:r w:rsidRPr="00770C0D">
              <w:rPr>
                <w:rFonts w:cs="Arial"/>
                <w:sz w:val="20"/>
                <w:szCs w:val="20"/>
              </w:rPr>
              <w:t xml:space="preserve">; 5 </w:t>
            </w:r>
            <w:r>
              <w:rPr>
                <w:rFonts w:cs="Arial"/>
                <w:sz w:val="20"/>
                <w:szCs w:val="20"/>
              </w:rPr>
              <w:t xml:space="preserve">patients </w:t>
            </w:r>
            <w:r w:rsidRPr="00770C0D">
              <w:rPr>
                <w:rFonts w:cs="Arial"/>
                <w:sz w:val="20"/>
                <w:szCs w:val="20"/>
              </w:rPr>
              <w:t xml:space="preserve">in the maraviroc QD group (for abdominal distension, </w:t>
            </w:r>
            <w:r>
              <w:rPr>
                <w:rFonts w:cs="Arial"/>
                <w:sz w:val="20"/>
                <w:szCs w:val="20"/>
              </w:rPr>
              <w:t xml:space="preserve">aspartate transaminase </w:t>
            </w:r>
            <w:r w:rsidRPr="00770C0D">
              <w:rPr>
                <w:rFonts w:cs="Arial"/>
                <w:sz w:val="20"/>
                <w:szCs w:val="20"/>
              </w:rPr>
              <w:t xml:space="preserve">increased, renal failure, rash, abdominal pain upper, and anaemia); 6 in the maraviroc BID treatment group </w:t>
            </w:r>
            <w:r>
              <w:rPr>
                <w:rFonts w:cs="Arial"/>
                <w:sz w:val="20"/>
                <w:szCs w:val="20"/>
              </w:rPr>
              <w:t>(</w:t>
            </w:r>
            <w:r w:rsidRPr="00770C0D">
              <w:rPr>
                <w:rFonts w:cs="Arial"/>
                <w:sz w:val="20"/>
                <w:szCs w:val="20"/>
              </w:rPr>
              <w:t xml:space="preserve">for transaminases increased, fatigue, abdominal pain upper, liver function test </w:t>
            </w:r>
            <w:r>
              <w:rPr>
                <w:rFonts w:cs="Arial"/>
                <w:sz w:val="20"/>
                <w:szCs w:val="20"/>
              </w:rPr>
              <w:t xml:space="preserve">(LFT) </w:t>
            </w:r>
            <w:r w:rsidRPr="00770C0D">
              <w:rPr>
                <w:rFonts w:cs="Arial"/>
                <w:sz w:val="20"/>
                <w:szCs w:val="20"/>
              </w:rPr>
              <w:t>abnormal, pyrexia, convulsion a</w:t>
            </w:r>
            <w:r>
              <w:rPr>
                <w:rFonts w:cs="Arial"/>
                <w:sz w:val="20"/>
                <w:szCs w:val="20"/>
              </w:rPr>
              <w:t>nd rash generalised)</w:t>
            </w:r>
            <w:r w:rsidRPr="00770C0D">
              <w:rPr>
                <w:rFonts w:cs="Arial"/>
                <w:sz w:val="20"/>
                <w:szCs w:val="20"/>
              </w:rPr>
              <w:t xml:space="preserve"> and 3 in the placebo treatment group (for pyrexia, LFT abnormal and gingivitis).</w:t>
            </w:r>
          </w:p>
        </w:tc>
      </w:tr>
    </w:tbl>
    <w:p w:rsidR="002C782A" w:rsidRDefault="002C782A" w:rsidP="002C782A">
      <w:pPr>
        <w:sectPr w:rsidR="002C782A" w:rsidSect="00546C7E">
          <w:footerReference w:type="default" r:id="rId22"/>
          <w:endnotePr>
            <w:numFmt w:val="decimal"/>
          </w:endnotePr>
          <w:pgSz w:w="16838" w:h="11906" w:orient="landscape"/>
          <w:pgMar w:top="1418" w:right="1134" w:bottom="1134" w:left="1247" w:header="907" w:footer="1021" w:gutter="0"/>
          <w:cols w:space="720"/>
        </w:sectPr>
      </w:pPr>
    </w:p>
    <w:p w:rsidR="002C782A" w:rsidRDefault="002C782A" w:rsidP="0060752B">
      <w:pPr>
        <w:pStyle w:val="TableTitle"/>
        <w:rPr>
          <w:kern w:val="16"/>
        </w:rPr>
      </w:pPr>
      <w:bookmarkStart w:id="38" w:name="_Ref303263371"/>
      <w:bookmarkStart w:id="39" w:name="_Ref303263387"/>
      <w:r>
        <w:lastRenderedPageBreak/>
        <w:t xml:space="preserve">Table </w:t>
      </w:r>
      <w:bookmarkEnd w:id="38"/>
      <w:r>
        <w:t>3 Summary of Study A2001028</w:t>
      </w:r>
      <w:bookmarkEnd w:id="39"/>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ook w:val="01E0"/>
      </w:tblPr>
      <w:tblGrid>
        <w:gridCol w:w="1951"/>
        <w:gridCol w:w="4111"/>
        <w:gridCol w:w="2268"/>
        <w:gridCol w:w="2410"/>
        <w:gridCol w:w="3543"/>
      </w:tblGrid>
      <w:tr w:rsidR="002C782A" w:rsidRPr="004003A3" w:rsidTr="0060752B">
        <w:trPr>
          <w:tblHeader/>
        </w:trPr>
        <w:tc>
          <w:tcPr>
            <w:tcW w:w="1951"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4003A3"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4003A3">
              <w:rPr>
                <w:rFonts w:cs="Arial"/>
                <w:b/>
                <w:color w:val="FFFFFF" w:themeColor="background1"/>
                <w:sz w:val="20"/>
                <w:szCs w:val="20"/>
              </w:rPr>
              <w:t>Investigator, Country, Year</w:t>
            </w:r>
          </w:p>
        </w:tc>
        <w:tc>
          <w:tcPr>
            <w:tcW w:w="4111"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4003A3"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4003A3">
              <w:rPr>
                <w:rFonts w:cs="Arial"/>
                <w:b/>
                <w:color w:val="FFFFFF" w:themeColor="background1"/>
                <w:sz w:val="20"/>
                <w:szCs w:val="20"/>
              </w:rPr>
              <w:t>Design/objectives</w:t>
            </w:r>
          </w:p>
        </w:tc>
        <w:tc>
          <w:tcPr>
            <w:tcW w:w="2268"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4003A3"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4003A3">
              <w:rPr>
                <w:rFonts w:cs="Arial"/>
                <w:b/>
                <w:color w:val="FFFFFF" w:themeColor="background1"/>
                <w:sz w:val="20"/>
                <w:szCs w:val="20"/>
              </w:rPr>
              <w:t>Participants</w:t>
            </w:r>
          </w:p>
        </w:tc>
        <w:tc>
          <w:tcPr>
            <w:tcW w:w="2410"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4003A3"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4003A3">
              <w:rPr>
                <w:rFonts w:cs="Arial"/>
                <w:b/>
                <w:color w:val="FFFFFF" w:themeColor="background1"/>
                <w:sz w:val="20"/>
                <w:szCs w:val="20"/>
              </w:rPr>
              <w:t>Immunogenicity results</w:t>
            </w:r>
          </w:p>
        </w:tc>
        <w:tc>
          <w:tcPr>
            <w:tcW w:w="3543" w:type="dxa"/>
            <w:tcBorders>
              <w:top w:val="single" w:sz="12" w:space="0" w:color="auto"/>
              <w:left w:val="single" w:sz="4" w:space="0" w:color="auto"/>
              <w:bottom w:val="single" w:sz="12" w:space="0" w:color="auto"/>
              <w:right w:val="single" w:sz="12" w:space="0" w:color="auto"/>
            </w:tcBorders>
            <w:shd w:val="clear" w:color="auto" w:fill="0070C0"/>
            <w:hideMark/>
          </w:tcPr>
          <w:p w:rsidR="002C782A" w:rsidRPr="004003A3"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b/>
                <w:color w:val="FFFFFF" w:themeColor="background1"/>
                <w:kern w:val="16"/>
                <w:sz w:val="20"/>
                <w:szCs w:val="20"/>
              </w:rPr>
            </w:pPr>
            <w:r w:rsidRPr="004003A3">
              <w:rPr>
                <w:rFonts w:cs="Arial"/>
                <w:b/>
                <w:color w:val="FFFFFF" w:themeColor="background1"/>
                <w:sz w:val="20"/>
                <w:szCs w:val="20"/>
              </w:rPr>
              <w:t>Safety results</w:t>
            </w:r>
          </w:p>
        </w:tc>
      </w:tr>
      <w:tr w:rsidR="002C782A" w:rsidRPr="00770C0D" w:rsidTr="00A41D88">
        <w:tc>
          <w:tcPr>
            <w:tcW w:w="1951"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kern w:val="16"/>
                <w:sz w:val="20"/>
                <w:szCs w:val="20"/>
              </w:rPr>
            </w:pPr>
            <w:r w:rsidRPr="00770C0D">
              <w:rPr>
                <w:rFonts w:cs="Arial"/>
                <w:sz w:val="20"/>
                <w:szCs w:val="20"/>
              </w:rPr>
              <w:t>Multiple centres with multiple investigators in North America, Australia, Belgium, Canada, France, Germany, Italy, Netherlands, Poland, Spain, Sweden, Switzerland, United Kingdom, United States of America</w:t>
            </w:r>
          </w:p>
          <w:p w:rsidR="002C782A" w:rsidRPr="00770C0D"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rFonts w:cs="Arial"/>
                <w:kern w:val="16"/>
                <w:sz w:val="20"/>
                <w:szCs w:val="20"/>
              </w:rPr>
            </w:pPr>
            <w:r w:rsidRPr="00770C0D">
              <w:rPr>
                <w:rFonts w:cs="Arial"/>
                <w:sz w:val="20"/>
                <w:szCs w:val="20"/>
              </w:rPr>
              <w:t>December 2004 to July 2007</w:t>
            </w:r>
          </w:p>
        </w:tc>
        <w:tc>
          <w:tcPr>
            <w:tcW w:w="4111" w:type="dxa"/>
            <w:tcBorders>
              <w:top w:val="single" w:sz="12" w:space="0" w:color="auto"/>
              <w:left w:val="single" w:sz="4" w:space="0" w:color="auto"/>
              <w:bottom w:val="single" w:sz="12" w:space="0" w:color="auto"/>
              <w:right w:val="single" w:sz="4" w:space="0" w:color="auto"/>
            </w:tcBorders>
            <w:hideMark/>
          </w:tcPr>
          <w:p w:rsidR="002C782A" w:rsidRPr="00B17D46" w:rsidRDefault="002C782A" w:rsidP="00B17D46">
            <w:pPr>
              <w:spacing w:after="0" w:line="240" w:lineRule="auto"/>
              <w:rPr>
                <w:rFonts w:cs="Arial"/>
                <w:sz w:val="20"/>
                <w:szCs w:val="20"/>
              </w:rPr>
            </w:pPr>
            <w:r>
              <w:rPr>
                <w:rFonts w:cs="Arial"/>
                <w:sz w:val="20"/>
                <w:szCs w:val="20"/>
              </w:rPr>
              <w:t>A multicentre,</w:t>
            </w:r>
            <w:r w:rsidRPr="00770C0D">
              <w:rPr>
                <w:rFonts w:cs="Arial"/>
                <w:sz w:val="20"/>
                <w:szCs w:val="20"/>
              </w:rPr>
              <w:t xml:space="preserve"> double-blind, placebo-controlled trial, randomised 2:2:1 to treatment with maraviroc 300 mg </w:t>
            </w:r>
            <w:r>
              <w:rPr>
                <w:rFonts w:cs="Arial"/>
                <w:sz w:val="20"/>
                <w:szCs w:val="20"/>
              </w:rPr>
              <w:t xml:space="preserve">once daily (QD) </w:t>
            </w:r>
            <w:r w:rsidRPr="00770C0D">
              <w:rPr>
                <w:rFonts w:cs="Arial"/>
                <w:sz w:val="20"/>
                <w:szCs w:val="20"/>
              </w:rPr>
              <w:t xml:space="preserve">or maraviroc 300 mg </w:t>
            </w:r>
            <w:r>
              <w:rPr>
                <w:rFonts w:cs="Arial"/>
                <w:sz w:val="20"/>
                <w:szCs w:val="20"/>
              </w:rPr>
              <w:t xml:space="preserve">twice daily (BID) </w:t>
            </w:r>
            <w:r w:rsidRPr="00770C0D">
              <w:rPr>
                <w:rFonts w:cs="Arial"/>
                <w:sz w:val="20"/>
                <w:szCs w:val="20"/>
              </w:rPr>
              <w:t>in combination with optimised background therapy (OBT) versus matching placebo with OBT</w:t>
            </w:r>
            <w:r>
              <w:rPr>
                <w:rFonts w:cs="Arial"/>
                <w:sz w:val="20"/>
                <w:szCs w:val="20"/>
              </w:rPr>
              <w:t>,</w:t>
            </w:r>
            <w:r w:rsidRPr="00770C0D">
              <w:rPr>
                <w:rFonts w:cs="Arial"/>
                <w:sz w:val="20"/>
                <w:szCs w:val="20"/>
              </w:rPr>
              <w:t xml:space="preserve"> designed to investigate the superiority of maraviroc against placebo. </w:t>
            </w:r>
            <w:r w:rsidR="00B17D46">
              <w:rPr>
                <w:rFonts w:cs="Arial"/>
                <w:sz w:val="20"/>
                <w:szCs w:val="20"/>
              </w:rPr>
              <w:br/>
            </w:r>
            <w:r w:rsidRPr="00770C0D">
              <w:rPr>
                <w:rFonts w:cs="Arial"/>
                <w:sz w:val="20"/>
                <w:szCs w:val="20"/>
              </w:rPr>
              <w:t xml:space="preserve">Primary objective: To assess whether maraviroc added to </w:t>
            </w:r>
            <w:r>
              <w:rPr>
                <w:rFonts w:cs="Arial"/>
                <w:sz w:val="20"/>
                <w:szCs w:val="20"/>
              </w:rPr>
              <w:t xml:space="preserve">OBT </w:t>
            </w:r>
            <w:r w:rsidRPr="00770C0D">
              <w:rPr>
                <w:rFonts w:cs="Arial"/>
                <w:sz w:val="20"/>
                <w:szCs w:val="20"/>
              </w:rPr>
              <w:t xml:space="preserve">provides an additional reduction in </w:t>
            </w:r>
            <w:r>
              <w:rPr>
                <w:rFonts w:cs="Arial"/>
                <w:sz w:val="20"/>
                <w:szCs w:val="20"/>
              </w:rPr>
              <w:t xml:space="preserve">plasma HIV-1 </w:t>
            </w:r>
            <w:r w:rsidRPr="00770C0D">
              <w:rPr>
                <w:rFonts w:cs="Arial"/>
                <w:sz w:val="20"/>
                <w:szCs w:val="20"/>
              </w:rPr>
              <w:t>RNA compared to OBT alone, as measured by the difference between each of the two maraviroc regimens versus the placebo regimen in the mean change</w:t>
            </w:r>
            <w:r>
              <w:rPr>
                <w:rFonts w:cs="Arial"/>
                <w:sz w:val="20"/>
                <w:szCs w:val="20"/>
              </w:rPr>
              <w:t xml:space="preserve">s from baseline in plasma HIV-1 </w:t>
            </w:r>
            <w:r w:rsidRPr="00770C0D">
              <w:rPr>
                <w:rFonts w:cs="Arial"/>
                <w:sz w:val="20"/>
                <w:szCs w:val="20"/>
              </w:rPr>
              <w:t>RNA at Week 48.</w:t>
            </w:r>
            <w:r w:rsidR="00B17D46">
              <w:rPr>
                <w:rFonts w:cs="Arial"/>
                <w:sz w:val="20"/>
                <w:szCs w:val="20"/>
              </w:rPr>
              <w:br/>
            </w:r>
            <w:r w:rsidRPr="00770C0D">
              <w:rPr>
                <w:rFonts w:cs="Arial"/>
                <w:sz w:val="20"/>
                <w:szCs w:val="20"/>
              </w:rPr>
              <w:t xml:space="preserve">If the 2-sided 97.5% confidence interval </w:t>
            </w:r>
            <w:r>
              <w:rPr>
                <w:rFonts w:cs="Arial"/>
                <w:sz w:val="20"/>
                <w:szCs w:val="20"/>
              </w:rPr>
              <w:t xml:space="preserve">(CI) </w:t>
            </w:r>
            <w:r w:rsidRPr="00770C0D">
              <w:rPr>
                <w:rFonts w:cs="Arial"/>
                <w:sz w:val="20"/>
                <w:szCs w:val="20"/>
              </w:rPr>
              <w:t xml:space="preserve">was completely to the left side and completely excludes </w:t>
            </w:r>
            <w:r>
              <w:rPr>
                <w:rFonts w:cs="Arial"/>
                <w:sz w:val="20"/>
                <w:szCs w:val="20"/>
              </w:rPr>
              <w:t>zero,</w:t>
            </w:r>
            <w:r w:rsidRPr="00770C0D">
              <w:rPr>
                <w:rFonts w:cs="Arial"/>
                <w:sz w:val="20"/>
                <w:szCs w:val="20"/>
              </w:rPr>
              <w:t xml:space="preserve"> superiority of maraviroc over placebo was concluded.</w:t>
            </w:r>
            <w:r w:rsidR="00B17D46">
              <w:rPr>
                <w:rFonts w:cs="Arial"/>
                <w:sz w:val="20"/>
                <w:szCs w:val="20"/>
              </w:rPr>
              <w:br/>
            </w:r>
            <w:r w:rsidRPr="00770C0D">
              <w:rPr>
                <w:rFonts w:cs="Arial"/>
                <w:sz w:val="20"/>
                <w:szCs w:val="20"/>
              </w:rPr>
              <w:t>NB</w:t>
            </w:r>
            <w:r>
              <w:rPr>
                <w:rFonts w:cs="Arial"/>
                <w:sz w:val="20"/>
                <w:szCs w:val="20"/>
              </w:rPr>
              <w:t>:</w:t>
            </w:r>
            <w:r w:rsidRPr="00770C0D">
              <w:rPr>
                <w:rFonts w:cs="Arial"/>
                <w:sz w:val="20"/>
                <w:szCs w:val="20"/>
              </w:rPr>
              <w:t xml:space="preserve"> in case of concomitant protease inhib</w:t>
            </w:r>
            <w:r>
              <w:rPr>
                <w:rFonts w:cs="Arial"/>
                <w:sz w:val="20"/>
                <w:szCs w:val="20"/>
              </w:rPr>
              <w:t>itor use except tipranavir, and/</w:t>
            </w:r>
            <w:r w:rsidRPr="00770C0D">
              <w:rPr>
                <w:rFonts w:cs="Arial"/>
                <w:sz w:val="20"/>
                <w:szCs w:val="20"/>
              </w:rPr>
              <w:t>or delavirdine</w:t>
            </w:r>
            <w:r>
              <w:rPr>
                <w:rFonts w:cs="Arial"/>
                <w:sz w:val="20"/>
                <w:szCs w:val="20"/>
              </w:rPr>
              <w:t xml:space="preserve"> use</w:t>
            </w:r>
            <w:r w:rsidRPr="00770C0D">
              <w:rPr>
                <w:rFonts w:cs="Arial"/>
                <w:sz w:val="20"/>
                <w:szCs w:val="20"/>
              </w:rPr>
              <w:t>, the maraviroc dose was reduced from 300</w:t>
            </w:r>
            <w:r w:rsidR="00B17D46">
              <w:rPr>
                <w:rFonts w:cs="Arial"/>
                <w:sz w:val="20"/>
                <w:szCs w:val="20"/>
              </w:rPr>
              <w:t> </w:t>
            </w:r>
            <w:r w:rsidRPr="00770C0D">
              <w:rPr>
                <w:rFonts w:cs="Arial"/>
                <w:sz w:val="20"/>
                <w:szCs w:val="20"/>
              </w:rPr>
              <w:t xml:space="preserve">mg to 150 mg. </w:t>
            </w:r>
          </w:p>
        </w:tc>
        <w:tc>
          <w:tcPr>
            <w:tcW w:w="2268" w:type="dxa"/>
            <w:tcBorders>
              <w:top w:val="single" w:sz="12" w:space="0" w:color="auto"/>
              <w:left w:val="single" w:sz="4" w:space="0" w:color="auto"/>
              <w:bottom w:val="single" w:sz="12" w:space="0" w:color="auto"/>
              <w:right w:val="single" w:sz="4" w:space="0" w:color="auto"/>
            </w:tcBorders>
          </w:tcPr>
          <w:p w:rsidR="002C782A" w:rsidRDefault="002C782A" w:rsidP="00546C7E">
            <w:pPr>
              <w:spacing w:after="0" w:line="240" w:lineRule="auto"/>
              <w:rPr>
                <w:rFonts w:cs="Arial"/>
                <w:sz w:val="20"/>
                <w:szCs w:val="20"/>
              </w:rPr>
            </w:pPr>
            <w:r>
              <w:rPr>
                <w:rFonts w:cs="Arial"/>
                <w:sz w:val="20"/>
                <w:szCs w:val="20"/>
              </w:rPr>
              <w:t xml:space="preserve">CCR5 tropic HIV-1 </w:t>
            </w:r>
            <w:r w:rsidRPr="00770C0D">
              <w:rPr>
                <w:rFonts w:cs="Arial"/>
                <w:sz w:val="20"/>
                <w:szCs w:val="20"/>
              </w:rPr>
              <w:t xml:space="preserve">infected </w:t>
            </w:r>
            <w:proofErr w:type="gramStart"/>
            <w:r w:rsidRPr="00770C0D">
              <w:rPr>
                <w:rFonts w:cs="Arial"/>
                <w:sz w:val="20"/>
                <w:szCs w:val="20"/>
              </w:rPr>
              <w:t>patients</w:t>
            </w:r>
            <w:proofErr w:type="gramEnd"/>
            <w:r w:rsidRPr="00770C0D">
              <w:rPr>
                <w:rFonts w:cs="Arial"/>
                <w:sz w:val="20"/>
                <w:szCs w:val="20"/>
              </w:rPr>
              <w:t xml:space="preserve"> ≥ 16 years of age with ≥ 6 months of prior treatment with at least 1 agent from 3 antiretroviral drug classes or documented multi-class resistance, with plasma </w:t>
            </w:r>
            <w:r>
              <w:rPr>
                <w:rFonts w:cs="Arial"/>
                <w:sz w:val="20"/>
                <w:szCs w:val="20"/>
              </w:rPr>
              <w:t>VL</w:t>
            </w:r>
            <w:r w:rsidRPr="00770C0D">
              <w:rPr>
                <w:rFonts w:cs="Arial"/>
                <w:sz w:val="20"/>
                <w:szCs w:val="20"/>
              </w:rPr>
              <w:t xml:space="preserve"> ≥</w:t>
            </w:r>
            <w:r>
              <w:rPr>
                <w:rFonts w:cs="Arial"/>
                <w:sz w:val="20"/>
                <w:szCs w:val="20"/>
              </w:rPr>
              <w:t> </w:t>
            </w:r>
            <w:r w:rsidRPr="00770C0D">
              <w:rPr>
                <w:rFonts w:cs="Arial"/>
                <w:sz w:val="20"/>
                <w:szCs w:val="20"/>
              </w:rPr>
              <w:t>5,000 copies/mL</w:t>
            </w:r>
            <w:r>
              <w:rPr>
                <w:rFonts w:cs="Arial"/>
                <w:sz w:val="20"/>
                <w:szCs w:val="20"/>
              </w:rPr>
              <w:t>.</w:t>
            </w:r>
          </w:p>
          <w:p w:rsidR="002C782A" w:rsidRPr="00770C0D" w:rsidRDefault="002C782A" w:rsidP="00546C7E">
            <w:pPr>
              <w:spacing w:after="0" w:line="240" w:lineRule="auto"/>
              <w:rPr>
                <w:rFonts w:cs="Arial"/>
                <w:sz w:val="20"/>
                <w:szCs w:val="20"/>
              </w:rPr>
            </w:pPr>
            <w:r w:rsidRPr="00770C0D">
              <w:rPr>
                <w:rFonts w:cs="Arial"/>
                <w:sz w:val="20"/>
                <w:szCs w:val="20"/>
              </w:rPr>
              <w:t>Screened</w:t>
            </w:r>
            <w:r>
              <w:rPr>
                <w:rFonts w:cs="Arial"/>
                <w:sz w:val="20"/>
                <w:szCs w:val="20"/>
              </w:rPr>
              <w:t>:</w:t>
            </w:r>
            <w:r w:rsidRPr="00770C0D">
              <w:rPr>
                <w:rFonts w:cs="Arial"/>
                <w:sz w:val="20"/>
                <w:szCs w:val="20"/>
              </w:rPr>
              <w:t xml:space="preserve"> 1428</w:t>
            </w:r>
            <w:r w:rsidR="00B17D46">
              <w:rPr>
                <w:rFonts w:cs="Arial"/>
                <w:sz w:val="20"/>
                <w:szCs w:val="20"/>
              </w:rPr>
              <w:br/>
            </w:r>
            <w:r w:rsidRPr="00770C0D">
              <w:rPr>
                <w:rFonts w:cs="Arial"/>
                <w:sz w:val="20"/>
                <w:szCs w:val="20"/>
              </w:rPr>
              <w:t>Randomised</w:t>
            </w:r>
            <w:r>
              <w:rPr>
                <w:rFonts w:cs="Arial"/>
                <w:sz w:val="20"/>
                <w:szCs w:val="20"/>
              </w:rPr>
              <w:t>:</w:t>
            </w:r>
            <w:r w:rsidRPr="00770C0D">
              <w:rPr>
                <w:rFonts w:cs="Arial"/>
                <w:sz w:val="20"/>
                <w:szCs w:val="20"/>
              </w:rPr>
              <w:t xml:space="preserve"> 474</w:t>
            </w:r>
            <w:r w:rsidR="00B17D46">
              <w:rPr>
                <w:rFonts w:cs="Arial"/>
                <w:sz w:val="20"/>
                <w:szCs w:val="20"/>
              </w:rPr>
              <w:br/>
            </w:r>
            <w:r w:rsidRPr="00770C0D">
              <w:rPr>
                <w:rFonts w:cs="Arial"/>
                <w:sz w:val="20"/>
                <w:szCs w:val="20"/>
              </w:rPr>
              <w:t>Treated</w:t>
            </w:r>
            <w:r>
              <w:rPr>
                <w:rFonts w:cs="Arial"/>
                <w:sz w:val="20"/>
                <w:szCs w:val="20"/>
              </w:rPr>
              <w:t>:</w:t>
            </w:r>
            <w:r w:rsidRPr="00770C0D">
              <w:rPr>
                <w:rFonts w:cs="Arial"/>
                <w:sz w:val="20"/>
                <w:szCs w:val="20"/>
              </w:rPr>
              <w:t xml:space="preserve"> 464</w:t>
            </w:r>
          </w:p>
          <w:p w:rsidR="002C782A" w:rsidRPr="00770C0D" w:rsidRDefault="002C782A" w:rsidP="00546C7E">
            <w:pPr>
              <w:spacing w:after="0" w:line="240" w:lineRule="auto"/>
              <w:rPr>
                <w:rFonts w:cs="Arial"/>
                <w:sz w:val="20"/>
                <w:szCs w:val="20"/>
              </w:rPr>
            </w:pPr>
            <w:r w:rsidRPr="00770C0D">
              <w:rPr>
                <w:rFonts w:cs="Arial"/>
                <w:sz w:val="20"/>
                <w:szCs w:val="20"/>
              </w:rPr>
              <w:t>Maraviroc QD</w:t>
            </w:r>
            <w:r>
              <w:rPr>
                <w:rFonts w:cs="Arial"/>
                <w:sz w:val="20"/>
                <w:szCs w:val="20"/>
              </w:rPr>
              <w:t xml:space="preserve">: </w:t>
            </w:r>
            <w:r w:rsidRPr="00770C0D">
              <w:rPr>
                <w:rFonts w:cs="Arial"/>
                <w:sz w:val="20"/>
                <w:szCs w:val="20"/>
              </w:rPr>
              <w:t>182</w:t>
            </w:r>
            <w:r w:rsidR="00B17D46">
              <w:rPr>
                <w:rFonts w:cs="Arial"/>
                <w:sz w:val="20"/>
                <w:szCs w:val="20"/>
              </w:rPr>
              <w:br/>
            </w:r>
            <w:r w:rsidRPr="00770C0D">
              <w:rPr>
                <w:rFonts w:cs="Arial"/>
                <w:sz w:val="20"/>
                <w:szCs w:val="20"/>
              </w:rPr>
              <w:t>Maraviroc BID</w:t>
            </w:r>
            <w:r>
              <w:rPr>
                <w:rFonts w:cs="Arial"/>
                <w:sz w:val="20"/>
                <w:szCs w:val="20"/>
              </w:rPr>
              <w:t>:</w:t>
            </w:r>
            <w:r w:rsidRPr="00770C0D">
              <w:rPr>
                <w:rFonts w:cs="Arial"/>
                <w:sz w:val="20"/>
                <w:szCs w:val="20"/>
              </w:rPr>
              <w:t xml:space="preserve"> 191</w:t>
            </w:r>
            <w:r w:rsidR="00B17D46">
              <w:rPr>
                <w:rFonts w:cs="Arial"/>
                <w:sz w:val="20"/>
                <w:szCs w:val="20"/>
              </w:rPr>
              <w:br/>
            </w:r>
            <w:r w:rsidRPr="00770C0D">
              <w:rPr>
                <w:rFonts w:cs="Arial"/>
                <w:sz w:val="20"/>
                <w:szCs w:val="20"/>
              </w:rPr>
              <w:t>Placebo</w:t>
            </w:r>
            <w:r>
              <w:rPr>
                <w:rFonts w:cs="Arial"/>
                <w:sz w:val="20"/>
                <w:szCs w:val="20"/>
              </w:rPr>
              <w:t>:</w:t>
            </w:r>
            <w:r w:rsidRPr="00770C0D">
              <w:rPr>
                <w:rFonts w:cs="Arial"/>
                <w:sz w:val="20"/>
                <w:szCs w:val="20"/>
              </w:rPr>
              <w:t xml:space="preserve"> 91</w:t>
            </w:r>
          </w:p>
          <w:p w:rsidR="002C782A" w:rsidRPr="00770C0D" w:rsidRDefault="002C782A" w:rsidP="0060752B">
            <w:pPr>
              <w:spacing w:after="0" w:line="240" w:lineRule="auto"/>
              <w:rPr>
                <w:rFonts w:cs="Arial"/>
                <w:kern w:val="16"/>
                <w:sz w:val="20"/>
                <w:szCs w:val="20"/>
              </w:rPr>
            </w:pPr>
            <w:r w:rsidRPr="00770C0D">
              <w:rPr>
                <w:rFonts w:cs="Arial"/>
                <w:sz w:val="20"/>
                <w:szCs w:val="20"/>
              </w:rPr>
              <w:t xml:space="preserve">Males 87%, over 80% </w:t>
            </w:r>
            <w:r>
              <w:rPr>
                <w:rFonts w:cs="Arial"/>
                <w:sz w:val="20"/>
                <w:szCs w:val="20"/>
              </w:rPr>
              <w:t>W</w:t>
            </w:r>
            <w:r w:rsidRPr="00770C0D">
              <w:rPr>
                <w:rFonts w:cs="Arial"/>
                <w:sz w:val="20"/>
                <w:szCs w:val="20"/>
              </w:rPr>
              <w:t>hite and the majorit</w:t>
            </w:r>
            <w:r>
              <w:rPr>
                <w:rFonts w:cs="Arial"/>
                <w:sz w:val="20"/>
                <w:szCs w:val="20"/>
              </w:rPr>
              <w:t>y aged between 35 and 54 years.</w:t>
            </w:r>
          </w:p>
        </w:tc>
        <w:tc>
          <w:tcPr>
            <w:tcW w:w="2410"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sz w:val="20"/>
                <w:szCs w:val="20"/>
              </w:rPr>
            </w:pPr>
            <w:r w:rsidRPr="00770C0D">
              <w:rPr>
                <w:rFonts w:cs="Arial"/>
                <w:sz w:val="20"/>
                <w:szCs w:val="20"/>
              </w:rPr>
              <w:t>Superiority was shown in the pre-defined terms.</w:t>
            </w:r>
            <w:r w:rsidR="00B17D46">
              <w:rPr>
                <w:rFonts w:cs="Arial"/>
                <w:sz w:val="20"/>
                <w:szCs w:val="20"/>
              </w:rPr>
              <w:br/>
            </w:r>
            <w:r w:rsidRPr="00770C0D">
              <w:rPr>
                <w:rFonts w:cs="Arial"/>
                <w:sz w:val="20"/>
                <w:szCs w:val="20"/>
              </w:rPr>
              <w:t xml:space="preserve">Adjusted mean changes from baseline in </w:t>
            </w:r>
            <w:r>
              <w:rPr>
                <w:rFonts w:cs="Arial"/>
                <w:sz w:val="20"/>
                <w:szCs w:val="20"/>
              </w:rPr>
              <w:t>VL</w:t>
            </w:r>
            <w:r w:rsidRPr="00770C0D">
              <w:rPr>
                <w:rFonts w:cs="Arial"/>
                <w:sz w:val="20"/>
                <w:szCs w:val="20"/>
              </w:rPr>
              <w:t xml:space="preserve"> log</w:t>
            </w:r>
            <w:r w:rsidRPr="00770C0D">
              <w:rPr>
                <w:rFonts w:cs="Arial"/>
                <w:sz w:val="20"/>
                <w:szCs w:val="20"/>
                <w:vertAlign w:val="subscript"/>
              </w:rPr>
              <w:t>10</w:t>
            </w:r>
            <w:r w:rsidRPr="00770C0D">
              <w:rPr>
                <w:rFonts w:cs="Arial"/>
                <w:sz w:val="20"/>
                <w:szCs w:val="20"/>
              </w:rPr>
              <w:t xml:space="preserve"> copies/mL were:</w:t>
            </w:r>
          </w:p>
          <w:p w:rsidR="002C782A" w:rsidRPr="00770C0D" w:rsidRDefault="002C782A" w:rsidP="00546C7E">
            <w:pPr>
              <w:spacing w:after="0" w:line="240" w:lineRule="auto"/>
              <w:rPr>
                <w:rFonts w:cs="Arial"/>
                <w:sz w:val="20"/>
                <w:szCs w:val="20"/>
              </w:rPr>
            </w:pPr>
            <w:r w:rsidRPr="00770C0D">
              <w:rPr>
                <w:rFonts w:cs="Arial"/>
                <w:sz w:val="20"/>
                <w:szCs w:val="20"/>
              </w:rPr>
              <w:t>Maraviroc QD -</w:t>
            </w:r>
            <w:r>
              <w:rPr>
                <w:rFonts w:cs="Arial"/>
                <w:sz w:val="20"/>
                <w:szCs w:val="20"/>
              </w:rPr>
              <w:t xml:space="preserve"> </w:t>
            </w:r>
            <w:r w:rsidRPr="00770C0D">
              <w:rPr>
                <w:rFonts w:cs="Arial"/>
                <w:sz w:val="20"/>
                <w:szCs w:val="20"/>
              </w:rPr>
              <w:t>1.718</w:t>
            </w:r>
            <w:r w:rsidR="00B17D46">
              <w:rPr>
                <w:rFonts w:cs="Arial"/>
                <w:sz w:val="20"/>
                <w:szCs w:val="20"/>
              </w:rPr>
              <w:br/>
            </w:r>
            <w:r w:rsidRPr="00770C0D">
              <w:rPr>
                <w:rFonts w:cs="Arial"/>
                <w:sz w:val="20"/>
                <w:szCs w:val="20"/>
              </w:rPr>
              <w:t>Maraviroc BID, - 1.865</w:t>
            </w:r>
            <w:r w:rsidR="00B17D46">
              <w:rPr>
                <w:rFonts w:cs="Arial"/>
                <w:sz w:val="20"/>
                <w:szCs w:val="20"/>
              </w:rPr>
              <w:br/>
            </w:r>
            <w:r w:rsidRPr="00770C0D">
              <w:rPr>
                <w:rFonts w:cs="Arial"/>
                <w:sz w:val="20"/>
                <w:szCs w:val="20"/>
              </w:rPr>
              <w:t>Placebo – 0.757</w:t>
            </w:r>
          </w:p>
          <w:p w:rsidR="002C782A" w:rsidRPr="00770C0D" w:rsidRDefault="002C782A" w:rsidP="00B17D46">
            <w:pPr>
              <w:spacing w:after="0" w:line="240" w:lineRule="auto"/>
              <w:rPr>
                <w:rFonts w:cs="Arial"/>
                <w:kern w:val="16"/>
                <w:sz w:val="20"/>
                <w:szCs w:val="20"/>
              </w:rPr>
            </w:pPr>
            <w:r w:rsidRPr="00770C0D">
              <w:rPr>
                <w:rFonts w:cs="Arial"/>
                <w:sz w:val="20"/>
                <w:szCs w:val="20"/>
              </w:rPr>
              <w:t>The treatment differences (95% CI) were</w:t>
            </w:r>
            <w:proofErr w:type="gramStart"/>
            <w:r w:rsidRPr="00770C0D">
              <w:rPr>
                <w:rFonts w:cs="Arial"/>
                <w:sz w:val="20"/>
                <w:szCs w:val="20"/>
              </w:rPr>
              <w:t>:</w:t>
            </w:r>
            <w:proofErr w:type="gramEnd"/>
            <w:r w:rsidR="00B17D46">
              <w:rPr>
                <w:rFonts w:cs="Arial"/>
                <w:sz w:val="20"/>
                <w:szCs w:val="20"/>
              </w:rPr>
              <w:br/>
            </w:r>
            <w:r w:rsidRPr="00770C0D">
              <w:rPr>
                <w:rFonts w:cs="Arial"/>
                <w:sz w:val="20"/>
                <w:szCs w:val="20"/>
              </w:rPr>
              <w:t xml:space="preserve">For maraviroc QD - placebo: -0.961 (-1.379, -0.544) </w:t>
            </w:r>
            <w:r w:rsidR="00B17D46">
              <w:rPr>
                <w:rFonts w:cs="Arial"/>
                <w:sz w:val="20"/>
                <w:szCs w:val="20"/>
              </w:rPr>
              <w:br/>
            </w:r>
            <w:r w:rsidRPr="00770C0D">
              <w:rPr>
                <w:rFonts w:cs="Arial"/>
                <w:sz w:val="20"/>
                <w:szCs w:val="20"/>
              </w:rPr>
              <w:t>For maraviroc BID – placebo -1.109 (-1.523, -0.695)</w:t>
            </w:r>
            <w:r>
              <w:rPr>
                <w:rFonts w:cs="Arial"/>
                <w:sz w:val="20"/>
                <w:szCs w:val="20"/>
              </w:rPr>
              <w:t>.</w:t>
            </w:r>
          </w:p>
        </w:tc>
        <w:tc>
          <w:tcPr>
            <w:tcW w:w="3543" w:type="dxa"/>
            <w:tcBorders>
              <w:top w:val="single" w:sz="12" w:space="0" w:color="auto"/>
              <w:left w:val="single" w:sz="4" w:space="0" w:color="auto"/>
              <w:bottom w:val="single" w:sz="12" w:space="0" w:color="auto"/>
              <w:right w:val="single" w:sz="12" w:space="0" w:color="auto"/>
            </w:tcBorders>
            <w:hideMark/>
          </w:tcPr>
          <w:p w:rsidR="002C782A" w:rsidRPr="00770C0D" w:rsidRDefault="002C782A" w:rsidP="00A41D88">
            <w:pPr>
              <w:spacing w:after="0" w:line="240" w:lineRule="auto"/>
              <w:rPr>
                <w:rFonts w:cs="Arial"/>
                <w:kern w:val="16"/>
                <w:sz w:val="20"/>
                <w:szCs w:val="20"/>
              </w:rPr>
            </w:pPr>
            <w:r>
              <w:rPr>
                <w:rFonts w:cs="Arial"/>
                <w:sz w:val="20"/>
                <w:szCs w:val="20"/>
              </w:rPr>
              <w:t xml:space="preserve">About </w:t>
            </w:r>
            <w:r w:rsidRPr="00770C0D">
              <w:rPr>
                <w:rFonts w:cs="Arial"/>
                <w:sz w:val="20"/>
                <w:szCs w:val="20"/>
              </w:rPr>
              <w:t xml:space="preserve">92% of the maraviroc groups and 84% of the placebo group reported at least 1 </w:t>
            </w:r>
            <w:r>
              <w:rPr>
                <w:rFonts w:cs="Arial"/>
                <w:sz w:val="20"/>
                <w:szCs w:val="20"/>
              </w:rPr>
              <w:t>AE</w:t>
            </w:r>
            <w:r w:rsidRPr="00770C0D">
              <w:rPr>
                <w:rFonts w:cs="Arial"/>
                <w:sz w:val="20"/>
                <w:szCs w:val="20"/>
              </w:rPr>
              <w:t>.</w:t>
            </w:r>
            <w:r>
              <w:rPr>
                <w:rFonts w:cs="Arial"/>
                <w:sz w:val="20"/>
                <w:szCs w:val="20"/>
              </w:rPr>
              <w:t xml:space="preserve"> </w:t>
            </w:r>
            <w:r w:rsidRPr="00770C0D">
              <w:rPr>
                <w:rFonts w:cs="Arial"/>
                <w:sz w:val="20"/>
                <w:szCs w:val="20"/>
              </w:rPr>
              <w:t xml:space="preserve">Treatment related </w:t>
            </w:r>
            <w:r>
              <w:rPr>
                <w:rFonts w:cs="Arial"/>
                <w:sz w:val="20"/>
                <w:szCs w:val="20"/>
              </w:rPr>
              <w:t xml:space="preserve">AEs </w:t>
            </w:r>
            <w:r w:rsidRPr="00770C0D">
              <w:rPr>
                <w:rFonts w:cs="Arial"/>
                <w:sz w:val="20"/>
                <w:szCs w:val="20"/>
              </w:rPr>
              <w:t>were reported by 60%, 55% and 50% of subjects in the maraviroc QD, maraviroc BID and placebo groups</w:t>
            </w:r>
            <w:r>
              <w:rPr>
                <w:rFonts w:cs="Arial"/>
                <w:sz w:val="20"/>
                <w:szCs w:val="20"/>
              </w:rPr>
              <w:t xml:space="preserve">. </w:t>
            </w:r>
            <w:r w:rsidRPr="00770C0D">
              <w:rPr>
                <w:rFonts w:cs="Arial"/>
                <w:sz w:val="20"/>
                <w:szCs w:val="20"/>
              </w:rPr>
              <w:t>The majority were Grade 1 or 2.</w:t>
            </w:r>
            <w:r>
              <w:rPr>
                <w:rFonts w:cs="Arial"/>
                <w:sz w:val="20"/>
                <w:szCs w:val="20"/>
              </w:rPr>
              <w:t xml:space="preserve"> </w:t>
            </w:r>
            <w:r w:rsidRPr="00770C0D">
              <w:rPr>
                <w:rFonts w:cs="Arial"/>
                <w:sz w:val="20"/>
                <w:szCs w:val="20"/>
              </w:rPr>
              <w:t>Category C infections and infestations were reported by 16 of the maraviroc QD group</w:t>
            </w:r>
            <w:r>
              <w:rPr>
                <w:rFonts w:cs="Arial"/>
                <w:sz w:val="20"/>
                <w:szCs w:val="20"/>
              </w:rPr>
              <w:t>, 8 in the maraviroc BI</w:t>
            </w:r>
            <w:r w:rsidRPr="00770C0D">
              <w:rPr>
                <w:rFonts w:cs="Arial"/>
                <w:sz w:val="20"/>
                <w:szCs w:val="20"/>
              </w:rPr>
              <w:t>D group and 9 in the placebo group.</w:t>
            </w:r>
            <w:r>
              <w:rPr>
                <w:rFonts w:cs="Arial"/>
                <w:sz w:val="20"/>
                <w:szCs w:val="20"/>
              </w:rPr>
              <w:t xml:space="preserve"> </w:t>
            </w:r>
            <w:r w:rsidRPr="00770C0D">
              <w:rPr>
                <w:rFonts w:cs="Arial"/>
                <w:sz w:val="20"/>
                <w:szCs w:val="20"/>
              </w:rPr>
              <w:t xml:space="preserve">Deaths: 4 </w:t>
            </w:r>
            <w:r>
              <w:rPr>
                <w:rFonts w:cs="Arial"/>
                <w:sz w:val="20"/>
                <w:szCs w:val="20"/>
              </w:rPr>
              <w:t xml:space="preserve">in </w:t>
            </w:r>
            <w:r w:rsidRPr="00770C0D">
              <w:rPr>
                <w:rFonts w:cs="Arial"/>
                <w:sz w:val="20"/>
                <w:szCs w:val="20"/>
              </w:rPr>
              <w:t xml:space="preserve">the maraviroc QD group, 5 </w:t>
            </w:r>
            <w:r>
              <w:rPr>
                <w:rFonts w:cs="Arial"/>
                <w:sz w:val="20"/>
                <w:szCs w:val="20"/>
              </w:rPr>
              <w:t xml:space="preserve">in the </w:t>
            </w:r>
            <w:r w:rsidRPr="00770C0D">
              <w:rPr>
                <w:rFonts w:cs="Arial"/>
                <w:sz w:val="20"/>
                <w:szCs w:val="20"/>
              </w:rPr>
              <w:t xml:space="preserve">maraviroc BID </w:t>
            </w:r>
            <w:r>
              <w:rPr>
                <w:rFonts w:cs="Arial"/>
                <w:sz w:val="20"/>
                <w:szCs w:val="20"/>
              </w:rPr>
              <w:t xml:space="preserve">group </w:t>
            </w:r>
            <w:r w:rsidRPr="00770C0D">
              <w:rPr>
                <w:rFonts w:cs="Arial"/>
                <w:sz w:val="20"/>
                <w:szCs w:val="20"/>
              </w:rPr>
              <w:t>and 1 in the placebo group</w:t>
            </w:r>
            <w:r>
              <w:rPr>
                <w:rFonts w:cs="Arial"/>
                <w:sz w:val="20"/>
                <w:szCs w:val="20"/>
              </w:rPr>
              <w:t xml:space="preserve">. No deaths </w:t>
            </w:r>
            <w:r w:rsidRPr="00770C0D">
              <w:rPr>
                <w:rFonts w:cs="Arial"/>
                <w:sz w:val="20"/>
                <w:szCs w:val="20"/>
              </w:rPr>
              <w:t>considered treatment related.</w:t>
            </w:r>
            <w:r>
              <w:rPr>
                <w:rFonts w:cs="Arial"/>
                <w:sz w:val="20"/>
                <w:szCs w:val="20"/>
              </w:rPr>
              <w:t xml:space="preserve"> </w:t>
            </w:r>
            <w:r w:rsidRPr="00770C0D">
              <w:rPr>
                <w:rFonts w:cs="Arial"/>
                <w:sz w:val="20"/>
                <w:szCs w:val="20"/>
              </w:rPr>
              <w:t>A</w:t>
            </w:r>
            <w:r>
              <w:rPr>
                <w:rFonts w:cs="Arial"/>
                <w:sz w:val="20"/>
                <w:szCs w:val="20"/>
              </w:rPr>
              <w:t xml:space="preserve">bout </w:t>
            </w:r>
            <w:r w:rsidRPr="00770C0D">
              <w:rPr>
                <w:rFonts w:cs="Arial"/>
                <w:sz w:val="20"/>
                <w:szCs w:val="20"/>
              </w:rPr>
              <w:t xml:space="preserve">17% of patients in each group reported </w:t>
            </w:r>
            <w:r>
              <w:rPr>
                <w:rFonts w:cs="Arial"/>
                <w:sz w:val="20"/>
                <w:szCs w:val="20"/>
              </w:rPr>
              <w:t>SAEs</w:t>
            </w:r>
            <w:r w:rsidRPr="00770C0D">
              <w:rPr>
                <w:rFonts w:cs="Arial"/>
                <w:sz w:val="20"/>
                <w:szCs w:val="20"/>
              </w:rPr>
              <w:t>.Permanent discontinuation</w:t>
            </w:r>
            <w:r>
              <w:rPr>
                <w:rFonts w:cs="Arial"/>
                <w:sz w:val="20"/>
                <w:szCs w:val="20"/>
              </w:rPr>
              <w:t>s: 7 in the maraviroc QD group (</w:t>
            </w:r>
            <w:r w:rsidRPr="00770C0D">
              <w:rPr>
                <w:rFonts w:cs="Arial"/>
                <w:sz w:val="20"/>
                <w:szCs w:val="20"/>
              </w:rPr>
              <w:t>for myalgia (2), muscular weakness, ALT and AST increased, peripheral oedema, anaemia and diarrhoea</w:t>
            </w:r>
            <w:r>
              <w:rPr>
                <w:rFonts w:cs="Arial"/>
                <w:sz w:val="20"/>
                <w:szCs w:val="20"/>
              </w:rPr>
              <w:t>)</w:t>
            </w:r>
            <w:r w:rsidRPr="00770C0D">
              <w:rPr>
                <w:rFonts w:cs="Arial"/>
                <w:sz w:val="20"/>
                <w:szCs w:val="20"/>
              </w:rPr>
              <w:t xml:space="preserve">; 7 in the maraviroc BID group (for </w:t>
            </w:r>
            <w:r>
              <w:rPr>
                <w:rFonts w:cs="Arial"/>
                <w:sz w:val="20"/>
                <w:szCs w:val="20"/>
              </w:rPr>
              <w:t>VL</w:t>
            </w:r>
            <w:r w:rsidRPr="00770C0D">
              <w:rPr>
                <w:rFonts w:cs="Arial"/>
                <w:sz w:val="20"/>
                <w:szCs w:val="20"/>
              </w:rPr>
              <w:t xml:space="preserve"> increased, hepatic failure, ALT and AST increased, syncope, bile duct cancer, orthostatic hypotension, and ALT, AST and </w:t>
            </w:r>
            <w:r>
              <w:rPr>
                <w:rFonts w:cs="Arial"/>
                <w:sz w:val="20"/>
                <w:szCs w:val="20"/>
              </w:rPr>
              <w:t>GGT</w:t>
            </w:r>
            <w:r w:rsidRPr="00770C0D">
              <w:rPr>
                <w:rFonts w:cs="Arial"/>
                <w:sz w:val="20"/>
                <w:szCs w:val="20"/>
              </w:rPr>
              <w:t xml:space="preserve"> increased) and 3 in the placebo group (for cytolytic hepatitis, dizziness and hepatic enzyme increased).</w:t>
            </w:r>
          </w:p>
        </w:tc>
      </w:tr>
    </w:tbl>
    <w:p w:rsidR="002C782A" w:rsidRDefault="002C782A" w:rsidP="002C782A">
      <w:pPr>
        <w:sectPr w:rsidR="002C782A" w:rsidSect="00546C7E">
          <w:footerReference w:type="default" r:id="rId23"/>
          <w:endnotePr>
            <w:numFmt w:val="decimal"/>
          </w:endnotePr>
          <w:pgSz w:w="16838" w:h="11906" w:orient="landscape"/>
          <w:pgMar w:top="1418" w:right="1134" w:bottom="1134" w:left="1247" w:header="907" w:footer="1021" w:gutter="0"/>
          <w:cols w:space="720"/>
        </w:sectPr>
      </w:pPr>
    </w:p>
    <w:p w:rsidR="002C782A" w:rsidRDefault="002C782A" w:rsidP="00EF687C">
      <w:pPr>
        <w:pStyle w:val="TableTitle"/>
        <w:rPr>
          <w:kern w:val="16"/>
        </w:rPr>
      </w:pPr>
      <w:bookmarkStart w:id="40" w:name="_Ref302572848"/>
      <w:bookmarkStart w:id="41" w:name="_Ref302572851"/>
      <w:r>
        <w:lastRenderedPageBreak/>
        <w:t xml:space="preserve">Table </w:t>
      </w:r>
      <w:bookmarkEnd w:id="40"/>
      <w:r>
        <w:t>4 Summary of Study A4001029 – 48 Week Report</w:t>
      </w:r>
      <w:bookmarkEnd w:id="41"/>
    </w:p>
    <w:tbl>
      <w:tblPr>
        <w:tblW w:w="14318" w:type="dxa"/>
        <w:tblInd w:w="-318" w:type="dxa"/>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ook w:val="01E0"/>
      </w:tblPr>
      <w:tblGrid>
        <w:gridCol w:w="1986"/>
        <w:gridCol w:w="4110"/>
        <w:gridCol w:w="2268"/>
        <w:gridCol w:w="2410"/>
        <w:gridCol w:w="3544"/>
      </w:tblGrid>
      <w:tr w:rsidR="002C782A" w:rsidRPr="00C62E75" w:rsidTr="00EF687C">
        <w:trPr>
          <w:tblHeader/>
        </w:trPr>
        <w:tc>
          <w:tcPr>
            <w:tcW w:w="1986"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C62E75"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C62E75">
              <w:rPr>
                <w:rFonts w:cs="Arial"/>
                <w:b/>
                <w:color w:val="FFFFFF" w:themeColor="background1"/>
                <w:sz w:val="20"/>
                <w:szCs w:val="20"/>
              </w:rPr>
              <w:t>Investigator, Country, Year</w:t>
            </w:r>
          </w:p>
        </w:tc>
        <w:tc>
          <w:tcPr>
            <w:tcW w:w="4110"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C62E75"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C62E75">
              <w:rPr>
                <w:rFonts w:cs="Arial"/>
                <w:b/>
                <w:color w:val="FFFFFF" w:themeColor="background1"/>
                <w:sz w:val="20"/>
                <w:szCs w:val="20"/>
              </w:rPr>
              <w:t>Design/objectives</w:t>
            </w:r>
          </w:p>
        </w:tc>
        <w:tc>
          <w:tcPr>
            <w:tcW w:w="2268"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C62E75"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C62E75">
              <w:rPr>
                <w:rFonts w:cs="Arial"/>
                <w:b/>
                <w:color w:val="FFFFFF" w:themeColor="background1"/>
                <w:sz w:val="20"/>
                <w:szCs w:val="20"/>
              </w:rPr>
              <w:t>Participants</w:t>
            </w:r>
          </w:p>
        </w:tc>
        <w:tc>
          <w:tcPr>
            <w:tcW w:w="2410" w:type="dxa"/>
            <w:tcBorders>
              <w:top w:val="single" w:sz="12" w:space="0" w:color="auto"/>
              <w:left w:val="single" w:sz="4" w:space="0" w:color="auto"/>
              <w:bottom w:val="single" w:sz="12" w:space="0" w:color="auto"/>
              <w:right w:val="single" w:sz="4" w:space="0" w:color="auto"/>
            </w:tcBorders>
            <w:shd w:val="clear" w:color="auto" w:fill="0070C0"/>
            <w:hideMark/>
          </w:tcPr>
          <w:p w:rsidR="002C782A" w:rsidRPr="00C62E75"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C62E75">
              <w:rPr>
                <w:rFonts w:cs="Arial"/>
                <w:b/>
                <w:color w:val="FFFFFF" w:themeColor="background1"/>
                <w:sz w:val="20"/>
                <w:szCs w:val="20"/>
              </w:rPr>
              <w:t>Efficacy results</w:t>
            </w:r>
          </w:p>
        </w:tc>
        <w:tc>
          <w:tcPr>
            <w:tcW w:w="3544" w:type="dxa"/>
            <w:tcBorders>
              <w:top w:val="single" w:sz="12" w:space="0" w:color="auto"/>
              <w:left w:val="single" w:sz="4" w:space="0" w:color="auto"/>
              <w:bottom w:val="single" w:sz="12" w:space="0" w:color="auto"/>
              <w:right w:val="single" w:sz="12" w:space="0" w:color="auto"/>
            </w:tcBorders>
            <w:shd w:val="clear" w:color="auto" w:fill="0070C0"/>
            <w:hideMark/>
          </w:tcPr>
          <w:p w:rsidR="002C782A" w:rsidRPr="00C62E75" w:rsidRDefault="002C782A" w:rsidP="00546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b/>
                <w:color w:val="FFFFFF" w:themeColor="background1"/>
                <w:kern w:val="16"/>
                <w:sz w:val="20"/>
                <w:szCs w:val="20"/>
              </w:rPr>
            </w:pPr>
            <w:r w:rsidRPr="00C62E75">
              <w:rPr>
                <w:rFonts w:cs="Arial"/>
                <w:b/>
                <w:color w:val="FFFFFF" w:themeColor="background1"/>
                <w:sz w:val="20"/>
                <w:szCs w:val="20"/>
              </w:rPr>
              <w:t>Safety results</w:t>
            </w:r>
          </w:p>
        </w:tc>
      </w:tr>
      <w:tr w:rsidR="002C782A" w:rsidRPr="00770C0D" w:rsidTr="00E87B6E">
        <w:tc>
          <w:tcPr>
            <w:tcW w:w="1986" w:type="dxa"/>
            <w:tcBorders>
              <w:top w:val="single" w:sz="12" w:space="0" w:color="auto"/>
              <w:left w:val="single" w:sz="4" w:space="0" w:color="auto"/>
              <w:bottom w:val="single" w:sz="12" w:space="0" w:color="auto"/>
              <w:right w:val="single" w:sz="4" w:space="0" w:color="auto"/>
            </w:tcBorders>
          </w:tcPr>
          <w:p w:rsidR="00B17D46" w:rsidRDefault="002C782A" w:rsidP="00B17D46">
            <w:pPr>
              <w:rPr>
                <w:rFonts w:cs="Arial"/>
                <w:sz w:val="20"/>
                <w:szCs w:val="20"/>
              </w:rPr>
            </w:pPr>
            <w:r w:rsidRPr="00770C0D">
              <w:rPr>
                <w:rFonts w:cs="Arial"/>
                <w:sz w:val="20"/>
                <w:szCs w:val="20"/>
              </w:rPr>
              <w:t>Multiple investigators at 72 centres in 9 countries: Australia, Belgium, Canada, Germany, Netherlands, Spain, Switzerland, the United Kingdom and the US</w:t>
            </w:r>
            <w:r>
              <w:rPr>
                <w:rFonts w:cs="Arial"/>
                <w:sz w:val="20"/>
                <w:szCs w:val="20"/>
              </w:rPr>
              <w:t>.</w:t>
            </w:r>
          </w:p>
          <w:p w:rsidR="002C782A" w:rsidRPr="00770C0D" w:rsidRDefault="00B17D46" w:rsidP="00A52AB8">
            <w:pPr>
              <w:rPr>
                <w:rFonts w:cs="Arial"/>
                <w:kern w:val="16"/>
                <w:sz w:val="20"/>
                <w:szCs w:val="20"/>
              </w:rPr>
            </w:pPr>
            <w:r w:rsidRPr="00770C0D">
              <w:rPr>
                <w:rFonts w:cs="Arial"/>
                <w:sz w:val="20"/>
                <w:szCs w:val="20"/>
              </w:rPr>
              <w:t>November 2004 to May 2006</w:t>
            </w:r>
          </w:p>
        </w:tc>
        <w:tc>
          <w:tcPr>
            <w:tcW w:w="4110"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sz w:val="20"/>
                <w:szCs w:val="20"/>
              </w:rPr>
            </w:pPr>
            <w:r>
              <w:rPr>
                <w:rFonts w:cs="Arial"/>
                <w:sz w:val="20"/>
                <w:szCs w:val="20"/>
              </w:rPr>
              <w:t>A Phase IIb, multicenter, randomis</w:t>
            </w:r>
            <w:r w:rsidRPr="00770C0D">
              <w:rPr>
                <w:rFonts w:cs="Arial"/>
                <w:sz w:val="20"/>
                <w:szCs w:val="20"/>
              </w:rPr>
              <w:t xml:space="preserve">ed, double-blind, </w:t>
            </w:r>
            <w:proofErr w:type="gramStart"/>
            <w:r w:rsidRPr="00770C0D">
              <w:rPr>
                <w:rFonts w:cs="Arial"/>
                <w:sz w:val="20"/>
                <w:szCs w:val="20"/>
              </w:rPr>
              <w:t>placebo</w:t>
            </w:r>
            <w:proofErr w:type="gramEnd"/>
            <w:r w:rsidRPr="00770C0D">
              <w:rPr>
                <w:rFonts w:cs="Arial"/>
                <w:sz w:val="20"/>
                <w:szCs w:val="20"/>
              </w:rPr>
              <w:t xml:space="preserve"> controlled trial of maraviroc in combination with</w:t>
            </w:r>
            <w:r>
              <w:rPr>
                <w:rFonts w:cs="Arial"/>
                <w:sz w:val="20"/>
                <w:szCs w:val="20"/>
              </w:rPr>
              <w:t xml:space="preserve"> optimised background therapy</w:t>
            </w:r>
            <w:r w:rsidRPr="00770C0D">
              <w:rPr>
                <w:rFonts w:cs="Arial"/>
                <w:sz w:val="20"/>
                <w:szCs w:val="20"/>
              </w:rPr>
              <w:t xml:space="preserve"> </w:t>
            </w:r>
            <w:r>
              <w:rPr>
                <w:rFonts w:cs="Arial"/>
                <w:sz w:val="20"/>
                <w:szCs w:val="20"/>
              </w:rPr>
              <w:t>(</w:t>
            </w:r>
            <w:r w:rsidRPr="00770C0D">
              <w:rPr>
                <w:rFonts w:cs="Arial"/>
                <w:sz w:val="20"/>
                <w:szCs w:val="20"/>
              </w:rPr>
              <w:t>OBT</w:t>
            </w:r>
            <w:r>
              <w:rPr>
                <w:rFonts w:cs="Arial"/>
                <w:sz w:val="20"/>
                <w:szCs w:val="20"/>
              </w:rPr>
              <w:t>)</w:t>
            </w:r>
            <w:r w:rsidRPr="00770C0D">
              <w:rPr>
                <w:rFonts w:cs="Arial"/>
                <w:sz w:val="20"/>
                <w:szCs w:val="20"/>
              </w:rPr>
              <w:t xml:space="preserve"> versus OBT alone for the treatment of antiretroviral-experienced patients infected with non- CCR5 tropic HIV-1. Primary objective was to assess whether maraviroc added to OBT provided additional reduction in plasma </w:t>
            </w:r>
            <w:r>
              <w:rPr>
                <w:rFonts w:cs="Arial"/>
                <w:sz w:val="20"/>
                <w:szCs w:val="20"/>
              </w:rPr>
              <w:t>VL</w:t>
            </w:r>
            <w:r w:rsidRPr="00770C0D">
              <w:rPr>
                <w:rFonts w:cs="Arial"/>
                <w:sz w:val="20"/>
                <w:szCs w:val="20"/>
              </w:rPr>
              <w:t xml:space="preserve"> compared to placebo plus OBT alone as measured by the difference in mean changes from baseline in plasma </w:t>
            </w:r>
            <w:r>
              <w:rPr>
                <w:rFonts w:cs="Arial"/>
                <w:sz w:val="20"/>
                <w:szCs w:val="20"/>
              </w:rPr>
              <w:t>VL</w:t>
            </w:r>
            <w:r w:rsidRPr="00770C0D">
              <w:rPr>
                <w:rFonts w:cs="Arial"/>
                <w:sz w:val="20"/>
                <w:szCs w:val="20"/>
              </w:rPr>
              <w:t xml:space="preserve"> at Week 24. Secondary objective to make similar assessment at Week 48.</w:t>
            </w:r>
          </w:p>
          <w:p w:rsidR="002C782A" w:rsidRPr="00770C0D" w:rsidRDefault="002C782A" w:rsidP="00546C7E">
            <w:pPr>
              <w:spacing w:after="0" w:line="240" w:lineRule="auto"/>
              <w:rPr>
                <w:rFonts w:cs="Arial"/>
                <w:sz w:val="20"/>
                <w:szCs w:val="20"/>
              </w:rPr>
            </w:pPr>
            <w:r w:rsidRPr="00770C0D">
              <w:rPr>
                <w:rFonts w:cs="Arial"/>
                <w:sz w:val="20"/>
                <w:szCs w:val="20"/>
              </w:rPr>
              <w:t>Treatments were</w:t>
            </w:r>
            <w:proofErr w:type="gramStart"/>
            <w:r w:rsidRPr="00770C0D">
              <w:rPr>
                <w:rFonts w:cs="Arial"/>
                <w:sz w:val="20"/>
                <w:szCs w:val="20"/>
              </w:rPr>
              <w:t>:</w:t>
            </w:r>
            <w:proofErr w:type="gramEnd"/>
            <w:r w:rsidR="00B17D46">
              <w:rPr>
                <w:rFonts w:cs="Arial"/>
                <w:sz w:val="20"/>
                <w:szCs w:val="20"/>
              </w:rPr>
              <w:br/>
            </w:r>
            <w:r w:rsidRPr="00770C0D">
              <w:rPr>
                <w:rFonts w:cs="Arial"/>
                <w:sz w:val="20"/>
                <w:szCs w:val="20"/>
              </w:rPr>
              <w:t xml:space="preserve">Maraviroc 300 mg </w:t>
            </w:r>
            <w:r>
              <w:rPr>
                <w:rFonts w:cs="Arial"/>
                <w:sz w:val="20"/>
                <w:szCs w:val="20"/>
              </w:rPr>
              <w:t xml:space="preserve">once daily (QD) </w:t>
            </w:r>
            <w:r w:rsidRPr="00770C0D">
              <w:rPr>
                <w:rFonts w:cs="Arial"/>
                <w:sz w:val="20"/>
                <w:szCs w:val="20"/>
              </w:rPr>
              <w:t>plus OBT</w:t>
            </w:r>
            <w:r w:rsidR="00B17D46">
              <w:rPr>
                <w:rFonts w:cs="Arial"/>
                <w:sz w:val="20"/>
                <w:szCs w:val="20"/>
              </w:rPr>
              <w:br/>
            </w:r>
            <w:r w:rsidRPr="00770C0D">
              <w:rPr>
                <w:rFonts w:cs="Arial"/>
                <w:sz w:val="20"/>
                <w:szCs w:val="20"/>
              </w:rPr>
              <w:t xml:space="preserve">Maraviroc 300 mg </w:t>
            </w:r>
            <w:r>
              <w:rPr>
                <w:rFonts w:cs="Arial"/>
                <w:sz w:val="20"/>
                <w:szCs w:val="20"/>
              </w:rPr>
              <w:t xml:space="preserve">twice daily (BID) </w:t>
            </w:r>
            <w:r w:rsidRPr="00770C0D">
              <w:rPr>
                <w:rFonts w:cs="Arial"/>
                <w:sz w:val="20"/>
                <w:szCs w:val="20"/>
              </w:rPr>
              <w:t>plus OBT</w:t>
            </w:r>
            <w:r w:rsidR="00B17D46">
              <w:rPr>
                <w:rFonts w:cs="Arial"/>
                <w:sz w:val="20"/>
                <w:szCs w:val="20"/>
              </w:rPr>
              <w:br/>
            </w:r>
            <w:r w:rsidRPr="00770C0D">
              <w:rPr>
                <w:rFonts w:cs="Arial"/>
                <w:sz w:val="20"/>
                <w:szCs w:val="20"/>
              </w:rPr>
              <w:t>Placebo plus OBT</w:t>
            </w:r>
            <w:r>
              <w:rPr>
                <w:rFonts w:cs="Arial"/>
                <w:sz w:val="20"/>
                <w:szCs w:val="20"/>
              </w:rPr>
              <w:t>.</w:t>
            </w:r>
          </w:p>
          <w:p w:rsidR="002C782A" w:rsidRPr="00770C0D" w:rsidRDefault="002C782A" w:rsidP="00B17D46">
            <w:pPr>
              <w:spacing w:after="0" w:line="240" w:lineRule="auto"/>
              <w:rPr>
                <w:rFonts w:cs="Arial"/>
                <w:kern w:val="16"/>
                <w:sz w:val="20"/>
                <w:szCs w:val="20"/>
              </w:rPr>
            </w:pPr>
            <w:r w:rsidRPr="00770C0D">
              <w:rPr>
                <w:rFonts w:cs="Arial"/>
                <w:sz w:val="20"/>
                <w:szCs w:val="20"/>
              </w:rPr>
              <w:t>(Maraviroc 150 mg was substituted if the OBT contained ≥ 1 protease inhibitor and/or delavirdine</w:t>
            </w:r>
            <w:r>
              <w:rPr>
                <w:rFonts w:cs="Arial"/>
                <w:sz w:val="20"/>
                <w:szCs w:val="20"/>
              </w:rPr>
              <w:t xml:space="preserve">. </w:t>
            </w:r>
            <w:r w:rsidRPr="00770C0D">
              <w:rPr>
                <w:rFonts w:cs="Arial"/>
                <w:sz w:val="20"/>
                <w:szCs w:val="20"/>
              </w:rPr>
              <w:t>OBT included 3 to 6 approved antiretroviral agents (excluding low dose ritonavir)</w:t>
            </w:r>
            <w:r>
              <w:rPr>
                <w:rFonts w:cs="Arial"/>
                <w:sz w:val="20"/>
                <w:szCs w:val="20"/>
              </w:rPr>
              <w:t>).</w:t>
            </w:r>
          </w:p>
        </w:tc>
        <w:tc>
          <w:tcPr>
            <w:tcW w:w="2268" w:type="dxa"/>
            <w:tcBorders>
              <w:top w:val="single" w:sz="12" w:space="0" w:color="auto"/>
              <w:left w:val="single" w:sz="4" w:space="0" w:color="auto"/>
              <w:bottom w:val="single" w:sz="12" w:space="0" w:color="auto"/>
              <w:right w:val="single" w:sz="4" w:space="0" w:color="auto"/>
            </w:tcBorders>
          </w:tcPr>
          <w:p w:rsidR="002C782A" w:rsidRPr="00770C0D" w:rsidRDefault="002C782A" w:rsidP="00546C7E">
            <w:pPr>
              <w:spacing w:after="0" w:line="240" w:lineRule="auto"/>
              <w:rPr>
                <w:rFonts w:cs="Arial"/>
                <w:kern w:val="16"/>
                <w:sz w:val="20"/>
                <w:szCs w:val="20"/>
              </w:rPr>
            </w:pPr>
            <w:r w:rsidRPr="00770C0D">
              <w:rPr>
                <w:rFonts w:cs="Arial"/>
                <w:sz w:val="20"/>
                <w:szCs w:val="20"/>
              </w:rPr>
              <w:t>Patients ≥ 16 years with dual/mixed, CXCR4 or non-reportable/non-phenotypable HIV-1 infection with ≥ 3 months prior treatment with at least 1 agent from 3 of the 4 antiretroviral drug classes or documented resistance to members from 3 of 4 classes, a stable antiretroviral regimen for at least 4 weeks prior to randomisation and a p</w:t>
            </w:r>
            <w:r>
              <w:rPr>
                <w:rFonts w:cs="Arial"/>
                <w:sz w:val="20"/>
                <w:szCs w:val="20"/>
              </w:rPr>
              <w:t>lasma VL ≥ </w:t>
            </w:r>
            <w:r w:rsidRPr="00770C0D">
              <w:rPr>
                <w:rFonts w:cs="Arial"/>
                <w:sz w:val="20"/>
                <w:szCs w:val="20"/>
              </w:rPr>
              <w:t>5,000 copies/mL.</w:t>
            </w:r>
          </w:p>
          <w:p w:rsidR="002C782A" w:rsidRPr="00770C0D" w:rsidRDefault="002C782A" w:rsidP="00546C7E">
            <w:pPr>
              <w:spacing w:after="0" w:line="240" w:lineRule="auto"/>
              <w:rPr>
                <w:rFonts w:cs="Arial"/>
                <w:sz w:val="20"/>
                <w:szCs w:val="20"/>
              </w:rPr>
            </w:pPr>
            <w:r w:rsidRPr="00770C0D">
              <w:rPr>
                <w:rFonts w:cs="Arial"/>
                <w:sz w:val="20"/>
                <w:szCs w:val="20"/>
              </w:rPr>
              <w:t>Screened</w:t>
            </w:r>
            <w:r>
              <w:rPr>
                <w:rFonts w:cs="Arial"/>
                <w:sz w:val="20"/>
                <w:szCs w:val="20"/>
              </w:rPr>
              <w:t>:</w:t>
            </w:r>
            <w:r w:rsidRPr="00770C0D">
              <w:rPr>
                <w:rFonts w:cs="Arial"/>
                <w:sz w:val="20"/>
                <w:szCs w:val="20"/>
              </w:rPr>
              <w:t xml:space="preserve"> 232, Randomised</w:t>
            </w:r>
            <w:r>
              <w:rPr>
                <w:rFonts w:cs="Arial"/>
                <w:sz w:val="20"/>
                <w:szCs w:val="20"/>
              </w:rPr>
              <w:t>:</w:t>
            </w:r>
            <w:r w:rsidRPr="00770C0D">
              <w:rPr>
                <w:rFonts w:cs="Arial"/>
                <w:sz w:val="20"/>
                <w:szCs w:val="20"/>
              </w:rPr>
              <w:t xml:space="preserve"> 190</w:t>
            </w:r>
            <w:r w:rsidR="00A41D88">
              <w:rPr>
                <w:rFonts w:cs="Arial"/>
                <w:sz w:val="20"/>
                <w:szCs w:val="20"/>
              </w:rPr>
              <w:br/>
            </w:r>
            <w:r w:rsidRPr="00770C0D">
              <w:rPr>
                <w:rFonts w:cs="Arial"/>
                <w:sz w:val="20"/>
                <w:szCs w:val="20"/>
              </w:rPr>
              <w:t>Treated</w:t>
            </w:r>
            <w:r>
              <w:rPr>
                <w:rFonts w:cs="Arial"/>
                <w:sz w:val="20"/>
                <w:szCs w:val="20"/>
              </w:rPr>
              <w:t>:</w:t>
            </w:r>
            <w:r w:rsidRPr="00770C0D">
              <w:rPr>
                <w:rFonts w:cs="Arial"/>
                <w:sz w:val="20"/>
                <w:szCs w:val="20"/>
              </w:rPr>
              <w:t xml:space="preserve"> 186:</w:t>
            </w:r>
          </w:p>
          <w:p w:rsidR="002C782A" w:rsidRPr="00770C0D" w:rsidRDefault="002C782A" w:rsidP="00546C7E">
            <w:pPr>
              <w:spacing w:after="0" w:line="240" w:lineRule="auto"/>
              <w:rPr>
                <w:rFonts w:cs="Arial"/>
                <w:sz w:val="20"/>
                <w:szCs w:val="20"/>
              </w:rPr>
            </w:pPr>
            <w:r>
              <w:rPr>
                <w:rFonts w:cs="Arial"/>
                <w:sz w:val="20"/>
                <w:szCs w:val="20"/>
              </w:rPr>
              <w:t>Maraviroc Q</w:t>
            </w:r>
            <w:r w:rsidRPr="00770C0D">
              <w:rPr>
                <w:rFonts w:cs="Arial"/>
                <w:sz w:val="20"/>
                <w:szCs w:val="20"/>
              </w:rPr>
              <w:t>D</w:t>
            </w:r>
            <w:r>
              <w:rPr>
                <w:rFonts w:cs="Arial"/>
                <w:sz w:val="20"/>
                <w:szCs w:val="20"/>
              </w:rPr>
              <w:t>:</w:t>
            </w:r>
            <w:r w:rsidRPr="00770C0D">
              <w:rPr>
                <w:rFonts w:cs="Arial"/>
                <w:sz w:val="20"/>
                <w:szCs w:val="20"/>
              </w:rPr>
              <w:t xml:space="preserve"> 63, Maraviroc BID</w:t>
            </w:r>
            <w:r>
              <w:rPr>
                <w:rFonts w:cs="Arial"/>
                <w:sz w:val="20"/>
                <w:szCs w:val="20"/>
              </w:rPr>
              <w:t>:</w:t>
            </w:r>
            <w:r w:rsidRPr="00770C0D">
              <w:rPr>
                <w:rFonts w:cs="Arial"/>
                <w:sz w:val="20"/>
                <w:szCs w:val="20"/>
              </w:rPr>
              <w:t xml:space="preserve"> 61, Placebo</w:t>
            </w:r>
            <w:r>
              <w:rPr>
                <w:rFonts w:cs="Arial"/>
                <w:sz w:val="20"/>
                <w:szCs w:val="20"/>
              </w:rPr>
              <w:t>:</w:t>
            </w:r>
            <w:r w:rsidRPr="00770C0D">
              <w:rPr>
                <w:rFonts w:cs="Arial"/>
                <w:sz w:val="20"/>
                <w:szCs w:val="20"/>
              </w:rPr>
              <w:t xml:space="preserve"> 62.</w:t>
            </w:r>
          </w:p>
          <w:p w:rsidR="002C782A" w:rsidRPr="00770C0D" w:rsidRDefault="002C782A" w:rsidP="00A41D88">
            <w:pPr>
              <w:spacing w:after="0" w:line="240" w:lineRule="auto"/>
              <w:rPr>
                <w:rFonts w:cs="Arial"/>
                <w:kern w:val="16"/>
                <w:sz w:val="20"/>
                <w:szCs w:val="20"/>
              </w:rPr>
            </w:pPr>
            <w:r w:rsidRPr="00770C0D">
              <w:rPr>
                <w:rFonts w:cs="Arial"/>
                <w:sz w:val="20"/>
                <w:szCs w:val="20"/>
              </w:rPr>
              <w:t>Males 87%, White 64.5%, Black 29%, Asian 4.8%</w:t>
            </w:r>
            <w:r w:rsidR="00A41D88">
              <w:rPr>
                <w:rFonts w:cs="Arial"/>
                <w:sz w:val="20"/>
                <w:szCs w:val="20"/>
              </w:rPr>
              <w:br/>
            </w:r>
            <w:r>
              <w:rPr>
                <w:rFonts w:cs="Arial"/>
                <w:sz w:val="20"/>
                <w:szCs w:val="20"/>
              </w:rPr>
              <w:t>Age range 23</w:t>
            </w:r>
            <w:r w:rsidRPr="00770C0D">
              <w:rPr>
                <w:rFonts w:cs="Arial"/>
                <w:sz w:val="20"/>
                <w:szCs w:val="20"/>
              </w:rPr>
              <w:t xml:space="preserve">-65 </w:t>
            </w:r>
            <w:r>
              <w:rPr>
                <w:rFonts w:cs="Arial"/>
                <w:sz w:val="20"/>
                <w:szCs w:val="20"/>
              </w:rPr>
              <w:t>years</w:t>
            </w:r>
          </w:p>
        </w:tc>
        <w:tc>
          <w:tcPr>
            <w:tcW w:w="2410" w:type="dxa"/>
            <w:tcBorders>
              <w:top w:val="single" w:sz="12" w:space="0" w:color="auto"/>
              <w:left w:val="single" w:sz="4" w:space="0" w:color="auto"/>
              <w:bottom w:val="single" w:sz="12" w:space="0" w:color="auto"/>
              <w:right w:val="single" w:sz="4" w:space="0" w:color="auto"/>
            </w:tcBorders>
            <w:hideMark/>
          </w:tcPr>
          <w:p w:rsidR="002C782A" w:rsidRPr="00770C0D" w:rsidRDefault="002C782A" w:rsidP="00546C7E">
            <w:pPr>
              <w:spacing w:after="0" w:line="240" w:lineRule="auto"/>
              <w:rPr>
                <w:rFonts w:cs="Arial"/>
                <w:sz w:val="20"/>
                <w:szCs w:val="20"/>
              </w:rPr>
            </w:pPr>
            <w:r w:rsidRPr="00770C0D">
              <w:rPr>
                <w:rFonts w:cs="Arial"/>
                <w:i/>
                <w:sz w:val="20"/>
                <w:szCs w:val="20"/>
              </w:rPr>
              <w:t>48 week results</w:t>
            </w:r>
            <w:r w:rsidR="00B17D46">
              <w:rPr>
                <w:rFonts w:cs="Arial"/>
                <w:i/>
                <w:sz w:val="20"/>
                <w:szCs w:val="20"/>
              </w:rPr>
              <w:br/>
            </w:r>
            <w:r w:rsidRPr="00770C0D">
              <w:rPr>
                <w:rFonts w:cs="Arial"/>
                <w:sz w:val="20"/>
                <w:szCs w:val="20"/>
              </w:rPr>
              <w:t>Discontinuations 114 (68%)</w:t>
            </w:r>
          </w:p>
          <w:p w:rsidR="002C782A" w:rsidRPr="00770C0D" w:rsidRDefault="002C782A" w:rsidP="00B17D46">
            <w:pPr>
              <w:spacing w:after="0" w:line="240" w:lineRule="auto"/>
              <w:rPr>
                <w:rFonts w:cs="Arial"/>
                <w:kern w:val="16"/>
                <w:sz w:val="20"/>
                <w:szCs w:val="20"/>
              </w:rPr>
            </w:pPr>
            <w:r w:rsidRPr="00770C0D">
              <w:rPr>
                <w:rFonts w:cs="Arial"/>
                <w:sz w:val="20"/>
                <w:szCs w:val="20"/>
              </w:rPr>
              <w:t xml:space="preserve">The pre-defined criteria of superiority or non-inferiority of the 2 maraviroc regimens </w:t>
            </w:r>
            <w:r>
              <w:rPr>
                <w:rFonts w:cs="Arial"/>
                <w:sz w:val="20"/>
                <w:szCs w:val="20"/>
              </w:rPr>
              <w:t xml:space="preserve">compared </w:t>
            </w:r>
            <w:r w:rsidRPr="00770C0D">
              <w:rPr>
                <w:rFonts w:cs="Arial"/>
                <w:sz w:val="20"/>
                <w:szCs w:val="20"/>
              </w:rPr>
              <w:t xml:space="preserve">to placebo were not met. </w:t>
            </w:r>
            <w:r w:rsidR="00B17D46">
              <w:rPr>
                <w:rFonts w:cs="Arial"/>
                <w:sz w:val="20"/>
                <w:szCs w:val="20"/>
              </w:rPr>
              <w:br/>
            </w:r>
            <w:r w:rsidRPr="00770C0D">
              <w:rPr>
                <w:rFonts w:cs="Arial"/>
                <w:sz w:val="20"/>
                <w:szCs w:val="20"/>
              </w:rPr>
              <w:t>Only 9 participants had a valid tropism result at Week 48.</w:t>
            </w:r>
          </w:p>
        </w:tc>
        <w:tc>
          <w:tcPr>
            <w:tcW w:w="3544" w:type="dxa"/>
            <w:tcBorders>
              <w:top w:val="single" w:sz="12" w:space="0" w:color="auto"/>
              <w:left w:val="single" w:sz="4" w:space="0" w:color="auto"/>
              <w:bottom w:val="single" w:sz="12" w:space="0" w:color="auto"/>
              <w:right w:val="single" w:sz="12" w:space="0" w:color="auto"/>
            </w:tcBorders>
            <w:hideMark/>
          </w:tcPr>
          <w:p w:rsidR="002C782A" w:rsidRPr="00770C0D" w:rsidRDefault="002C782A" w:rsidP="00B17D46">
            <w:pPr>
              <w:spacing w:after="0" w:line="240" w:lineRule="auto"/>
              <w:rPr>
                <w:rFonts w:cs="Arial"/>
                <w:kern w:val="16"/>
                <w:sz w:val="20"/>
                <w:szCs w:val="20"/>
              </w:rPr>
            </w:pPr>
            <w:r w:rsidRPr="00770C0D">
              <w:rPr>
                <w:rFonts w:cs="Arial"/>
                <w:sz w:val="20"/>
                <w:szCs w:val="20"/>
              </w:rPr>
              <w:t>Treatment related adverse events were reported for 44.4% of the maraviroc QD group, 52.5% of the maraviroc BID group and 62.9% of the placebo group</w:t>
            </w:r>
            <w:r w:rsidR="00A52AB8">
              <w:rPr>
                <w:rFonts w:cs="Arial"/>
                <w:sz w:val="20"/>
                <w:szCs w:val="20"/>
              </w:rPr>
              <w:t>.</w:t>
            </w:r>
            <w:r w:rsidR="00B17D46">
              <w:rPr>
                <w:rFonts w:cs="Arial"/>
                <w:sz w:val="20"/>
                <w:szCs w:val="20"/>
              </w:rPr>
              <w:br/>
            </w:r>
            <w:r w:rsidRPr="00770C0D">
              <w:rPr>
                <w:rFonts w:cs="Arial"/>
                <w:sz w:val="20"/>
                <w:szCs w:val="20"/>
              </w:rPr>
              <w:t xml:space="preserve">Serious adverse events were reported for 15.9% of the maraviroc QD group, 16.4% of the maraviroc BID group </w:t>
            </w:r>
            <w:r w:rsidR="00A52AB8">
              <w:rPr>
                <w:rFonts w:cs="Arial"/>
                <w:sz w:val="20"/>
                <w:szCs w:val="20"/>
              </w:rPr>
              <w:t>and 17.7% of the placebo group.</w:t>
            </w:r>
            <w:r w:rsidR="00B17D46">
              <w:rPr>
                <w:rFonts w:cs="Arial"/>
                <w:sz w:val="20"/>
                <w:szCs w:val="20"/>
              </w:rPr>
              <w:br/>
            </w:r>
            <w:r w:rsidRPr="00770C0D">
              <w:rPr>
                <w:rFonts w:cs="Arial"/>
                <w:sz w:val="20"/>
                <w:szCs w:val="20"/>
              </w:rPr>
              <w:t>There were 2 deaths in the maraviroc QD group, 1 in the maraviroc BID gr</w:t>
            </w:r>
            <w:r w:rsidR="00A52AB8">
              <w:rPr>
                <w:rFonts w:cs="Arial"/>
                <w:sz w:val="20"/>
                <w:szCs w:val="20"/>
              </w:rPr>
              <w:t>oup and 2 in the placebo group.</w:t>
            </w:r>
            <w:r w:rsidR="00B17D46">
              <w:rPr>
                <w:rFonts w:cs="Arial"/>
                <w:sz w:val="20"/>
                <w:szCs w:val="20"/>
              </w:rPr>
              <w:br/>
            </w:r>
            <w:r w:rsidRPr="00770C0D">
              <w:rPr>
                <w:rFonts w:cs="Arial"/>
                <w:sz w:val="20"/>
                <w:szCs w:val="20"/>
              </w:rPr>
              <w:t xml:space="preserve">Category C AIDS defining illnesses occurred in 8% of those treated with maraviroc QD, 7% of those treated with maraviroc </w:t>
            </w:r>
            <w:r w:rsidR="00A52AB8">
              <w:rPr>
                <w:rFonts w:cs="Arial"/>
                <w:sz w:val="20"/>
                <w:szCs w:val="20"/>
              </w:rPr>
              <w:t>BID and 3% of those on placebo.</w:t>
            </w:r>
            <w:r w:rsidR="00B17D46">
              <w:rPr>
                <w:rFonts w:cs="Arial"/>
                <w:sz w:val="20"/>
                <w:szCs w:val="20"/>
              </w:rPr>
              <w:br/>
            </w:r>
            <w:r w:rsidRPr="00770C0D">
              <w:rPr>
                <w:rFonts w:cs="Arial"/>
                <w:sz w:val="20"/>
                <w:szCs w:val="20"/>
              </w:rPr>
              <w:t>Discontinuations due to adverse events were reported for 2% of the maraviroc QD group, 3% of the maraviroc BID group and 8% of the placebo group.</w:t>
            </w:r>
          </w:p>
        </w:tc>
      </w:tr>
    </w:tbl>
    <w:p w:rsidR="002C782A" w:rsidRDefault="002C782A" w:rsidP="002C782A">
      <w:pPr>
        <w:sectPr w:rsidR="002C782A" w:rsidSect="00546C7E">
          <w:footerReference w:type="default" r:id="rId24"/>
          <w:pgSz w:w="16838" w:h="11906" w:orient="landscape" w:code="9"/>
          <w:pgMar w:top="1560" w:right="1701" w:bottom="1418" w:left="1559" w:header="907" w:footer="142" w:gutter="0"/>
          <w:cols w:space="708"/>
          <w:docGrid w:linePitch="360"/>
        </w:sectPr>
      </w:pPr>
    </w:p>
    <w:p w:rsidR="002C782A" w:rsidRPr="00254787" w:rsidRDefault="002C782A" w:rsidP="002C782A">
      <w:pPr>
        <w:pStyle w:val="Heading3"/>
      </w:pPr>
      <w:bookmarkStart w:id="42" w:name="_Toc196046464"/>
      <w:bookmarkStart w:id="43" w:name="_Toc247691518"/>
      <w:bookmarkStart w:id="44" w:name="_Toc355615882"/>
      <w:bookmarkStart w:id="45" w:name="_Toc366272740"/>
      <w:r w:rsidRPr="00254787">
        <w:lastRenderedPageBreak/>
        <w:t>Pharmacokinetics</w:t>
      </w:r>
      <w:bookmarkEnd w:id="26"/>
      <w:bookmarkEnd w:id="42"/>
      <w:bookmarkEnd w:id="43"/>
      <w:bookmarkEnd w:id="44"/>
      <w:bookmarkEnd w:id="45"/>
    </w:p>
    <w:p w:rsidR="002C782A" w:rsidRDefault="002C782A" w:rsidP="002810FE">
      <w:pPr>
        <w:pStyle w:val="Heading4"/>
      </w:pPr>
      <w:bookmarkStart w:id="46" w:name="_Toc196046481"/>
      <w:bookmarkStart w:id="47" w:name="_Toc247691520"/>
      <w:r>
        <w:t>Study A4001026 – Treatment naïve patients</w:t>
      </w:r>
    </w:p>
    <w:p w:rsidR="002C782A" w:rsidRDefault="002C782A" w:rsidP="002810FE">
      <w:pPr>
        <w:pStyle w:val="Heading5"/>
      </w:pPr>
      <w:r>
        <w:t>Summary of results</w:t>
      </w:r>
    </w:p>
    <w:p w:rsidR="002C782A" w:rsidRDefault="002C782A" w:rsidP="002810FE">
      <w:r>
        <w:t xml:space="preserve">Population pharmacokinetic (PK) parameters were estimated for use in exposure-response analyses and to explore the influence of covariates. Concentration versus time after dose data were compared with steady state results from Phase IIa study data and were found to be similar in distribution but with greater variability in Study A4001026 data. A significant effect of food in reducing the area under the plasma concentration-time curve (AUC)/average concentration by </w:t>
      </w:r>
      <w:r w:rsidR="002810FE">
        <w:t>11% was documented (p &lt; 0.001).</w:t>
      </w:r>
    </w:p>
    <w:p w:rsidR="002C782A" w:rsidRDefault="002C782A" w:rsidP="002810FE">
      <w:r>
        <w:t>An exploratory PK/pharmacodynamic (PD) analysis was undertaken on 48 Week data using Generalised Additive Models (GAM) to identify relationships between maraviroc 300 mg twice daily (BID) systemic exposure and clinical endpoints, in an effort to determine prognostic factors describing maraviroc effect on the safety and efficacy outcomes of virologic success, CD4</w:t>
      </w:r>
      <w:r w:rsidRPr="00B45D42">
        <w:rPr>
          <w:vertAlign w:val="superscript"/>
        </w:rPr>
        <w:t>+</w:t>
      </w:r>
      <w:r>
        <w:t xml:space="preserve"> count, a</w:t>
      </w:r>
      <w:r w:rsidRPr="00085B72">
        <w:t xml:space="preserve">lanine aminotransferase </w:t>
      </w:r>
      <w:r>
        <w:t>(ALT), a</w:t>
      </w:r>
      <w:r w:rsidRPr="00085B72">
        <w:t xml:space="preserve">spartate aminotransferase </w:t>
      </w:r>
      <w:r>
        <w:t xml:space="preserve">(AST), and </w:t>
      </w:r>
      <w:r w:rsidRPr="00085B72">
        <w:t>creatine kinase</w:t>
      </w:r>
      <w:r>
        <w:t xml:space="preserve"> (CK). Baseline CD4</w:t>
      </w:r>
      <w:r w:rsidRPr="00085B72">
        <w:rPr>
          <w:vertAlign w:val="superscript"/>
        </w:rPr>
        <w:t>+</w:t>
      </w:r>
      <w:r>
        <w:t xml:space="preserve"> count and baseline VL, baseline tropism, and exposure to maraviroc were found to be important prognostic factors of virologic succ</w:t>
      </w:r>
      <w:r w:rsidR="002810FE">
        <w:t>ess.</w:t>
      </w:r>
    </w:p>
    <w:p w:rsidR="002C782A" w:rsidRDefault="002C782A" w:rsidP="002810FE">
      <w:r>
        <w:t xml:space="preserve">The results suggested that in the presence of zidovudine/lamivudine, at maraviroc average concentration </w:t>
      </w:r>
      <w:proofErr w:type="gramStart"/>
      <w:r>
        <w:t>75 ng/mL,</w:t>
      </w:r>
      <w:proofErr w:type="gramEnd"/>
      <w:r>
        <w:t xml:space="preserve"> the probability of success would be 80% of maraviroc net effect. In Study A4001026, 13% of patients had maraviroc average concentrations less than 75 ng/mL. Minor prognostic factors were ra</w:t>
      </w:r>
      <w:r w:rsidR="002810FE">
        <w:t>ce, hemisphere, age, and clade.</w:t>
      </w:r>
    </w:p>
    <w:p w:rsidR="002C782A" w:rsidRPr="002810FE" w:rsidRDefault="002810FE" w:rsidP="002810FE">
      <w:pPr>
        <w:pStyle w:val="Heading5"/>
      </w:pPr>
      <w:r>
        <w:t>Discussion</w:t>
      </w:r>
    </w:p>
    <w:p w:rsidR="002C782A" w:rsidRDefault="002C782A" w:rsidP="002810FE">
      <w:r>
        <w:t>With respect to the population PK analysis, the sponsor’s expert reviewer considered that the data demonstrating higher variability than found in previous studies could be expected from an outpatient study and a more heterogeneous population. The increased variability was considered likely to be the result of poor compliance and/or inaccurate dosing histories and/or a food effect. These differences, particularly in the absorption phase, were considered possibly the result of the (known) interaction of maraviroc with food. The Phase I/IIa data were mostly derived from dosing in the fasted state whereas in Study A4001026 maraviroc doses could be taken without regard to food. However, the expert considered the statistically significant food effect to be clinically insignificant.</w:t>
      </w:r>
    </w:p>
    <w:p w:rsidR="002C782A" w:rsidRDefault="002C782A" w:rsidP="002810FE">
      <w:r>
        <w:t>With respect to the exploratory PK/PD analysis, in addition to baseline variables of CD4</w:t>
      </w:r>
      <w:r>
        <w:rPr>
          <w:vertAlign w:val="superscript"/>
        </w:rPr>
        <w:t>+</w:t>
      </w:r>
      <w:r>
        <w:t xml:space="preserve"> count, VL and viral tropism, race, sex and age were found to influence the hepatic extraction ratio but were considered clinically insignificant by the expert. However, in an effort to maximise efficacy, it may be that taking such variables into consideration in treatment of individuals, rather than in determining clinical significance in populations, may contribute to improved response to treatment. Ultimately, the aim of undertaking studies of populations of HIV-1 infected patients should be to optimise the treatment of individual patients.</w:t>
      </w:r>
    </w:p>
    <w:p w:rsidR="002C782A" w:rsidRDefault="002C782A" w:rsidP="002810FE">
      <w:r>
        <w:t>This PK/PD study potentially generates the hypothesis that attention to attaining a specific average concentration results in higher probability of success in treatment. As timing of drug administration with respect to food was determined in the population PK study to significantly influence drug levels, it is considered possible that maraviroc treatment may have been more successful if given in the fasted state. It may be that maraviroc efficacy could be enhanced by monitoring therapeutic drug levels.</w:t>
      </w:r>
    </w:p>
    <w:p w:rsidR="002C782A" w:rsidRDefault="002C782A" w:rsidP="009E3588">
      <w:r>
        <w:lastRenderedPageBreak/>
        <w:t xml:space="preserve">It also appears that patients with high VLs were disproportionately represented amongst the treatment failures and for these patients, special attention to attaining adequate </w:t>
      </w:r>
      <w:r w:rsidR="009E3588">
        <w:t>blood levels would appear wise.</w:t>
      </w:r>
    </w:p>
    <w:p w:rsidR="002C782A" w:rsidRDefault="002C782A" w:rsidP="009E3588">
      <w:r>
        <w:t>Additionally and hypothetically, treatment naïve patients with very high viral counts may not be appropriate candidates for maraviroc treatment. The PK/PD analysis also determined that baseline CD4</w:t>
      </w:r>
      <w:r>
        <w:rPr>
          <w:vertAlign w:val="superscript"/>
        </w:rPr>
        <w:t>+</w:t>
      </w:r>
      <w:r>
        <w:t>cell count and baseline viral count are potential determinants of treatment failure or success. As higher VLs and lower CD4</w:t>
      </w:r>
      <w:r>
        <w:rPr>
          <w:vertAlign w:val="superscript"/>
        </w:rPr>
        <w:t>+</w:t>
      </w:r>
      <w:r>
        <w:t>cell counts with steep decline are associated with greater possibility that the patient harbours X4</w:t>
      </w:r>
      <w:r>
        <w:noBreakHyphen/>
        <w:t>using virus. This may have implication for the optimal time to initiate maraviroc therapy in treatment naïve patients. It is possible that high VLs result in competitive inhibition of maraviroc.</w:t>
      </w:r>
    </w:p>
    <w:p w:rsidR="002C782A" w:rsidRDefault="002C782A" w:rsidP="009E3588">
      <w:pPr>
        <w:pStyle w:val="Heading3"/>
      </w:pPr>
      <w:bookmarkStart w:id="48" w:name="_Toc355615883"/>
      <w:bookmarkStart w:id="49" w:name="_Toc366272741"/>
      <w:r w:rsidRPr="00254787">
        <w:t>Pharmacodynamics</w:t>
      </w:r>
      <w:bookmarkEnd w:id="27"/>
      <w:bookmarkEnd w:id="46"/>
      <w:bookmarkEnd w:id="47"/>
      <w:bookmarkEnd w:id="48"/>
      <w:bookmarkEnd w:id="49"/>
    </w:p>
    <w:p w:rsidR="002C782A" w:rsidRPr="00630FB7" w:rsidRDefault="002C782A" w:rsidP="009E3588">
      <w:r>
        <w:t>No specific studies were provided.</w:t>
      </w:r>
    </w:p>
    <w:p w:rsidR="002C782A" w:rsidRPr="00394112" w:rsidRDefault="002C782A" w:rsidP="00394112">
      <w:pPr>
        <w:pStyle w:val="Heading3"/>
      </w:pPr>
      <w:bookmarkStart w:id="50" w:name="_Toc163441372"/>
      <w:bookmarkStart w:id="51" w:name="_Toc196046485"/>
      <w:bookmarkStart w:id="52" w:name="_Toc247691521"/>
      <w:bookmarkStart w:id="53" w:name="_Toc355615884"/>
      <w:bookmarkStart w:id="54" w:name="_Toc366272742"/>
      <w:r w:rsidRPr="00254787">
        <w:t>Efficacy</w:t>
      </w:r>
      <w:bookmarkEnd w:id="50"/>
      <w:bookmarkEnd w:id="51"/>
      <w:bookmarkEnd w:id="52"/>
      <w:bookmarkEnd w:id="53"/>
      <w:bookmarkEnd w:id="54"/>
    </w:p>
    <w:p w:rsidR="002C782A" w:rsidRPr="00C605D2" w:rsidRDefault="002C782A" w:rsidP="00394112">
      <w:pPr>
        <w:pStyle w:val="Heading4"/>
      </w:pPr>
      <w:bookmarkStart w:id="55" w:name="_Toc304533864"/>
      <w:bookmarkStart w:id="56" w:name="_Toc309633559"/>
      <w:bookmarkStart w:id="57" w:name="_Toc163441378"/>
      <w:bookmarkStart w:id="58" w:name="_Toc196046495"/>
      <w:bookmarkStart w:id="59" w:name="_Toc247691522"/>
      <w:r w:rsidRPr="00C605D2">
        <w:t>Study A4001026</w:t>
      </w:r>
      <w:bookmarkEnd w:id="55"/>
      <w:r>
        <w:t xml:space="preserve"> – Treatment </w:t>
      </w:r>
      <w:r w:rsidRPr="00C605D2">
        <w:t>naïve</w:t>
      </w:r>
      <w:bookmarkEnd w:id="56"/>
      <w:r w:rsidRPr="00C605D2">
        <w:t xml:space="preserve"> patients</w:t>
      </w:r>
    </w:p>
    <w:p w:rsidR="002C782A" w:rsidRDefault="002C782A" w:rsidP="00394112">
      <w:pPr>
        <w:pStyle w:val="Heading5"/>
      </w:pPr>
      <w:r>
        <w:t>Summary of efficacy</w:t>
      </w:r>
    </w:p>
    <w:p w:rsidR="002C782A" w:rsidRDefault="002C782A" w:rsidP="00394112">
      <w:r>
        <w:t>The 96 Week report of this ongoing, Phase IIb/III, multi-national, multi-centre trial was submitted in support of registration of maraviroc 300 mg BID for treatment</w:t>
      </w:r>
      <w:r w:rsidRPr="0043166D">
        <w:t xml:space="preserve"> </w:t>
      </w:r>
      <w:r>
        <w:t xml:space="preserve">naïve patients infected with CCR5 tropic HIV-1. Maraviroc, 300 mg once daily (QD) and maraviroc 300 mg BID </w:t>
      </w:r>
      <w:proofErr w:type="gramStart"/>
      <w:r>
        <w:t>were</w:t>
      </w:r>
      <w:proofErr w:type="gramEnd"/>
      <w:r>
        <w:t xml:space="preserve"> evaluated in comparison to efavirenz 600 mg QD. Each was taken without food restriction in combination with zidovudine/lamivudine 300 mg/150 mg BID. The study included patients aged at least 16 years infected with CCR5-tropic HIV-1, a</w:t>
      </w:r>
      <w:r w:rsidR="00394112">
        <w:t>nd with a VL ≥ 2,000 copies/mL.</w:t>
      </w:r>
    </w:p>
    <w:p w:rsidR="002C782A" w:rsidRDefault="002C782A" w:rsidP="00394112">
      <w:r>
        <w:t>An interim analysis was performed when the first 205 patients reached Week 16. Based on failure to meet the non-inferiority criterion, the maraviroc QD arm was discontinued; patients responding to maraviroc were given the option to switch to open label (OL) maraviroc 300 mg BID. Participants were subsequently randomised 1:1 to maraviroc BID or efavirenz. A total of 695 patients were treated: 174 in the maraviroc QD group, 360 in the maraviroc BID group and 361 in the efavirenz group.</w:t>
      </w:r>
    </w:p>
    <w:p w:rsidR="002C782A" w:rsidRDefault="002C782A" w:rsidP="00394112">
      <w:r>
        <w:t xml:space="preserve">The primary objective was assessment of non-inferiority of maraviroc compared to efavirenz in terms of VL &lt; 400 copies/mL and &lt; 50 copies/mL at Week 48. The primary analysis was based on the 1-sided, 97.5% confidence interval (CI) with adjustment for the randomisation strata of screening VL and geographic region. Non-inferiority was concluded if the lower bound (LB) of the CI was above </w:t>
      </w:r>
      <w:r>
        <w:noBreakHyphen/>
        <w:t>10%. For the primary analysis, participants were stratified by geographic location (Northern or Southern Hemisphere) and screening VL (&lt; 100,000 or ≥ 100,000 copies/mL). The Full Analysis Set (FAS) and the Per Protocol (PP) population results were analysed. Sensitivity analysis was performed using the Time to Loss of Virolo</w:t>
      </w:r>
      <w:r w:rsidR="00394112">
        <w:t>gic Response (TLOVR) algorithm.</w:t>
      </w:r>
    </w:p>
    <w:p w:rsidR="002C782A" w:rsidRDefault="002C782A" w:rsidP="00394112">
      <w:r>
        <w:t>The initially planned 1-sided significance level of 0.0125 (Bonferroni adjustment for multiple comparisons) was changed to the 1-sided 97.5% CI when the maraviroc QD group was discontinued.</w:t>
      </w:r>
    </w:p>
    <w:p w:rsidR="002C782A" w:rsidRDefault="002C782A" w:rsidP="00394112">
      <w:r>
        <w:t>Non-inferiority for VL &lt; 400 copies/mL was demonstrated using the FAS; the LB of the 1</w:t>
      </w:r>
      <w:r>
        <w:noBreakHyphen/>
        <w:t>sided 97.5% CI was -9.5. However, non-inferiority was not demonstrated for VL &lt; 400 copies/mL in the PP analysis, nor for VL &lt; 50 copies/mL using</w:t>
      </w:r>
      <w:r w:rsidR="00394112">
        <w:t xml:space="preserve"> either the FAS or PP analyses.</w:t>
      </w:r>
    </w:p>
    <w:p w:rsidR="002C782A" w:rsidRDefault="002C782A" w:rsidP="00394112">
      <w:r>
        <w:lastRenderedPageBreak/>
        <w:t>Virologic failure based on VL &lt; 400 copies/mL was more commonly reported for non</w:t>
      </w:r>
      <w:r>
        <w:noBreakHyphen/>
        <w:t>responders in the maraviroc BID group than the efavirenz group: 27% versus 5.3%. Similarly for VL &lt; 50 copies/mL the proportions were 32.0% versus 8.8%. However, the mean increase from baseline in CD4</w:t>
      </w:r>
      <w:r>
        <w:rPr>
          <w:vertAlign w:val="superscript"/>
        </w:rPr>
        <w:t>+</w:t>
      </w:r>
      <w:r>
        <w:t xml:space="preserve">cell count throughout the 48 Weeks was consistently greater in the maraviroc group than in the efavirenz group; the difference between the maraviroc and efavirenz groups was </w:t>
      </w:r>
      <w:proofErr w:type="gramStart"/>
      <w:r>
        <w:t>26</w:t>
      </w:r>
      <w:r w:rsidR="00394112">
        <w:t>.3 cells/µL (95% CI 7.0, 45.6)</w:t>
      </w:r>
      <w:proofErr w:type="gramEnd"/>
      <w:r w:rsidR="00394112">
        <w:t>.</w:t>
      </w:r>
    </w:p>
    <w:p w:rsidR="002C782A" w:rsidRDefault="002C782A" w:rsidP="00394112">
      <w:r>
        <w:t>Subgroup analysis by screening VL demonstrated a smaller response for maraviroc treated patients compared to the efavirenz group in terms of VL &lt; 400 copies/mL and &lt; 50 copies/mL in the stratum with ≥ 100,000 copies/mL at screening, as summarised in Tables 5 and 6, below. While subgroup analysis results are considered observational, it appears possible that patients with high VL at screening adversely</w:t>
      </w:r>
      <w:r w:rsidR="00394112">
        <w:t xml:space="preserve"> influenced the overall result.</w:t>
      </w:r>
    </w:p>
    <w:p w:rsidR="002C782A" w:rsidRPr="000A1013" w:rsidRDefault="002C782A" w:rsidP="00394112">
      <w:pPr>
        <w:pStyle w:val="TableTitle"/>
      </w:pPr>
      <w:bookmarkStart w:id="60" w:name="_Ref303930659"/>
      <w:bookmarkStart w:id="61" w:name="_Ref303930662"/>
      <w:proofErr w:type="gramStart"/>
      <w:r w:rsidRPr="000A1013">
        <w:t xml:space="preserve">Table </w:t>
      </w:r>
      <w:bookmarkEnd w:id="60"/>
      <w:r w:rsidRPr="000A1013">
        <w:t>5</w:t>
      </w:r>
      <w:r>
        <w:t>.</w:t>
      </w:r>
      <w:proofErr w:type="gramEnd"/>
      <w:r w:rsidRPr="000A1013">
        <w:t xml:space="preserve"> Percentages with VL</w:t>
      </w:r>
      <w:r>
        <w:t xml:space="preserve"> </w:t>
      </w:r>
      <w:r w:rsidRPr="000A1013">
        <w:t>&lt;</w:t>
      </w:r>
      <w:r>
        <w:t xml:space="preserve"> </w:t>
      </w:r>
      <w:r w:rsidRPr="000A1013">
        <w:t>400 copies/mL at Week 48</w:t>
      </w:r>
      <w:r>
        <w:t>,</w:t>
      </w:r>
      <w:r w:rsidRPr="000A1013">
        <w:t xml:space="preserve"> by V</w:t>
      </w:r>
      <w:r>
        <w:t>L at s</w:t>
      </w:r>
      <w:r w:rsidRPr="000A1013">
        <w:t>creening</w:t>
      </w:r>
      <w:bookmarkEnd w:id="61"/>
    </w:p>
    <w:p w:rsidR="00D42ED1" w:rsidRDefault="002C782A" w:rsidP="00394112">
      <w:pPr>
        <w:rPr>
          <w:sz w:val="18"/>
          <w:szCs w:val="18"/>
        </w:rPr>
      </w:pPr>
      <w:r>
        <w:rPr>
          <w:noProof/>
          <w:lang w:eastAsia="en-AU"/>
        </w:rPr>
        <w:drawing>
          <wp:inline distT="0" distB="0" distL="0" distR="0">
            <wp:extent cx="4891405" cy="1133475"/>
            <wp:effectExtent l="19050" t="0" r="4445" b="0"/>
            <wp:docPr id="6" name="Picture 1" descr="Table 5. Percentages with VL &lt; 400 copies/mL at Week 48, by VL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891405" cy="1133475"/>
                    </a:xfrm>
                    <a:prstGeom prst="rect">
                      <a:avLst/>
                    </a:prstGeom>
                    <a:noFill/>
                    <a:ln w="9525">
                      <a:noFill/>
                      <a:miter lim="800000"/>
                      <a:headEnd/>
                      <a:tailEnd/>
                    </a:ln>
                  </pic:spPr>
                </pic:pic>
              </a:graphicData>
            </a:graphic>
          </wp:inline>
        </w:drawing>
      </w:r>
    </w:p>
    <w:p w:rsidR="00C30F77" w:rsidRPr="00D42ED1" w:rsidRDefault="00C30F77" w:rsidP="00D42ED1">
      <w:pPr>
        <w:pStyle w:val="TableDescription"/>
      </w:pPr>
      <w:r w:rsidRPr="00D42ED1">
        <w:t>N= number of subjects in the treatment group in the indicated population</w:t>
      </w:r>
    </w:p>
    <w:p w:rsidR="00C30F77" w:rsidRPr="00D42ED1" w:rsidRDefault="00C30F77" w:rsidP="00D42ED1">
      <w:pPr>
        <w:pStyle w:val="TableDescription"/>
      </w:pPr>
      <w:r w:rsidRPr="00D42ED1">
        <w:t>n = number of subjects with a post baseline obs</w:t>
      </w:r>
      <w:r w:rsidR="00D42ED1">
        <w:t xml:space="preserve">ervation used to calculate the </w:t>
      </w:r>
      <w:r w:rsidRPr="00D42ED1">
        <w:t>percentage</w:t>
      </w:r>
    </w:p>
    <w:p w:rsidR="002C782A" w:rsidRPr="000A1013" w:rsidRDefault="002C782A" w:rsidP="00D42ED1">
      <w:pPr>
        <w:pStyle w:val="TableTitle"/>
      </w:pPr>
      <w:bookmarkStart w:id="62" w:name="_Ref303931066"/>
      <w:bookmarkStart w:id="63" w:name="_Ref303931069"/>
      <w:proofErr w:type="gramStart"/>
      <w:r w:rsidRPr="000A1013">
        <w:t xml:space="preserve">Table </w:t>
      </w:r>
      <w:bookmarkEnd w:id="62"/>
      <w:r w:rsidRPr="000A1013">
        <w:t>6</w:t>
      </w:r>
      <w:r>
        <w:t>.</w:t>
      </w:r>
      <w:proofErr w:type="gramEnd"/>
      <w:r>
        <w:t xml:space="preserve"> </w:t>
      </w:r>
      <w:r w:rsidRPr="000A1013">
        <w:t xml:space="preserve">Percentages with </w:t>
      </w:r>
      <w:r>
        <w:t xml:space="preserve">VL </w:t>
      </w:r>
      <w:r w:rsidRPr="000A1013">
        <w:t>&lt;50 copies/mL at Week 48</w:t>
      </w:r>
      <w:r>
        <w:t>,</w:t>
      </w:r>
      <w:r w:rsidRPr="000A1013">
        <w:t xml:space="preserve"> by </w:t>
      </w:r>
      <w:r>
        <w:t xml:space="preserve">VL </w:t>
      </w:r>
      <w:r w:rsidRPr="000A1013">
        <w:t>at Screening</w:t>
      </w:r>
      <w:bookmarkEnd w:id="63"/>
    </w:p>
    <w:p w:rsidR="002C782A" w:rsidRDefault="002C782A" w:rsidP="0065162F">
      <w:pPr>
        <w:rPr>
          <w:rFonts w:ascii="Arial" w:hAnsi="Arial" w:cs="Arial"/>
          <w:sz w:val="20"/>
          <w:szCs w:val="20"/>
        </w:rPr>
      </w:pPr>
      <w:r>
        <w:rPr>
          <w:noProof/>
          <w:lang w:eastAsia="en-AU"/>
        </w:rPr>
        <w:drawing>
          <wp:inline distT="0" distB="0" distL="0" distR="0">
            <wp:extent cx="4862830" cy="1119505"/>
            <wp:effectExtent l="19050" t="0" r="0" b="0"/>
            <wp:docPr id="3" name="Picture 3" descr="Table 6. Percentages with VL &lt;50 copies/mL at Week 48, by VL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862830" cy="1119505"/>
                    </a:xfrm>
                    <a:prstGeom prst="rect">
                      <a:avLst/>
                    </a:prstGeom>
                    <a:noFill/>
                    <a:ln w="9525">
                      <a:noFill/>
                      <a:miter lim="800000"/>
                      <a:headEnd/>
                      <a:tailEnd/>
                    </a:ln>
                  </pic:spPr>
                </pic:pic>
              </a:graphicData>
            </a:graphic>
          </wp:inline>
        </w:drawing>
      </w:r>
    </w:p>
    <w:p w:rsidR="00C30F77" w:rsidRPr="00C30F77" w:rsidRDefault="00C30F77" w:rsidP="0065162F">
      <w:pPr>
        <w:pStyle w:val="TableDescription"/>
      </w:pPr>
      <w:r w:rsidRPr="00C30F77">
        <w:t>N= number of subjects in the treatment group in the indicated population</w:t>
      </w:r>
    </w:p>
    <w:p w:rsidR="00C30F77" w:rsidRPr="00C30F77" w:rsidRDefault="00C30F77" w:rsidP="0065162F">
      <w:pPr>
        <w:pStyle w:val="TableDescription"/>
      </w:pPr>
      <w:r w:rsidRPr="00C30F77">
        <w:t xml:space="preserve">n = number of subjects with a post baseline observation used to calculate </w:t>
      </w:r>
      <w:proofErr w:type="gramStart"/>
      <w:r w:rsidRPr="00C30F77">
        <w:t>the  percentage</w:t>
      </w:r>
      <w:proofErr w:type="gramEnd"/>
    </w:p>
    <w:p w:rsidR="002C782A" w:rsidRDefault="002C782A" w:rsidP="0065162F">
      <w:r>
        <w:t>The percentage of participants in the QD group with VL &lt; 400 and &lt; 50 copies/mL at Week 96 was 52.9% and 48.3%, respectively, while the results for those treated with OL maraviroc 300 mg BID were 70.8% and 64.6%, respectively.</w:t>
      </w:r>
    </w:p>
    <w:p w:rsidR="002C782A" w:rsidRDefault="002C782A" w:rsidP="0065162F">
      <w:r>
        <w:t>Study A4001026 utilised the original Trofile assay (OTA), the only available tropism test at the time. Shortly after completion of the study, the Enhanced Sensitivity Trofile Assay (ESTA) was released for clinical use, based on data demonstrating increased sensitivity for the detection of CXCR4 tropic virus. A post hoc analysis using the primary analysis statistical approach was undertaken to determine whether the use of ESTA would have excluded more patients unlikely to respond to maraviroc. Based on ESTA, the proportions re</w:t>
      </w:r>
      <w:r>
        <w:noBreakHyphen/>
        <w:t>classified as dual/mixed (D/M) tropic or CXCR4 tropic were 48 (13.3%) and 58 (16.1%) in the maraviroc 300 mg BID an</w:t>
      </w:r>
      <w:r w:rsidR="0065162F">
        <w:t>d efavirenz arms, respectively.</w:t>
      </w:r>
    </w:p>
    <w:p w:rsidR="002C782A" w:rsidRDefault="002C782A" w:rsidP="0065162F">
      <w:r>
        <w:t xml:space="preserve">Re-analysis of the outcome of viral count &lt; 400 copies/mL confirmed the original finding of non-inferiority using the FAS, supported by the PP analysis. For viral count &lt; 50 copies/mL the re-analysis adjusted for randomisation strata of screening VL and geographic region resulted in a LB of the 97.5% CI above </w:t>
      </w:r>
      <w:r>
        <w:noBreakHyphen/>
        <w:t>10%, supported by the PP analysis. However, the 48 Week FAS and PP sensitivity analysis using the TLOVR algorithm failed to support the finding. Results for 96 Weeks also resulted in lowe</w:t>
      </w:r>
      <w:r w:rsidR="0065162F">
        <w:t xml:space="preserve">r CI bounds of less than </w:t>
      </w:r>
      <w:r w:rsidR="0065162F">
        <w:noBreakHyphen/>
        <w:t>10%.</w:t>
      </w:r>
    </w:p>
    <w:p w:rsidR="002C782A" w:rsidRDefault="002C782A" w:rsidP="002C782A">
      <w:r>
        <w:lastRenderedPageBreak/>
        <w:t>The initial inequality in proportions of participants discontinuing due to lack of efficacy remained after the ESTA analysis. On re-analysis, discontinuations due to lack of efficacy were recorded for 9.3% of the maraviroc BID groups, compared with 4% of the efavirenz group.</w:t>
      </w:r>
    </w:p>
    <w:p w:rsidR="002C782A" w:rsidRDefault="002C782A" w:rsidP="002C782A">
      <w:pPr>
        <w:pStyle w:val="Heading5"/>
      </w:pPr>
      <w:r>
        <w:t>Discussion of efficacy</w:t>
      </w:r>
    </w:p>
    <w:p w:rsidR="002C782A" w:rsidRDefault="002C782A" w:rsidP="002C782A">
      <w:r>
        <w:t xml:space="preserve">The EU Guideline on the </w:t>
      </w:r>
      <w:r w:rsidRPr="0043166D">
        <w:rPr>
          <w:i/>
        </w:rPr>
        <w:t>Clinical Development of Medicinal Products for the Treatment of HIV infection</w:t>
      </w:r>
      <w:r w:rsidRPr="00863399">
        <w:rPr>
          <w:vertAlign w:val="superscript"/>
        </w:rPr>
        <w:footnoteReference w:id="5"/>
      </w:r>
      <w:r>
        <w:t xml:space="preserve"> recommends that the proportion achieving and maintaining plasma HIV ribonucleic acid (RNA) &lt; 50 copies/mL is the preferred primary efficacy endpoint for studies in treatment naïve populations. The EU Guideline on </w:t>
      </w:r>
      <w:r w:rsidRPr="007942AD">
        <w:rPr>
          <w:i/>
        </w:rPr>
        <w:t xml:space="preserve">Points to Consider on Switching </w:t>
      </w:r>
      <w:proofErr w:type="gramStart"/>
      <w:r w:rsidRPr="007942AD">
        <w:rPr>
          <w:i/>
        </w:rPr>
        <w:t>Between</w:t>
      </w:r>
      <w:proofErr w:type="gramEnd"/>
      <w:r w:rsidRPr="007942AD">
        <w:rPr>
          <w:i/>
        </w:rPr>
        <w:t xml:space="preserve"> Superiority and Non-inferiority</w:t>
      </w:r>
      <w:r w:rsidRPr="000A1013">
        <w:rPr>
          <w:vertAlign w:val="superscript"/>
        </w:rPr>
        <w:footnoteReference w:id="6"/>
      </w:r>
      <w:r>
        <w:t xml:space="preserve"> states that in a non-inferiority trial, the FAS and the PP analyses are considered to have equal importance and their use should lead to similar conclusions for a robust interpretation. This Guideline also states that when a one sided CI is chosen, 97.5</w:t>
      </w:r>
      <w:r w:rsidR="0065162F">
        <w:t>% CI is considered appropriate.</w:t>
      </w:r>
    </w:p>
    <w:p w:rsidR="002C782A" w:rsidRPr="00AE3419" w:rsidRDefault="002C782A" w:rsidP="002C782A">
      <w:r w:rsidRPr="00AE3419">
        <w:t xml:space="preserve">The initially planned 1-sided significance level of 0.0125 (Bonferroni adjustment for multiple comparisons) was changed to a 1-sided 97.5% </w:t>
      </w:r>
      <w:r>
        <w:t xml:space="preserve">CI </w:t>
      </w:r>
      <w:r w:rsidRPr="00AE3419">
        <w:t>when the maraviroc QD group was discontinued</w:t>
      </w:r>
      <w:r>
        <w:t>,</w:t>
      </w:r>
      <w:r w:rsidRPr="00AE3419">
        <w:t xml:space="preserve"> which is a matter requiring justification. It is also considered that further adjustment for multiplicity should have factored in the repeated testing r</w:t>
      </w:r>
      <w:r w:rsidR="0065162F">
        <w:t>elated to the interim analysis.</w:t>
      </w:r>
    </w:p>
    <w:p w:rsidR="002C782A" w:rsidRPr="00AE3419" w:rsidRDefault="002C782A" w:rsidP="00D76CA1">
      <w:r w:rsidRPr="00AE3419">
        <w:t>Study A4001026 demonstrated non-inferiority only for viral count &lt; 400 copies/mL and only for the FAS</w:t>
      </w:r>
      <w:r>
        <w:t>,</w:t>
      </w:r>
      <w:r w:rsidRPr="00AE3419">
        <w:t xml:space="preserve"> and failed to demonstrated non-inferi</w:t>
      </w:r>
      <w:r>
        <w:t>ority based on viral count &lt; 50 </w:t>
      </w:r>
      <w:r w:rsidRPr="00AE3419">
        <w:t>copies/mL according to the pre-planned stat</w:t>
      </w:r>
      <w:r w:rsidR="0065162F">
        <w:t>istical analytic plan.</w:t>
      </w:r>
    </w:p>
    <w:p w:rsidR="002C782A" w:rsidRDefault="002C782A" w:rsidP="00D76CA1">
      <w:r>
        <w:t>The observational ESTA analysis resulted in a dropout rate of 13.3% for the maraviroc group and 16.1% of the efavirenz group, due to reassessment of tropism. The numbers with change of tropism between screening and baseline following re-analysis could not be located in the dossier. By its nature, the analysis had the potential to unbalance confou</w:t>
      </w:r>
      <w:r w:rsidR="0065162F">
        <w:t>nding factors and include bias.</w:t>
      </w:r>
    </w:p>
    <w:p w:rsidR="002C782A" w:rsidRDefault="002C782A" w:rsidP="002C782A">
      <w:r>
        <w:t>The findings of the ESTA analysis in relationship to the primary objective supported non-inferiority based on VL &lt; 400 copies/mL and &lt; 50 copies/mL. However the findings were not uniformly supported by sensitivity analysis. In addition, the analysis used the 1</w:t>
      </w:r>
      <w:r w:rsidR="00D76CA1">
        <w:t>-</w:t>
      </w:r>
      <w:r w:rsidRPr="00D76CA1">
        <w:t>sided 97.5% CI without consideration of the possible multiplicity issue related to repeat te</w:t>
      </w:r>
      <w:r w:rsidR="00D76CA1">
        <w:t>sting.</w:t>
      </w:r>
    </w:p>
    <w:p w:rsidR="002C782A" w:rsidRDefault="002C782A" w:rsidP="002C782A">
      <w:r>
        <w:t>The selection of a comparator arm was based on the preferred regimen for the treatment of established HIV infection in antiretroviral naïve patients at the time the study was designed (2003)</w:t>
      </w:r>
      <w:r w:rsidRPr="00CE2342">
        <w:rPr>
          <w:vertAlign w:val="superscript"/>
        </w:rPr>
        <w:footnoteReference w:id="7"/>
      </w:r>
      <w:r>
        <w:t xml:space="preserve"> and is being judged accordingly; however, this is currently recommended as an alternative regimen in the US Department of Health and Human Services </w:t>
      </w:r>
      <w:r w:rsidRPr="002049FE">
        <w:rPr>
          <w:i/>
        </w:rPr>
        <w:t>Guidelines for use of antiretroviral agents in HIV-1-infected adults and adolescents</w:t>
      </w:r>
      <w:r>
        <w:t xml:space="preserve"> (Australian commentary).</w:t>
      </w:r>
      <w:r w:rsidRPr="00CE2342">
        <w:rPr>
          <w:vertAlign w:val="superscript"/>
        </w:rPr>
        <w:footnoteReference w:id="8"/>
      </w:r>
      <w:r>
        <w:t xml:space="preserve"> The sponsor argued that the efavirenz response in this study was lower than that seen in other studies in which tenofovir and emtricitabine have been used as backbone, and that it is possible that the use of a more potent backbone such as tenofovir and emtricitabine would have led to an increased response rate in both</w:t>
      </w:r>
      <w:r w:rsidR="00D76CA1">
        <w:t xml:space="preserve"> treatment groups.</w:t>
      </w:r>
    </w:p>
    <w:p w:rsidR="002C782A" w:rsidRDefault="002C782A" w:rsidP="00D76CA1">
      <w:r>
        <w:t>While it is possible that efficacy results would have been different using a different backbone regimen or if it had been possible to prospectively plan the study using ESTA to screen for non-CCR5 tropic virus, it is not considered appropriate to make a recommendation for regis</w:t>
      </w:r>
      <w:r w:rsidR="00D76CA1">
        <w:t>tration based on possibilities.</w:t>
      </w:r>
    </w:p>
    <w:p w:rsidR="002C782A" w:rsidRDefault="002C782A" w:rsidP="002C782A">
      <w:pPr>
        <w:pStyle w:val="Heading5"/>
      </w:pPr>
      <w:r>
        <w:lastRenderedPageBreak/>
        <w:t>Statistical issues</w:t>
      </w:r>
    </w:p>
    <w:p w:rsidR="002C782A" w:rsidRDefault="002C782A" w:rsidP="002C782A">
      <w:r>
        <w:t>The TGA sought expert statistical advice regarding the importance of multiplicity issues in this st</w:t>
      </w:r>
      <w:r w:rsidR="00D76CA1">
        <w:t>udy. The expert concluded that:</w:t>
      </w:r>
    </w:p>
    <w:p w:rsidR="002C782A" w:rsidRPr="00834130" w:rsidRDefault="002C782A" w:rsidP="002C782A">
      <w:pPr>
        <w:rPr>
          <w:i/>
        </w:rPr>
      </w:pPr>
      <w:r w:rsidRPr="00834130">
        <w:rPr>
          <w:i/>
        </w:rPr>
        <w:t>For the original ITT (and PP) groups, statistical non-inferiority has not been proven according to standard, commonly-used and accepted criteria f</w:t>
      </w:r>
      <w:r w:rsidR="00D76CA1">
        <w:rPr>
          <w:i/>
        </w:rPr>
        <w:t>or statistical non-inferiority.</w:t>
      </w:r>
    </w:p>
    <w:p w:rsidR="002C782A" w:rsidRDefault="002C782A" w:rsidP="002C782A">
      <w:r w:rsidRPr="00834130">
        <w:rPr>
          <w:i/>
        </w:rPr>
        <w:t xml:space="preserve">Of more current clinical relevance are the results for the subgroup defined according to the </w:t>
      </w:r>
      <w:r>
        <w:rPr>
          <w:i/>
        </w:rPr>
        <w:t xml:space="preserve">ESTA. Such post </w:t>
      </w:r>
      <w:r w:rsidRPr="00834130">
        <w:rPr>
          <w:i/>
        </w:rPr>
        <w:t>hoc, subgroup analyses are notoriously difficult to assess. From a purely statistical viewpoint, the main difficulty is the problem of multiplicity. That is, multipl</w:t>
      </w:r>
      <w:r>
        <w:rPr>
          <w:i/>
        </w:rPr>
        <w:t xml:space="preserve">icity is a concern for the post </w:t>
      </w:r>
      <w:r w:rsidRPr="00834130">
        <w:rPr>
          <w:i/>
        </w:rPr>
        <w:t xml:space="preserve">hoc subgroup analysis defined according to the </w:t>
      </w:r>
      <w:r>
        <w:rPr>
          <w:i/>
        </w:rPr>
        <w:t>ESTA</w:t>
      </w:r>
      <w:r w:rsidRPr="00834130">
        <w:rPr>
          <w:i/>
        </w:rPr>
        <w:t>.</w:t>
      </w:r>
    </w:p>
    <w:p w:rsidR="002C782A" w:rsidRDefault="002C782A" w:rsidP="002C782A">
      <w:pPr>
        <w:pStyle w:val="Heading5"/>
      </w:pPr>
      <w:r>
        <w:t>Summary of virology</w:t>
      </w:r>
    </w:p>
    <w:p w:rsidR="002C782A" w:rsidRDefault="002C782A" w:rsidP="00D76CA1">
      <w:r>
        <w:t xml:space="preserve">At the time of treatment failure at the Week 48 assessment, 27/43 (62.8%) of the maraviroc BID group and 3/15 (20%) of the efavirenz group had virus with genotypic evidence of resistance to lamivudine. In addition, 6/43 (14.0%) in the maraviroc BID treatment group had virus with zidovudine resistance as evidenced by the presence at discontinuation of one or more </w:t>
      </w:r>
      <w:r w:rsidRPr="00352D9E">
        <w:t xml:space="preserve">thymidine analogue-associated mutations </w:t>
      </w:r>
      <w:r>
        <w:t xml:space="preserve">(TAMs). None of the 15 participants who failed efavirenz had virus with TAMs at failure. The 48 Week assessment of discontinuations and the Week 96 findings for treatment failure and discontinuations </w:t>
      </w:r>
      <w:r w:rsidR="00D76CA1">
        <w:t>demonstrated a similar pattern.</w:t>
      </w:r>
    </w:p>
    <w:p w:rsidR="002C782A" w:rsidRDefault="002C782A" w:rsidP="002C782A">
      <w:r>
        <w:t>With respect to the maraviroc QD treated participants who either discontinued or were changed to OL maraviroc BID, 27 participants overall and 16 who entered OL treatment had treatment failure due to insufficient clinical response. At the time of treatment failure, 20/27 individuals (74.1%) overall and 13/16 (81.3%) who entered OL treatment had virus with genotypic evidence of drug resistance to lamivudine; three of whom had vi</w:t>
      </w:r>
      <w:r w:rsidR="00D76CA1">
        <w:t>rus with zidovudine resistance.</w:t>
      </w:r>
    </w:p>
    <w:p w:rsidR="002C782A" w:rsidRDefault="002C782A" w:rsidP="002C782A">
      <w:proofErr w:type="gramStart"/>
      <w:r>
        <w:t>A total of 77 participants in all, and 33 who entered OL treatment, discontinued study treatment.</w:t>
      </w:r>
      <w:proofErr w:type="gramEnd"/>
      <w:r>
        <w:t xml:space="preserve"> At time of discontinuation, 31/77 (40.3%) overall and 19/33 (57.6%) who entered OL treatment had virus with genotypic evidence of drug resistance to lamivudine; three of whom had virus with zidovudine resistance, as evidenced by the presence at discontinuation of 1 or more TAMs.</w:t>
      </w:r>
    </w:p>
    <w:p w:rsidR="002C782A" w:rsidRDefault="002C782A" w:rsidP="002C782A">
      <w:r>
        <w:t>Sequences of the V3 loops</w:t>
      </w:r>
      <w:r>
        <w:rPr>
          <w:rStyle w:val="FootnoteReference"/>
        </w:rPr>
        <w:footnoteReference w:id="9"/>
      </w:r>
      <w:r>
        <w:t xml:space="preserve"> were obtained for 6 participants whose CCR5 tropic virus showed reduced susceptibility to maraviroc in Study A4001026. Changes in the V3 loop sequence were identified in clones from 5/6 participants. Consistent with similar studies in treatment experienced participants, no signature mutations of maraviroc resistance were identified, suggesting that there are multiple pathways to maraviroc resistance </w:t>
      </w:r>
      <w:r w:rsidRPr="00352D9E">
        <w:rPr>
          <w:i/>
        </w:rPr>
        <w:t>in vivo</w:t>
      </w:r>
      <w:r>
        <w:t>.</w:t>
      </w:r>
    </w:p>
    <w:p w:rsidR="002C782A" w:rsidRDefault="002C782A" w:rsidP="002C782A">
      <w:r>
        <w:t>In the 6 week period between screening and baseline, approximately 3–4% of participants in the maraviroc BID and efavirenz groups switched from CCR5 tropic to D/M tropic. At the Week 48 assessment, 10/32 participants in the maraviroc BID group with treatment failure and available results switched to CXCR4 or D/M tropism; at Week 96, 12/34 in the maraviroc BID group changed tropism. None of the 15 failures in the efavirenz group did so.</w:t>
      </w:r>
    </w:p>
    <w:p w:rsidR="002C782A" w:rsidRDefault="002C782A" w:rsidP="00D76CA1">
      <w:r>
        <w:t>At Week 48, 12/75 (16%) patients in the maraviroc group who discontinued the study changed tropism from CCR5 to CXCR4 or D/M tropic. At Week 96, 14/106 (13%) of patients in the maraviroc BID group who discontinued from the study changed viral tropism to CXCR4 or D/M, while at neither time point did any of the participants in the efavirenz group do so.</w:t>
      </w:r>
    </w:p>
    <w:p w:rsidR="002C782A" w:rsidRDefault="002C782A" w:rsidP="00D76CA1">
      <w:r>
        <w:lastRenderedPageBreak/>
        <w:t>The median time to treatment failure was shorter for participants who were CCR5 tropic at baseline and who remained CCR5 tropic or who were not reportable/non-phenotypable (NR/NP) tropic at treatment failure in the maraviroc compared to the efavirenz group.</w:t>
      </w:r>
    </w:p>
    <w:p w:rsidR="002C782A" w:rsidRDefault="002C782A" w:rsidP="00D76CA1">
      <w:r>
        <w:t>With respect to the maraviroc QD participants who either discontinued or were changed to OL maraviroc BID, five participants with D/M tropism at baseline had D/M tropism at the time of treatment failure. Four participants with CCR5 tropism at baseline had D/M tropism at the time of treatment failure. Seven of 9 participants who failed with CCR5 tropic virus and 9/9 who failed with D/M tropic virus had evidence of zi</w:t>
      </w:r>
      <w:r w:rsidR="00D76CA1">
        <w:t>dovudine/lamivudine resistance.</w:t>
      </w:r>
    </w:p>
    <w:p w:rsidR="002C782A" w:rsidRDefault="002C782A" w:rsidP="002C782A">
      <w:pPr>
        <w:pStyle w:val="Heading5"/>
      </w:pPr>
      <w:r>
        <w:t>Discussion of virology</w:t>
      </w:r>
    </w:p>
    <w:p w:rsidR="002C782A" w:rsidRDefault="002C782A" w:rsidP="002C782A">
      <w:r>
        <w:t>Based on the subgroup analyses it appears that maraviroc treatment failure may increase the risk of selection of non-CCR5 tropic virus. Non-CCR5 tropic, syncytium forming virus has been shown to be associated with a fast</w:t>
      </w:r>
      <w:r w:rsidR="00D76CA1">
        <w:t>er rate of disease progression.</w:t>
      </w:r>
    </w:p>
    <w:p w:rsidR="002C782A" w:rsidRDefault="002C782A" w:rsidP="00D76CA1">
      <w:r>
        <w:t>Based on subgroup analyses, it appears possible that the patients who failed treatment with maraviroc were at greater risk than those treated with efavirenz of developing resistance to background therapy of lamivudine and zidovudine. Failure to achieve VL &lt; 50 copies/mL may have predisposed to development of viral resistance.</w:t>
      </w:r>
    </w:p>
    <w:p w:rsidR="002C782A" w:rsidRDefault="002C782A" w:rsidP="002C782A">
      <w:r>
        <w:t>With respect to the maraviroc QD group, efficacy results for the OL group were biased by inclusion of participants who were known to be responding to treatment and who voluntarily changed to OL treatment. It is presumed that the participants who discontinued maraviroc treatment were treated with other antiretroviral therapy and it appears that there was a continuing drop in the proportions with VL &lt; 400 copies/mL or &lt; 50 copies/mL in this group. It could be hypothesised that this represents an indication that disease progression had been adversely affected by the change of viral tropism.</w:t>
      </w:r>
    </w:p>
    <w:p w:rsidR="002C782A" w:rsidRDefault="002C782A" w:rsidP="002C782A">
      <w:r>
        <w:t>Also in relation to the QD and OL groups, it appeared that early treatment failure with either CCR5 or D/M tropisms may be associated with an increased tendency towards development of viral resistance to the background agents</w:t>
      </w:r>
      <w:r w:rsidR="00D76CA1">
        <w:t>, in particular lamivudine.</w:t>
      </w:r>
    </w:p>
    <w:p w:rsidR="002C782A" w:rsidRPr="00C605D2" w:rsidRDefault="002C782A" w:rsidP="00D76CA1">
      <w:pPr>
        <w:pStyle w:val="Heading4"/>
      </w:pPr>
      <w:bookmarkStart w:id="64" w:name="_Toc309633561"/>
      <w:r w:rsidRPr="00C605D2">
        <w:t>Studies A4</w:t>
      </w:r>
      <w:r>
        <w:t xml:space="preserve">001027 and A4001028 – Treatment </w:t>
      </w:r>
      <w:r w:rsidRPr="00C605D2">
        <w:t>experienced</w:t>
      </w:r>
      <w:bookmarkEnd w:id="64"/>
      <w:r>
        <w:t xml:space="preserve"> patients</w:t>
      </w:r>
    </w:p>
    <w:p w:rsidR="002C782A" w:rsidRDefault="002C782A" w:rsidP="002C782A">
      <w:pPr>
        <w:pStyle w:val="Heading5"/>
      </w:pPr>
      <w:r>
        <w:t>Summary of effic</w:t>
      </w:r>
      <w:r w:rsidRPr="00D76CA1">
        <w:t>a</w:t>
      </w:r>
      <w:r>
        <w:t>cy</w:t>
      </w:r>
    </w:p>
    <w:p w:rsidR="002C782A" w:rsidRDefault="002C782A" w:rsidP="002C782A">
      <w:r>
        <w:t>These identically designed, multicentre, randomised, double-blind, placebo-controlled trials compared maraviroc 300 mg QD or maraviroc 300 mg BID in combination with optimised background therapy (OBT) versus OBT plus matching placebo for the treatment of antiretroviral-experienced patients i</w:t>
      </w:r>
      <w:r w:rsidR="00D76CA1">
        <w:t>nfected with CCR5 tropic HIV-1.</w:t>
      </w:r>
    </w:p>
    <w:p w:rsidR="002C782A" w:rsidRDefault="002C782A" w:rsidP="002C782A">
      <w:r>
        <w:t>The studies included patients aged ≥ 16 years with plasma VL ≥ 5,000 copies/mL with ≥ 6 months of prior treatment with at least 1 agent from 3 of the 4 antiretroviral drug classes or documented resistance to members from 3 of 4 classes and a stable antiretroviral regimen for at least 4 weeks prior to randomisation. Infection with non-CCR5 tropic vi</w:t>
      </w:r>
      <w:r w:rsidR="00D76CA1">
        <w:t>rus was an exclusion criterion.</w:t>
      </w:r>
    </w:p>
    <w:p w:rsidR="002C782A" w:rsidRDefault="002C782A" w:rsidP="00D76CA1">
      <w:r>
        <w:t xml:space="preserve">The primary efficacy objective was to test superiority of the two maraviroc regimens versus placebo in terms of the difference in the mean change from baseline in plasma HIV RNA at 48 Weeks. The 2-sided 97.5% CI for the difference was adjusted for multiplicity. Superiority of maraviroc versus placebo was concluded if the upper CI limit for the difference in treatment mean was completely to the left side excluding zero. An interim analysis of the primary objective was undertaken at 24 Weeks at which </w:t>
      </w:r>
      <w:r w:rsidR="00D76CA1">
        <w:t>time the sponsor was unblinded.</w:t>
      </w:r>
    </w:p>
    <w:p w:rsidR="002C782A" w:rsidRDefault="002C782A" w:rsidP="00D76CA1">
      <w:r>
        <w:t xml:space="preserve">In both studies for both maraviroc dosing regimens superiority was demonstrated compared with placebo. In Study A4001027 the decrease in HIV-1 RNA from baseline to Week 48 was </w:t>
      </w:r>
      <w:proofErr w:type="gramStart"/>
      <w:r>
        <w:t>-1.66 log</w:t>
      </w:r>
      <w:r w:rsidRPr="007C2098">
        <w:rPr>
          <w:vertAlign w:val="subscript"/>
        </w:rPr>
        <w:t>10</w:t>
      </w:r>
      <w:r>
        <w:t> copies/mL for maraviroc QD</w:t>
      </w:r>
      <w:proofErr w:type="gramEnd"/>
      <w:r>
        <w:t xml:space="preserve"> and -1.82 log</w:t>
      </w:r>
      <w:r w:rsidRPr="007C2098">
        <w:rPr>
          <w:vertAlign w:val="subscript"/>
        </w:rPr>
        <w:t>10</w:t>
      </w:r>
      <w:r>
        <w:t xml:space="preserve"> copies/mL for </w:t>
      </w:r>
      <w:r>
        <w:lastRenderedPageBreak/>
        <w:t xml:space="preserve">maraviroc BID, versus </w:t>
      </w:r>
      <w:r>
        <w:noBreakHyphen/>
        <w:t>0.80 log</w:t>
      </w:r>
      <w:r w:rsidRPr="007C2098">
        <w:rPr>
          <w:vertAlign w:val="subscript"/>
        </w:rPr>
        <w:t>10</w:t>
      </w:r>
      <w:r>
        <w:t xml:space="preserve"> copies/mL for placebo. The treatment difference from placebo was </w:t>
      </w:r>
      <w:r>
        <w:noBreakHyphen/>
        <w:t>0.85 log</w:t>
      </w:r>
      <w:r w:rsidRPr="007C2098">
        <w:rPr>
          <w:vertAlign w:val="subscript"/>
        </w:rPr>
        <w:t>10</w:t>
      </w:r>
      <w:r>
        <w:t> copies/mL (97.5% CI -1.22, -0.49) for maraviroc QD and -1.02 log</w:t>
      </w:r>
      <w:r w:rsidRPr="007C2098">
        <w:rPr>
          <w:vertAlign w:val="subscript"/>
        </w:rPr>
        <w:t>10</w:t>
      </w:r>
      <w:r>
        <w:t xml:space="preserve"> copies/mL (97.5% CI -1.39, </w:t>
      </w:r>
      <w:r>
        <w:noBreakHyphen/>
        <w:t>0.66) for maraviroc BID. In Study A4001028 the decreases in HIV-1 RNA for maraviroc QD, BID and placebo were -1.72 log</w:t>
      </w:r>
      <w:r w:rsidRPr="007C2098">
        <w:rPr>
          <w:vertAlign w:val="subscript"/>
        </w:rPr>
        <w:t>10</w:t>
      </w:r>
      <w:r>
        <w:t> copies/mL, -1.87 log</w:t>
      </w:r>
      <w:r w:rsidRPr="007C2098">
        <w:rPr>
          <w:vertAlign w:val="subscript"/>
        </w:rPr>
        <w:t>10</w:t>
      </w:r>
      <w:r>
        <w:t> copies/mL and -0.76 log</w:t>
      </w:r>
      <w:r w:rsidRPr="007C2098">
        <w:rPr>
          <w:vertAlign w:val="subscript"/>
        </w:rPr>
        <w:t>10</w:t>
      </w:r>
      <w:r>
        <w:t xml:space="preserve"> copies/mL, respectively. The treatment difference was </w:t>
      </w:r>
      <w:r>
        <w:noBreakHyphen/>
        <w:t>0.96 log</w:t>
      </w:r>
      <w:r w:rsidRPr="007C2098">
        <w:rPr>
          <w:vertAlign w:val="subscript"/>
        </w:rPr>
        <w:t>10</w:t>
      </w:r>
      <w:r>
        <w:t> copies/mL (97.5% CI -1.38, -0.54) for maraviroc QD and -1.11 log</w:t>
      </w:r>
      <w:r w:rsidRPr="007C2098">
        <w:rPr>
          <w:vertAlign w:val="subscript"/>
        </w:rPr>
        <w:t>10</w:t>
      </w:r>
      <w:r>
        <w:t xml:space="preserve"> copies/mL (97.5% CI -1.52, -0.70) for maraviroc BID.</w:t>
      </w:r>
    </w:p>
    <w:p w:rsidR="002C782A" w:rsidRDefault="002C782A" w:rsidP="00D76CA1">
      <w:r>
        <w:t>There were more discontinuations due to lack of efficacy in the placebo arm (53%) than in either maraviroc arm (20-25%). The proportion of patients with VL &lt; 50 copies/mL at Week 48 was 40.7% in the maraviroc QD group, 46.6% in the BID treatment group and 15.4% in the placebo group. In both studies, there was a greater mean increase in CD4</w:t>
      </w:r>
      <w:r w:rsidRPr="007C2098">
        <w:rPr>
          <w:vertAlign w:val="superscript"/>
        </w:rPr>
        <w:t>+</w:t>
      </w:r>
      <w:r>
        <w:t xml:space="preserve"> and CD8</w:t>
      </w:r>
      <w:r w:rsidRPr="007C2098">
        <w:rPr>
          <w:vertAlign w:val="superscript"/>
        </w:rPr>
        <w:t>+</w:t>
      </w:r>
      <w:r>
        <w:t xml:space="preserve"> cell counts from baseline in both maraviroc treatment groups compared with placebo.</w:t>
      </w:r>
    </w:p>
    <w:p w:rsidR="002C782A" w:rsidRPr="00D76CA1" w:rsidRDefault="002C782A" w:rsidP="00D76CA1">
      <w:pPr>
        <w:pStyle w:val="Heading5"/>
      </w:pPr>
      <w:r>
        <w:t>Discussion of efficacy</w:t>
      </w:r>
    </w:p>
    <w:p w:rsidR="002C782A" w:rsidRDefault="002C782A" w:rsidP="00D76CA1">
      <w:r>
        <w:t>With regard to the primary objective, superiority was demonstrated for both maraviroc regimens compared to placebo. This was achieved despite use of the OTA in determining suitability for inclusion in the study. However, it is considered unusual to undertaken an interim analysis based on the criteria for the primary analysis and to unblind any participating, interested party at that the time.</w:t>
      </w:r>
    </w:p>
    <w:p w:rsidR="002C782A" w:rsidRDefault="002C782A" w:rsidP="002C782A">
      <w:r>
        <w:t>Although the significance level was adjusted for multiplicity related to comparison of two dosage regimens with placebo, the issue of whether repeated testing was considered in relation to the inte</w:t>
      </w:r>
      <w:r w:rsidR="00D76CA1">
        <w:t>rim analysis was not addressed.</w:t>
      </w:r>
    </w:p>
    <w:p w:rsidR="002C782A" w:rsidRDefault="002C782A" w:rsidP="00D76CA1">
      <w:pPr>
        <w:pStyle w:val="Heading5"/>
      </w:pPr>
      <w:r>
        <w:t>Summary of virology</w:t>
      </w:r>
    </w:p>
    <w:p w:rsidR="002C782A" w:rsidRDefault="002C782A" w:rsidP="00D76CA1">
      <w:r>
        <w:t>The majority of patients had either no change in their susceptibility scores (genotypic susceptibility score (GSS), phenotypic susceptibility score (PSS) and overall susceptibility score (OSS)) or had a loss of susceptibility to one drug, with very few patients having an increase; the small shift being consistent with the fact that most patients had GSS, PSS and OSS values of ≤ 2 at screening. Subpopulation analysis showed an increase in response in terms of VL &lt; 50 copies/m</w:t>
      </w:r>
      <w:r w:rsidR="00D76CA1">
        <w:t>L with increase in GSS and OSS.</w:t>
      </w:r>
    </w:p>
    <w:p w:rsidR="002C782A" w:rsidRDefault="002C782A" w:rsidP="00D76CA1">
      <w:r>
        <w:t>In Studies A4001027 and A4001028, 20/56 (36%) participants who experienced protocol defined treatment failure with CCR5 tropic virus to Week 48 were found to have reduced susceptibility to maraviroc, with reduced maximum percentage inhibition (MPI). Amino acid changes in the V3 loop of envelope clones were identified in viruses from patients which showed a plateau in MPI after treatment with maraviroc. However, these changes were different between patients, reflecting the heterogeneity in envelope glycoprotein gp160 sequence; signature mutations of maraviroc resistance were not identified.</w:t>
      </w:r>
    </w:p>
    <w:p w:rsidR="002C782A" w:rsidRDefault="002C782A" w:rsidP="00D76CA1">
      <w:r>
        <w:t>A change in viral tropism between screening and baseline was reported for 7% of participants in Study A4001027 and 8% in Study A4001028, all changes were from CCR5 to D/M. In each of the studies, most of the participants who responded to treatment had no tropism assignment at Week 48, mainly due either to having VL &lt; 500 co</w:t>
      </w:r>
      <w:r w:rsidR="00D76CA1">
        <w:t>pies/mL or having discontinued.</w:t>
      </w:r>
    </w:p>
    <w:p w:rsidR="002C782A" w:rsidRDefault="002C782A" w:rsidP="00D76CA1">
      <w:r>
        <w:t xml:space="preserve">In Study A4001027, of the 252 patients with a CCR5 tropism at baseline </w:t>
      </w:r>
      <w:proofErr w:type="gramStart"/>
      <w:r>
        <w:t>who</w:t>
      </w:r>
      <w:proofErr w:type="gramEnd"/>
      <w:r>
        <w:t xml:space="preserve"> experienced treatment failure, 82 (32.5%) had a change in tropism result to CXCR4 or D/M at the time of treatment failure. All but 6 of these patients were in the maraviroc treatment arms.</w:t>
      </w:r>
    </w:p>
    <w:p w:rsidR="002C782A" w:rsidRDefault="002C782A" w:rsidP="00D76CA1">
      <w:r>
        <w:t>In Study A4001028, of the 107 participants with a CCR5 tropism result at baseline, and who experienced treatment failure, 25 (23%) had a change in tropism result to CXCR4 or D/M at the time of treatment failure; all but 3 of these participants were in the maraviroc treatment groups.</w:t>
      </w:r>
    </w:p>
    <w:p w:rsidR="002C782A" w:rsidRDefault="002C782A" w:rsidP="004619AA">
      <w:pPr>
        <w:pStyle w:val="Heading5"/>
      </w:pPr>
      <w:r>
        <w:lastRenderedPageBreak/>
        <w:t>Discussion of virology</w:t>
      </w:r>
    </w:p>
    <w:p w:rsidR="002C782A" w:rsidRDefault="002C782A" w:rsidP="004619AA">
      <w:r>
        <w:t xml:space="preserve">It was noted that the significance or otherwise of change of tropism appears to be dependent on the model used for analysis based on the way of handling missing values. It may be that the Last Observation Carried Forward (LOCF) model may be more meaningful as there were otherwise large numbers of missing values reported at Week 48. Using the LOCF model, the CIs for the difference between maraviroc and placebo at Week 48 and at the time of treatment failure both suggest a significant difference between maraviroc and placebo in the proportions undergoing change of tropism, which is of potential concern considering the possibility of more rapid disease progression in the </w:t>
      </w:r>
      <w:r w:rsidR="004619AA">
        <w:t>presence of CXCR4</w:t>
      </w:r>
      <w:r w:rsidR="004619AA">
        <w:noBreakHyphen/>
        <w:t>using virus.</w:t>
      </w:r>
    </w:p>
    <w:p w:rsidR="002C782A" w:rsidRDefault="002C782A" w:rsidP="004619AA">
      <w:pPr>
        <w:pStyle w:val="Heading4"/>
      </w:pPr>
      <w:bookmarkStart w:id="65" w:name="_Toc309633563"/>
      <w:r>
        <w:t>Study A4001029 – Non-tropic CCR5</w:t>
      </w:r>
      <w:bookmarkEnd w:id="65"/>
    </w:p>
    <w:p w:rsidR="002C782A" w:rsidRPr="004619AA" w:rsidRDefault="004619AA" w:rsidP="004619AA">
      <w:pPr>
        <w:pStyle w:val="Heading5"/>
      </w:pPr>
      <w:r>
        <w:t>Summary</w:t>
      </w:r>
    </w:p>
    <w:p w:rsidR="002C782A" w:rsidRDefault="002C782A" w:rsidP="004619AA">
      <w:r>
        <w:t>Study A4001029 was a multicenter, double-blind, randomised, placebo-controlled Phase IIb study of heavily treatment experienced patients infected with non-CCR5 tropic (dual tropic, CXCR4 tropic or non phenotypable) HIV-1, assessed using the Trofile assay. The primary objective was to determine whether maraviroc 300 mg QD or BID added to OBT provided an additional reduction from baseline in plasma VL compared to OBT alone at Week 24 (results not included in the submitted report). A similar analysis at Week 48 was a secondary objective.</w:t>
      </w:r>
    </w:p>
    <w:p w:rsidR="002C782A" w:rsidRDefault="002C782A" w:rsidP="004619AA">
      <w:r>
        <w:t>The study included patients aged at least 16 years, infected with non-CCR5 tropic HIV-1, with ≥ 3 months of prior treatment with at least 1 agent from 3 of the 4 antiretroviral drug classes or documented resistance to members from 3 of 4 classes, a stable antiretroviral regimen for at least 4 weeks prior to randomisation and a plasma VL ≥ 5,000 copies/mL.</w:t>
      </w:r>
    </w:p>
    <w:p w:rsidR="002C782A" w:rsidRDefault="002C782A" w:rsidP="004619AA">
      <w:r>
        <w:t>Sixty-three patients were treated in the maraviroc QD group, 61 in the maraviroc BID group and 62 in the placebo group. The proportions discontinued by Week 48 were 76% of the maraviroc QD group, 59% of the maraviroc BID grou</w:t>
      </w:r>
      <w:r w:rsidR="004619AA">
        <w:t>p and 71% of the placebo group.</w:t>
      </w:r>
    </w:p>
    <w:p w:rsidR="002C782A" w:rsidRDefault="002C782A" w:rsidP="004619AA">
      <w:r>
        <w:t>Approximately 87% of the study population was male and the majority were aged between 35 and 54 years. Approximately two thirds were White and one third was Black. The commonest reason for exclusion from the PP analysis was presence of CCR5 virus only at baseline, which was reported for 6.3% of the maraviroc QD group, 9.8% of the maraviroc BID group and 11.3% of the placebo group.</w:t>
      </w:r>
    </w:p>
    <w:p w:rsidR="002C782A" w:rsidRDefault="002C782A" w:rsidP="002C782A">
      <w:r>
        <w:t>Neither maraviroc dose regimen demonstrated superiority or non-inferiority to placebo. The percentage discontinuing for lack of efficacy was 64% for the maraviroc QD group and 44% for both the ma</w:t>
      </w:r>
      <w:r w:rsidR="004619AA">
        <w:t>raviroc BID and placebo groups.</w:t>
      </w:r>
    </w:p>
    <w:p w:rsidR="002C782A" w:rsidRDefault="002C782A" w:rsidP="002C782A">
      <w:r>
        <w:t xml:space="preserve">Category C AIDS-defining illnesses were reported for 8% of patients receiving maraviroc QD, 7% receiving maraviroc BID, and 3% of </w:t>
      </w:r>
      <w:r w:rsidR="004619AA">
        <w:t>participants receiving placebo.</w:t>
      </w:r>
    </w:p>
    <w:p w:rsidR="002C782A" w:rsidRPr="004619AA" w:rsidRDefault="002C782A" w:rsidP="004619AA">
      <w:pPr>
        <w:pStyle w:val="Heading5"/>
      </w:pPr>
      <w:bookmarkStart w:id="66" w:name="_Toc309633564"/>
      <w:bookmarkStart w:id="67" w:name="_Ref309627550"/>
      <w:bookmarkStart w:id="68" w:name="_Ref309627544"/>
      <w:r w:rsidRPr="00F13EBA">
        <w:t>Discussion</w:t>
      </w:r>
      <w:bookmarkEnd w:id="66"/>
      <w:bookmarkEnd w:id="67"/>
      <w:bookmarkEnd w:id="68"/>
    </w:p>
    <w:p w:rsidR="002C782A" w:rsidRDefault="002C782A" w:rsidP="002C782A">
      <w:r w:rsidRPr="00F13EBA">
        <w:t>The numbers in the study were small and the proportions discontinuing were</w:t>
      </w:r>
      <w:r w:rsidRPr="00702299">
        <w:t xml:space="preserve"> considerable. Of the patients with </w:t>
      </w:r>
      <w:r>
        <w:t xml:space="preserve">D/M </w:t>
      </w:r>
      <w:r w:rsidRPr="00702299">
        <w:t>tropism at baseline and with a result available at the time of treatment failure, 26/68 (38%) patients treated with maraviroc had a CXCR4 tropism result at failure</w:t>
      </w:r>
      <w:r>
        <w:t>,</w:t>
      </w:r>
      <w:r w:rsidRPr="00702299">
        <w:t xml:space="preserve"> compared with 3/27 (11%) patients in the placebo group, consistent with possible selective suppression by maraviroc of CCR5 tropic virus strains in these patients. It was not clear to the evaluator whether those in the study with CXCR4 had a more rapid clinical deterioration thereafter or were more resistant to further treatment. However, the use of maraviroc in treatment of non-CCR</w:t>
      </w:r>
      <w:r w:rsidR="004619AA">
        <w:t>5 tropic virus is not proposed.</w:t>
      </w:r>
    </w:p>
    <w:p w:rsidR="002C782A" w:rsidRDefault="002C782A" w:rsidP="004619AA">
      <w:pPr>
        <w:pStyle w:val="Heading3"/>
      </w:pPr>
      <w:bookmarkStart w:id="69" w:name="_Toc355615885"/>
      <w:bookmarkStart w:id="70" w:name="_Toc366272743"/>
      <w:r w:rsidRPr="002E238E">
        <w:lastRenderedPageBreak/>
        <w:t>Safety</w:t>
      </w:r>
      <w:bookmarkEnd w:id="57"/>
      <w:bookmarkEnd w:id="58"/>
      <w:bookmarkEnd w:id="59"/>
      <w:bookmarkEnd w:id="69"/>
      <w:bookmarkEnd w:id="70"/>
    </w:p>
    <w:p w:rsidR="002C782A" w:rsidRDefault="002C782A" w:rsidP="002C782A">
      <w:pPr>
        <w:pStyle w:val="Heading4"/>
      </w:pPr>
      <w:bookmarkStart w:id="71" w:name="_Toc255919423"/>
      <w:bookmarkStart w:id="72" w:name="_Toc241374329"/>
      <w:bookmarkStart w:id="73" w:name="_Toc270320087"/>
      <w:bookmarkStart w:id="74" w:name="_Toc163441387"/>
      <w:r>
        <w:t>Study A4001026 – Treatment naïve pati</w:t>
      </w:r>
      <w:r w:rsidRPr="004619AA">
        <w:t>en</w:t>
      </w:r>
      <w:r>
        <w:t>ts</w:t>
      </w:r>
    </w:p>
    <w:p w:rsidR="002C782A" w:rsidRDefault="002C782A" w:rsidP="004619AA">
      <w:pPr>
        <w:pStyle w:val="Heading5"/>
      </w:pPr>
      <w:r>
        <w:t>Summary of safety</w:t>
      </w:r>
    </w:p>
    <w:p w:rsidR="002C782A" w:rsidRDefault="002C782A" w:rsidP="004619AA">
      <w:r>
        <w:t>The total exposure in patient-years was 506 years for maraviroc and 507.9 years for efavirenz. All-causality adverse events (AEs) were reported by similar proportions of the maraviroc BID and efavirenz groups. However, treatment related AEs and discontinuations due to treatment related AEs were more common in the efavirenz group than in the maraviroc BID group. Adverse events leading to permanent discontinuation were considered treatment related by the investigator for 15 (4.2%) in the maraviroc group and 47 (13.0%) in the efavirenz group. The most common reasons for discontinuation were related to increased transaminases, nausea and pregnancy in the maraviroc BID group; and rash, pregnancy, tuberculosis, dizziness and nausea in the efavirenz group.</w:t>
      </w:r>
    </w:p>
    <w:p w:rsidR="002C782A" w:rsidRDefault="002C782A" w:rsidP="004619AA">
      <w:r>
        <w:t>There appeared no evidence relating maraviroc BID to an excess of deaths, Category C infection, serious AEs, malignancy, hypotension, infection, hepatobiliary disorder or QTcF prolongation</w:t>
      </w:r>
      <w:r>
        <w:rPr>
          <w:rStyle w:val="FootnoteReference"/>
        </w:rPr>
        <w:footnoteReference w:id="10"/>
      </w:r>
      <w:r>
        <w:t xml:space="preserve"> in comparison to efavirenz. No new or unexpected safety signal was reported.</w:t>
      </w:r>
    </w:p>
    <w:p w:rsidR="002C782A" w:rsidRDefault="002C782A" w:rsidP="002C782A">
      <w:pPr>
        <w:pStyle w:val="Heading5"/>
      </w:pPr>
      <w:bookmarkStart w:id="75" w:name="_Ref309389489"/>
      <w:bookmarkStart w:id="76" w:name="_Ref309389492"/>
      <w:bookmarkStart w:id="77" w:name="_Toc309633560"/>
      <w:r>
        <w:t xml:space="preserve">Discussion </w:t>
      </w:r>
      <w:bookmarkEnd w:id="75"/>
      <w:bookmarkEnd w:id="76"/>
      <w:bookmarkEnd w:id="77"/>
      <w:r>
        <w:t>of safety</w:t>
      </w:r>
    </w:p>
    <w:p w:rsidR="002C782A" w:rsidRDefault="002C782A" w:rsidP="002C782A">
      <w:r>
        <w:t>While efficacy is an issue, it appeared that maraviroc BID has an advantage which demonstrated a better safety profile than efavirenz with respect to safety, as shown in this study to this time point. There was benefit in favour of maraviroc compared to efavirenz with respect to discontinuations due to AEs and with respect to lipid parameters. There was no category of events in which maraviroc predominated compared to efavirenz. In particular, in areas of special interest, there were no more malignancies reported, no evidence of an increased incidence of Category C events and AIDS, and no excess of thyroid or muscle related AEs.</w:t>
      </w:r>
    </w:p>
    <w:p w:rsidR="002C782A" w:rsidRPr="00E82811" w:rsidRDefault="002C782A" w:rsidP="002C782A">
      <w:r>
        <w:t xml:space="preserve">With respect to determining the clinical significance of a change in tropism, the timing of the event is of importance as there is likely to be a lag time between change of tropism and the onset of accelerated disease progress or AEs related to progression to AIDS. Submission to the TGA of the results of the ongoing follow-up is considered a requirement </w:t>
      </w:r>
      <w:r w:rsidRPr="00E82811">
        <w:t>should maraviroc be registered for</w:t>
      </w:r>
      <w:r>
        <w:t xml:space="preserve"> use in treatment</w:t>
      </w:r>
      <w:r w:rsidRPr="0043166D">
        <w:t xml:space="preserve"> </w:t>
      </w:r>
      <w:r>
        <w:t>naïve</w:t>
      </w:r>
      <w:r w:rsidRPr="00E82811">
        <w:t xml:space="preserve"> patients.</w:t>
      </w:r>
    </w:p>
    <w:p w:rsidR="002C782A" w:rsidRPr="00E82811" w:rsidRDefault="002C782A" w:rsidP="002C782A">
      <w:r w:rsidRPr="00E82811">
        <w:t xml:space="preserve">With respect to QTcF interval, details of the uniformity or otherwise of collection, reading and interpretation of the electrocardiograms </w:t>
      </w:r>
      <w:r>
        <w:t>(</w:t>
      </w:r>
      <w:r w:rsidRPr="00E82811">
        <w:t>ECGs</w:t>
      </w:r>
      <w:r>
        <w:t>)</w:t>
      </w:r>
      <w:r w:rsidRPr="00E82811">
        <w:t xml:space="preserve"> could not be located in the submission dossier. Increases in QTcF of as little as 30 msec or less may be clinically relevant</w:t>
      </w:r>
      <w:r>
        <w:t>.</w:t>
      </w:r>
      <w:r w:rsidRPr="00E82811">
        <w:rPr>
          <w:vertAlign w:val="superscript"/>
        </w:rPr>
        <w:footnoteReference w:id="11"/>
      </w:r>
      <w:r w:rsidRPr="00E82811">
        <w:t xml:space="preserve"> Based on </w:t>
      </w:r>
      <w:r>
        <w:t>Committee for Proprietary Medicinal Products (</w:t>
      </w:r>
      <w:r w:rsidRPr="00E82811">
        <w:t>CPMP</w:t>
      </w:r>
      <w:r>
        <w:t xml:space="preserve">) </w:t>
      </w:r>
      <w:r w:rsidRPr="00E82811">
        <w:t>recommendations</w:t>
      </w:r>
      <w:r>
        <w:t>,</w:t>
      </w:r>
      <w:r w:rsidRPr="00E82811">
        <w:rPr>
          <w:vertAlign w:val="superscript"/>
        </w:rPr>
        <w:footnoteReference w:id="12"/>
      </w:r>
      <w:r w:rsidRPr="00E82811">
        <w:t xml:space="preserve"> 16% of patients in the maraviroc group had maximum increases in the range at least potentially of concern</w:t>
      </w:r>
      <w:r>
        <w:t>,</w:t>
      </w:r>
      <w:r w:rsidRPr="00E82811">
        <w:t xml:space="preserve"> </w:t>
      </w:r>
      <w:r>
        <w:t>versus</w:t>
      </w:r>
      <w:r w:rsidRPr="00E82811">
        <w:t xml:space="preserve"> 17% of the efavirenz group. The fact that one group did not predominate in incidence is not totally reassuring.</w:t>
      </w:r>
    </w:p>
    <w:p w:rsidR="002C782A" w:rsidRDefault="002C782A" w:rsidP="004619AA">
      <w:r>
        <w:lastRenderedPageBreak/>
        <w:t>With respect to maraviroc QD: despite demonstrated superiority of efficacy of maraviroc 300 mg QD with OBT in treatment experience patients, albeit with a different primary outcome, its use in treatment</w:t>
      </w:r>
      <w:r w:rsidRPr="0043166D">
        <w:t xml:space="preserve"> </w:t>
      </w:r>
      <w:r>
        <w:t>naïve patients was found to be inferior such that discontinuation of that treatment was advised by the Data Safety Monitoring Board. While the QD dose is not the subject of the application, the apparent efficacy failure is of concern as it points to the possibility that the treatment</w:t>
      </w:r>
      <w:r w:rsidRPr="0043166D">
        <w:t xml:space="preserve"> </w:t>
      </w:r>
      <w:r>
        <w:t>naïve patients offer challenges in treatment not so evident in the treatment experienced po</w:t>
      </w:r>
      <w:r w:rsidR="004619AA">
        <w:t>pulation.</w:t>
      </w:r>
    </w:p>
    <w:p w:rsidR="002C782A" w:rsidRDefault="002C782A" w:rsidP="002C782A">
      <w:pPr>
        <w:pStyle w:val="Heading4"/>
      </w:pPr>
      <w:r>
        <w:t>Studies A4001027 and A4001028 – Treatment experienced patients</w:t>
      </w:r>
    </w:p>
    <w:p w:rsidR="002C782A" w:rsidRDefault="002C782A" w:rsidP="004619AA">
      <w:pPr>
        <w:pStyle w:val="Heading5"/>
      </w:pPr>
      <w:r>
        <w:t>Summary of safety</w:t>
      </w:r>
    </w:p>
    <w:p w:rsidR="002C782A" w:rsidRDefault="002C782A" w:rsidP="004619AA">
      <w:r>
        <w:t>The numbers included in the safety analysis were: maraviroc QD (414), maraviroc BID (426), placebo (209), and in-study on OL maraviroc BID (117 participants). Total exposure in patient years was 300–308.8 for the blinded maraviroc arms and 110.7 for placebo.</w:t>
      </w:r>
    </w:p>
    <w:p w:rsidR="002C782A" w:rsidRDefault="002C782A" w:rsidP="002C782A">
      <w:r>
        <w:t>All causality AEs were reported by similar proportions of the maraviroc and placebo groups, not taking into account the different lengths of exposure. The incidence of treatment related AEs was 49.5% for maraviroc QD, 51.4% for maraviroc BID, and 45.0% for the placebo group. The most common of these were nausea, diarrhoea, fatigue, headache and dizziness. Rash, constipation, dyspepsia and cough occurred at ≥ 2% and at a higher incidence in the maraviroc BI</w:t>
      </w:r>
      <w:r w:rsidR="004619AA">
        <w:t>D group than the placebo group.</w:t>
      </w:r>
    </w:p>
    <w:p w:rsidR="002C782A" w:rsidRDefault="002C782A" w:rsidP="002C782A">
      <w:r>
        <w:t xml:space="preserve">Serious AEs were reported by 76/414 (18.4%) on maraviroc QD, 88/426 (20.7%) on maraviroc BID and 38/209 (18.2%) on placebo. The most common serious AEs were vomiting and pneumonia. Two deaths were considered treatment </w:t>
      </w:r>
      <w:proofErr w:type="gramStart"/>
      <w:r>
        <w:t>related,</w:t>
      </w:r>
      <w:proofErr w:type="gramEnd"/>
      <w:r>
        <w:t xml:space="preserve"> both reported in maraviroc treated patients: due to large cell lymphoma and cholangiocarcinoma with mul</w:t>
      </w:r>
      <w:r w:rsidR="004619AA">
        <w:t>tiple metastases, respectively.</w:t>
      </w:r>
    </w:p>
    <w:p w:rsidR="002C782A" w:rsidRDefault="002C782A" w:rsidP="004619AA">
      <w:r>
        <w:t>Permanent discontinuations because of all-causality AEs were reported by 20 (4.8%) receiving maraviroc QD, 19 (4.5%) receiving maraviroc BID and 11 (5.3%) receiving placebo.</w:t>
      </w:r>
    </w:p>
    <w:p w:rsidR="002C782A" w:rsidRDefault="002C782A" w:rsidP="002C782A">
      <w:r>
        <w:t xml:space="preserve">More liver related AEs were reported by participants in the maraviroc groups. The approved Celsentri PI in the </w:t>
      </w:r>
      <w:r w:rsidRPr="00CE0650">
        <w:rPr>
          <w:i/>
        </w:rPr>
        <w:t>Precautions</w:t>
      </w:r>
      <w:r>
        <w:t xml:space="preserve"> section is considered adequate to cover this</w:t>
      </w:r>
      <w:r w:rsidR="004619AA">
        <w:t xml:space="preserve"> event.</w:t>
      </w:r>
    </w:p>
    <w:p w:rsidR="002C782A" w:rsidRDefault="002C782A" w:rsidP="002C782A">
      <w:r>
        <w:t>There appeared no evidence relating maraviroc BID to an excess of deaths, Category C infection, serious AEs, malignancy, hypotension, infection or QTcF prolongation in comparison to placebo. No new or unexpected safety signal was reported.</w:t>
      </w:r>
    </w:p>
    <w:p w:rsidR="002C782A" w:rsidRDefault="002C782A" w:rsidP="002C782A">
      <w:pPr>
        <w:pStyle w:val="Heading5"/>
      </w:pPr>
      <w:bookmarkStart w:id="78" w:name="here"/>
      <w:bookmarkEnd w:id="78"/>
      <w:r>
        <w:t>Discussion of safety</w:t>
      </w:r>
    </w:p>
    <w:p w:rsidR="002C782A" w:rsidRDefault="002C782A" w:rsidP="002C782A">
      <w:r>
        <w:t>Based on Week 48 results there appears to be no change in the safety profile of maraviroc in treatment of treatment experienced patients. A brief mention of Week 96 results made by the sponsor’s clinical expert leads to the conclusion that there may possibly be further safety information available to the sponsor. If so, it is recommended that th</w:t>
      </w:r>
      <w:r w:rsidR="004619AA">
        <w:t>e data is submitted to the TGA.</w:t>
      </w:r>
    </w:p>
    <w:p w:rsidR="002C782A" w:rsidRDefault="004619AA" w:rsidP="004619AA">
      <w:pPr>
        <w:pStyle w:val="Heading3"/>
      </w:pPr>
      <w:bookmarkStart w:id="79" w:name="_Toc355615886"/>
      <w:bookmarkStart w:id="80" w:name="_Toc366272744"/>
      <w:r>
        <w:t>List of q</w:t>
      </w:r>
      <w:r w:rsidR="002C782A">
        <w:t>uestions</w:t>
      </w:r>
      <w:bookmarkEnd w:id="71"/>
      <w:bookmarkEnd w:id="72"/>
      <w:bookmarkEnd w:id="73"/>
      <w:bookmarkEnd w:id="79"/>
      <w:bookmarkEnd w:id="80"/>
    </w:p>
    <w:p w:rsidR="002C782A" w:rsidRDefault="002C782A" w:rsidP="002C782A">
      <w:r>
        <w:t>The TGA provided the sponsor a copy of the CER, along with an invitation to provide a response to ma</w:t>
      </w:r>
      <w:r w:rsidR="004619AA">
        <w:t>tters raised therein.</w:t>
      </w:r>
    </w:p>
    <w:p w:rsidR="002C782A" w:rsidRPr="006E137C" w:rsidRDefault="00E55FF5" w:rsidP="00D15354">
      <w:pPr>
        <w:pStyle w:val="Heading3"/>
      </w:pPr>
      <w:bookmarkStart w:id="81" w:name="_Toc247691523"/>
      <w:bookmarkStart w:id="82" w:name="_Toc355615887"/>
      <w:bookmarkStart w:id="83" w:name="_Toc184440295"/>
      <w:bookmarkStart w:id="84" w:name="_Toc184444673"/>
      <w:bookmarkStart w:id="85" w:name="_Toc196046503"/>
      <w:bookmarkStart w:id="86" w:name="_Toc366272745"/>
      <w:bookmarkEnd w:id="74"/>
      <w:r>
        <w:lastRenderedPageBreak/>
        <w:t>First r</w:t>
      </w:r>
      <w:r w:rsidR="00C84393">
        <w:t>ound</w:t>
      </w:r>
      <w:r w:rsidR="002C782A">
        <w:t xml:space="preserve"> </w:t>
      </w:r>
      <w:r>
        <w:t>c</w:t>
      </w:r>
      <w:r w:rsidR="002C782A">
        <w:t xml:space="preserve">linical </w:t>
      </w:r>
      <w:r>
        <w:t>summary and c</w:t>
      </w:r>
      <w:r w:rsidR="002C782A">
        <w:t>onclusions</w:t>
      </w:r>
      <w:bookmarkEnd w:id="81"/>
      <w:bookmarkEnd w:id="82"/>
      <w:bookmarkEnd w:id="86"/>
    </w:p>
    <w:p w:rsidR="002C782A" w:rsidRPr="002C293D" w:rsidRDefault="002C782A" w:rsidP="00D15354">
      <w:pPr>
        <w:pStyle w:val="Heading4"/>
      </w:pPr>
      <w:bookmarkStart w:id="87" w:name="_Toc282171213"/>
      <w:bookmarkStart w:id="88" w:name="_Toc236802594"/>
      <w:bookmarkStart w:id="89" w:name="_Toc241374332"/>
      <w:bookmarkStart w:id="90" w:name="_Toc196046504"/>
      <w:bookmarkStart w:id="91" w:name="_Toc163441390"/>
      <w:bookmarkEnd w:id="83"/>
      <w:bookmarkEnd w:id="84"/>
      <w:bookmarkEnd w:id="85"/>
      <w:r w:rsidRPr="002C293D">
        <w:t>Benefit risk assessment</w:t>
      </w:r>
      <w:bookmarkEnd w:id="87"/>
      <w:bookmarkEnd w:id="88"/>
      <w:bookmarkEnd w:id="89"/>
    </w:p>
    <w:p w:rsidR="002C782A" w:rsidRPr="00D01666" w:rsidRDefault="002C782A" w:rsidP="00D15354">
      <w:pPr>
        <w:pStyle w:val="Heading5"/>
      </w:pPr>
      <w:bookmarkStart w:id="92" w:name="_Toc282171214"/>
      <w:bookmarkStart w:id="93" w:name="_Toc241374333"/>
      <w:bookmarkStart w:id="94" w:name="_Toc236802595"/>
      <w:r w:rsidRPr="00D01666">
        <w:t>Benefits</w:t>
      </w:r>
      <w:bookmarkEnd w:id="92"/>
      <w:bookmarkEnd w:id="93"/>
      <w:bookmarkEnd w:id="94"/>
    </w:p>
    <w:p w:rsidR="002C782A" w:rsidRPr="00D01666" w:rsidRDefault="002C782A" w:rsidP="00D15354">
      <w:pPr>
        <w:pStyle w:val="Heading6"/>
      </w:pPr>
      <w:r>
        <w:t xml:space="preserve">Benefits for treatment </w:t>
      </w:r>
      <w:r w:rsidRPr="00D01666">
        <w:t>experienced patients</w:t>
      </w:r>
    </w:p>
    <w:p w:rsidR="002C782A" w:rsidRPr="00D01666" w:rsidRDefault="002C782A" w:rsidP="00D15354">
      <w:r w:rsidRPr="00D01666">
        <w:t>Superior efficacy of maraviroc 300 mg BID compared to placebo has been established in Studies A4001027 and A4001028. The Week 48 safety assessment of maraviroc use in treatment experienced patient has revealed no ne</w:t>
      </w:r>
      <w:r w:rsidR="00D15354">
        <w:t>w or unexpected safety signals.</w:t>
      </w:r>
    </w:p>
    <w:p w:rsidR="002C782A" w:rsidRPr="00D01666" w:rsidRDefault="002C782A" w:rsidP="00D15354">
      <w:pPr>
        <w:pStyle w:val="Heading5"/>
      </w:pPr>
      <w:r w:rsidRPr="00D01666">
        <w:t>Benefits for treatment</w:t>
      </w:r>
      <w:r w:rsidRPr="0043166D">
        <w:t xml:space="preserve"> </w:t>
      </w:r>
      <w:r>
        <w:t>naïve</w:t>
      </w:r>
      <w:r w:rsidRPr="00D01666">
        <w:t xml:space="preserve"> patients</w:t>
      </w:r>
    </w:p>
    <w:p w:rsidR="002C782A" w:rsidRPr="00D01666" w:rsidRDefault="002C782A" w:rsidP="00D15354">
      <w:r w:rsidRPr="00D01666">
        <w:t xml:space="preserve">Maraviroc 300 mg BID demonstrated a better safety profile than efavirenz with respect to discontinuations due to </w:t>
      </w:r>
      <w:r>
        <w:t>AE</w:t>
      </w:r>
      <w:r w:rsidRPr="00D01666">
        <w:t xml:space="preserve">s and with respect to lipid profile (cholesterol, </w:t>
      </w:r>
      <w:r>
        <w:t>low density lipoprotein (</w:t>
      </w:r>
      <w:r w:rsidRPr="00D01666">
        <w:t>LDL</w:t>
      </w:r>
      <w:r>
        <w:t>)</w:t>
      </w:r>
      <w:r w:rsidRPr="00D01666">
        <w:t xml:space="preserve"> and triglycerides)</w:t>
      </w:r>
      <w:r>
        <w:t>.</w:t>
      </w:r>
    </w:p>
    <w:p w:rsidR="002C782A" w:rsidRPr="00D01666" w:rsidRDefault="002C782A" w:rsidP="00D15354">
      <w:pPr>
        <w:pStyle w:val="Heading5"/>
      </w:pPr>
      <w:bookmarkStart w:id="95" w:name="_Toc282171215"/>
      <w:bookmarkStart w:id="96" w:name="_Toc241374334"/>
      <w:bookmarkStart w:id="97" w:name="_Toc236802596"/>
      <w:r w:rsidRPr="00D01666">
        <w:t>Risks</w:t>
      </w:r>
      <w:bookmarkEnd w:id="95"/>
      <w:bookmarkEnd w:id="96"/>
      <w:bookmarkEnd w:id="97"/>
    </w:p>
    <w:p w:rsidR="002C782A" w:rsidRPr="00D01666" w:rsidRDefault="002C782A" w:rsidP="00D15354">
      <w:pPr>
        <w:pStyle w:val="Heading6"/>
      </w:pPr>
      <w:r w:rsidRPr="00D01666">
        <w:t>Risks for treatment</w:t>
      </w:r>
      <w:r>
        <w:t xml:space="preserve"> </w:t>
      </w:r>
      <w:r w:rsidRPr="00D01666">
        <w:t>experienced patien</w:t>
      </w:r>
      <w:r w:rsidRPr="00D15354">
        <w:t>t</w:t>
      </w:r>
      <w:r w:rsidRPr="00D01666">
        <w:t>s</w:t>
      </w:r>
    </w:p>
    <w:p w:rsidR="002C782A" w:rsidRPr="00D01666" w:rsidRDefault="002C782A" w:rsidP="00D15354">
      <w:r w:rsidRPr="00D01666">
        <w:t xml:space="preserve">Selection pressure resulting in transition to CXCR4-using HIV-1 infection is possible. CXCR4 tropic virus has been associated with more rapid advancement of disease. The safety follow-up period of 48 months is relatively short. Rare </w:t>
      </w:r>
      <w:r>
        <w:t xml:space="preserve">AEs </w:t>
      </w:r>
      <w:r w:rsidR="00D15354">
        <w:t>may remain to be identified.</w:t>
      </w:r>
    </w:p>
    <w:p w:rsidR="002C782A" w:rsidRPr="00D15354" w:rsidRDefault="002C782A" w:rsidP="00D15354">
      <w:pPr>
        <w:pStyle w:val="Heading6"/>
      </w:pPr>
      <w:r w:rsidRPr="00D15354">
        <w:t>Risks for treatment naïve patients</w:t>
      </w:r>
    </w:p>
    <w:p w:rsidR="002C782A" w:rsidRPr="00D01666" w:rsidRDefault="002C782A" w:rsidP="002C782A">
      <w:r w:rsidRPr="00D01666">
        <w:t>Non-inferiority with respect to efficacy is not considered to hav</w:t>
      </w:r>
      <w:r w:rsidR="00D15354">
        <w:t>e been unarguably demonstrated.</w:t>
      </w:r>
    </w:p>
    <w:p w:rsidR="002C782A" w:rsidRPr="00D01666" w:rsidRDefault="002C782A" w:rsidP="002C782A">
      <w:r w:rsidRPr="00D01666">
        <w:t>In patients with viral failure there appeared to be an increased risk of development of resistance to the two agents used in the OBT, in particular to lamivudine and in part</w:t>
      </w:r>
      <w:r>
        <w:t>icular in the presence of CXCR5-</w:t>
      </w:r>
      <w:r w:rsidR="00D15354">
        <w:t>using virus.</w:t>
      </w:r>
    </w:p>
    <w:p w:rsidR="002C782A" w:rsidRPr="00D01666" w:rsidRDefault="002C782A" w:rsidP="002C782A">
      <w:r w:rsidRPr="00D01666">
        <w:t xml:space="preserve">At </w:t>
      </w:r>
      <w:r>
        <w:t xml:space="preserve">the </w:t>
      </w:r>
      <w:r w:rsidRPr="00D01666">
        <w:t xml:space="preserve">time of treatment failure, for those patients with available results, only participants in the maraviroc group were documented to switch from CCR5 to CXCR4 or </w:t>
      </w:r>
      <w:r>
        <w:t xml:space="preserve">D/M </w:t>
      </w:r>
      <w:r w:rsidRPr="00D01666">
        <w:t xml:space="preserve">virus. It is considered of concern that in the relatively early stages of illness, a patient may be put at greater risk of a change in tropism resulting in infection with a more virulent virus potentially leading to </w:t>
      </w:r>
      <w:r w:rsidR="00D15354">
        <w:t>more rapid disease progression.</w:t>
      </w:r>
    </w:p>
    <w:p w:rsidR="002C782A" w:rsidRPr="00D01666" w:rsidRDefault="002C782A" w:rsidP="002C782A">
      <w:r w:rsidRPr="00D01666">
        <w:t xml:space="preserve">Patients with inadequate </w:t>
      </w:r>
      <w:r>
        <w:t xml:space="preserve">maraviroc </w:t>
      </w:r>
      <w:r w:rsidRPr="00D01666">
        <w:t xml:space="preserve">blood levels have been shown to be at greater risk of treatment failure and hence of development of resistance and change of tropism, which is of concern in the absence of </w:t>
      </w:r>
      <w:r>
        <w:t xml:space="preserve">a </w:t>
      </w:r>
      <w:r w:rsidRPr="00D01666">
        <w:t>requirement for thera</w:t>
      </w:r>
      <w:r w:rsidR="00B624E0">
        <w:t>peutic blood level monitoring.</w:t>
      </w:r>
    </w:p>
    <w:p w:rsidR="002C782A" w:rsidRPr="00D01666" w:rsidRDefault="002C782A" w:rsidP="00B624E0">
      <w:r w:rsidRPr="00D01666">
        <w:t xml:space="preserve">Little detail regarding the </w:t>
      </w:r>
      <w:r>
        <w:t xml:space="preserve">ESTA </w:t>
      </w:r>
      <w:r w:rsidRPr="00D01666">
        <w:t xml:space="preserve">could be located in the submission dossier. It appears that the commercially available assay requires a </w:t>
      </w:r>
      <w:r>
        <w:t>VL</w:t>
      </w:r>
      <w:r w:rsidRPr="00D01666">
        <w:t xml:space="preserve"> </w:t>
      </w:r>
      <w:proofErr w:type="gramStart"/>
      <w:r w:rsidRPr="00D01666">
        <w:t>of at least 1,000 copies/mL</w:t>
      </w:r>
      <w:r>
        <w:t>,</w:t>
      </w:r>
      <w:r w:rsidRPr="00D01666">
        <w:t xml:space="preserve"> which may limit the early detection of X4-using virus</w:t>
      </w:r>
      <w:proofErr w:type="gramEnd"/>
      <w:r w:rsidRPr="00D01666">
        <w:t xml:space="preserve">. The length of time required for assay </w:t>
      </w:r>
      <w:r>
        <w:t xml:space="preserve">turnaround </w:t>
      </w:r>
      <w:r w:rsidRPr="00D01666">
        <w:t xml:space="preserve">is </w:t>
      </w:r>
      <w:r>
        <w:t>considered a practical consideration</w:t>
      </w:r>
      <w:r w:rsidRPr="00D01666">
        <w:t xml:space="preserve"> as change of tropism in a short period of a few weeks has been shown to occur. In addition, </w:t>
      </w:r>
      <w:r>
        <w:t xml:space="preserve">the </w:t>
      </w:r>
      <w:r w:rsidRPr="00D01666">
        <w:t xml:space="preserve">cost of the assay is a practical </w:t>
      </w:r>
      <w:r w:rsidR="00B624E0">
        <w:t>consideration to be determined.</w:t>
      </w:r>
    </w:p>
    <w:p w:rsidR="002C782A" w:rsidRPr="00D01666" w:rsidRDefault="002C782A" w:rsidP="00B624E0">
      <w:pPr>
        <w:pStyle w:val="Heading4"/>
      </w:pPr>
      <w:bookmarkStart w:id="98" w:name="_Toc282171216"/>
      <w:bookmarkStart w:id="99" w:name="_Toc241374335"/>
      <w:bookmarkStart w:id="100" w:name="_Toc236802597"/>
      <w:r w:rsidRPr="00D01666">
        <w:t>Balance</w:t>
      </w:r>
      <w:bookmarkEnd w:id="98"/>
      <w:bookmarkEnd w:id="99"/>
      <w:bookmarkEnd w:id="100"/>
    </w:p>
    <w:p w:rsidR="002C782A" w:rsidRPr="00D01666" w:rsidRDefault="002C782A" w:rsidP="00B624E0">
      <w:r>
        <w:t xml:space="preserve">With respect to treatment </w:t>
      </w:r>
      <w:r w:rsidRPr="00D01666">
        <w:t>experienced patients and the alread</w:t>
      </w:r>
      <w:r>
        <w:t xml:space="preserve">y approved </w:t>
      </w:r>
      <w:r w:rsidRPr="00C32941">
        <w:rPr>
          <w:i/>
        </w:rPr>
        <w:t>Indication</w:t>
      </w:r>
      <w:r>
        <w:t>, the risk-</w:t>
      </w:r>
      <w:r w:rsidRPr="00D01666">
        <w:t>benefit profile is</w:t>
      </w:r>
      <w:r w:rsidR="00B624E0">
        <w:t xml:space="preserve"> considered to remain positive.</w:t>
      </w:r>
    </w:p>
    <w:p w:rsidR="002C782A" w:rsidRPr="00D01666" w:rsidRDefault="002C782A" w:rsidP="002C782A">
      <w:r w:rsidRPr="00D01666">
        <w:t>For treatment</w:t>
      </w:r>
      <w:r w:rsidRPr="0043166D">
        <w:t xml:space="preserve"> </w:t>
      </w:r>
      <w:r>
        <w:t>naïve</w:t>
      </w:r>
      <w:r w:rsidRPr="00D01666">
        <w:t xml:space="preserve"> patients, </w:t>
      </w:r>
      <w:r>
        <w:t>the risk-</w:t>
      </w:r>
      <w:r w:rsidRPr="00D01666">
        <w:t>benefit balance is considered to lie on the side of risk.</w:t>
      </w:r>
    </w:p>
    <w:p w:rsidR="002C782A" w:rsidRPr="002C293D" w:rsidRDefault="00B624E0" w:rsidP="00B624E0">
      <w:pPr>
        <w:pStyle w:val="Heading4"/>
      </w:pPr>
      <w:bookmarkStart w:id="101" w:name="_Toc282171217"/>
      <w:bookmarkStart w:id="102" w:name="_Toc241374338"/>
      <w:r>
        <w:lastRenderedPageBreak/>
        <w:t>First r</w:t>
      </w:r>
      <w:r w:rsidR="00C84393">
        <w:t>ound</w:t>
      </w:r>
      <w:r w:rsidR="002C782A">
        <w:t xml:space="preserve"> </w:t>
      </w:r>
      <w:r>
        <w:t>r</w:t>
      </w:r>
      <w:r w:rsidR="002C782A" w:rsidRPr="002C293D">
        <w:t>ecommendation</w:t>
      </w:r>
      <w:bookmarkEnd w:id="101"/>
      <w:bookmarkEnd w:id="102"/>
    </w:p>
    <w:p w:rsidR="002C782A" w:rsidRPr="00710458" w:rsidRDefault="002C782A" w:rsidP="00B624E0">
      <w:r w:rsidRPr="00710458">
        <w:t xml:space="preserve">Extension of the </w:t>
      </w:r>
      <w:r w:rsidRPr="000D21C2">
        <w:rPr>
          <w:i/>
        </w:rPr>
        <w:t>Indication</w:t>
      </w:r>
      <w:r w:rsidRPr="00710458">
        <w:t xml:space="preserve"> to include treatment</w:t>
      </w:r>
      <w:r w:rsidRPr="0043166D">
        <w:t xml:space="preserve"> </w:t>
      </w:r>
      <w:r>
        <w:t>naïve</w:t>
      </w:r>
      <w:r w:rsidRPr="00710458">
        <w:t xml:space="preserve"> patients is not recommended.</w:t>
      </w:r>
    </w:p>
    <w:p w:rsidR="002C782A" w:rsidRPr="00710458" w:rsidRDefault="002C782A" w:rsidP="00B624E0">
      <w:r w:rsidRPr="00710458">
        <w:t xml:space="preserve">Continued registration of maraviroc </w:t>
      </w:r>
      <w:r>
        <w:t xml:space="preserve">300 mg BID for use in treatment </w:t>
      </w:r>
      <w:r w:rsidRPr="00710458">
        <w:t xml:space="preserve">experienced population of HIV-1 CCR5 tropic </w:t>
      </w:r>
      <w:r w:rsidR="00B624E0">
        <w:t>viral infection is recommended.</w:t>
      </w:r>
    </w:p>
    <w:p w:rsidR="002C782A" w:rsidRPr="00710458" w:rsidRDefault="002C782A" w:rsidP="00B624E0">
      <w:r w:rsidRPr="00710458">
        <w:t>It is recommended that issues raised with respect to the draft PI</w:t>
      </w:r>
      <w:r>
        <w:t xml:space="preserve"> </w:t>
      </w:r>
      <w:r w:rsidRPr="00710458">
        <w:t xml:space="preserve">are addressed. </w:t>
      </w:r>
      <w:r>
        <w:t>Details of these are beyond the scope of this AusPAR.</w:t>
      </w:r>
    </w:p>
    <w:p w:rsidR="002C782A" w:rsidRDefault="002C782A" w:rsidP="00B624E0">
      <w:pPr>
        <w:pStyle w:val="Heading4"/>
      </w:pPr>
      <w:r>
        <w:t>Sponsor’s response to the clinical evaluation report</w:t>
      </w:r>
    </w:p>
    <w:p w:rsidR="002C782A" w:rsidRDefault="002C782A" w:rsidP="00B624E0">
      <w:r>
        <w:t>The sponsor provided responses to address the clinical evaluator's concerns with respect to the robustness of the efficacy data and the potential risks associated with viral resistance and change in tropism. The response included supplementary data from the 5 year Study A44001026 in treatment</w:t>
      </w:r>
      <w:r w:rsidRPr="0043166D">
        <w:t xml:space="preserve"> </w:t>
      </w:r>
      <w:r>
        <w:t xml:space="preserve">naïve patients. </w:t>
      </w:r>
      <w:r w:rsidR="00C84393">
        <w:t xml:space="preserve">A summary of the </w:t>
      </w:r>
      <w:r>
        <w:t xml:space="preserve">clinical evaluator’s evaluation of the sponsor’s responses and supplementary data </w:t>
      </w:r>
      <w:r w:rsidR="00C84393">
        <w:t xml:space="preserve">is </w:t>
      </w:r>
      <w:r>
        <w:t xml:space="preserve">below, under </w:t>
      </w:r>
      <w:r w:rsidRPr="008865FF">
        <w:rPr>
          <w:i/>
        </w:rPr>
        <w:t>Supplementary Clinical Evaluation Report</w:t>
      </w:r>
      <w:r>
        <w:t>.</w:t>
      </w:r>
    </w:p>
    <w:p w:rsidR="002C782A" w:rsidRDefault="002C782A" w:rsidP="00B624E0">
      <w:r>
        <w:t>The sponsor also provided revised PI and CMI documents that addressed the clinical evaluator’s recommendations. Details of these are beyond the scope of this AusPAR.</w:t>
      </w:r>
    </w:p>
    <w:p w:rsidR="002C782A" w:rsidRDefault="00B624E0" w:rsidP="002C782A">
      <w:pPr>
        <w:pStyle w:val="Heading3"/>
      </w:pPr>
      <w:bookmarkStart w:id="103" w:name="_Toc343608081"/>
      <w:bookmarkStart w:id="104" w:name="_Toc355615888"/>
      <w:bookmarkStart w:id="105" w:name="_Toc366272746"/>
      <w:r>
        <w:t>Supplementary c</w:t>
      </w:r>
      <w:r w:rsidR="002C782A">
        <w:t xml:space="preserve">linical </w:t>
      </w:r>
      <w:r>
        <w:t>e</w:t>
      </w:r>
      <w:r w:rsidR="002C782A">
        <w:t>valuation</w:t>
      </w:r>
      <w:bookmarkEnd w:id="103"/>
      <w:r w:rsidR="002C782A">
        <w:t xml:space="preserve"> </w:t>
      </w:r>
      <w:r>
        <w:t>r</w:t>
      </w:r>
      <w:r w:rsidR="002C782A">
        <w:t>eport</w:t>
      </w:r>
      <w:bookmarkEnd w:id="104"/>
      <w:bookmarkEnd w:id="105"/>
    </w:p>
    <w:p w:rsidR="002C782A" w:rsidRDefault="002C782A" w:rsidP="002C782A">
      <w:bookmarkStart w:id="106" w:name="_Toc241374281"/>
      <w:r>
        <w:t xml:space="preserve">A supplementary CER was prepared to take into account the sponsor’s comments on issues raised in the initial CER and to evaluate the supplementary clinical data provided, which included an efficacy analysis at 240 Weeks </w:t>
      </w:r>
      <w:r w:rsidRPr="0087681C">
        <w:t xml:space="preserve">from the recently available </w:t>
      </w:r>
      <w:r>
        <w:t>f</w:t>
      </w:r>
      <w:r w:rsidRPr="0087681C">
        <w:t xml:space="preserve">ull </w:t>
      </w:r>
      <w:r>
        <w:t>r</w:t>
      </w:r>
      <w:r w:rsidRPr="0087681C">
        <w:t xml:space="preserve">eport for the 5 year Study A4001025 in treatment </w:t>
      </w:r>
      <w:r>
        <w:t>naïve</w:t>
      </w:r>
      <w:r w:rsidRPr="0087681C">
        <w:t xml:space="preserve"> patients</w:t>
      </w:r>
      <w:r>
        <w:t>.</w:t>
      </w:r>
      <w:bookmarkEnd w:id="106"/>
    </w:p>
    <w:p w:rsidR="002C782A" w:rsidRPr="00856AFB" w:rsidRDefault="002C782A" w:rsidP="00B624E0">
      <w:pPr>
        <w:pStyle w:val="Heading4"/>
      </w:pPr>
      <w:bookmarkStart w:id="107" w:name="_Toc322681329"/>
      <w:r w:rsidRPr="00856AFB">
        <w:t>Statistical issues – Treatment</w:t>
      </w:r>
      <w:r w:rsidRPr="0043166D">
        <w:t xml:space="preserve"> </w:t>
      </w:r>
      <w:r>
        <w:t>naïve</w:t>
      </w:r>
      <w:r w:rsidRPr="00856AFB">
        <w:t xml:space="preserve"> patients</w:t>
      </w:r>
      <w:bookmarkEnd w:id="107"/>
    </w:p>
    <w:p w:rsidR="002C782A" w:rsidRDefault="002C782A" w:rsidP="002C782A">
      <w:r>
        <w:t xml:space="preserve">The clinical evaluator was concerned that multiplicity was not taken into consideration in the statistical analysis for </w:t>
      </w:r>
      <w:r w:rsidR="00B624E0">
        <w:t>Study A4001026.</w:t>
      </w:r>
    </w:p>
    <w:p w:rsidR="002C782A" w:rsidRPr="008865FF" w:rsidRDefault="002C782A" w:rsidP="002C782A">
      <w:pPr>
        <w:rPr>
          <w:i/>
        </w:rPr>
      </w:pPr>
      <w:r>
        <w:t xml:space="preserve">The sponsor’s summary response stated that </w:t>
      </w:r>
      <w:r w:rsidRPr="008865FF">
        <w:rPr>
          <w:i/>
        </w:rPr>
        <w:t>‘Multiplicity is not considered an issue with respect to the statistical analyses (interim analysis, FAS and PP data sets, secondary analyses at Week 96, Trofile and ESTA analyses and sensitivity analyses)</w:t>
      </w:r>
      <w:r>
        <w:rPr>
          <w:i/>
        </w:rPr>
        <w:t>’</w:t>
      </w:r>
      <w:r w:rsidRPr="008865FF">
        <w:rPr>
          <w:i/>
        </w:rPr>
        <w:t>.</w:t>
      </w:r>
    </w:p>
    <w:p w:rsidR="002C782A" w:rsidRPr="00856AFB" w:rsidRDefault="002C782A" w:rsidP="007A329B">
      <w:r>
        <w:t xml:space="preserve">TGA referred the sponsor’s full response to </w:t>
      </w:r>
      <w:r w:rsidRPr="00856AFB">
        <w:t xml:space="preserve">an </w:t>
      </w:r>
      <w:r>
        <w:t xml:space="preserve">expert </w:t>
      </w:r>
      <w:r w:rsidRPr="00856AFB">
        <w:t>statistician</w:t>
      </w:r>
      <w:r>
        <w:t xml:space="preserve"> for evaluation</w:t>
      </w:r>
      <w:r w:rsidRPr="00856AFB">
        <w:t xml:space="preserve">. </w:t>
      </w:r>
      <w:r w:rsidR="007A329B">
        <w:t>The expert concluded that:</w:t>
      </w:r>
    </w:p>
    <w:p w:rsidR="002C782A" w:rsidRPr="007A329B" w:rsidRDefault="002C782A" w:rsidP="001B0FAD">
      <w:pPr>
        <w:pStyle w:val="ListBullet"/>
      </w:pPr>
      <w:r w:rsidRPr="007A329B">
        <w:t>The reanalysis, based on the more sensitive ESTA, is subject t</w:t>
      </w:r>
      <w:r w:rsidR="007A329B" w:rsidRPr="007A329B">
        <w:t>o multiplicity (by definition).</w:t>
      </w:r>
    </w:p>
    <w:p w:rsidR="002C782A" w:rsidRPr="007A329B" w:rsidRDefault="002C782A" w:rsidP="001B0FAD">
      <w:pPr>
        <w:pStyle w:val="ListBullet"/>
      </w:pPr>
      <w:r w:rsidRPr="007A329B">
        <w:t>It is difficult to be precise about the extent/level of concern generated by multiplicity. Nevertheless, the methodological problems generated by multiplicity, in this particular instance, are at the low level of concern. For this particular unusual instance (where a subgroup analysis is based on a more sensitive assay), multiplicity is not such a major concern that it, on its own, would be a reason fo</w:t>
      </w:r>
      <w:r w:rsidR="007A329B" w:rsidRPr="007A329B">
        <w:t>r rejection of the application.</w:t>
      </w:r>
    </w:p>
    <w:p w:rsidR="002C782A" w:rsidRPr="007A329B" w:rsidRDefault="002C782A" w:rsidP="007A329B">
      <w:pPr>
        <w:pStyle w:val="ListBullet"/>
      </w:pPr>
      <w:r w:rsidRPr="007A329B">
        <w:t>Other statisticians might reasonably take a harder line and argue that post hoc subgroup analyses can only</w:t>
      </w:r>
      <w:r w:rsidR="007A329B" w:rsidRPr="007A329B">
        <w:t xml:space="preserve"> ever be hypothesis generating.</w:t>
      </w:r>
    </w:p>
    <w:p w:rsidR="002C782A" w:rsidRPr="007A329B" w:rsidRDefault="002C782A" w:rsidP="007A329B">
      <w:pPr>
        <w:pStyle w:val="ListBullet"/>
      </w:pPr>
      <w:r w:rsidRPr="007A329B">
        <w:t xml:space="preserve">The available statistical evidence suggests that maraviroc is either non-inferior to efavirenz or </w:t>
      </w:r>
      <w:r w:rsidR="007A329B" w:rsidRPr="007A329B">
        <w:t>narrowly inferior to efavirenz.</w:t>
      </w:r>
    </w:p>
    <w:p w:rsidR="002C782A" w:rsidRPr="00856AFB" w:rsidRDefault="002C782A" w:rsidP="007A329B">
      <w:pPr>
        <w:pStyle w:val="ListBullet"/>
      </w:pPr>
      <w:r w:rsidRPr="00856AFB">
        <w:t xml:space="preserve">This is as far as the statistical analysis can take us. As the </w:t>
      </w:r>
      <w:r>
        <w:t xml:space="preserve">sponsor’s </w:t>
      </w:r>
      <w:r w:rsidRPr="00856AFB">
        <w:t>response suggests</w:t>
      </w:r>
      <w:r>
        <w:t>,</w:t>
      </w:r>
      <w:r w:rsidRPr="00856AFB">
        <w:t xml:space="preserve"> these statistical results would need to be considered in conjunction with background clinical knowledge (</w:t>
      </w:r>
      <w:r>
        <w:t xml:space="preserve">for example, </w:t>
      </w:r>
      <w:r w:rsidRPr="00856AFB">
        <w:t xml:space="preserve">information on resistance to maraviroc and resistance to backbone </w:t>
      </w:r>
      <w:r>
        <w:t>n</w:t>
      </w:r>
      <w:r w:rsidRPr="00710499">
        <w:t xml:space="preserve">ucleoside/nucleotide reverse transcriptase inhibitor </w:t>
      </w:r>
      <w:r>
        <w:t>(</w:t>
      </w:r>
      <w:r w:rsidRPr="00856AFB">
        <w:t>NRTI</w:t>
      </w:r>
      <w:r>
        <w:t>)</w:t>
      </w:r>
      <w:r w:rsidR="007A329B">
        <w:t>).</w:t>
      </w:r>
    </w:p>
    <w:p w:rsidR="002C782A" w:rsidRDefault="002C782A" w:rsidP="007A329B">
      <w:pPr>
        <w:pStyle w:val="Heading4"/>
      </w:pPr>
      <w:r>
        <w:lastRenderedPageBreak/>
        <w:t>Efficacy - Treatment naïve patients– 240 Week data</w:t>
      </w:r>
    </w:p>
    <w:p w:rsidR="002C782A" w:rsidRPr="00E0349C" w:rsidRDefault="002C782A" w:rsidP="007A329B">
      <w:pPr>
        <w:pStyle w:val="Heading5"/>
      </w:pPr>
      <w:r w:rsidRPr="00E0349C">
        <w:t>Sponsor’s response</w:t>
      </w:r>
    </w:p>
    <w:p w:rsidR="002C782A" w:rsidRPr="00F61503" w:rsidRDefault="002C782A" w:rsidP="007A329B">
      <w:r w:rsidRPr="00F61503">
        <w:t xml:space="preserve">Based on </w:t>
      </w:r>
      <w:r>
        <w:t xml:space="preserve">the </w:t>
      </w:r>
      <w:r w:rsidRPr="00F61503">
        <w:t>ESTA analysis, at Week 240, VL &lt; 50 copies/m</w:t>
      </w:r>
      <w:r>
        <w:t xml:space="preserve">L was observed for </w:t>
      </w:r>
      <w:r w:rsidRPr="00F61503">
        <w:t>158</w:t>
      </w:r>
      <w:r>
        <w:t>/</w:t>
      </w:r>
      <w:r w:rsidRPr="00F61503">
        <w:t>31</w:t>
      </w:r>
      <w:r>
        <w:t>1 patients (</w:t>
      </w:r>
      <w:r w:rsidRPr="00F61503">
        <w:t xml:space="preserve">50.8%) in the </w:t>
      </w:r>
      <w:r>
        <w:t>maraviroc</w:t>
      </w:r>
      <w:r w:rsidRPr="00F61503">
        <w:t xml:space="preserve"> group</w:t>
      </w:r>
      <w:r>
        <w:t>,</w:t>
      </w:r>
      <w:r w:rsidRPr="00F61503">
        <w:t xml:space="preserve"> </w:t>
      </w:r>
      <w:r>
        <w:t xml:space="preserve">versus </w:t>
      </w:r>
      <w:r w:rsidRPr="00F61503">
        <w:t xml:space="preserve">139/303 </w:t>
      </w:r>
      <w:r>
        <w:t>(</w:t>
      </w:r>
      <w:r w:rsidRPr="00F61503">
        <w:t xml:space="preserve">45.9%) in the </w:t>
      </w:r>
      <w:r>
        <w:t xml:space="preserve">efavirenz </w:t>
      </w:r>
      <w:r w:rsidRPr="00F61503">
        <w:t xml:space="preserve">group. Based on the </w:t>
      </w:r>
      <w:r>
        <w:t xml:space="preserve">OTA </w:t>
      </w:r>
      <w:r w:rsidRPr="00F61503">
        <w:t xml:space="preserve">analysis, the results were: </w:t>
      </w:r>
      <w:r>
        <w:t>maraviroc</w:t>
      </w:r>
      <w:r w:rsidRPr="00F61503">
        <w:t xml:space="preserve"> BID (176</w:t>
      </w:r>
      <w:r>
        <w:t>/</w:t>
      </w:r>
      <w:r w:rsidRPr="00F61503">
        <w:t xml:space="preserve">360, 48.9%) and </w:t>
      </w:r>
      <w:r>
        <w:t xml:space="preserve">efavirenz </w:t>
      </w:r>
      <w:r w:rsidRPr="00F61503">
        <w:t>QD (165/361, 45.1%).</w:t>
      </w:r>
      <w:r>
        <w:t xml:space="preserve"> </w:t>
      </w:r>
      <w:proofErr w:type="gramStart"/>
      <w:r>
        <w:t>See Table 7 and Figure 1, below.</w:t>
      </w:r>
      <w:proofErr w:type="gramEnd"/>
    </w:p>
    <w:p w:rsidR="002C782A" w:rsidRPr="00F61503" w:rsidRDefault="002C782A" w:rsidP="007A329B">
      <w:r w:rsidRPr="00F61503">
        <w:t xml:space="preserve">At Week 240, </w:t>
      </w:r>
      <w:r>
        <w:t>t</w:t>
      </w:r>
      <w:r w:rsidRPr="00F61503">
        <w:t>he mean changes from baseline in CD4</w:t>
      </w:r>
      <w:r w:rsidRPr="0020280C">
        <w:rPr>
          <w:vertAlign w:val="superscript"/>
        </w:rPr>
        <w:t>+</w:t>
      </w:r>
      <w:r w:rsidRPr="00F61503">
        <w:t xml:space="preserve"> cell count by visit (LOCF) for the </w:t>
      </w:r>
      <w:r>
        <w:t>maraviroc</w:t>
      </w:r>
      <w:r w:rsidRPr="00F61503">
        <w:t xml:space="preserve"> BID group was 292.9 cells/µL</w:t>
      </w:r>
      <w:r>
        <w:t>,</w:t>
      </w:r>
      <w:r w:rsidRPr="00F61503">
        <w:t xml:space="preserve"> </w:t>
      </w:r>
      <w:r>
        <w:t xml:space="preserve">versus 270.6 cells/µL </w:t>
      </w:r>
      <w:r w:rsidRPr="00F61503">
        <w:t xml:space="preserve">for the </w:t>
      </w:r>
      <w:r>
        <w:t>efavirenz</w:t>
      </w:r>
      <w:r w:rsidRPr="00F61503">
        <w:t xml:space="preserve"> QD group </w:t>
      </w:r>
      <w:r>
        <w:t>(Table 8 and Figure 2, below).</w:t>
      </w:r>
    </w:p>
    <w:p w:rsidR="002C782A" w:rsidRPr="00F61503" w:rsidRDefault="002C782A" w:rsidP="007A329B">
      <w:pPr>
        <w:pStyle w:val="TableTitle"/>
      </w:pPr>
      <w:bookmarkStart w:id="108" w:name="_Ref321389920"/>
      <w:bookmarkStart w:id="109" w:name="_Ref321389925"/>
      <w:proofErr w:type="gramStart"/>
      <w:r w:rsidRPr="00F61503">
        <w:t xml:space="preserve">Table </w:t>
      </w:r>
      <w:bookmarkEnd w:id="108"/>
      <w:r>
        <w:t>7.</w:t>
      </w:r>
      <w:proofErr w:type="gramEnd"/>
      <w:r w:rsidRPr="00F61503">
        <w:t xml:space="preserve"> Patients with V</w:t>
      </w:r>
      <w:r>
        <w:t xml:space="preserve">L </w:t>
      </w:r>
      <w:r w:rsidRPr="00F61503">
        <w:t>&lt; 50 copies/m</w:t>
      </w:r>
      <w:r>
        <w:t>L</w:t>
      </w:r>
      <w:r w:rsidRPr="00F61503">
        <w:t xml:space="preserve"> at Weeks 48, 96 and 240 in Study A4001026</w:t>
      </w:r>
      <w:bookmarkEnd w:id="109"/>
    </w:p>
    <w:p w:rsidR="002C782A" w:rsidRPr="00EB1C37" w:rsidRDefault="002C782A" w:rsidP="007A329B">
      <w:r w:rsidRPr="00F61503">
        <w:rPr>
          <w:noProof/>
          <w:lang w:eastAsia="en-AU"/>
        </w:rPr>
        <w:drawing>
          <wp:inline distT="0" distB="0" distL="0" distR="0">
            <wp:extent cx="5102679" cy="2033935"/>
            <wp:effectExtent l="19050" t="0" r="2721" b="0"/>
            <wp:docPr id="18" name="Picture 3" descr="Table 7. Patients with VL &lt; 50 copies/mL at Weeks 48, 96 and 240 in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b="11745"/>
                    <a:stretch>
                      <a:fillRect/>
                    </a:stretch>
                  </pic:blipFill>
                  <pic:spPr bwMode="auto">
                    <a:xfrm>
                      <a:off x="0" y="0"/>
                      <a:ext cx="5102679" cy="2033935"/>
                    </a:xfrm>
                    <a:prstGeom prst="rect">
                      <a:avLst/>
                    </a:prstGeom>
                    <a:noFill/>
                    <a:ln w="9525">
                      <a:noFill/>
                      <a:miter lim="800000"/>
                      <a:headEnd/>
                      <a:tailEnd/>
                    </a:ln>
                  </pic:spPr>
                </pic:pic>
              </a:graphicData>
            </a:graphic>
          </wp:inline>
        </w:drawing>
      </w:r>
      <w:bookmarkStart w:id="110" w:name="_Ref321390170"/>
      <w:bookmarkStart w:id="111" w:name="_Ref321390174"/>
    </w:p>
    <w:p w:rsidR="002C782A" w:rsidRPr="009C234B" w:rsidRDefault="002C782A" w:rsidP="007A329B">
      <w:pPr>
        <w:pStyle w:val="FigureTitle"/>
      </w:pPr>
      <w:proofErr w:type="gramStart"/>
      <w:r w:rsidRPr="009C234B">
        <w:t xml:space="preserve">Figure </w:t>
      </w:r>
      <w:bookmarkEnd w:id="110"/>
      <w:r>
        <w:t>1</w:t>
      </w:r>
      <w:r w:rsidRPr="009C234B">
        <w:t>.</w:t>
      </w:r>
      <w:proofErr w:type="gramEnd"/>
      <w:r w:rsidRPr="009C234B">
        <w:t xml:space="preserve"> </w:t>
      </w:r>
      <w:r>
        <w:t>Percentage of p</w:t>
      </w:r>
      <w:r w:rsidRPr="009C234B">
        <w:t>articipants with V</w:t>
      </w:r>
      <w:r>
        <w:t xml:space="preserve">L </w:t>
      </w:r>
      <w:r w:rsidRPr="009C234B">
        <w:t>&lt;</w:t>
      </w:r>
      <w:r>
        <w:t xml:space="preserve"> </w:t>
      </w:r>
      <w:r w:rsidRPr="009C234B">
        <w:t>50 copies/m</w:t>
      </w:r>
      <w:r>
        <w:t>L</w:t>
      </w:r>
      <w:r w:rsidRPr="009C234B">
        <w:t xml:space="preserve"> - ESTA R5 </w:t>
      </w:r>
      <w:r>
        <w:t>p</w:t>
      </w:r>
      <w:r w:rsidRPr="009C234B">
        <w:t>articipants Study A4001026</w:t>
      </w:r>
      <w:bookmarkEnd w:id="111"/>
    </w:p>
    <w:p w:rsidR="002C782A" w:rsidRPr="009C234B" w:rsidRDefault="002C782A" w:rsidP="002C782A">
      <w:pPr>
        <w:spacing w:line="240" w:lineRule="auto"/>
      </w:pPr>
      <w:r w:rsidRPr="009C234B">
        <w:rPr>
          <w:noProof/>
          <w:lang w:eastAsia="en-AU"/>
        </w:rPr>
        <w:drawing>
          <wp:inline distT="0" distB="0" distL="0" distR="0">
            <wp:extent cx="4129973" cy="2837207"/>
            <wp:effectExtent l="19050" t="0" r="3877" b="0"/>
            <wp:docPr id="17" name="Picture 4" descr="Figure 1. Percentage of participants with VL &lt; 50 copies/mL - ESTA R5 participants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6258"/>
                    <a:stretch>
                      <a:fillRect/>
                    </a:stretch>
                  </pic:blipFill>
                  <pic:spPr bwMode="auto">
                    <a:xfrm>
                      <a:off x="0" y="0"/>
                      <a:ext cx="4132062" cy="2838642"/>
                    </a:xfrm>
                    <a:prstGeom prst="rect">
                      <a:avLst/>
                    </a:prstGeom>
                    <a:noFill/>
                    <a:ln w="9525">
                      <a:noFill/>
                      <a:miter lim="800000"/>
                      <a:headEnd/>
                      <a:tailEnd/>
                    </a:ln>
                  </pic:spPr>
                </pic:pic>
              </a:graphicData>
            </a:graphic>
          </wp:inline>
        </w:drawing>
      </w:r>
    </w:p>
    <w:p w:rsidR="002C782A" w:rsidRPr="00F61503" w:rsidRDefault="002C782A" w:rsidP="007A329B">
      <w:pPr>
        <w:pStyle w:val="TableTitle"/>
      </w:pPr>
      <w:bookmarkStart w:id="112" w:name="_Ref321390585"/>
      <w:bookmarkStart w:id="113" w:name="_Ref321390588"/>
      <w:proofErr w:type="gramStart"/>
      <w:r w:rsidRPr="00F61503">
        <w:lastRenderedPageBreak/>
        <w:t xml:space="preserve">Table </w:t>
      </w:r>
      <w:bookmarkEnd w:id="112"/>
      <w:r>
        <w:t>8.</w:t>
      </w:r>
      <w:proofErr w:type="gramEnd"/>
      <w:r w:rsidRPr="00F61503">
        <w:t xml:space="preserve"> </w:t>
      </w:r>
      <w:proofErr w:type="gramStart"/>
      <w:r w:rsidRPr="00F61503">
        <w:t xml:space="preserve">Summary of </w:t>
      </w:r>
      <w:r>
        <w:t>c</w:t>
      </w:r>
      <w:r w:rsidRPr="00F61503">
        <w:t xml:space="preserve">hange from </w:t>
      </w:r>
      <w:r>
        <w:t>b</w:t>
      </w:r>
      <w:r w:rsidRPr="00F61503">
        <w:t>aseline in CD4</w:t>
      </w:r>
      <w:r w:rsidRPr="00DA5057">
        <w:rPr>
          <w:vertAlign w:val="superscript"/>
        </w:rPr>
        <w:t>+</w:t>
      </w:r>
      <w:r w:rsidRPr="00F61503">
        <w:t xml:space="preserve"> </w:t>
      </w:r>
      <w:r>
        <w:t>c</w:t>
      </w:r>
      <w:r w:rsidRPr="00F61503">
        <w:t xml:space="preserve">ell </w:t>
      </w:r>
      <w:r>
        <w:t>c</w:t>
      </w:r>
      <w:r w:rsidRPr="00F61503">
        <w:t>ount (cells/µ</w:t>
      </w:r>
      <w:r>
        <w:t>L</w:t>
      </w:r>
      <w:r w:rsidRPr="00F61503">
        <w:t xml:space="preserve">) </w:t>
      </w:r>
      <w:r>
        <w:t xml:space="preserve">- </w:t>
      </w:r>
      <w:r w:rsidRPr="00F61503">
        <w:t xml:space="preserve">ESTA R5 </w:t>
      </w:r>
      <w:r>
        <w:t>p</w:t>
      </w:r>
      <w:r w:rsidRPr="00F61503">
        <w:t>a</w:t>
      </w:r>
      <w:r>
        <w:t>rticipants.</w:t>
      </w:r>
      <w:proofErr w:type="gramEnd"/>
      <w:r>
        <w:t xml:space="preserve"> Study A4001026 (LOCF</w:t>
      </w:r>
      <w:r w:rsidRPr="00F61503">
        <w:t>)</w:t>
      </w:r>
      <w:bookmarkEnd w:id="113"/>
    </w:p>
    <w:p w:rsidR="002C782A" w:rsidRPr="00F61503" w:rsidRDefault="002C782A" w:rsidP="007A329B">
      <w:r w:rsidRPr="00F61503">
        <w:rPr>
          <w:noProof/>
          <w:lang w:eastAsia="en-AU"/>
        </w:rPr>
        <w:drawing>
          <wp:inline distT="0" distB="0" distL="0" distR="0">
            <wp:extent cx="4857932" cy="2762860"/>
            <wp:effectExtent l="19050" t="0" r="0" b="0"/>
            <wp:docPr id="8" name="Picture 5" descr="Table 8. Summary of change from baseline in CD4+ cell count (cells/µL) - ESTA R5 participants. Study A4001026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857932" cy="2762860"/>
                    </a:xfrm>
                    <a:prstGeom prst="rect">
                      <a:avLst/>
                    </a:prstGeom>
                    <a:noFill/>
                    <a:ln w="9525">
                      <a:noFill/>
                      <a:miter lim="800000"/>
                      <a:headEnd/>
                      <a:tailEnd/>
                    </a:ln>
                  </pic:spPr>
                </pic:pic>
              </a:graphicData>
            </a:graphic>
          </wp:inline>
        </w:drawing>
      </w:r>
    </w:p>
    <w:p w:rsidR="002C782A" w:rsidRPr="00F61503" w:rsidRDefault="002C782A" w:rsidP="002C782A">
      <w:pPr>
        <w:pStyle w:val="FigureTitle"/>
        <w:spacing w:line="240" w:lineRule="auto"/>
      </w:pPr>
      <w:bookmarkStart w:id="114" w:name="_Ref321390565"/>
      <w:bookmarkStart w:id="115" w:name="_Ref321390568"/>
      <w:proofErr w:type="gramStart"/>
      <w:r w:rsidRPr="00F61503">
        <w:t xml:space="preserve">Figure </w:t>
      </w:r>
      <w:bookmarkEnd w:id="114"/>
      <w:r>
        <w:t>2.</w:t>
      </w:r>
      <w:proofErr w:type="gramEnd"/>
      <w:r>
        <w:t xml:space="preserve"> </w:t>
      </w:r>
      <w:r w:rsidRPr="00F61503">
        <w:t xml:space="preserve">Mean </w:t>
      </w:r>
      <w:r>
        <w:t>c</w:t>
      </w:r>
      <w:r w:rsidRPr="00F61503">
        <w:t xml:space="preserve">hange from </w:t>
      </w:r>
      <w:r>
        <w:t>b</w:t>
      </w:r>
      <w:r w:rsidRPr="00F61503">
        <w:t>aseline in CD4</w:t>
      </w:r>
      <w:r w:rsidRPr="00B5630E">
        <w:rPr>
          <w:vertAlign w:val="superscript"/>
        </w:rPr>
        <w:t>+</w:t>
      </w:r>
      <w:r w:rsidRPr="00F61503">
        <w:t xml:space="preserve"> </w:t>
      </w:r>
      <w:r>
        <w:t>c</w:t>
      </w:r>
      <w:r w:rsidRPr="00F61503">
        <w:t xml:space="preserve">ell </w:t>
      </w:r>
      <w:r>
        <w:t>count (cells/µL</w:t>
      </w:r>
      <w:r w:rsidRPr="00F61503">
        <w:t>)</w:t>
      </w:r>
      <w:r>
        <w:t xml:space="preserve"> L</w:t>
      </w:r>
      <w:r w:rsidRPr="00F61503">
        <w:t xml:space="preserve">OCF) - ESTA </w:t>
      </w:r>
      <w:r>
        <w:t xml:space="preserve">R5 </w:t>
      </w:r>
      <w:r w:rsidRPr="00F61503">
        <w:t>Participants</w:t>
      </w:r>
      <w:r>
        <w:t>.</w:t>
      </w:r>
      <w:r w:rsidRPr="00F61503">
        <w:t xml:space="preserve"> Study A4001026</w:t>
      </w:r>
      <w:bookmarkEnd w:id="115"/>
    </w:p>
    <w:p w:rsidR="002C782A" w:rsidRPr="00F61503" w:rsidRDefault="002C782A" w:rsidP="007A329B">
      <w:r w:rsidRPr="00F61503">
        <w:rPr>
          <w:noProof/>
          <w:lang w:eastAsia="en-AU"/>
        </w:rPr>
        <w:drawing>
          <wp:inline distT="0" distB="0" distL="0" distR="0">
            <wp:extent cx="4376057" cy="3656859"/>
            <wp:effectExtent l="19050" t="0" r="5443" b="0"/>
            <wp:docPr id="7" name="Picture 6" descr="Figure 2. Mean change from baseline in CD4+ cell count (cells/µL) LOCF) - ESTA R5 Participants.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378022" cy="3658501"/>
                    </a:xfrm>
                    <a:prstGeom prst="rect">
                      <a:avLst/>
                    </a:prstGeom>
                    <a:noFill/>
                    <a:ln w="9525">
                      <a:noFill/>
                      <a:miter lim="800000"/>
                      <a:headEnd/>
                      <a:tailEnd/>
                    </a:ln>
                  </pic:spPr>
                </pic:pic>
              </a:graphicData>
            </a:graphic>
          </wp:inline>
        </w:drawing>
      </w:r>
    </w:p>
    <w:p w:rsidR="002C782A" w:rsidRPr="0020280C" w:rsidRDefault="002C782A" w:rsidP="007A329B">
      <w:pPr>
        <w:pStyle w:val="Heading5"/>
      </w:pPr>
      <w:r w:rsidRPr="0020280C">
        <w:t>Evaluator</w:t>
      </w:r>
      <w:r>
        <w:t>’s</w:t>
      </w:r>
      <w:r w:rsidRPr="0020280C">
        <w:t xml:space="preserve"> comment</w:t>
      </w:r>
    </w:p>
    <w:p w:rsidR="002C782A" w:rsidRPr="00F61503" w:rsidRDefault="002C782A" w:rsidP="007A329B">
      <w:r w:rsidRPr="00F61503">
        <w:t>Based on the limited information supplied, efficacy in terms of VL &lt; 50 copies/mL and CD4</w:t>
      </w:r>
      <w:r w:rsidRPr="0020280C">
        <w:rPr>
          <w:vertAlign w:val="superscript"/>
        </w:rPr>
        <w:t>+</w:t>
      </w:r>
      <w:r w:rsidRPr="00F61503">
        <w:t xml:space="preserve"> cell count appears well maintained for those who responded initially</w:t>
      </w:r>
      <w:r>
        <w:t>.</w:t>
      </w:r>
      <w:r w:rsidRPr="00F61503">
        <w:t xml:space="preserve"> The number and nature of study drop-outs and the viral tropism results fo</w:t>
      </w:r>
      <w:r>
        <w:t>r patients who failed treatment</w:t>
      </w:r>
      <w:r w:rsidRPr="00F61503">
        <w:t xml:space="preserve"> or developed AIDS related illness </w:t>
      </w:r>
      <w:r>
        <w:t xml:space="preserve">and </w:t>
      </w:r>
      <w:r w:rsidRPr="00F61503">
        <w:t>died are of interest</w:t>
      </w:r>
      <w:r>
        <w:t>,</w:t>
      </w:r>
      <w:r w:rsidRPr="00F61503">
        <w:t xml:space="preserve"> along w</w:t>
      </w:r>
      <w:r w:rsidR="007A329B">
        <w:t>ith general safety information.</w:t>
      </w:r>
    </w:p>
    <w:p w:rsidR="002C782A" w:rsidRDefault="002C782A" w:rsidP="00074975">
      <w:pPr>
        <w:pStyle w:val="Heading4"/>
      </w:pPr>
      <w:bookmarkStart w:id="116" w:name="_Toc322681331"/>
      <w:r w:rsidRPr="009C234B">
        <w:lastRenderedPageBreak/>
        <w:t xml:space="preserve">Clinical </w:t>
      </w:r>
      <w:r>
        <w:t>p</w:t>
      </w:r>
      <w:r w:rsidRPr="009C234B">
        <w:t>harmacology</w:t>
      </w:r>
      <w:bookmarkEnd w:id="116"/>
    </w:p>
    <w:p w:rsidR="002C782A" w:rsidRPr="00E0349C" w:rsidRDefault="002C782A" w:rsidP="002C782A">
      <w:pPr>
        <w:rPr>
          <w:b/>
          <w:i/>
        </w:rPr>
      </w:pPr>
      <w:r w:rsidRPr="00E0349C">
        <w:rPr>
          <w:b/>
          <w:i/>
        </w:rPr>
        <w:t>Sponsor’s r</w:t>
      </w:r>
      <w:r w:rsidRPr="00074975">
        <w:t>e</w:t>
      </w:r>
      <w:r w:rsidRPr="00E0349C">
        <w:rPr>
          <w:b/>
          <w:i/>
        </w:rPr>
        <w:t>sponse</w:t>
      </w:r>
    </w:p>
    <w:p w:rsidR="002C782A" w:rsidRPr="008865FF" w:rsidRDefault="002C782A" w:rsidP="001B0FAD">
      <w:pPr>
        <w:pStyle w:val="ListBullet"/>
      </w:pPr>
      <w:r w:rsidRPr="008865FF">
        <w:t xml:space="preserve">Major predictors </w:t>
      </w:r>
      <w:r>
        <w:t>f</w:t>
      </w:r>
      <w:r w:rsidRPr="008865FF">
        <w:t>o</w:t>
      </w:r>
      <w:r>
        <w:t>r</w:t>
      </w:r>
      <w:r w:rsidRPr="008865FF">
        <w:t xml:space="preserve"> lack of response to </w:t>
      </w:r>
      <w:r>
        <w:t xml:space="preserve">maraviroc </w:t>
      </w:r>
      <w:r w:rsidRPr="008865FF">
        <w:t xml:space="preserve">treatment in A4001026 were having the tropism result change from R5 tropic at screening to </w:t>
      </w:r>
      <w:r>
        <w:t xml:space="preserve">D/M </w:t>
      </w:r>
      <w:r w:rsidRPr="008865FF">
        <w:t xml:space="preserve">at baseline, and low </w:t>
      </w:r>
      <w:r>
        <w:t xml:space="preserve">maraviroc average concentration </w:t>
      </w:r>
      <w:r w:rsidRPr="008865FF">
        <w:t xml:space="preserve">or </w:t>
      </w:r>
      <w:r>
        <w:t>minimum concentration (</w:t>
      </w:r>
      <w:r w:rsidRPr="008865FF">
        <w:t>Cmin</w:t>
      </w:r>
      <w:r>
        <w:t>).</w:t>
      </w:r>
    </w:p>
    <w:p w:rsidR="002C782A" w:rsidRPr="008865FF" w:rsidRDefault="002C782A" w:rsidP="002C782A">
      <w:pPr>
        <w:pStyle w:val="ListBullet"/>
        <w:numPr>
          <w:ilvl w:val="0"/>
          <w:numId w:val="3"/>
        </w:numPr>
        <w:spacing w:before="0" w:after="160"/>
      </w:pPr>
      <w:r w:rsidRPr="008865FF">
        <w:t xml:space="preserve">Since </w:t>
      </w:r>
      <w:r>
        <w:t xml:space="preserve">Study </w:t>
      </w:r>
      <w:r w:rsidRPr="008865FF">
        <w:t xml:space="preserve">A4001026 was an outpatient study and </w:t>
      </w:r>
      <w:r>
        <w:t>maraviroc</w:t>
      </w:r>
      <w:r w:rsidRPr="008865FF">
        <w:t xml:space="preserve"> concentrations were measured after patients reported dosing there is confounding of low concen</w:t>
      </w:r>
      <w:r w:rsidRPr="00074975">
        <w:t>t</w:t>
      </w:r>
      <w:r w:rsidRPr="008865FF">
        <w:t>rations with poor adherence.</w:t>
      </w:r>
    </w:p>
    <w:p w:rsidR="002C782A" w:rsidRPr="008865FF" w:rsidRDefault="002C782A" w:rsidP="001B0FAD">
      <w:pPr>
        <w:pStyle w:val="ListBullet"/>
      </w:pPr>
      <w:proofErr w:type="gramStart"/>
      <w:r w:rsidRPr="008865FF">
        <w:t>Phase</w:t>
      </w:r>
      <w:proofErr w:type="gramEnd"/>
      <w:r w:rsidRPr="008865FF">
        <w:t xml:space="preserve"> </w:t>
      </w:r>
      <w:r>
        <w:t>I/II</w:t>
      </w:r>
      <w:r w:rsidRPr="008865FF">
        <w:t xml:space="preserve">a data shows that </w:t>
      </w:r>
      <w:r>
        <w:t>below the limit of quantification (</w:t>
      </w:r>
      <w:r w:rsidRPr="008865FF">
        <w:t>BLQ</w:t>
      </w:r>
      <w:r>
        <w:t>)</w:t>
      </w:r>
      <w:r w:rsidRPr="008865FF">
        <w:t xml:space="preserve"> </w:t>
      </w:r>
      <w:r>
        <w:t xml:space="preserve">observations </w:t>
      </w:r>
      <w:r w:rsidRPr="008865FF">
        <w:t>with 300 mg BID dosing are highly unlikely</w:t>
      </w:r>
      <w:r>
        <w:t>,</w:t>
      </w:r>
      <w:r w:rsidRPr="008865FF">
        <w:t xml:space="preserve"> whether given with</w:t>
      </w:r>
      <w:r>
        <w:t xml:space="preserve"> or without food within 24 h</w:t>
      </w:r>
      <w:r w:rsidRPr="008865FF">
        <w:t xml:space="preserve"> of a reported dose</w:t>
      </w:r>
      <w:r>
        <w:t>;</w:t>
      </w:r>
      <w:r w:rsidRPr="008865FF">
        <w:t xml:space="preserve"> therefore BLQ values for </w:t>
      </w:r>
      <w:r>
        <w:t>maraviroc</w:t>
      </w:r>
      <w:r w:rsidRPr="008865FF">
        <w:t xml:space="preserve"> can be used as a measure of poor adherence.</w:t>
      </w:r>
    </w:p>
    <w:p w:rsidR="002C782A" w:rsidRPr="008865FF" w:rsidRDefault="002C782A" w:rsidP="00074975">
      <w:pPr>
        <w:pStyle w:val="ListBullet"/>
      </w:pPr>
      <w:r w:rsidRPr="008865FF">
        <w:t xml:space="preserve">After taking BLQ and the ESTA population into consideration, </w:t>
      </w:r>
      <w:r>
        <w:t xml:space="preserve">average concentration </w:t>
      </w:r>
      <w:r w:rsidRPr="008865FF">
        <w:t>is not as important for predicted efficacy at the dose studied, compared to the GAM analysis with the original Trofile population</w:t>
      </w:r>
    </w:p>
    <w:p w:rsidR="002C782A" w:rsidRPr="008865FF" w:rsidRDefault="002C782A" w:rsidP="00074975">
      <w:pPr>
        <w:pStyle w:val="ListBullet"/>
      </w:pPr>
      <w:r w:rsidRPr="008865FF">
        <w:t>Exposure-response curve flattened at the lower exposures in the new analysis (ESTA population) where participants with BLQ values (evidence of poor adherence) were censored.</w:t>
      </w:r>
    </w:p>
    <w:p w:rsidR="002C782A" w:rsidRPr="00E0349C" w:rsidRDefault="002C782A" w:rsidP="00074975">
      <w:r w:rsidRPr="008865FF">
        <w:t xml:space="preserve">Although food, gender, race and age have an effect on </w:t>
      </w:r>
      <w:r>
        <w:t xml:space="preserve">maraviroc </w:t>
      </w:r>
      <w:r w:rsidRPr="008865FF">
        <w:t>PK, their influence on efficacy should be minimal given the lack of a strong exposure-response curve observed after adjusting for participants with poor adherence.</w:t>
      </w:r>
    </w:p>
    <w:p w:rsidR="002C782A" w:rsidRPr="00E0349C" w:rsidRDefault="002C782A" w:rsidP="00074975">
      <w:pPr>
        <w:pStyle w:val="Heading5"/>
      </w:pPr>
      <w:r w:rsidRPr="00E0349C">
        <w:t>Evaluator’s comment</w:t>
      </w:r>
    </w:p>
    <w:p w:rsidR="002C782A" w:rsidRPr="00E0349C" w:rsidRDefault="002C782A" w:rsidP="00074975">
      <w:r w:rsidRPr="00E0349C">
        <w:t>The arguments above are largely accepted. It is reasonable that patients who are non-R5 tropic will not respond and neither will patients who are not taking medication and are</w:t>
      </w:r>
      <w:r>
        <w:t>,</w:t>
      </w:r>
      <w:r w:rsidR="00074975">
        <w:t xml:space="preserve"> hence, BLQ.</w:t>
      </w:r>
    </w:p>
    <w:p w:rsidR="002C782A" w:rsidRPr="00E0349C" w:rsidRDefault="002C782A" w:rsidP="002C782A">
      <w:r w:rsidRPr="00E0349C">
        <w:t>The sponsor submitted concentration-time data for Study A4001007 demonstrating that in HIV-1 patients with maraviroc doses of 50 mg BID, concentrations were measurable to at least 48 h</w:t>
      </w:r>
      <w:r>
        <w:t xml:space="preserve"> </w:t>
      </w:r>
      <w:r w:rsidRPr="00E0349C">
        <w:t>after the last dose in 7 of the 8 participants. For those dosed with 100 mg BID, all had measurable concentrations and the majority had m</w:t>
      </w:r>
      <w:r>
        <w:t>easureable concentrations to 72 </w:t>
      </w:r>
      <w:r w:rsidRPr="00E0349C">
        <w:t>h</w:t>
      </w:r>
      <w:r>
        <w:t xml:space="preserve">. </w:t>
      </w:r>
      <w:r w:rsidRPr="00E0349C">
        <w:t xml:space="preserve">For those taking 300 mg BID, all participants had </w:t>
      </w:r>
      <w:r>
        <w:t>measurable concentrations to 72 </w:t>
      </w:r>
      <w:r w:rsidRPr="00E0349C">
        <w:t>h</w:t>
      </w:r>
      <w:r>
        <w:t xml:space="preserve"> </w:t>
      </w:r>
      <w:r w:rsidRPr="00E0349C">
        <w:t>and 5 of 8 were above BLQ at 120 h after the last dose. These data are taken to suggest that patients with levels BLQ are lik</w:t>
      </w:r>
      <w:r w:rsidR="00FC3753">
        <w:t>ely to have been non-compliant.</w:t>
      </w:r>
    </w:p>
    <w:p w:rsidR="002C782A" w:rsidRPr="00E0349C" w:rsidRDefault="002C782A" w:rsidP="002C782A">
      <w:r w:rsidRPr="00E0349C">
        <w:t>Maraviroc levels BLQ were generally associated with treatment failure in the presence of maraviroc sensitive virus and without NRTI mutations. This is considered likely to be because patients who are non-compliant with one medication are also likely to be non-compliant with other medications. The figure does suggest that patients with quantifiable low average concentrations are more likely to develop lamivudine resistance; however, this exploratory finding is hypothesis generating and not definitive.</w:t>
      </w:r>
      <w:r>
        <w:t xml:space="preserve"> Figure 3, below, </w:t>
      </w:r>
      <w:r w:rsidRPr="00E0349C">
        <w:t xml:space="preserve">illustrates the likely association of failure of treatment with CCR5 tropic virus and no mutation in the presence of maraviroc BLQ or low quantifiable </w:t>
      </w:r>
      <w:r>
        <w:t>average concentration</w:t>
      </w:r>
      <w:r w:rsidR="00FC3753">
        <w:t>.</w:t>
      </w:r>
    </w:p>
    <w:p w:rsidR="002C782A" w:rsidRPr="00E0349C" w:rsidRDefault="002C782A" w:rsidP="00CE78B0">
      <w:pPr>
        <w:pStyle w:val="FigureTitle"/>
      </w:pPr>
      <w:bookmarkStart w:id="117" w:name="_Ref321384654"/>
      <w:bookmarkStart w:id="118" w:name="_Ref321384658"/>
      <w:proofErr w:type="gramStart"/>
      <w:r w:rsidRPr="00E0349C">
        <w:lastRenderedPageBreak/>
        <w:t xml:space="preserve">Figure </w:t>
      </w:r>
      <w:bookmarkEnd w:id="117"/>
      <w:r>
        <w:t>3.</w:t>
      </w:r>
      <w:proofErr w:type="gramEnd"/>
      <w:r w:rsidRPr="00E0349C">
        <w:t xml:space="preserve"> Lack of Resistance (R5NM</w:t>
      </w:r>
      <w:r>
        <w:t xml:space="preserve"> = </w:t>
      </w:r>
      <w:r w:rsidRPr="00E0349C">
        <w:t xml:space="preserve">CCR5 tropic with no mutations) at </w:t>
      </w:r>
      <w:r>
        <w:t>f</w:t>
      </w:r>
      <w:r w:rsidRPr="00E0349C">
        <w:t xml:space="preserve">ailure in Study A4001026 Based on </w:t>
      </w:r>
      <w:r>
        <w:t xml:space="preserve">average concentration </w:t>
      </w:r>
      <w:r w:rsidRPr="00E0349C">
        <w:t xml:space="preserve">and whether </w:t>
      </w:r>
      <w:r>
        <w:t>p</w:t>
      </w:r>
      <w:r w:rsidRPr="00E0349C">
        <w:t xml:space="preserve">articipant had </w:t>
      </w:r>
      <w:r>
        <w:t>maraviroc</w:t>
      </w:r>
      <w:r w:rsidRPr="00E0349C">
        <w:t xml:space="preserve"> BLQ values</w:t>
      </w:r>
      <w:bookmarkEnd w:id="118"/>
    </w:p>
    <w:p w:rsidR="002C782A" w:rsidRPr="00E0349C" w:rsidRDefault="002C782A" w:rsidP="00F94202">
      <w:r w:rsidRPr="00E0349C">
        <w:rPr>
          <w:noProof/>
          <w:lang w:eastAsia="en-AU"/>
        </w:rPr>
        <w:drawing>
          <wp:inline distT="0" distB="0" distL="0" distR="0">
            <wp:extent cx="4124468" cy="2781300"/>
            <wp:effectExtent l="19050" t="0" r="9382" b="0"/>
            <wp:docPr id="19" name="Picture 1" descr="Figure 3. Lack of Resistance (R5NM = CCR5 tropic with no mutations) at failure in Study A4001026 Based on average concentration and whether participant had maraviroc BLQ values"/>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t="1837"/>
                    <a:stretch>
                      <a:fillRect/>
                    </a:stretch>
                  </pic:blipFill>
                  <pic:spPr bwMode="auto">
                    <a:xfrm>
                      <a:off x="0" y="0"/>
                      <a:ext cx="4126982" cy="2782995"/>
                    </a:xfrm>
                    <a:prstGeom prst="rect">
                      <a:avLst/>
                    </a:prstGeom>
                    <a:noFill/>
                    <a:ln w="9525">
                      <a:noFill/>
                      <a:miter lim="800000"/>
                      <a:headEnd/>
                      <a:tailEnd/>
                    </a:ln>
                  </pic:spPr>
                </pic:pic>
              </a:graphicData>
            </a:graphic>
          </wp:inline>
        </w:drawing>
      </w:r>
    </w:p>
    <w:p w:rsidR="002C782A" w:rsidRDefault="002C782A" w:rsidP="002C782A">
      <w:r w:rsidRPr="00E0349C">
        <w:t xml:space="preserve">It is noted that three quarters of patients in the lowest Cmin quartile had not been recorded as having values BLQ. This may have been because of timing of sampling, or the knowledge of impending medical assessment leading to increased compliance in the days leading up to the assessment; however, it is possible that the patients in the lowest quartile have some genetically determined reason for the low level and would benefit from an increase in dose. The sponsor argues that increase in dose based on Cmin may result in unacceptable increases in Cmax which might in turn result in postural hypotension. If this were to be the case, then increased dose frequency may be required rather than increased dose, </w:t>
      </w:r>
      <w:r w:rsidRPr="006945C6">
        <w:rPr>
          <w:i/>
        </w:rPr>
        <w:t>albeit</w:t>
      </w:r>
      <w:r w:rsidRPr="00E0349C">
        <w:t xml:space="preserve"> </w:t>
      </w:r>
      <w:r>
        <w:t xml:space="preserve">this is </w:t>
      </w:r>
      <w:r w:rsidRPr="00E0349C">
        <w:t>a less practi</w:t>
      </w:r>
      <w:r w:rsidR="00F94202">
        <w:t>cal dose regimen.</w:t>
      </w:r>
    </w:p>
    <w:p w:rsidR="002C782A" w:rsidRPr="00E0349C" w:rsidRDefault="002C782A" w:rsidP="00F94202">
      <w:pPr>
        <w:pStyle w:val="Heading4"/>
      </w:pPr>
      <w:r>
        <w:t>Virology</w:t>
      </w:r>
    </w:p>
    <w:p w:rsidR="002C782A" w:rsidRPr="00E0349C" w:rsidRDefault="002C782A" w:rsidP="00F94202">
      <w:pPr>
        <w:pStyle w:val="Heading5"/>
      </w:pPr>
      <w:r w:rsidRPr="00E0349C">
        <w:t>Sponsor’s response</w:t>
      </w:r>
    </w:p>
    <w:p w:rsidR="002C782A" w:rsidRPr="00E0349C" w:rsidRDefault="002C782A" w:rsidP="002C782A">
      <w:r w:rsidRPr="00E0349C">
        <w:t>In patients who developed resistance on the trial, the mutation that develo</w:t>
      </w:r>
      <w:r>
        <w:t>ped most commonly was that for l</w:t>
      </w:r>
      <w:r w:rsidRPr="00E0349C">
        <w:t>amivudine (M</w:t>
      </w:r>
      <w:r>
        <w:t>1</w:t>
      </w:r>
      <w:r w:rsidRPr="00E0349C">
        <w:t>84V</w:t>
      </w:r>
      <w:r>
        <w:t xml:space="preserve"> mutation</w:t>
      </w:r>
      <w:r w:rsidRPr="00E0349C">
        <w:t>). The clinical significance of this mutation has been debated for years as this mutation leads to a less fit virus which is less pathogenic</w:t>
      </w:r>
      <w:r>
        <w:t>,</w:t>
      </w:r>
      <w:r w:rsidRPr="00E0349C">
        <w:t xml:space="preserve"> and most treatment guidelines suggest maintaining selection pressure for this mutatio</w:t>
      </w:r>
      <w:r w:rsidR="00F94202">
        <w:t>n once it has been identified.</w:t>
      </w:r>
    </w:p>
    <w:p w:rsidR="002C782A" w:rsidRPr="00E0349C" w:rsidRDefault="002C782A" w:rsidP="002C782A">
      <w:r w:rsidRPr="00E0349C">
        <w:t xml:space="preserve">Among patients who discontinued due to </w:t>
      </w:r>
      <w:r>
        <w:t>AE</w:t>
      </w:r>
      <w:r w:rsidRPr="00E0349C">
        <w:t xml:space="preserve">s, there were more participants in the </w:t>
      </w:r>
      <w:r>
        <w:t xml:space="preserve">maraviroc </w:t>
      </w:r>
      <w:r w:rsidRPr="00E0349C">
        <w:t>treatment group (59.</w:t>
      </w:r>
      <w:r>
        <w:t>1</w:t>
      </w:r>
      <w:r w:rsidRPr="00E0349C">
        <w:t xml:space="preserve">%) compared to the </w:t>
      </w:r>
      <w:r>
        <w:t xml:space="preserve">efavirenz </w:t>
      </w:r>
      <w:r w:rsidRPr="00E0349C">
        <w:t xml:space="preserve">treatment group (41.1%), who achieved </w:t>
      </w:r>
      <w:r>
        <w:t>VL suppression &lt; 50 copies/mL</w:t>
      </w:r>
      <w:r w:rsidRPr="00E0349C">
        <w:t xml:space="preserve"> at least at two consecutive visits prior to study drug discontinuation due to </w:t>
      </w:r>
      <w:r>
        <w:t>AE</w:t>
      </w:r>
      <w:r w:rsidRPr="00E0349C">
        <w:t xml:space="preserve">s. Among the discontinuations, the overall duration of treatment was longer in the </w:t>
      </w:r>
      <w:r>
        <w:t>maraviroc</w:t>
      </w:r>
      <w:r w:rsidRPr="00E0349C">
        <w:t xml:space="preserve"> group (range: 4-628 days, median: 173 days</w:t>
      </w:r>
      <w:r>
        <w:t>,</w:t>
      </w:r>
      <w:r w:rsidRPr="00E0349C">
        <w:t xml:space="preserve"> mean: 208.4 days) compared to the </w:t>
      </w:r>
      <w:r>
        <w:t>efavirenz</w:t>
      </w:r>
      <w:r w:rsidRPr="00E0349C">
        <w:t xml:space="preserve"> group (range: 2-480 days, median: 50</w:t>
      </w:r>
      <w:r>
        <w:t xml:space="preserve"> days, </w:t>
      </w:r>
      <w:r w:rsidR="00F94202">
        <w:t>mean: 119.7 days).</w:t>
      </w:r>
    </w:p>
    <w:p w:rsidR="002C782A" w:rsidRPr="00E0349C" w:rsidRDefault="002C782A" w:rsidP="00F94202">
      <w:r w:rsidRPr="00E0349C">
        <w:t xml:space="preserve">The earlier time to discontinuation in this group compared with the </w:t>
      </w:r>
      <w:r>
        <w:t>maraviroc</w:t>
      </w:r>
      <w:r w:rsidRPr="00E0349C">
        <w:t xml:space="preserve"> group, led to a shorter time period in which to potentially observe true virological failure and the possible selection of </w:t>
      </w:r>
      <w:r>
        <w:t>n</w:t>
      </w:r>
      <w:r w:rsidRPr="00710499">
        <w:t xml:space="preserve">on-nucleoside reverse transcriptase inhibitor </w:t>
      </w:r>
      <w:r>
        <w:t>(</w:t>
      </w:r>
      <w:r w:rsidRPr="00E0349C">
        <w:t>NNRTI</w:t>
      </w:r>
      <w:r>
        <w:t>)</w:t>
      </w:r>
      <w:r w:rsidRPr="00E0349C">
        <w:t xml:space="preserve"> and NRTI re</w:t>
      </w:r>
      <w:r>
        <w:t>sistant variants</w:t>
      </w:r>
      <w:r w:rsidRPr="00E0349C">
        <w:t xml:space="preserve"> (</w:t>
      </w:r>
      <w:r>
        <w:t>h</w:t>
      </w:r>
      <w:r w:rsidRPr="00E0349C">
        <w:t>ypothesis following post</w:t>
      </w:r>
      <w:r>
        <w:t xml:space="preserve"> </w:t>
      </w:r>
      <w:r w:rsidRPr="00E0349C">
        <w:t>hoc analysis)</w:t>
      </w:r>
      <w:r>
        <w:t>.</w:t>
      </w:r>
    </w:p>
    <w:p w:rsidR="002C782A" w:rsidRPr="00E0349C" w:rsidRDefault="002C782A" w:rsidP="00F94202">
      <w:r w:rsidRPr="00E0349C">
        <w:t xml:space="preserve">In the </w:t>
      </w:r>
      <w:r>
        <w:t>efavirenz</w:t>
      </w:r>
      <w:r w:rsidRPr="00E0349C">
        <w:t xml:space="preserve"> treatment group, </w:t>
      </w:r>
      <w:r>
        <w:t xml:space="preserve">8 </w:t>
      </w:r>
      <w:r w:rsidRPr="00E0349C">
        <w:t xml:space="preserve">participants who were discontinued due to </w:t>
      </w:r>
      <w:r>
        <w:t>AE</w:t>
      </w:r>
      <w:r w:rsidRPr="00E0349C">
        <w:t xml:space="preserve">s developed NNRTI mutations conferring resistance to </w:t>
      </w:r>
      <w:r>
        <w:t>efavirenz</w:t>
      </w:r>
      <w:r w:rsidRPr="00E0349C">
        <w:t xml:space="preserve"> following study drug </w:t>
      </w:r>
      <w:r w:rsidRPr="00E0349C">
        <w:lastRenderedPageBreak/>
        <w:t>discontinuation. Four of these di</w:t>
      </w:r>
      <w:r>
        <w:t>d not suppress to &lt; 50 copies/mL</w:t>
      </w:r>
      <w:r w:rsidRPr="00E0349C">
        <w:t xml:space="preserve"> while on study tre</w:t>
      </w:r>
      <w:r>
        <w:t>atment, one of whom developed Y1</w:t>
      </w:r>
      <w:r w:rsidRPr="00E0349C">
        <w:t>8</w:t>
      </w:r>
      <w:r>
        <w:t>1</w:t>
      </w:r>
      <w:r w:rsidRPr="00E0349C">
        <w:t>Y/C</w:t>
      </w:r>
      <w:r w:rsidR="00F94202">
        <w:t xml:space="preserve"> mutations while on study drug.</w:t>
      </w:r>
    </w:p>
    <w:p w:rsidR="002C782A" w:rsidRPr="00E0349C" w:rsidRDefault="002C782A" w:rsidP="002C782A">
      <w:r w:rsidRPr="00E0349C">
        <w:t>For patients screened as R5, it is likely that any pre-existing D</w:t>
      </w:r>
      <w:r>
        <w:t>/</w:t>
      </w:r>
      <w:r w:rsidRPr="00E0349C">
        <w:t xml:space="preserve">M/X4 virus has a lower replicative capacity relative to the circulating R5 virus. </w:t>
      </w:r>
      <w:r>
        <w:t>Maraviroc</w:t>
      </w:r>
      <w:r w:rsidRPr="00E0349C">
        <w:t xml:space="preserve"> treatm</w:t>
      </w:r>
      <w:r>
        <w:t xml:space="preserve">ent selectively inhibits the R5-using </w:t>
      </w:r>
      <w:r w:rsidRPr="00E0349C">
        <w:t>virus, and (in the absence of other active antiretrovirals) the D</w:t>
      </w:r>
      <w:r>
        <w:t>/</w:t>
      </w:r>
      <w:r w:rsidRPr="00E0349C">
        <w:t xml:space="preserve">M/X4 virus becomes relatively more fit. When </w:t>
      </w:r>
      <w:r>
        <w:t xml:space="preserve">maraviroc </w:t>
      </w:r>
      <w:r w:rsidRPr="00E0349C">
        <w:t>selective pressure is removed the circulating R5 virus regains fitness and outgrows the D</w:t>
      </w:r>
      <w:r>
        <w:t>/</w:t>
      </w:r>
      <w:r w:rsidRPr="00E0349C">
        <w:t xml:space="preserve">M/X4 variants. The time scale for this reversion appears to be within approximately 1 to 3 months of stopping </w:t>
      </w:r>
      <w:r>
        <w:t>maraviroc</w:t>
      </w:r>
      <w:r w:rsidR="00F94202">
        <w:t xml:space="preserve"> treatment.</w:t>
      </w:r>
    </w:p>
    <w:p w:rsidR="002C782A" w:rsidRPr="00E0349C" w:rsidRDefault="002C782A" w:rsidP="00F94202">
      <w:r w:rsidRPr="00E0349C">
        <w:t xml:space="preserve">This reversible and transient </w:t>
      </w:r>
      <w:r>
        <w:t>selection of pre-existing CXCR4-</w:t>
      </w:r>
      <w:r w:rsidRPr="00E0349C">
        <w:t>using virus is very different to the slow e</w:t>
      </w:r>
      <w:r>
        <w:t>mergence of predominantly CXCR4-</w:t>
      </w:r>
      <w:r w:rsidRPr="00E0349C">
        <w:t>using virus during the natural history of HIV infection. It is likely that in later</w:t>
      </w:r>
      <w:r>
        <w:t xml:space="preserve"> stages of HIV infection, CXCR4-</w:t>
      </w:r>
      <w:r w:rsidRPr="00E0349C">
        <w:t>using virus emerges as a result of progressive immune dysregulation rather than being a cause of it.</w:t>
      </w:r>
    </w:p>
    <w:p w:rsidR="002C782A" w:rsidRPr="00E0349C" w:rsidRDefault="002C782A" w:rsidP="00F94202">
      <w:r>
        <w:t xml:space="preserve">A European regulatory </w:t>
      </w:r>
      <w:r w:rsidRPr="00E0349C">
        <w:t>Follow-up Measure</w:t>
      </w:r>
      <w:r>
        <w:t xml:space="preserve"> </w:t>
      </w:r>
      <w:r w:rsidRPr="00E0349C">
        <w:t>requested follow up of viral tropism on all patients failing and remaining in study</w:t>
      </w:r>
      <w:r>
        <w:t>,</w:t>
      </w:r>
      <w:r w:rsidRPr="00E0349C">
        <w:t xml:space="preserve"> with the reversibility of X4-virus (from baseline R-5) to be specifically addressed. An analysis of tropism following failure of </w:t>
      </w:r>
      <w:r>
        <w:t xml:space="preserve">maraviroc </w:t>
      </w:r>
      <w:r w:rsidRPr="00E0349C">
        <w:t>therapy with CXCR4-using virus in patients with CCR5 virus at baseline, demonstrated that the virus population reverted back to CCR5 tropism in 33 of 36 patients with more than 35 days of follow up.</w:t>
      </w:r>
    </w:p>
    <w:p w:rsidR="002C782A" w:rsidRPr="00E0349C" w:rsidRDefault="002C782A" w:rsidP="00F94202">
      <w:pPr>
        <w:pStyle w:val="Heading5"/>
      </w:pPr>
      <w:r w:rsidRPr="00E0349C">
        <w:t>Evaluator’s comment</w:t>
      </w:r>
    </w:p>
    <w:p w:rsidR="002C782A" w:rsidRPr="00E0349C" w:rsidRDefault="00F94202" w:rsidP="002C782A">
      <w:r>
        <w:t>These points are accepted.</w:t>
      </w:r>
    </w:p>
    <w:p w:rsidR="002C782A" w:rsidRPr="00F94202" w:rsidRDefault="002C782A" w:rsidP="00F94202">
      <w:pPr>
        <w:pStyle w:val="Heading4"/>
      </w:pPr>
      <w:r w:rsidRPr="007D67F9">
        <w:t>Tropism testing</w:t>
      </w:r>
    </w:p>
    <w:p w:rsidR="002C782A" w:rsidRPr="007D67F9" w:rsidRDefault="002C782A" w:rsidP="00F94202">
      <w:pPr>
        <w:pStyle w:val="Heading5"/>
      </w:pPr>
      <w:r>
        <w:t>E</w:t>
      </w:r>
      <w:r w:rsidRPr="007D67F9">
        <w:t>nhanced sensitivity Trofile ass</w:t>
      </w:r>
      <w:r w:rsidR="00F94202">
        <w:t>ay</w:t>
      </w:r>
    </w:p>
    <w:p w:rsidR="002C782A" w:rsidRPr="00592CB6" w:rsidRDefault="002C782A" w:rsidP="00F94202">
      <w:pPr>
        <w:pStyle w:val="Heading6"/>
      </w:pPr>
      <w:r w:rsidRPr="00592CB6">
        <w:t>Sponsor’s response</w:t>
      </w:r>
    </w:p>
    <w:p w:rsidR="002C782A" w:rsidRPr="007D67F9" w:rsidRDefault="002C782A" w:rsidP="002C782A">
      <w:r w:rsidRPr="007D67F9">
        <w:t xml:space="preserve">The </w:t>
      </w:r>
      <w:r>
        <w:t xml:space="preserve">ESTA </w:t>
      </w:r>
      <w:r w:rsidRPr="007D67F9">
        <w:t xml:space="preserve">has not been formally evaluated in large prospective clinical studies. Neither the </w:t>
      </w:r>
      <w:r>
        <w:t>OTA</w:t>
      </w:r>
      <w:r w:rsidRPr="007D67F9">
        <w:t xml:space="preserve"> nor ESTA are FDA-approved assays. The ESTA is only performed by one laboratory in San Francisco with associated inherent time delays. Like OTA, the ESTA requires stringent sample collection, storage and transport requirements as outlined by the vendor (Monogram Biosciences). A minimum volume of 3 mL of plasma is recommended. The assay is validated to a mini</w:t>
      </w:r>
      <w:r>
        <w:t>mum VL requirement of 1</w:t>
      </w:r>
      <w:r w:rsidRPr="007D67F9">
        <w:t>000 HIV RNA copies/m</w:t>
      </w:r>
      <w:r>
        <w:t>L</w:t>
      </w:r>
      <w:r w:rsidRPr="007D67F9">
        <w:t xml:space="preserve"> plasma. This poses a challenge for tropism testing in a proportion of patients, such as those with early virological failure (</w:t>
      </w:r>
      <w:r>
        <w:t xml:space="preserve">that is, </w:t>
      </w:r>
      <w:r w:rsidRPr="007D67F9">
        <w:t xml:space="preserve">plasma </w:t>
      </w:r>
      <w:r>
        <w:t xml:space="preserve">VL </w:t>
      </w:r>
      <w:r w:rsidRPr="007D67F9">
        <w:t>&lt; 1,000 copies/m</w:t>
      </w:r>
      <w:r>
        <w:t>L</w:t>
      </w:r>
      <w:r w:rsidRPr="007D67F9">
        <w:t xml:space="preserve">) or those with undetectable </w:t>
      </w:r>
      <w:r>
        <w:t xml:space="preserve">VL </w:t>
      </w:r>
      <w:r w:rsidRPr="007D67F9">
        <w:t xml:space="preserve">who may be seeking to switch treatment for tolerability reasons. In addition, the high cost and relatively long assay turnaround time (approximately two weeks from the time of sample receipt at the Monogram laboratory facility) have also shown to be obstacles in the US to routine tropism evaluation for management of patient treatment options that could include </w:t>
      </w:r>
      <w:r>
        <w:t>m</w:t>
      </w:r>
      <w:r w:rsidRPr="007D67F9">
        <w:t>araviroc</w:t>
      </w:r>
      <w:r>
        <w:t>,</w:t>
      </w:r>
      <w:r w:rsidRPr="007D67F9">
        <w:t xml:space="preserve"> but may be less of a problem in Australia in future. The </w:t>
      </w:r>
      <w:r>
        <w:t xml:space="preserve">Australian Government’s </w:t>
      </w:r>
      <w:r w:rsidRPr="007D67F9">
        <w:t>Medical Services Advisory Committee</w:t>
      </w:r>
      <w:r>
        <w:t xml:space="preserve"> (MSAC)</w:t>
      </w:r>
      <w:r>
        <w:rPr>
          <w:rStyle w:val="FootnoteReference"/>
        </w:rPr>
        <w:footnoteReference w:id="13"/>
      </w:r>
      <w:r w:rsidRPr="007D67F9">
        <w:t xml:space="preserve"> is assessing the cost effectiveness of funding tropism testing</w:t>
      </w:r>
      <w:r>
        <w:t>.</w:t>
      </w:r>
      <w:r w:rsidRPr="007D67F9">
        <w:rPr>
          <w:vertAlign w:val="superscript"/>
        </w:rPr>
        <w:footnoteReference w:id="14"/>
      </w:r>
      <w:r w:rsidRPr="007D67F9">
        <w:t xml:space="preserve"> In the interim, ViiV Healthcare has been funding tests performed prior to </w:t>
      </w:r>
      <w:r>
        <w:t>commencement of treatment with m</w:t>
      </w:r>
      <w:r w:rsidRPr="007D67F9">
        <w:t>araviroc</w:t>
      </w:r>
      <w:r>
        <w:t>.</w:t>
      </w:r>
    </w:p>
    <w:p w:rsidR="002C782A" w:rsidRPr="007D67F9" w:rsidRDefault="002C782A" w:rsidP="003B3566">
      <w:pPr>
        <w:pStyle w:val="Heading5"/>
      </w:pPr>
      <w:r w:rsidRPr="007D67F9">
        <w:lastRenderedPageBreak/>
        <w:t>Population genotypic tropism testing and clinical outcome</w:t>
      </w:r>
    </w:p>
    <w:p w:rsidR="002C782A" w:rsidRPr="003B3566" w:rsidRDefault="002C782A" w:rsidP="003B3566">
      <w:pPr>
        <w:pStyle w:val="Heading6"/>
      </w:pPr>
      <w:r w:rsidRPr="00592CB6">
        <w:t>Sponsor’s response</w:t>
      </w:r>
    </w:p>
    <w:p w:rsidR="002C782A" w:rsidRPr="007D67F9" w:rsidRDefault="002C782A" w:rsidP="003B3566">
      <w:r w:rsidRPr="007D67F9">
        <w:t>For this testing, a population-based consensus sequence is generated. A bioinformatics algorithm is used to interpret the sequence and infer drug susceptibility (Sensitive or Resistant) or tropism (R5 or non-R5). The algorithm(s) used to infer co-receptor tropism are more complex than those for drug resistance, mainly driven by the sequence diversity within the V3 loop, the lack of a signature sequence for co-receptor usage (v</w:t>
      </w:r>
      <w:r>
        <w:t>ersus M1</w:t>
      </w:r>
      <w:r w:rsidRPr="007D67F9">
        <w:t>84V</w:t>
      </w:r>
      <w:r>
        <w:t>,</w:t>
      </w:r>
      <w:r w:rsidRPr="007D67F9">
        <w:t xml:space="preserve"> associated with resistance to lamivudine), and the lack of a gold-standard biological sample that accurately reflects HIV envelope variation within/between a patient(s).  Recent advances in both laboratory methodologies to generate high quality V3 loop sequence data and bioinformatics algorithms has greatly advanced the clinical utility of genotypic tropism methods. It should also be noted that, although tropism determinants outside the V3 loop have been described their inclusion in algorithms for tropism determination has not improved prediction of clinical outcome.</w:t>
      </w:r>
    </w:p>
    <w:p w:rsidR="002C782A" w:rsidRPr="007D67F9" w:rsidRDefault="002C782A" w:rsidP="003B3566">
      <w:r w:rsidRPr="007D67F9">
        <w:t xml:space="preserve">Antiviral activity of </w:t>
      </w:r>
      <w:r>
        <w:t xml:space="preserve">maraviroc </w:t>
      </w:r>
      <w:r w:rsidRPr="007D67F9">
        <w:t>in treatment</w:t>
      </w:r>
      <w:r w:rsidRPr="0043166D">
        <w:t xml:space="preserve"> </w:t>
      </w:r>
      <w:r>
        <w:t>naïve</w:t>
      </w:r>
      <w:r w:rsidRPr="007D67F9">
        <w:t xml:space="preserve"> patients was evaluated in </w:t>
      </w:r>
      <w:r>
        <w:t>Study A</w:t>
      </w:r>
      <w:r w:rsidRPr="007D67F9">
        <w:t xml:space="preserve">44001026. The clinical response was comparable with </w:t>
      </w:r>
      <w:r>
        <w:t>maraviroc versus efavirenz</w:t>
      </w:r>
      <w:r w:rsidRPr="007D67F9">
        <w:t xml:space="preserve"> in patients classified as R5 by genotype; whereas, the respons</w:t>
      </w:r>
      <w:r>
        <w:t>e in patients classified as non</w:t>
      </w:r>
      <w:r>
        <w:noBreakHyphen/>
      </w:r>
      <w:r w:rsidRPr="007D67F9">
        <w:t xml:space="preserve">R5 was sub-optimal. </w:t>
      </w:r>
      <w:r>
        <w:t>S</w:t>
      </w:r>
      <w:r w:rsidRPr="007D67F9">
        <w:t>imilar findings were obtaine</w:t>
      </w:r>
      <w:r>
        <w:t>d when patients were characteris</w:t>
      </w:r>
      <w:r w:rsidRPr="007D67F9">
        <w:t>ed by their ability t</w:t>
      </w:r>
      <w:r>
        <w:t>o achieve HIV RNA &lt; 50 copies/mL</w:t>
      </w:r>
      <w:r w:rsidR="003B3566">
        <w:t xml:space="preserve"> plasma.</w:t>
      </w:r>
    </w:p>
    <w:p w:rsidR="002C782A" w:rsidRPr="007D67F9" w:rsidRDefault="002C782A" w:rsidP="003B3566">
      <w:r w:rsidRPr="007D67F9">
        <w:t xml:space="preserve">An analysis of the samples by concordance/discordance was assessed. </w:t>
      </w:r>
      <w:r>
        <w:t>T</w:t>
      </w:r>
      <w:r w:rsidRPr="007D67F9">
        <w:t>he concordant R5 group (R5 by both assays) had a good virologic response rate whereas the concordant non-R5 group had a poor virologic outcome. The discordant groups had response rates similar to each other and comparable to that of the R5 concordant group. This observation is taken to suggest that neither ESTA nor population genotype provides a clinically accurate assessment of tropism in every instance; there is no gold standard assay.</w:t>
      </w:r>
    </w:p>
    <w:p w:rsidR="002C782A" w:rsidRPr="00592CB6" w:rsidRDefault="002C782A" w:rsidP="003B3566">
      <w:pPr>
        <w:pStyle w:val="Heading6"/>
      </w:pPr>
      <w:r w:rsidRPr="00592CB6">
        <w:t>Evaluator’s comment</w:t>
      </w:r>
    </w:p>
    <w:p w:rsidR="002C782A" w:rsidRPr="007D67F9" w:rsidRDefault="002C782A" w:rsidP="002C782A">
      <w:r w:rsidRPr="007D67F9">
        <w:t xml:space="preserve">According to ViiV Healthcare, genotypic V3 loop testing has superseded ESTA as the routine test available for tropism determination ... (and they state) </w:t>
      </w:r>
      <w:r w:rsidRPr="00592CB6">
        <w:rPr>
          <w:i/>
        </w:rPr>
        <w:t xml:space="preserve">The utility of genotypic testing in terms of predicting virological outcomes with </w:t>
      </w:r>
      <w:r w:rsidRPr="00794A52">
        <w:rPr>
          <w:i/>
        </w:rPr>
        <w:t>maraviroc</w:t>
      </w:r>
      <w:r w:rsidRPr="00592CB6">
        <w:rPr>
          <w:i/>
        </w:rPr>
        <w:t xml:space="preserve"> treatment has been investigated and has been shown to be comparable with ESTA</w:t>
      </w:r>
      <w:r w:rsidRPr="007D67F9">
        <w:t>.</w:t>
      </w:r>
    </w:p>
    <w:p w:rsidR="002C782A" w:rsidRPr="007D67F9" w:rsidRDefault="002C782A" w:rsidP="003B3566">
      <w:r w:rsidRPr="007D67F9">
        <w:t>It would have been helpful if the results of Study A4001026 had been analysed in the terms of non-inferiority. If population genotype testing is less sensitive than ESTA then the possibility exists that maraviroc would not prove to be non</w:t>
      </w:r>
      <w:r>
        <w:t>-inferior in terms of HIV RNA &lt; </w:t>
      </w:r>
      <w:r w:rsidRPr="007D67F9">
        <w:t>50 copies/</w:t>
      </w:r>
      <w:r>
        <w:t>m</w:t>
      </w:r>
      <w:r w:rsidRPr="007D67F9">
        <w:t xml:space="preserve">L as was the case with the OTA. According to McGovern </w:t>
      </w:r>
      <w:r w:rsidRPr="00015125">
        <w:rPr>
          <w:i/>
        </w:rPr>
        <w:t>et al</w:t>
      </w:r>
      <w:r w:rsidRPr="007D67F9">
        <w:t>.</w:t>
      </w:r>
      <w:r>
        <w:t>, 2010,</w:t>
      </w:r>
      <w:r>
        <w:rPr>
          <w:rStyle w:val="FootnoteReference"/>
        </w:rPr>
        <w:footnoteReference w:id="15"/>
      </w:r>
      <w:r w:rsidRPr="007D67F9">
        <w:t xml:space="preserve"> in the abstract supplied with the applicant’s response, approximately 8% of patients in Study A4001026 who screened as R5 by the </w:t>
      </w:r>
      <w:r>
        <w:t xml:space="preserve">OTA </w:t>
      </w:r>
      <w:r w:rsidRPr="007D67F9">
        <w:t xml:space="preserve">were classed as X4 by V3-loop sequencing using population based sequencing, compared to the 13.3%-16.1% reclassified using ESTA. The table from the McGovern </w:t>
      </w:r>
      <w:r w:rsidRPr="00015125">
        <w:rPr>
          <w:i/>
        </w:rPr>
        <w:t>et al</w:t>
      </w:r>
      <w:r w:rsidRPr="007D67F9">
        <w:t>.</w:t>
      </w:r>
      <w:r>
        <w:t>,</w:t>
      </w:r>
      <w:r w:rsidRPr="007D67F9">
        <w:t xml:space="preserve"> </w:t>
      </w:r>
      <w:r>
        <w:t xml:space="preserve">2010 </w:t>
      </w:r>
      <w:r w:rsidRPr="007D67F9">
        <w:t xml:space="preserve">abstract is </w:t>
      </w:r>
      <w:r>
        <w:t xml:space="preserve">reproduced as Table 9, </w:t>
      </w:r>
      <w:r w:rsidRPr="007D67F9">
        <w:t xml:space="preserve">below. However, it is unknown how closely the test used by McGovern </w:t>
      </w:r>
      <w:r w:rsidRPr="00015125">
        <w:rPr>
          <w:i/>
        </w:rPr>
        <w:t>et al.</w:t>
      </w:r>
      <w:r w:rsidRPr="007D67F9">
        <w:t xml:space="preserve"> coincides with commer</w:t>
      </w:r>
      <w:r w:rsidR="003B3566">
        <w:t>cially available V3 loop tests.</w:t>
      </w:r>
    </w:p>
    <w:p w:rsidR="002C782A" w:rsidRPr="007D67F9" w:rsidRDefault="002C782A" w:rsidP="001B0FAD">
      <w:pPr>
        <w:pStyle w:val="TableTitle"/>
      </w:pPr>
      <w:bookmarkStart w:id="119" w:name="_Ref322433228"/>
      <w:bookmarkStart w:id="120" w:name="_Ref322433231"/>
      <w:r w:rsidRPr="007D67F9">
        <w:lastRenderedPageBreak/>
        <w:t xml:space="preserve">Table </w:t>
      </w:r>
      <w:bookmarkEnd w:id="119"/>
      <w:r>
        <w:t>9</w:t>
      </w:r>
      <w:r w:rsidRPr="007D67F9">
        <w:t xml:space="preserve"> Maraviroc response by Trofile and V2-loop screening (McGovern </w:t>
      </w:r>
      <w:r w:rsidRPr="00C260A8">
        <w:rPr>
          <w:i/>
        </w:rPr>
        <w:t>et al</w:t>
      </w:r>
      <w:r>
        <w:t>., 2010</w:t>
      </w:r>
      <w:r w:rsidRPr="007D67F9">
        <w:t>)</w:t>
      </w:r>
      <w:bookmarkEnd w:id="120"/>
    </w:p>
    <w:p w:rsidR="002C782A" w:rsidRPr="007D67F9" w:rsidRDefault="002C782A" w:rsidP="001B0FAD">
      <w:r w:rsidRPr="007D67F9">
        <w:rPr>
          <w:noProof/>
          <w:lang w:eastAsia="en-AU"/>
        </w:rPr>
        <w:drawing>
          <wp:inline distT="0" distB="0" distL="0" distR="0">
            <wp:extent cx="4076700" cy="2089785"/>
            <wp:effectExtent l="19050" t="0" r="0" b="0"/>
            <wp:docPr id="36" name="Picture 10" descr="Table 9 Maraviroc response by Trofile and V2-loop screening (McGovern et 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076700" cy="2089785"/>
                    </a:xfrm>
                    <a:prstGeom prst="rect">
                      <a:avLst/>
                    </a:prstGeom>
                    <a:noFill/>
                    <a:ln w="9525">
                      <a:noFill/>
                      <a:miter lim="800000"/>
                      <a:headEnd/>
                      <a:tailEnd/>
                    </a:ln>
                  </pic:spPr>
                </pic:pic>
              </a:graphicData>
            </a:graphic>
          </wp:inline>
        </w:drawing>
      </w:r>
    </w:p>
    <w:p w:rsidR="002C782A" w:rsidRPr="007D67F9" w:rsidRDefault="002C782A" w:rsidP="002C782A">
      <w:r>
        <w:t>McGowan and Shah, 2010</w:t>
      </w:r>
      <w:r w:rsidRPr="00592CB6">
        <w:rPr>
          <w:vertAlign w:val="superscript"/>
        </w:rPr>
        <w:footnoteReference w:id="16"/>
      </w:r>
      <w:r w:rsidRPr="00592CB6">
        <w:rPr>
          <w:vertAlign w:val="superscript"/>
        </w:rPr>
        <w:t xml:space="preserve"> </w:t>
      </w:r>
      <w:r w:rsidRPr="007D67F9">
        <w:t>suggest that genotype based testing has the advantages of lower cost than ESTA, is less technically difficult and has more rapid turnaround time but has lower sensitivity and may miss X4-using strains, may incorrectly identify highly divergent R5 as X4 and miss minority species</w:t>
      </w:r>
      <w:r w:rsidR="001B0FAD">
        <w:t xml:space="preserve"> and lacks clinical trial data.</w:t>
      </w:r>
    </w:p>
    <w:p w:rsidR="002C782A" w:rsidRPr="007D67F9" w:rsidRDefault="002C782A" w:rsidP="002C782A">
      <w:proofErr w:type="gramStart"/>
      <w:r>
        <w:t>Geretti and Mackie, 2009</w:t>
      </w:r>
      <w:r w:rsidRPr="00592CB6">
        <w:rPr>
          <w:vertAlign w:val="superscript"/>
        </w:rPr>
        <w:footnoteReference w:id="17"/>
      </w:r>
      <w:r w:rsidRPr="00592CB6">
        <w:rPr>
          <w:vertAlign w:val="superscript"/>
        </w:rPr>
        <w:t xml:space="preserve"> </w:t>
      </w:r>
      <w:r w:rsidRPr="007D67F9">
        <w:t>state that prospective outcome data for the use of proviral DNA are currently limited</w:t>
      </w:r>
      <w:r>
        <w:t>,</w:t>
      </w:r>
      <w:r w:rsidRPr="007D67F9">
        <w:t xml:space="preserve"> and details of the recommendations about methodology and interpretation are likely to continue to evolve over time.</w:t>
      </w:r>
      <w:proofErr w:type="gramEnd"/>
      <w:r w:rsidRPr="007D67F9">
        <w:t xml:space="preserve"> However, one potential advantage of genotypic tropism testing is the ability to circumvent the high plasma </w:t>
      </w:r>
      <w:r>
        <w:t xml:space="preserve">VL </w:t>
      </w:r>
      <w:r w:rsidRPr="007D67F9">
        <w:t>requirement of phenotypic assays, and evaluate tropism in virologically suppressed patients using proviral DNA. The authors state that there is limited evidence to indicate that genotypic testing of proviral DNA may actually provide better concordance with phenotypic tropism prediction than genotypic anal</w:t>
      </w:r>
      <w:r w:rsidR="001B0FAD">
        <w:t>ysis of plasma.</w:t>
      </w:r>
    </w:p>
    <w:p w:rsidR="002C782A" w:rsidRPr="007D67F9" w:rsidRDefault="001B0FAD" w:rsidP="001B0FAD">
      <w:pPr>
        <w:pStyle w:val="Heading5"/>
      </w:pPr>
      <w:bookmarkStart w:id="121" w:name="_Toc322681336"/>
      <w:r>
        <w:t>Early t</w:t>
      </w:r>
      <w:r w:rsidR="002C782A" w:rsidRPr="007D67F9">
        <w:t xml:space="preserve">ropism </w:t>
      </w:r>
      <w:r>
        <w:t>s</w:t>
      </w:r>
      <w:r w:rsidR="002C782A" w:rsidRPr="007D67F9">
        <w:t>witch</w:t>
      </w:r>
      <w:bookmarkEnd w:id="121"/>
    </w:p>
    <w:p w:rsidR="002C782A" w:rsidRPr="00592CB6" w:rsidRDefault="002C782A" w:rsidP="001B0FAD">
      <w:pPr>
        <w:pStyle w:val="Heading6"/>
      </w:pPr>
      <w:r w:rsidRPr="00592CB6">
        <w:t>Sponsor’s response</w:t>
      </w:r>
    </w:p>
    <w:p w:rsidR="002C782A" w:rsidRPr="007D67F9" w:rsidRDefault="002C782A" w:rsidP="002C782A">
      <w:r w:rsidRPr="007D67F9">
        <w:t xml:space="preserve">The factors that drive the change in HIV tropism are not clearly understood. Viral evolution and overall change in host immune function and drug pressure (in the context of maraviroc-containing HAART) </w:t>
      </w:r>
      <w:r w:rsidR="001B0FAD">
        <w:t>are potential factors involved.</w:t>
      </w:r>
    </w:p>
    <w:p w:rsidR="002C782A" w:rsidRPr="007D67F9" w:rsidRDefault="002C782A" w:rsidP="002C782A">
      <w:r>
        <w:t>In S</w:t>
      </w:r>
      <w:r w:rsidRPr="007D67F9">
        <w:t xml:space="preserve">tudy A4001026 phylogenetic analyses demonstrated that non-R5 variants were a pre-existing viral population as opposed to a recent evolutionary event. Spontaneous tropism changes (from R5 to non-R5 or vice-versa) were observed in approximately l0% of patients between screening and study baseline in the </w:t>
      </w:r>
      <w:r>
        <w:t>m</w:t>
      </w:r>
      <w:r w:rsidRPr="007D67F9">
        <w:t xml:space="preserve">araviroc clinical trials using the </w:t>
      </w:r>
      <w:r>
        <w:t>OTA</w:t>
      </w:r>
      <w:r w:rsidRPr="007D67F9">
        <w:t>. Where apparent phenotypic tropism changes from R5 to non-R5 occurred, non-R5 virus was generally detectable at the screening time point by more sensitive methods such as 454 “deep sequencing” (</w:t>
      </w:r>
      <w:r w:rsidRPr="00851F22">
        <w:t>Roche 454 GS-FLX</w:t>
      </w:r>
      <w:r w:rsidRPr="007D67F9">
        <w:t>) or possibly ESTA</w:t>
      </w:r>
      <w:r>
        <w:t>.</w:t>
      </w:r>
      <w:r w:rsidRPr="00592CB6">
        <w:rPr>
          <w:vertAlign w:val="superscript"/>
        </w:rPr>
        <w:footnoteReference w:id="18"/>
      </w:r>
    </w:p>
    <w:p w:rsidR="002C782A" w:rsidRPr="001456BE" w:rsidRDefault="002C782A" w:rsidP="001456BE">
      <w:pPr>
        <w:pStyle w:val="Heading4"/>
      </w:pPr>
      <w:bookmarkStart w:id="122" w:name="_Toc322681337"/>
      <w:r w:rsidRPr="007D67F9">
        <w:lastRenderedPageBreak/>
        <w:t>Safety</w:t>
      </w:r>
      <w:bookmarkEnd w:id="122"/>
    </w:p>
    <w:p w:rsidR="002C782A" w:rsidRPr="00592CB6" w:rsidRDefault="002C782A" w:rsidP="001456BE">
      <w:pPr>
        <w:pStyle w:val="Heading5"/>
      </w:pPr>
      <w:r w:rsidRPr="00592CB6">
        <w:t>Sponsor’s response</w:t>
      </w:r>
    </w:p>
    <w:p w:rsidR="002C782A" w:rsidRPr="007D67F9" w:rsidRDefault="002C782A" w:rsidP="001456BE">
      <w:r w:rsidRPr="007D67F9">
        <w:t xml:space="preserve">With respect to </w:t>
      </w:r>
      <w:r>
        <w:t xml:space="preserve">the </w:t>
      </w:r>
      <w:r w:rsidRPr="007D67F9">
        <w:t>clinical significance of change of tropism, there was no evidence in Study A4001026 of detrimental outcomes in patients whose tropism changed and</w:t>
      </w:r>
      <w:r>
        <w:t>,</w:t>
      </w:r>
      <w:r w:rsidRPr="007D67F9">
        <w:t xml:space="preserve"> as there are currently no other antiretroviral agents in this class</w:t>
      </w:r>
      <w:r>
        <w:t>,</w:t>
      </w:r>
      <w:r w:rsidRPr="007D67F9">
        <w:t xml:space="preserve"> </w:t>
      </w:r>
      <w:r>
        <w:t xml:space="preserve">there is no concern about cross </w:t>
      </w:r>
      <w:r w:rsidRPr="007D67F9">
        <w:t xml:space="preserve">resistance. There was no evidence of an increase in Category C events or AIDS defining conditions and no increased risk of development of malignancy in the patients who took </w:t>
      </w:r>
      <w:r>
        <w:t xml:space="preserve">maraviroc </w:t>
      </w:r>
      <w:r w:rsidRPr="007D67F9">
        <w:t>in Study A4001026</w:t>
      </w:r>
      <w:r>
        <w:t>;</w:t>
      </w:r>
      <w:r w:rsidRPr="007D67F9">
        <w:t xml:space="preserve"> and no new or unexpected safety signal were reported from this study.</w:t>
      </w:r>
    </w:p>
    <w:p w:rsidR="002C782A" w:rsidRDefault="002C782A" w:rsidP="001456BE">
      <w:r w:rsidRPr="007D67F9">
        <w:t xml:space="preserve">Although nonclinical data indicate potential for </w:t>
      </w:r>
      <w:r>
        <w:t xml:space="preserve">maraviroc </w:t>
      </w:r>
      <w:r w:rsidRPr="007D67F9">
        <w:t>to prolong QTc interval at high concentrations a thorough Phase I QT study (A4001016) did not show evidence of clinically significant QT prolongation at doses of 100</w:t>
      </w:r>
      <w:r>
        <w:t xml:space="preserve"> </w:t>
      </w:r>
      <w:r w:rsidRPr="007D67F9">
        <w:t>mg, 300</w:t>
      </w:r>
      <w:r>
        <w:t xml:space="preserve"> </w:t>
      </w:r>
      <w:r w:rsidRPr="007D67F9">
        <w:t>mg and 900 mg. Pooled data from Phase I and</w:t>
      </w:r>
      <w:r>
        <w:t xml:space="preserve"> II</w:t>
      </w:r>
      <w:r w:rsidRPr="007D67F9">
        <w:t>a studies support this finding</w:t>
      </w:r>
      <w:r>
        <w:t>.</w:t>
      </w:r>
      <w:r w:rsidRPr="007D67F9">
        <w:t xml:space="preserve"> Furthermore</w:t>
      </w:r>
      <w:r>
        <w:t>, clinical data from Phase II</w:t>
      </w:r>
      <w:r w:rsidRPr="007D67F9">
        <w:t xml:space="preserve">b studies, the pivotal </w:t>
      </w:r>
      <w:r>
        <w:t xml:space="preserve">Phase III </w:t>
      </w:r>
      <w:r w:rsidRPr="007D67F9">
        <w:t xml:space="preserve">studies, the expanded access </w:t>
      </w:r>
      <w:r>
        <w:t xml:space="preserve">Study A4001050, and post </w:t>
      </w:r>
      <w:r w:rsidRPr="007D67F9">
        <w:t>marketing experience to date do not highlight that maraviroc is associated with a clinically sign</w:t>
      </w:r>
      <w:r w:rsidR="001456BE">
        <w:t>ificant effect on QTc interval.</w:t>
      </w:r>
    </w:p>
    <w:p w:rsidR="002C782A" w:rsidRPr="007D67F9" w:rsidRDefault="002C782A" w:rsidP="001456BE">
      <w:r w:rsidRPr="007D67F9">
        <w:t xml:space="preserve">In summary, there is currently no evidence that maraviroc has an adverse effect on QT interval or risk of Torsade de Pointes at therapeutic doses. The range of </w:t>
      </w:r>
      <w:r w:rsidRPr="00DE632D">
        <w:rPr>
          <w:i/>
        </w:rPr>
        <w:t>in vitro</w:t>
      </w:r>
      <w:r w:rsidRPr="007D67F9">
        <w:t>, animal and clinical data has served to characteri</w:t>
      </w:r>
      <w:r>
        <w:t>s</w:t>
      </w:r>
      <w:r w:rsidRPr="007D67F9">
        <w:t>e the action of maraviroc on cardiac repolarisation and to provide reassurance that maraviroc does not increase the arrhythmogenic risk for humans, even when taking concomitant medication that would increase exposure.</w:t>
      </w:r>
    </w:p>
    <w:p w:rsidR="002C782A" w:rsidRPr="00DE632D" w:rsidRDefault="002C782A" w:rsidP="001456BE">
      <w:pPr>
        <w:pStyle w:val="Heading5"/>
      </w:pPr>
      <w:r w:rsidRPr="00DE632D">
        <w:t>Evaluator’s comment</w:t>
      </w:r>
    </w:p>
    <w:p w:rsidR="002C782A" w:rsidRPr="007D67F9" w:rsidRDefault="002C782A" w:rsidP="001456BE">
      <w:r w:rsidRPr="007D67F9">
        <w:t>While there is no evidence of increase in Category C events, it is possible that Category C events or deaths occurring during maraviroc treatment are more likely to occur in the presence of X4-using virus</w:t>
      </w:r>
      <w:r>
        <w:t xml:space="preserve">, that is, </w:t>
      </w:r>
      <w:r w:rsidRPr="007D67F9">
        <w:t xml:space="preserve">it is possible that the mechanism of development of such events may differ for patients treated with maraviroc </w:t>
      </w:r>
      <w:r>
        <w:t xml:space="preserve">versus </w:t>
      </w:r>
      <w:r w:rsidR="001456BE">
        <w:t>efavirenz.</w:t>
      </w:r>
    </w:p>
    <w:p w:rsidR="002C782A" w:rsidRPr="007D67F9" w:rsidRDefault="002C782A" w:rsidP="001456BE">
      <w:pPr>
        <w:pStyle w:val="Heading4"/>
      </w:pPr>
      <w:bookmarkStart w:id="123" w:name="_Toc322681338"/>
      <w:bookmarkStart w:id="124" w:name="_Toc322003742"/>
      <w:r w:rsidRPr="007D67F9">
        <w:t xml:space="preserve">Tropism </w:t>
      </w:r>
      <w:r w:rsidR="001456BE">
        <w:t>and resistance – Treatment e</w:t>
      </w:r>
      <w:r w:rsidRPr="007D67F9">
        <w:t>xperienced – Week 48</w:t>
      </w:r>
      <w:bookmarkEnd w:id="123"/>
      <w:bookmarkEnd w:id="124"/>
    </w:p>
    <w:p w:rsidR="002C782A" w:rsidRPr="001456BE" w:rsidRDefault="002C782A" w:rsidP="001456BE">
      <w:pPr>
        <w:pStyle w:val="Heading5"/>
      </w:pPr>
      <w:r w:rsidRPr="00DE632D">
        <w:t>Sponsor’s response</w:t>
      </w:r>
    </w:p>
    <w:p w:rsidR="002C782A" w:rsidRPr="007D67F9" w:rsidRDefault="002C782A" w:rsidP="001456BE">
      <w:r w:rsidRPr="007D67F9">
        <w:t>A systematic assessment of changes in tropism and impact on virologic, immunologic and clinical outcome is being conducted in the ongoing studies A4001027 and A4001028 in treatment experienced patients. The current report is based on an assessment of these data at Week 48. For those patients with a CCR5 tropism result at baseline, approximately twice as many patients who received maraviroc and failed therapy had a D/M or CXCR4 tropism result at failure compared to a R5-tropism result.</w:t>
      </w:r>
    </w:p>
    <w:p w:rsidR="002C782A" w:rsidRPr="007D67F9" w:rsidRDefault="002C782A" w:rsidP="002C782A">
      <w:r w:rsidRPr="007D67F9">
        <w:t>Assessment of CD4</w:t>
      </w:r>
      <w:r w:rsidRPr="00DE632D">
        <w:rPr>
          <w:vertAlign w:val="superscript"/>
        </w:rPr>
        <w:t>+</w:t>
      </w:r>
      <w:r w:rsidRPr="007D67F9">
        <w:t xml:space="preserve"> count at time of failure demonstrated that there was a greater mean increase in CD4</w:t>
      </w:r>
      <w:r w:rsidRPr="00DE632D">
        <w:rPr>
          <w:vertAlign w:val="superscript"/>
        </w:rPr>
        <w:t>+</w:t>
      </w:r>
      <w:r w:rsidRPr="007D67F9">
        <w:t xml:space="preserve"> cell count for patients who failed therapy with maraviroc, even for those patients who failed with CXCR4-using virus, compared to placebo, indicating no adverse effect on CD4</w:t>
      </w:r>
      <w:r w:rsidRPr="00DE632D">
        <w:rPr>
          <w:vertAlign w:val="superscript"/>
        </w:rPr>
        <w:t>+</w:t>
      </w:r>
      <w:r w:rsidR="001456BE">
        <w:t xml:space="preserve"> cell response.</w:t>
      </w:r>
    </w:p>
    <w:p w:rsidR="002C782A" w:rsidRPr="007D67F9" w:rsidRDefault="002C782A" w:rsidP="001456BE">
      <w:r w:rsidRPr="007D67F9">
        <w:t>The majority of maraviroc treated patients who had available in-study off-drug (ISOD) follow-up data had reverted back to a CCR5 tropism result at/before their last follow-up visit. This indicates that the virus population in patien</w:t>
      </w:r>
      <w:r>
        <w:t>ts failing maraviroc with CXCR4</w:t>
      </w:r>
      <w:r>
        <w:noBreakHyphen/>
      </w:r>
      <w:r w:rsidRPr="007D67F9">
        <w:t>using virus reverted back to CCR5 tropism after an</w:t>
      </w:r>
      <w:r w:rsidR="001456BE">
        <w:t xml:space="preserve"> appropriate time of follow up.</w:t>
      </w:r>
    </w:p>
    <w:p w:rsidR="002C782A" w:rsidRPr="00DE632D" w:rsidRDefault="002C782A" w:rsidP="001456BE">
      <w:pPr>
        <w:pStyle w:val="Heading5"/>
      </w:pPr>
      <w:r w:rsidRPr="00DE632D">
        <w:t>Evaluator’s comment</w:t>
      </w:r>
    </w:p>
    <w:p w:rsidR="002C782A" w:rsidRPr="007D67F9" w:rsidRDefault="002C782A" w:rsidP="002C782A">
      <w:pPr>
        <w:keepNext/>
      </w:pPr>
      <w:r w:rsidRPr="007D67F9">
        <w:t xml:space="preserve">With respect to the statement: </w:t>
      </w:r>
      <w:r w:rsidRPr="00DE632D">
        <w:rPr>
          <w:i/>
        </w:rPr>
        <w:t>‘Assessment of CD4</w:t>
      </w:r>
      <w:r w:rsidRPr="00DE632D">
        <w:rPr>
          <w:i/>
          <w:vertAlign w:val="superscript"/>
        </w:rPr>
        <w:t>+</w:t>
      </w:r>
      <w:r w:rsidRPr="00DE632D">
        <w:rPr>
          <w:i/>
        </w:rPr>
        <w:t xml:space="preserve"> count at time of failure demonstrated that there was a greater mean increase in CD4</w:t>
      </w:r>
      <w:r w:rsidRPr="00B5630E">
        <w:rPr>
          <w:i/>
          <w:vertAlign w:val="superscript"/>
        </w:rPr>
        <w:t>+</w:t>
      </w:r>
      <w:r w:rsidRPr="00DE632D">
        <w:rPr>
          <w:i/>
        </w:rPr>
        <w:t xml:space="preserve"> cell count for patients who failed therapy with maraviroc, even for those patients who failed with CXCR4-using virus, compared to </w:t>
      </w:r>
      <w:r w:rsidRPr="00DE632D">
        <w:rPr>
          <w:i/>
        </w:rPr>
        <w:lastRenderedPageBreak/>
        <w:t>placebo, indicating no adverse effect on CD4</w:t>
      </w:r>
      <w:r w:rsidRPr="00B5630E">
        <w:rPr>
          <w:i/>
          <w:vertAlign w:val="superscript"/>
        </w:rPr>
        <w:t>+</w:t>
      </w:r>
      <w:r w:rsidRPr="00DE632D">
        <w:rPr>
          <w:i/>
        </w:rPr>
        <w:t xml:space="preserve"> cell response’</w:t>
      </w:r>
      <w:r w:rsidRPr="007D67F9">
        <w:t xml:space="preserve">. This is considered a generalisation that needs substantiation. It could not be determined from the submitted data, whether the patients who failed </w:t>
      </w:r>
      <w:r>
        <w:t>maraviroc</w:t>
      </w:r>
      <w:r w:rsidRPr="007D67F9">
        <w:t xml:space="preserve"> treatment with CXCR4-using virus had lower CD4</w:t>
      </w:r>
      <w:r w:rsidRPr="00DE632D">
        <w:rPr>
          <w:vertAlign w:val="superscript"/>
        </w:rPr>
        <w:t>+</w:t>
      </w:r>
      <w:r w:rsidRPr="007D67F9">
        <w:t xml:space="preserve"> cell counts at failure than those treated with </w:t>
      </w:r>
      <w:r>
        <w:t>maraviroc who failed with R5</w:t>
      </w:r>
      <w:r>
        <w:noBreakHyphen/>
      </w:r>
      <w:r w:rsidR="001456BE">
        <w:t>using virus.</w:t>
      </w:r>
    </w:p>
    <w:p w:rsidR="002C782A" w:rsidRPr="007D67F9" w:rsidRDefault="002C782A" w:rsidP="001456BE">
      <w:r w:rsidRPr="007D67F9">
        <w:t>With respect to the ISOD follow-up, it is li</w:t>
      </w:r>
      <w:r>
        <w:t>kely that once a patient has X4-</w:t>
      </w:r>
      <w:r w:rsidRPr="007D67F9">
        <w:t>using virus it persists despite inability to detect it.</w:t>
      </w:r>
    </w:p>
    <w:p w:rsidR="002C782A" w:rsidRPr="007D67F9" w:rsidRDefault="002C782A" w:rsidP="001456BE">
      <w:pPr>
        <w:pStyle w:val="Heading4"/>
      </w:pPr>
      <w:bookmarkStart w:id="125" w:name="_Toc322681339"/>
      <w:bookmarkStart w:id="126" w:name="_Toc322003744"/>
      <w:r w:rsidRPr="007D67F9">
        <w:t xml:space="preserve">Change from baseline in </w:t>
      </w:r>
      <w:bookmarkEnd w:id="125"/>
      <w:bookmarkEnd w:id="126"/>
      <w:r>
        <w:t>VL</w:t>
      </w:r>
    </w:p>
    <w:p w:rsidR="002C782A" w:rsidRPr="00DE632D" w:rsidRDefault="002C782A" w:rsidP="002C782A">
      <w:pPr>
        <w:rPr>
          <w:b/>
          <w:i/>
        </w:rPr>
      </w:pPr>
      <w:r w:rsidRPr="00DE632D">
        <w:rPr>
          <w:b/>
          <w:i/>
        </w:rPr>
        <w:t>Sponsor’s response</w:t>
      </w:r>
    </w:p>
    <w:p w:rsidR="002C782A" w:rsidRPr="007D67F9" w:rsidRDefault="002C782A" w:rsidP="001456BE">
      <w:r>
        <w:t>Of the patients enrolled into S</w:t>
      </w:r>
      <w:r w:rsidRPr="007D67F9">
        <w:t xml:space="preserve">tudies A4001027 and A4001028 with an R5 tropism result at screening and who had a tropism result at baseline, 79 (7.6%) had a different tropism result at baseline; all of these were assigned as </w:t>
      </w:r>
      <w:r>
        <w:t>D/M</w:t>
      </w:r>
      <w:r w:rsidRPr="007D67F9">
        <w:t>. The number of patients with a D/M or CXCR4 tropism result at baseline was similar across the three treatment groups (7.7%, 7.5% and 8.3% in the maraviroc QD, maraviroc BID and placebo treatment groups, respectively)</w:t>
      </w:r>
      <w:r>
        <w:t>.</w:t>
      </w:r>
    </w:p>
    <w:p w:rsidR="002C782A" w:rsidRPr="007D67F9" w:rsidRDefault="002C782A" w:rsidP="001456BE">
      <w:r w:rsidRPr="007D67F9">
        <w:t xml:space="preserve">Patients who had a change in tropism assessment from R5 to D/M between screening and baseline had lower median screening </w:t>
      </w:r>
      <w:r>
        <w:t>CD4</w:t>
      </w:r>
      <w:r>
        <w:rPr>
          <w:vertAlign w:val="superscript"/>
        </w:rPr>
        <w:t>+</w:t>
      </w:r>
      <w:r>
        <w:t xml:space="preserve"> </w:t>
      </w:r>
      <w:r w:rsidRPr="007D67F9">
        <w:t>counts and higher mean screening HIV-1 RNA compared to those whose tropism assessment remained R5. There was no apparent association for screening O</w:t>
      </w:r>
      <w:r w:rsidR="001456BE">
        <w:t>SS and duration from diagnosis.</w:t>
      </w:r>
    </w:p>
    <w:p w:rsidR="002C782A" w:rsidRPr="007D67F9" w:rsidRDefault="002C782A" w:rsidP="002C782A">
      <w:r w:rsidRPr="007D67F9">
        <w:t xml:space="preserve">The mean change in HIV-1 RNA for patients who </w:t>
      </w:r>
      <w:r>
        <w:t>were CCR5 at baseline was -</w:t>
      </w:r>
      <w:r>
        <w:noBreakHyphen/>
        <w:t>2.2 </w:t>
      </w:r>
      <w:r w:rsidRPr="007D67F9">
        <w:t>log</w:t>
      </w:r>
      <w:r w:rsidRPr="00037B60">
        <w:rPr>
          <w:vertAlign w:val="subscript"/>
        </w:rPr>
        <w:t>10</w:t>
      </w:r>
      <w:r>
        <w:t> </w:t>
      </w:r>
      <w:r w:rsidRPr="007D67F9">
        <w:t xml:space="preserve">copies/mL in the maraviroc BID group </w:t>
      </w:r>
      <w:r>
        <w:t xml:space="preserve">versus </w:t>
      </w:r>
      <w:r w:rsidRPr="007D67F9">
        <w:t>–1.04 log</w:t>
      </w:r>
      <w:r w:rsidRPr="00037B60">
        <w:rPr>
          <w:vertAlign w:val="subscript"/>
        </w:rPr>
        <w:t>10</w:t>
      </w:r>
      <w:r w:rsidRPr="007D67F9">
        <w:t xml:space="preserve"> copies/mL in the placebo group. In patients with </w:t>
      </w:r>
      <w:r>
        <w:t xml:space="preserve">D/M </w:t>
      </w:r>
      <w:r w:rsidRPr="007D67F9">
        <w:t>tropic HIV-1 at baseline</w:t>
      </w:r>
      <w:r>
        <w:t>,</w:t>
      </w:r>
      <w:r w:rsidRPr="007D67F9">
        <w:t xml:space="preserve"> the mean change</w:t>
      </w:r>
      <w:r>
        <w:t xml:space="preserve"> in HIV-1 RNA from baseline to W</w:t>
      </w:r>
      <w:r w:rsidRPr="007D67F9">
        <w:t xml:space="preserve">eek 48 for </w:t>
      </w:r>
      <w:r>
        <w:t>m</w:t>
      </w:r>
      <w:r w:rsidRPr="007D67F9">
        <w:t xml:space="preserve">araviroc </w:t>
      </w:r>
      <w:r>
        <w:t xml:space="preserve">versus </w:t>
      </w:r>
      <w:r w:rsidRPr="007D67F9">
        <w:t xml:space="preserve">placebo </w:t>
      </w:r>
      <w:r>
        <w:t xml:space="preserve">was </w:t>
      </w:r>
      <w:r>
        <w:noBreakHyphen/>
      </w:r>
      <w:r w:rsidRPr="007D67F9">
        <w:t>1.04 log</w:t>
      </w:r>
      <w:r w:rsidRPr="00037B60">
        <w:rPr>
          <w:vertAlign w:val="subscript"/>
        </w:rPr>
        <w:t>10</w:t>
      </w:r>
      <w:r w:rsidRPr="007D67F9">
        <w:t xml:space="preserve"> copies/mL </w:t>
      </w:r>
      <w:r>
        <w:t xml:space="preserve">versus </w:t>
      </w:r>
      <w:r w:rsidRPr="007D67F9">
        <w:t>-1.44 log</w:t>
      </w:r>
      <w:r w:rsidRPr="00037B60">
        <w:rPr>
          <w:vertAlign w:val="subscript"/>
        </w:rPr>
        <w:t>10</w:t>
      </w:r>
      <w:r w:rsidR="001456BE">
        <w:t xml:space="preserve"> copies/mL.</w:t>
      </w:r>
    </w:p>
    <w:p w:rsidR="002C782A" w:rsidRPr="007D67F9" w:rsidRDefault="002C782A" w:rsidP="001456BE">
      <w:pPr>
        <w:pStyle w:val="Heading5"/>
      </w:pPr>
      <w:r w:rsidRPr="00DE632D">
        <w:t>Evaluator’s comment</w:t>
      </w:r>
      <w:r w:rsidR="001456BE">
        <w:t>:</w:t>
      </w:r>
    </w:p>
    <w:p w:rsidR="002C782A" w:rsidRPr="007D67F9" w:rsidRDefault="002C782A" w:rsidP="002C782A">
      <w:r w:rsidRPr="007D67F9">
        <w:t>Maraviroc treatment of patients with D/M tropism at baseline is</w:t>
      </w:r>
      <w:r>
        <w:t>,</w:t>
      </w:r>
      <w:r w:rsidRPr="007D67F9">
        <w:t xml:space="preserve"> at best, similar to treatment with placebo and possibly wors</w:t>
      </w:r>
      <w:r w:rsidRPr="001456BE">
        <w:t>e</w:t>
      </w:r>
      <w:r w:rsidRPr="007D67F9">
        <w:t xml:space="preserve">. It is noted that there is discrepancy between mean and median </w:t>
      </w:r>
      <w:r>
        <w:t xml:space="preserve">values, </w:t>
      </w:r>
      <w:r w:rsidRPr="007D67F9">
        <w:t xml:space="preserve">suggesting skewed data, most likely to the left. Numbers with </w:t>
      </w:r>
      <w:r>
        <w:t xml:space="preserve">D/M </w:t>
      </w:r>
      <w:r w:rsidRPr="007D67F9">
        <w:t>t</w:t>
      </w:r>
      <w:r w:rsidR="001456BE">
        <w:t>ropism at baseline were small.</w:t>
      </w:r>
    </w:p>
    <w:p w:rsidR="002C782A" w:rsidRPr="009D0799" w:rsidRDefault="002C782A" w:rsidP="001456BE">
      <w:pPr>
        <w:pStyle w:val="Heading5"/>
      </w:pPr>
      <w:r w:rsidRPr="009D0799">
        <w:t>Sponsor’s response continued</w:t>
      </w:r>
    </w:p>
    <w:p w:rsidR="002C782A" w:rsidRPr="007D67F9" w:rsidRDefault="002C782A" w:rsidP="001456BE">
      <w:r w:rsidRPr="007D67F9">
        <w:t xml:space="preserve">For those patients receiving maraviroc, and who had D/M virus at baseline, the proportion achieving &lt; </w:t>
      </w:r>
      <w:r>
        <w:t>400 and &lt; 50 HIV-1 RNA copies/mL</w:t>
      </w:r>
      <w:r w:rsidRPr="007D67F9">
        <w:t xml:space="preserve"> is lower compared to those with R5 virus at baseline</w:t>
      </w:r>
      <w:r>
        <w:t>,</w:t>
      </w:r>
      <w:r w:rsidRPr="007D67F9">
        <w:t xml:space="preserve"> in accordance with the findings in study A4001029 in non-CCR5 tropic patients. The proportion achieving HIV RNA &lt; 400 copies/mL by baseline tropism status was</w:t>
      </w:r>
      <w:r>
        <w:t>,</w:t>
      </w:r>
      <w:r w:rsidRPr="007D67F9">
        <w:t xml:space="preserve"> for </w:t>
      </w:r>
      <w:r>
        <w:t>m</w:t>
      </w:r>
      <w:r w:rsidRPr="007D67F9">
        <w:t xml:space="preserve">araviroc BID </w:t>
      </w:r>
      <w:r>
        <w:t xml:space="preserve">versus </w:t>
      </w:r>
      <w:r w:rsidRPr="007D67F9">
        <w:t>placebo</w:t>
      </w:r>
      <w:r>
        <w:t>,</w:t>
      </w:r>
      <w:r w:rsidRPr="007D67F9">
        <w:t xml:space="preserve"> CCR5 63% </w:t>
      </w:r>
      <w:r>
        <w:t>versus 26.2%;</w:t>
      </w:r>
      <w:r w:rsidRPr="007D67F9">
        <w:t xml:space="preserve"> </w:t>
      </w:r>
      <w:r>
        <w:t xml:space="preserve">and D/M </w:t>
      </w:r>
      <w:r w:rsidRPr="007D67F9">
        <w:t xml:space="preserve">27.3% </w:t>
      </w:r>
      <w:r>
        <w:t xml:space="preserve">versus </w:t>
      </w:r>
      <w:r w:rsidRPr="007D67F9">
        <w:t>29.4%</w:t>
      </w:r>
      <w:r>
        <w:t>.</w:t>
      </w:r>
    </w:p>
    <w:p w:rsidR="002C782A" w:rsidRPr="007D67F9" w:rsidRDefault="002C782A" w:rsidP="002C782A">
      <w:r w:rsidRPr="007D67F9">
        <w:t xml:space="preserve">The proportion achieving HIV RNA &lt; 50 copies/mL by baseline tropism status was for </w:t>
      </w:r>
      <w:r>
        <w:t>m</w:t>
      </w:r>
      <w:r w:rsidRPr="007D67F9">
        <w:t xml:space="preserve">araviroc BID </w:t>
      </w:r>
      <w:r>
        <w:t xml:space="preserve">versus </w:t>
      </w:r>
      <w:r w:rsidRPr="007D67F9">
        <w:t>placebo</w:t>
      </w:r>
      <w:r>
        <w:t>,</w:t>
      </w:r>
      <w:r w:rsidRPr="007D67F9">
        <w:t xml:space="preserve"> CCR5 49.6% </w:t>
      </w:r>
      <w:r>
        <w:t>versus 19.8%; and</w:t>
      </w:r>
      <w:r w:rsidRPr="007D67F9">
        <w:t xml:space="preserve"> </w:t>
      </w:r>
      <w:r>
        <w:t xml:space="preserve">D/M </w:t>
      </w:r>
      <w:r w:rsidRPr="007D67F9">
        <w:t xml:space="preserve">27.3% </w:t>
      </w:r>
      <w:r>
        <w:t xml:space="preserve">versus </w:t>
      </w:r>
      <w:r w:rsidRPr="007D67F9">
        <w:t>17.7%</w:t>
      </w:r>
      <w:r>
        <w:t>.</w:t>
      </w:r>
    </w:p>
    <w:p w:rsidR="002C782A" w:rsidRPr="009D0799" w:rsidRDefault="002C782A" w:rsidP="001456BE">
      <w:pPr>
        <w:pStyle w:val="Heading5"/>
      </w:pPr>
      <w:r w:rsidRPr="009D0799">
        <w:t>Evaluator’s comment</w:t>
      </w:r>
    </w:p>
    <w:p w:rsidR="002C782A" w:rsidRPr="007D67F9" w:rsidRDefault="002C782A" w:rsidP="001456BE">
      <w:r w:rsidRPr="007D67F9">
        <w:t>It is considered unusual that the proportion of the maraviroc B</w:t>
      </w:r>
      <w:r>
        <w:t>I</w:t>
      </w:r>
      <w:r w:rsidRPr="007D67F9">
        <w:t xml:space="preserve">D treated group with </w:t>
      </w:r>
      <w:r>
        <w:t xml:space="preserve">D/M </w:t>
      </w:r>
      <w:r w:rsidRPr="007D67F9">
        <w:t>tropism at baseline achieving HIV RNA &lt; 400 copies/mL i</w:t>
      </w:r>
      <w:r>
        <w:t>s identical to that achieving &lt; 50 </w:t>
      </w:r>
      <w:r w:rsidRPr="007D67F9">
        <w:t>copies/mL.</w:t>
      </w:r>
    </w:p>
    <w:p w:rsidR="002C782A" w:rsidRPr="007D67F9" w:rsidRDefault="002C782A" w:rsidP="001456BE">
      <w:pPr>
        <w:pStyle w:val="Heading4"/>
      </w:pPr>
      <w:bookmarkStart w:id="127" w:name="_Toc322681340"/>
      <w:bookmarkStart w:id="128" w:name="_Toc322003745"/>
      <w:r w:rsidRPr="007D67F9">
        <w:lastRenderedPageBreak/>
        <w:t>Changes in tropism result at treatment failure</w:t>
      </w:r>
      <w:bookmarkEnd w:id="127"/>
      <w:bookmarkEnd w:id="128"/>
    </w:p>
    <w:p w:rsidR="002C782A" w:rsidRPr="009D0799" w:rsidRDefault="002C782A" w:rsidP="001456BE">
      <w:pPr>
        <w:pStyle w:val="Heading5"/>
      </w:pPr>
      <w:r w:rsidRPr="009D0799">
        <w:t>Sponsor’s response</w:t>
      </w:r>
    </w:p>
    <w:p w:rsidR="002C782A" w:rsidRPr="007D67F9" w:rsidRDefault="002C782A" w:rsidP="00353B86">
      <w:r w:rsidRPr="007D67F9">
        <w:t xml:space="preserve">Of the 252 patients with a </w:t>
      </w:r>
      <w:r>
        <w:t>CCR5 tropism result at baseline</w:t>
      </w:r>
      <w:r w:rsidRPr="007D67F9">
        <w:t xml:space="preserve"> and who experienced treatment failure, 82 (32.5%) had a change in tropism result to CXCR4 or D/M at </w:t>
      </w:r>
      <w:r>
        <w:t xml:space="preserve">the </w:t>
      </w:r>
      <w:r w:rsidRPr="007D67F9">
        <w:t>time of treatment failure. All but 6 of these patients were in the maraviroc (QD a</w:t>
      </w:r>
      <w:r w:rsidR="00353B86">
        <w:t>nd BID) treatment arms.</w:t>
      </w:r>
    </w:p>
    <w:p w:rsidR="002C782A" w:rsidRPr="009D0799" w:rsidRDefault="002C782A" w:rsidP="00353B86">
      <w:pPr>
        <w:pStyle w:val="Heading5"/>
      </w:pPr>
      <w:r w:rsidRPr="009D0799">
        <w:t>Evaluator’s comment</w:t>
      </w:r>
    </w:p>
    <w:p w:rsidR="002C782A" w:rsidRPr="007D67F9" w:rsidRDefault="002C782A" w:rsidP="00353B86">
      <w:r>
        <w:t>This is i</w:t>
      </w:r>
      <w:r w:rsidRPr="007D67F9">
        <w:t xml:space="preserve">n keeping with selective pressure of treatment with </w:t>
      </w:r>
      <w:r>
        <w:t xml:space="preserve">a </w:t>
      </w:r>
      <w:r w:rsidRPr="007D67F9">
        <w:t>CCR5 receptor antagonist</w:t>
      </w:r>
      <w:r>
        <w:t>.</w:t>
      </w:r>
    </w:p>
    <w:p w:rsidR="002C782A" w:rsidRPr="007D67F9" w:rsidRDefault="002C782A" w:rsidP="00353B86">
      <w:pPr>
        <w:pStyle w:val="Heading4"/>
      </w:pPr>
      <w:bookmarkStart w:id="129" w:name="_Toc322681341"/>
      <w:bookmarkStart w:id="130" w:name="_Ref322509769"/>
      <w:bookmarkStart w:id="131" w:name="_Ref322508358"/>
      <w:bookmarkStart w:id="132" w:name="_Toc322003746"/>
      <w:r w:rsidRPr="007D67F9">
        <w:t>Change in CD4</w:t>
      </w:r>
      <w:r w:rsidRPr="00B5630E">
        <w:rPr>
          <w:vertAlign w:val="superscript"/>
        </w:rPr>
        <w:t>+</w:t>
      </w:r>
      <w:r w:rsidRPr="007D67F9">
        <w:t xml:space="preserve"> count at failure by tropism at failure</w:t>
      </w:r>
      <w:bookmarkEnd w:id="129"/>
      <w:bookmarkEnd w:id="130"/>
      <w:bookmarkEnd w:id="131"/>
      <w:bookmarkEnd w:id="132"/>
    </w:p>
    <w:p w:rsidR="002C782A" w:rsidRPr="009D0799" w:rsidRDefault="002C782A" w:rsidP="00353B86">
      <w:pPr>
        <w:pStyle w:val="Heading5"/>
      </w:pPr>
      <w:r w:rsidRPr="009D0799">
        <w:t>Sponsor’s comment</w:t>
      </w:r>
    </w:p>
    <w:p w:rsidR="002C782A" w:rsidRPr="007D67F9" w:rsidRDefault="002C782A" w:rsidP="002C782A">
      <w:r w:rsidRPr="007D67F9">
        <w:t xml:space="preserve">There was a greater increase in </w:t>
      </w:r>
      <w:r>
        <w:t>CD4</w:t>
      </w:r>
      <w:r>
        <w:rPr>
          <w:vertAlign w:val="superscript"/>
        </w:rPr>
        <w:t>+</w:t>
      </w:r>
      <w:r>
        <w:t xml:space="preserve"> </w:t>
      </w:r>
      <w:r w:rsidRPr="007D67F9">
        <w:t>cell count from baseline to Week 48 for both maraviroc treatment groups compared with placebo (116.0, 12</w:t>
      </w:r>
      <w:r w:rsidRPr="00353B86">
        <w:t>4</w:t>
      </w:r>
      <w:r w:rsidRPr="007D67F9">
        <w:t>.1 and 60.9 cells/μL for maraviroc QD, maraviroc BID and placebo, respectively)</w:t>
      </w:r>
      <w:r w:rsidR="00353B86">
        <w:t>.</w:t>
      </w:r>
    </w:p>
    <w:p w:rsidR="002C782A" w:rsidRPr="007D67F9" w:rsidRDefault="002C782A" w:rsidP="004630E9">
      <w:r w:rsidRPr="007D67F9">
        <w:t>For those patients with a CCR5 tropism result at baseline, more patients who received maraviroc and failed therapy had a D/M or CXCR4 tropism result at failure (n</w:t>
      </w:r>
      <w:r>
        <w:t xml:space="preserve"> </w:t>
      </w:r>
      <w:r w:rsidRPr="007D67F9">
        <w:t>=</w:t>
      </w:r>
      <w:r>
        <w:t xml:space="preserve"> </w:t>
      </w:r>
      <w:r w:rsidRPr="007D67F9">
        <w:t>76) compared to a CCR5 tropism result (n</w:t>
      </w:r>
      <w:r>
        <w:t xml:space="preserve"> </w:t>
      </w:r>
      <w:r w:rsidRPr="007D67F9">
        <w:t>=</w:t>
      </w:r>
      <w:r>
        <w:t xml:space="preserve"> </w:t>
      </w:r>
      <w:r w:rsidRPr="007D67F9">
        <w:t xml:space="preserve">57). The mean increase in </w:t>
      </w:r>
      <w:r>
        <w:t>CD4</w:t>
      </w:r>
      <w:r>
        <w:rPr>
          <w:vertAlign w:val="superscript"/>
        </w:rPr>
        <w:t>+</w:t>
      </w:r>
      <w:r>
        <w:t xml:space="preserve"> </w:t>
      </w:r>
      <w:r w:rsidRPr="007D67F9">
        <w:t xml:space="preserve">cell count from baseline in patients who failed with a change in tropism to D/M tropic or CXCR4, in both the maraviroc QD (47 cells/μL) and BID (57 cells/μL) groups was greater than that seen in the total placebo group who failed (25 cells/μL). Increases of mean changes in </w:t>
      </w:r>
      <w:r>
        <w:t>CD4</w:t>
      </w:r>
      <w:r>
        <w:rPr>
          <w:vertAlign w:val="superscript"/>
        </w:rPr>
        <w:t>+</w:t>
      </w:r>
      <w:r>
        <w:t xml:space="preserve"> </w:t>
      </w:r>
      <w:r w:rsidRPr="007D67F9">
        <w:t>cell counts for the maraviroc treatment groups were also seen for 37 patients with a non-CCR5 tropism result at baseline (D/M, CXCR4 or non-phenotypable), and for 18 patients with a CCR5 tropism result at baseline but who had no tropism assignment at failure.</w:t>
      </w:r>
    </w:p>
    <w:p w:rsidR="002C782A" w:rsidRPr="007D67F9" w:rsidRDefault="002C782A" w:rsidP="004630E9">
      <w:r w:rsidRPr="007D67F9">
        <w:t xml:space="preserve">Patients failing with CXCR4-using virus fail approximately 50 days earlier than those failing with CCR5 tropic virus. Patients in the </w:t>
      </w:r>
      <w:r>
        <w:t>m</w:t>
      </w:r>
      <w:r w:rsidRPr="007D67F9">
        <w:t xml:space="preserve">araviroc BID group who failed with R5 had mean </w:t>
      </w:r>
      <w:r>
        <w:t>CD4</w:t>
      </w:r>
      <w:r>
        <w:rPr>
          <w:vertAlign w:val="superscript"/>
        </w:rPr>
        <w:t>+</w:t>
      </w:r>
      <w:r>
        <w:t xml:space="preserve"> </w:t>
      </w:r>
      <w:r w:rsidRPr="007D67F9">
        <w:t xml:space="preserve">cell count 133.1 cells/μL compared to those who failed with </w:t>
      </w:r>
      <w:r>
        <w:t>D/M tropism</w:t>
      </w:r>
      <w:r w:rsidRPr="007D67F9">
        <w:t xml:space="preserve"> </w:t>
      </w:r>
      <w:proofErr w:type="gramStart"/>
      <w:r>
        <w:t>(</w:t>
      </w:r>
      <w:r w:rsidRPr="007D67F9">
        <w:t>57.2</w:t>
      </w:r>
      <w:r>
        <w:t> </w:t>
      </w:r>
      <w:r w:rsidRPr="007D67F9">
        <w:t>cells/μL</w:t>
      </w:r>
      <w:r>
        <w:t>)</w:t>
      </w:r>
      <w:proofErr w:type="gramEnd"/>
      <w:r w:rsidRPr="007D67F9">
        <w:t>. The sponsor considers that</w:t>
      </w:r>
      <w:r>
        <w:t>,</w:t>
      </w:r>
      <w:r w:rsidRPr="007D67F9">
        <w:t xml:space="preserve"> taken together, the results do not indicate an adverse effect on </w:t>
      </w:r>
      <w:r>
        <w:t>CD4</w:t>
      </w:r>
      <w:r>
        <w:rPr>
          <w:vertAlign w:val="superscript"/>
        </w:rPr>
        <w:t>+</w:t>
      </w:r>
      <w:r>
        <w:t xml:space="preserve"> </w:t>
      </w:r>
      <w:r w:rsidRPr="007D67F9">
        <w:t>cell count in patients failing a maraviroc containing regimen compared to those failing on placebo plus OBT, even in the context of fa</w:t>
      </w:r>
      <w:r w:rsidR="004630E9">
        <w:t>ilure with a CXCR4-using virus.</w:t>
      </w:r>
    </w:p>
    <w:p w:rsidR="002C782A" w:rsidRPr="009D0799" w:rsidRDefault="00C84393" w:rsidP="004630E9">
      <w:pPr>
        <w:pStyle w:val="Heading5"/>
      </w:pPr>
      <w:r>
        <w:t>Evaluator’s comment</w:t>
      </w:r>
    </w:p>
    <w:p w:rsidR="002C782A" w:rsidRPr="007D67F9" w:rsidRDefault="002C782A" w:rsidP="004630E9">
      <w:r w:rsidRPr="007D67F9">
        <w:t xml:space="preserve">The difference between means and medians and the large </w:t>
      </w:r>
      <w:r>
        <w:t xml:space="preserve">standard deviations </w:t>
      </w:r>
      <w:r w:rsidRPr="007D67F9">
        <w:t>and wide CI</w:t>
      </w:r>
      <w:r>
        <w:t>s</w:t>
      </w:r>
      <w:r w:rsidRPr="007D67F9">
        <w:t xml:space="preserve"> suggest skewed and widely spread data and reflect small sample sizes. However, it appears likely that failure with X4-using virus is associated with a reduction in </w:t>
      </w:r>
      <w:r>
        <w:t>CD4</w:t>
      </w:r>
      <w:r>
        <w:rPr>
          <w:vertAlign w:val="superscript"/>
        </w:rPr>
        <w:t>+</w:t>
      </w:r>
      <w:r>
        <w:t xml:space="preserve"> </w:t>
      </w:r>
      <w:r w:rsidRPr="007D67F9">
        <w:t xml:space="preserve">cell count. As results are based on LOCF, it is also possible that the </w:t>
      </w:r>
      <w:r>
        <w:t>CD4</w:t>
      </w:r>
      <w:r>
        <w:rPr>
          <w:vertAlign w:val="superscript"/>
        </w:rPr>
        <w:t>+</w:t>
      </w:r>
      <w:r>
        <w:t xml:space="preserve"> </w:t>
      </w:r>
      <w:r w:rsidRPr="007D67F9">
        <w:t xml:space="preserve">cell count at failure is underestimated. Furthermore it would be important to know what happens to the </w:t>
      </w:r>
      <w:r>
        <w:t>CD4</w:t>
      </w:r>
      <w:r>
        <w:rPr>
          <w:vertAlign w:val="superscript"/>
        </w:rPr>
        <w:t>+</w:t>
      </w:r>
      <w:r>
        <w:t xml:space="preserve"> </w:t>
      </w:r>
      <w:r w:rsidRPr="007D67F9">
        <w:t xml:space="preserve">cell count of the </w:t>
      </w:r>
      <w:r>
        <w:t xml:space="preserve">two </w:t>
      </w:r>
      <w:r w:rsidRPr="007D67F9">
        <w:t xml:space="preserve">tropism populations beyond the time of failure; </w:t>
      </w:r>
      <w:r>
        <w:t xml:space="preserve">that is, </w:t>
      </w:r>
      <w:r w:rsidRPr="007D67F9">
        <w:t xml:space="preserve">whether the lower </w:t>
      </w:r>
      <w:r>
        <w:t>CD4</w:t>
      </w:r>
      <w:r>
        <w:rPr>
          <w:vertAlign w:val="superscript"/>
        </w:rPr>
        <w:t>+</w:t>
      </w:r>
      <w:r>
        <w:t xml:space="preserve"> </w:t>
      </w:r>
      <w:r w:rsidRPr="007D67F9">
        <w:t>cell count represents a marker of possible reduc</w:t>
      </w:r>
      <w:r w:rsidR="004630E9">
        <w:t>ed response to further therapy.</w:t>
      </w:r>
    </w:p>
    <w:p w:rsidR="002C782A" w:rsidRPr="007D67F9" w:rsidRDefault="002C782A" w:rsidP="004630E9">
      <w:pPr>
        <w:pStyle w:val="Heading4"/>
      </w:pPr>
      <w:bookmarkStart w:id="133" w:name="_Toc322681342"/>
      <w:bookmarkStart w:id="134" w:name="_Toc322003747"/>
      <w:r w:rsidRPr="007D67F9">
        <w:t>In</w:t>
      </w:r>
      <w:r>
        <w:t>-study off-</w:t>
      </w:r>
      <w:r w:rsidRPr="007D67F9">
        <w:t xml:space="preserve">drug </w:t>
      </w:r>
      <w:bookmarkEnd w:id="133"/>
      <w:bookmarkEnd w:id="134"/>
      <w:r>
        <w:t>follow up</w:t>
      </w:r>
    </w:p>
    <w:p w:rsidR="002C782A" w:rsidRPr="00005FEF" w:rsidRDefault="002C782A" w:rsidP="004630E9">
      <w:pPr>
        <w:pStyle w:val="Heading5"/>
      </w:pPr>
      <w:r w:rsidRPr="00005FEF">
        <w:t>Sponsor’s response</w:t>
      </w:r>
    </w:p>
    <w:p w:rsidR="002C782A" w:rsidRPr="007D67F9" w:rsidRDefault="002C782A" w:rsidP="004630E9">
      <w:r w:rsidRPr="007D67F9">
        <w:t>An analysis of tropism assessment over time (following discontinuation of study drug) was performed for all patients with CCR5 tropic virus at</w:t>
      </w:r>
      <w:r>
        <w:t xml:space="preserve"> baseline who failed with CXCR4</w:t>
      </w:r>
      <w:r>
        <w:noBreakHyphen/>
      </w:r>
      <w:r w:rsidRPr="007D67F9">
        <w:t>using virus and remained in study off drug (ISOD), in order to evaluate rates of rev</w:t>
      </w:r>
      <w:r>
        <w:t>ersion to baseline tropism. At W</w:t>
      </w:r>
      <w:r w:rsidRPr="007D67F9">
        <w:t xml:space="preserve">eek 48, tropism reverted back to CCR5 in all but 3 of 36 maraviroc </w:t>
      </w:r>
      <w:r>
        <w:t xml:space="preserve">treated </w:t>
      </w:r>
      <w:r w:rsidRPr="007D67F9">
        <w:t>patients with tropism follow-up of more than 35 days duration.</w:t>
      </w:r>
    </w:p>
    <w:p w:rsidR="002C782A" w:rsidRPr="007D67F9" w:rsidRDefault="002C782A" w:rsidP="002C782A">
      <w:r w:rsidRPr="007D67F9">
        <w:lastRenderedPageBreak/>
        <w:t>Between the Week 48 and Week 96</w:t>
      </w:r>
      <w:r>
        <w:t xml:space="preserve"> assessments</w:t>
      </w:r>
      <w:r w:rsidRPr="007D67F9">
        <w:t xml:space="preserve">, 8 patients (who had CCR5 tropic virus at baseline) discontinued due to loss of efficacy with CXCR4-using virus. For the one patient with tropism follow-up data of more than </w:t>
      </w:r>
      <w:r>
        <w:t xml:space="preserve">one </w:t>
      </w:r>
      <w:r w:rsidRPr="007D67F9">
        <w:t>month, the virus reverted to CCR5 tropism during follow up.</w:t>
      </w:r>
    </w:p>
    <w:p w:rsidR="002C782A" w:rsidRPr="007D67F9" w:rsidRDefault="002C782A" w:rsidP="002C782A">
      <w:r w:rsidRPr="007D67F9">
        <w:t>These data are taken to indicate that in patients wit</w:t>
      </w:r>
      <w:r>
        <w:t>h CCR5 tropic virus at baseline</w:t>
      </w:r>
      <w:r w:rsidRPr="007D67F9">
        <w:t xml:space="preserve"> who failed in </w:t>
      </w:r>
      <w:r>
        <w:t>S</w:t>
      </w:r>
      <w:r w:rsidRPr="007D67F9">
        <w:t>tudies A4001027 and A4001028 with CXCR4 or D</w:t>
      </w:r>
      <w:r>
        <w:t>/</w:t>
      </w:r>
      <w:r w:rsidRPr="007D67F9">
        <w:t>M tropic virus, the virus population reverted back to CCR5 tropism after an appropriate time of follow up. These data are considered consistent with the selective and reversible suppression of CCR5</w:t>
      </w:r>
      <w:r>
        <w:t xml:space="preserve"> </w:t>
      </w:r>
      <w:r w:rsidRPr="007D67F9">
        <w:t xml:space="preserve">tropic viruses during </w:t>
      </w:r>
      <w:r>
        <w:t>maraviroc</w:t>
      </w:r>
      <w:r w:rsidRPr="007D67F9">
        <w:t xml:space="preserve"> therapy.</w:t>
      </w:r>
    </w:p>
    <w:p w:rsidR="002C782A" w:rsidRPr="00005FEF" w:rsidRDefault="00C84393" w:rsidP="004630E9">
      <w:pPr>
        <w:pStyle w:val="Heading5"/>
      </w:pPr>
      <w:r>
        <w:t>Evaluator’s comment</w:t>
      </w:r>
    </w:p>
    <w:p w:rsidR="002C782A" w:rsidRPr="007D67F9" w:rsidRDefault="002C782A" w:rsidP="002C782A">
      <w:r w:rsidRPr="007D67F9">
        <w:t>The submitted data support the conclusions that, of those patients with available tropism results, most patients whose virus changed tropism to include X4-using virus u</w:t>
      </w:r>
      <w:r>
        <w:t>nder the selective pressure of m</w:t>
      </w:r>
      <w:r w:rsidRPr="007D67F9">
        <w:t>araviroc treatment reverted to R5 when the pressure was removed. However, not all patients were demonstrated to revert to R5 and the conclusion appears to be based on incomplete data. As tropism has previously been demonstrated to be labile within the short interval between screening and baseline, and as X4-using virus is not considered a mutation but rather a pre-existing strain, it seems likely that X4-using virus persists and the time of sampling may influence the result of tropism testing.</w:t>
      </w:r>
    </w:p>
    <w:p w:rsidR="002C782A" w:rsidRPr="007D67F9" w:rsidRDefault="002C782A" w:rsidP="004630E9">
      <w:pPr>
        <w:pStyle w:val="Heading4"/>
      </w:pPr>
      <w:bookmarkStart w:id="135" w:name="_Toc322681343"/>
      <w:bookmarkStart w:id="136" w:name="_Toc322003748"/>
      <w:r w:rsidRPr="007D67F9">
        <w:t xml:space="preserve">Category C </w:t>
      </w:r>
      <w:r>
        <w:t>i</w:t>
      </w:r>
      <w:r w:rsidRPr="007D67F9">
        <w:t>nfections</w:t>
      </w:r>
      <w:bookmarkEnd w:id="135"/>
      <w:bookmarkEnd w:id="136"/>
    </w:p>
    <w:p w:rsidR="002C782A" w:rsidRPr="00005FEF" w:rsidRDefault="002C782A" w:rsidP="004630E9">
      <w:pPr>
        <w:pStyle w:val="Heading5"/>
      </w:pPr>
      <w:r w:rsidRPr="00005FEF">
        <w:t>Sponsor’s response</w:t>
      </w:r>
    </w:p>
    <w:p w:rsidR="002C782A" w:rsidRPr="00EC7098" w:rsidRDefault="002C782A" w:rsidP="004630E9">
      <w:r w:rsidRPr="00EC7098">
        <w:t xml:space="preserve">In general, very few Category C events occurred in these studies and there is no evidence of an excess of Category C malignancies or infections in patients receiving maraviroc compared to placebo. For the Week 48 data cut-off: 7 patients with CCR5 tropic virus at baseline and who experienced a category C event had emergence of CXCR4-using virus at the time of the event (4 on maraviroc QD, 2 on maraviroc BID and 1 on placebo). Five of these events were infections (3 patients with candidiasis, 1 with pneumonia and 1 with herpes proctitis), all occurring in patients receiving maraviroc. The other maraviroc treated patient was diagnosed with AIDS encephalopathy and the placebo patient developed Kaposi’s sarcoma. Six of the 7 patients had a baseline CD4+ count of &lt; 20 cells/μL and were therefore at high risk of developing a Category C event. The seventh patient (with herpes proctitis) had a baseline CD4+ count </w:t>
      </w:r>
      <w:proofErr w:type="gramStart"/>
      <w:r w:rsidRPr="00EC7098">
        <w:t>of 186 cells/μL</w:t>
      </w:r>
      <w:proofErr w:type="gramEnd"/>
      <w:r w:rsidRPr="00EC7098">
        <w:t>. This analysis supports the conclusions from the Week 24 data that there is no indication of a correlation between emergence of CXCR4-using virus and development of Category C events.</w:t>
      </w:r>
    </w:p>
    <w:p w:rsidR="002C782A" w:rsidRPr="009029DD" w:rsidRDefault="002C782A" w:rsidP="004630E9">
      <w:pPr>
        <w:pStyle w:val="Heading5"/>
      </w:pPr>
      <w:r w:rsidRPr="009029DD">
        <w:t>Evaluator’s comment</w:t>
      </w:r>
    </w:p>
    <w:p w:rsidR="002C782A" w:rsidRPr="007D67F9" w:rsidRDefault="002C782A" w:rsidP="004630E9">
      <w:r w:rsidRPr="007D67F9">
        <w:t xml:space="preserve">Not all patients had </w:t>
      </w:r>
      <w:r>
        <w:t xml:space="preserve">a </w:t>
      </w:r>
      <w:r w:rsidRPr="007D67F9">
        <w:t>tropism result available for the time of diagnosis of the Category C event</w:t>
      </w:r>
      <w:r w:rsidR="004630E9">
        <w:t>. Of those with available data:</w:t>
      </w:r>
    </w:p>
    <w:p w:rsidR="002C782A" w:rsidRPr="004630E9" w:rsidRDefault="002C782A" w:rsidP="004630E9">
      <w:pPr>
        <w:pStyle w:val="ListBullet"/>
      </w:pPr>
      <w:r w:rsidRPr="007D67F9">
        <w:t>1</w:t>
      </w:r>
      <w:r w:rsidRPr="004630E9">
        <w:t>0 of 30 (33%) in the maraviroc QD group had non-R5 at the time of diagnosis of the event, 6 of whom had non-R5 at baseline</w:t>
      </w:r>
      <w:r w:rsidR="004630E9">
        <w:t>.</w:t>
      </w:r>
    </w:p>
    <w:p w:rsidR="002C782A" w:rsidRPr="004630E9" w:rsidRDefault="002C782A" w:rsidP="004630E9">
      <w:pPr>
        <w:pStyle w:val="ListBullet"/>
      </w:pPr>
      <w:r w:rsidRPr="004630E9">
        <w:t>7 of 22 (32%) patients in the maraviroc BID group had non-R5 at the time of diagnosis of the event; 4 had non-R5 at baseline</w:t>
      </w:r>
      <w:r w:rsidR="004630E9">
        <w:t>.</w:t>
      </w:r>
    </w:p>
    <w:p w:rsidR="002C782A" w:rsidRPr="004630E9" w:rsidRDefault="002C782A" w:rsidP="004630E9">
      <w:pPr>
        <w:pStyle w:val="ListBullet"/>
      </w:pPr>
      <w:r w:rsidRPr="004630E9">
        <w:t>17 of 52 (33%) overall treated with maraviroc had non-R5 at the time of diagnosis; 7 of the 52 (13%) had R5 at baseline and changed tropism.</w:t>
      </w:r>
    </w:p>
    <w:p w:rsidR="002C782A" w:rsidRPr="007D67F9" w:rsidRDefault="002C782A" w:rsidP="004630E9">
      <w:pPr>
        <w:pStyle w:val="ListBullet"/>
      </w:pPr>
      <w:r w:rsidRPr="004630E9">
        <w:t xml:space="preserve">4 of 18 (22%) in </w:t>
      </w:r>
      <w:r w:rsidRPr="007D67F9">
        <w:t xml:space="preserve">the placebo group had non-R5 at </w:t>
      </w:r>
      <w:r>
        <w:t xml:space="preserve">the </w:t>
      </w:r>
      <w:r w:rsidRPr="007D67F9">
        <w:t xml:space="preserve">time of diagnosis of the event; 3 had non-R5 at baseline and 1 of the 18 (6%) </w:t>
      </w:r>
      <w:r w:rsidR="004630E9">
        <w:t>transitioned from R5 to non-R5.</w:t>
      </w:r>
    </w:p>
    <w:p w:rsidR="002C782A" w:rsidRPr="007D67F9" w:rsidRDefault="002C782A" w:rsidP="006F016D">
      <w:r w:rsidRPr="007D67F9">
        <w:t>Analysis of the data is post hoc and based on relatively small numbers and can potentially be use</w:t>
      </w:r>
      <w:r>
        <w:t>d to support differing hypothese</w:t>
      </w:r>
      <w:r w:rsidRPr="007D67F9">
        <w:t>s. It could be argue</w:t>
      </w:r>
      <w:r>
        <w:t xml:space="preserve">d that the proportions with </w:t>
      </w:r>
      <w:r>
        <w:lastRenderedPageBreak/>
        <w:t>non</w:t>
      </w:r>
      <w:r>
        <w:noBreakHyphen/>
      </w:r>
      <w:r w:rsidRPr="007D67F9">
        <w:t>R5 tropism at the time of Category C event appears disproportionately high considering the overall numbers at baseline and the numbers</w:t>
      </w:r>
      <w:r w:rsidR="006F016D">
        <w:t xml:space="preserve"> transitioning from R5 overall.</w:t>
      </w:r>
    </w:p>
    <w:p w:rsidR="002C782A" w:rsidRPr="007D67F9" w:rsidRDefault="002C782A" w:rsidP="006F016D">
      <w:pPr>
        <w:pStyle w:val="Heading4"/>
      </w:pPr>
      <w:bookmarkStart w:id="137" w:name="_Toc322681344"/>
      <w:r w:rsidRPr="007D67F9">
        <w:t>Treatment failure with CCR5 tropic virus</w:t>
      </w:r>
      <w:bookmarkEnd w:id="137"/>
    </w:p>
    <w:p w:rsidR="002C782A" w:rsidRPr="009029DD" w:rsidRDefault="002C782A" w:rsidP="006F016D">
      <w:pPr>
        <w:pStyle w:val="Heading5"/>
      </w:pPr>
      <w:r w:rsidRPr="009029DD">
        <w:t>Sponsor’s response</w:t>
      </w:r>
    </w:p>
    <w:p w:rsidR="002C782A" w:rsidRPr="007D67F9" w:rsidRDefault="002C782A" w:rsidP="002C782A">
      <w:r w:rsidRPr="007D67F9">
        <w:t xml:space="preserve">A preliminary investigational study of </w:t>
      </w:r>
      <w:r w:rsidRPr="00864F4D">
        <w:rPr>
          <w:i/>
        </w:rPr>
        <w:t>in vivo</w:t>
      </w:r>
      <w:r w:rsidRPr="007D67F9">
        <w:t xml:space="preserve"> maraviroc resistance (conducted during the blinded phase of the Phase </w:t>
      </w:r>
      <w:r>
        <w:t xml:space="preserve">III </w:t>
      </w:r>
      <w:r w:rsidRPr="007D67F9">
        <w:t>clinical program) identified plateaus in dose response curves as a phenotypic marker of resistance for 4 patients who received maraviroc as part of an optimised background regimen and who failed blinded therapy with a CCR5</w:t>
      </w:r>
      <w:r>
        <w:t xml:space="preserve"> </w:t>
      </w:r>
      <w:r w:rsidRPr="007D67F9">
        <w:t>tropic virus. A more complete analysis has now been conducted on all 59 patients who failed maraviroc therapy with a CCR5</w:t>
      </w:r>
      <w:r>
        <w:t xml:space="preserve"> </w:t>
      </w:r>
      <w:r w:rsidRPr="007D67F9">
        <w:t xml:space="preserve">tropic virus by </w:t>
      </w:r>
      <w:r>
        <w:t>W</w:t>
      </w:r>
      <w:r w:rsidRPr="007D67F9">
        <w:t>eek 48.</w:t>
      </w:r>
    </w:p>
    <w:p w:rsidR="002C782A" w:rsidRPr="007D67F9" w:rsidRDefault="002C782A" w:rsidP="006F016D">
      <w:r w:rsidRPr="007D67F9">
        <w:t>The findings of these studies are:</w:t>
      </w:r>
    </w:p>
    <w:p w:rsidR="002C782A" w:rsidRPr="007D67F9" w:rsidRDefault="002C782A" w:rsidP="006F016D">
      <w:pPr>
        <w:pStyle w:val="ListBullet"/>
      </w:pPr>
      <w:r w:rsidRPr="007D67F9">
        <w:t>Maraviroc resistance, defined as dose response curves with plateaus in MPI</w:t>
      </w:r>
      <w:r>
        <w:t xml:space="preserve"> </w:t>
      </w:r>
      <w:r w:rsidRPr="007D67F9">
        <w:t>&lt;</w:t>
      </w:r>
      <w:r>
        <w:t xml:space="preserve"> 95% i</w:t>
      </w:r>
      <w:r w:rsidRPr="007D67F9">
        <w:t>n the phenotypic assay, was identified for 22/59 patients at failure.</w:t>
      </w:r>
    </w:p>
    <w:p w:rsidR="002C782A" w:rsidRPr="007D67F9" w:rsidRDefault="002C782A" w:rsidP="006F016D">
      <w:pPr>
        <w:pStyle w:val="ListBullet"/>
      </w:pPr>
      <w:r w:rsidRPr="007D67F9">
        <w:t xml:space="preserve">Shifts in </w:t>
      </w:r>
      <w:r>
        <w:t>t</w:t>
      </w:r>
      <w:r w:rsidRPr="00710499">
        <w:t xml:space="preserve">he concentration at which </w:t>
      </w:r>
      <w:r w:rsidRPr="00710499">
        <w:rPr>
          <w:i/>
        </w:rPr>
        <w:t>in vitro</w:t>
      </w:r>
      <w:r w:rsidRPr="00710499">
        <w:t xml:space="preserve"> viral replication was inhibited by 50% </w:t>
      </w:r>
      <w:r>
        <w:t>(</w:t>
      </w:r>
      <w:r w:rsidRPr="007D67F9">
        <w:t>IC</w:t>
      </w:r>
      <w:r w:rsidRPr="00710499">
        <w:rPr>
          <w:vertAlign w:val="subscript"/>
        </w:rPr>
        <w:t>50</w:t>
      </w:r>
      <w:r>
        <w:t>),</w:t>
      </w:r>
      <w:r w:rsidRPr="007D67F9">
        <w:t xml:space="preserve"> in the absence of any plateau in dose response</w:t>
      </w:r>
      <w:r>
        <w:t>,</w:t>
      </w:r>
      <w:r w:rsidRPr="007D67F9">
        <w:t xml:space="preserve"> did not appear to be a reliable phenotypic marker of resistance.</w:t>
      </w:r>
    </w:p>
    <w:p w:rsidR="002C782A" w:rsidRPr="007D67F9" w:rsidRDefault="002C782A" w:rsidP="006F016D">
      <w:pPr>
        <w:pStyle w:val="ListBullet"/>
      </w:pPr>
      <w:r w:rsidRPr="007D67F9">
        <w:t>Clonal gp160 sequencing for 16 patients identified amino acid substitutions/mutations in the V3 loop of the maraviroc resistant viruses.</w:t>
      </w:r>
    </w:p>
    <w:p w:rsidR="002C782A" w:rsidRPr="007D67F9" w:rsidRDefault="002C782A" w:rsidP="002C782A">
      <w:pPr>
        <w:pStyle w:val="ListBullet"/>
        <w:numPr>
          <w:ilvl w:val="0"/>
          <w:numId w:val="3"/>
        </w:numPr>
        <w:spacing w:before="0" w:after="160"/>
      </w:pPr>
      <w:r w:rsidRPr="007D67F9">
        <w:t>No signature mutations of maraviroc resistance were identified, implying multiple genetic pathways to resistance may exist and the mutations may be virus-specific.</w:t>
      </w:r>
    </w:p>
    <w:p w:rsidR="002C782A" w:rsidRPr="007D67F9" w:rsidRDefault="002C782A" w:rsidP="006F016D">
      <w:pPr>
        <w:pStyle w:val="ListBullet"/>
      </w:pPr>
      <w:r w:rsidRPr="007D67F9">
        <w:t>Maraviroc resistance was primarily observed in patients who had no fully active drugs present in their OBT at baseline.</w:t>
      </w:r>
    </w:p>
    <w:p w:rsidR="002C782A" w:rsidRPr="007D67F9" w:rsidRDefault="002C782A" w:rsidP="006F016D">
      <w:r w:rsidRPr="007D67F9">
        <w:t>Incomplete adherence to their drug regimen, as evidenced by inspection of the maraviroc plasma concentrations (obtained during periodic PK sampling) or by documented treatment interruption, accounted for virological failure in the majority of patients who failed treatment with a CCR5 tropic virus that did not appear to be maraviroc-resistant.</w:t>
      </w:r>
    </w:p>
    <w:p w:rsidR="002C782A" w:rsidRPr="009029DD" w:rsidRDefault="002C782A" w:rsidP="006F016D">
      <w:pPr>
        <w:pStyle w:val="Heading5"/>
      </w:pPr>
      <w:r w:rsidRPr="009029DD">
        <w:t>Evaluator’s comment</w:t>
      </w:r>
    </w:p>
    <w:p w:rsidR="002C782A" w:rsidRPr="007D67F9" w:rsidRDefault="002C782A" w:rsidP="006F016D">
      <w:r w:rsidRPr="007D67F9">
        <w:t>These points are accepted.</w:t>
      </w:r>
    </w:p>
    <w:p w:rsidR="002C782A" w:rsidRDefault="00C84393" w:rsidP="006F016D">
      <w:pPr>
        <w:pStyle w:val="Heading4"/>
      </w:pPr>
      <w:bookmarkStart w:id="138" w:name="_Toc321203052"/>
      <w:r>
        <w:t xml:space="preserve">Second </w:t>
      </w:r>
      <w:r w:rsidR="006F016D">
        <w:t>r</w:t>
      </w:r>
      <w:r w:rsidRPr="00C84393">
        <w:t xml:space="preserve">ound </w:t>
      </w:r>
      <w:r w:rsidR="002C782A">
        <w:t>benefit risk assessment</w:t>
      </w:r>
      <w:bookmarkEnd w:id="138"/>
    </w:p>
    <w:p w:rsidR="002C782A" w:rsidRDefault="002C782A" w:rsidP="006F016D">
      <w:pPr>
        <w:pStyle w:val="Heading5"/>
      </w:pPr>
      <w:bookmarkStart w:id="139" w:name="_Toc321203053"/>
      <w:r>
        <w:t>Benefits</w:t>
      </w:r>
      <w:bookmarkEnd w:id="139"/>
    </w:p>
    <w:p w:rsidR="002C782A" w:rsidRPr="006F016D" w:rsidRDefault="002C782A" w:rsidP="006F016D">
      <w:pPr>
        <w:pStyle w:val="ListBullet"/>
      </w:pPr>
      <w:r w:rsidRPr="00877B64">
        <w:t xml:space="preserve">Maraviroc 300 mg BID demonstrated a better safety profile than efavirenz with respect to discontinuations due to </w:t>
      </w:r>
      <w:r>
        <w:t>AE</w:t>
      </w:r>
      <w:r w:rsidRPr="00877B64">
        <w:t>s and with respect to lipid profile (cholesterol, LDL and tri</w:t>
      </w:r>
      <w:r w:rsidRPr="006F016D">
        <w:t>glycerides).</w:t>
      </w:r>
    </w:p>
    <w:p w:rsidR="002C782A" w:rsidRPr="00877B64" w:rsidRDefault="002C782A" w:rsidP="006F016D">
      <w:pPr>
        <w:pStyle w:val="ListBullet"/>
      </w:pPr>
      <w:r w:rsidRPr="006F016D">
        <w:t>Depending on the criteria fo</w:t>
      </w:r>
      <w:r w:rsidRPr="00877B64">
        <w:t xml:space="preserve">r identification of non-C5 tropic virus, and in combination with zidovudine/lamivudine, maraviroc efficacy in terms of </w:t>
      </w:r>
      <w:r>
        <w:t>VL</w:t>
      </w:r>
      <w:r w:rsidRPr="00877B64">
        <w:t xml:space="preserve"> &lt; 50 copies/mL was either statistically non-inferior to efavirenz</w:t>
      </w:r>
      <w:r>
        <w:t>,</w:t>
      </w:r>
      <w:r w:rsidRPr="00877B64">
        <w:t xml:space="preserve"> or nearly so</w:t>
      </w:r>
      <w:r>
        <w:t>.</w:t>
      </w:r>
      <w:r w:rsidRPr="00864F4D">
        <w:rPr>
          <w:vertAlign w:val="superscript"/>
        </w:rPr>
        <w:footnoteReference w:id="19"/>
      </w:r>
    </w:p>
    <w:p w:rsidR="002C782A" w:rsidRDefault="002C782A" w:rsidP="006F016D">
      <w:pPr>
        <w:pStyle w:val="Heading5"/>
      </w:pPr>
      <w:bookmarkStart w:id="140" w:name="_Toc321203054"/>
      <w:r>
        <w:t>Risks</w:t>
      </w:r>
      <w:bookmarkEnd w:id="140"/>
    </w:p>
    <w:p w:rsidR="002C782A" w:rsidRPr="00BC5512" w:rsidRDefault="002C782A" w:rsidP="00100985">
      <w:pPr>
        <w:pStyle w:val="ListBullet"/>
      </w:pPr>
      <w:r w:rsidRPr="00BC5512">
        <w:t xml:space="preserve">In patients with viral failure there appeared to be an increased risk of development of resistance to the two agents used in the OBT, in particular to lamivudine and in </w:t>
      </w:r>
      <w:r w:rsidRPr="00BC5512">
        <w:lastRenderedPageBreak/>
        <w:t xml:space="preserve">particular in </w:t>
      </w:r>
      <w:r>
        <w:t>the presence of CXCR5-</w:t>
      </w:r>
      <w:r w:rsidRPr="00BC5512">
        <w:t>using virus. However this is an observational finding and it is also accepted that the M184V mutation may not necessarily preclude useful</w:t>
      </w:r>
      <w:r>
        <w:t>,</w:t>
      </w:r>
      <w:r w:rsidRPr="00BC5512">
        <w:t xml:space="preserve"> continuing treatment with lamivu</w:t>
      </w:r>
      <w:r w:rsidR="00100985">
        <w:t>dine.</w:t>
      </w:r>
    </w:p>
    <w:p w:rsidR="002C782A" w:rsidRPr="00BC5512" w:rsidRDefault="002C782A" w:rsidP="00100985">
      <w:pPr>
        <w:pStyle w:val="ListBullet"/>
      </w:pPr>
      <w:r w:rsidRPr="00BC5512">
        <w:t xml:space="preserve">The commercially available </w:t>
      </w:r>
      <w:r>
        <w:t xml:space="preserve">ESTA </w:t>
      </w:r>
      <w:r w:rsidRPr="00BC5512">
        <w:t xml:space="preserve">requires a </w:t>
      </w:r>
      <w:r>
        <w:t>VL</w:t>
      </w:r>
      <w:r w:rsidRPr="00BC5512">
        <w:t xml:space="preserve"> </w:t>
      </w:r>
      <w:proofErr w:type="gramStart"/>
      <w:r w:rsidRPr="00BC5512">
        <w:t>of at least 1,000 copies/mL, which may limit the early detection of X4-using virus</w:t>
      </w:r>
      <w:proofErr w:type="gramEnd"/>
      <w:r w:rsidRPr="00BC5512">
        <w:t xml:space="preserve">. The length of time required for the assay </w:t>
      </w:r>
      <w:r>
        <w:t xml:space="preserve">turnaround </w:t>
      </w:r>
      <w:r w:rsidRPr="00BC5512">
        <w:t xml:space="preserve">is </w:t>
      </w:r>
      <w:r>
        <w:t>a practical consideration,</w:t>
      </w:r>
      <w:r w:rsidRPr="00BC5512">
        <w:t xml:space="preserve"> as is the cost of the assay. Use of the ESTA is specified in both the US and the Canadian </w:t>
      </w:r>
      <w:r w:rsidRPr="00864F4D">
        <w:rPr>
          <w:i/>
        </w:rPr>
        <w:t>Indications</w:t>
      </w:r>
      <w:r>
        <w:t xml:space="preserve"> for maraviroc</w:t>
      </w:r>
      <w:r w:rsidR="00100985">
        <w:t>.</w:t>
      </w:r>
    </w:p>
    <w:p w:rsidR="002C782A" w:rsidRPr="00BC5512" w:rsidRDefault="002C782A" w:rsidP="00100985">
      <w:pPr>
        <w:pStyle w:val="ListBullet"/>
      </w:pPr>
      <w:r w:rsidRPr="00BC5512">
        <w:t xml:space="preserve">The alternative genotype based tropism test method appears to have lower sensitivity than the </w:t>
      </w:r>
      <w:r>
        <w:t xml:space="preserve">ESTA </w:t>
      </w:r>
      <w:r w:rsidRPr="00BC5512">
        <w:t xml:space="preserve">and lacks the </w:t>
      </w:r>
      <w:r w:rsidR="00100985">
        <w:t>supporting clinical trial data.</w:t>
      </w:r>
    </w:p>
    <w:p w:rsidR="002C782A" w:rsidRPr="00BC5512" w:rsidRDefault="002C782A" w:rsidP="00100985">
      <w:pPr>
        <w:pStyle w:val="ListBullet"/>
      </w:pPr>
      <w:r>
        <w:t>CD4</w:t>
      </w:r>
      <w:r>
        <w:rPr>
          <w:vertAlign w:val="superscript"/>
        </w:rPr>
        <w:t>+</w:t>
      </w:r>
      <w:r>
        <w:t xml:space="preserve"> </w:t>
      </w:r>
      <w:r w:rsidRPr="00BC5512">
        <w:t>cell counts for maraviroc treated patients who failed treatment and demonstrat</w:t>
      </w:r>
      <w:r>
        <w:t xml:space="preserve">ed </w:t>
      </w:r>
      <w:r w:rsidRPr="00BC5512">
        <w:t>transition from R5</w:t>
      </w:r>
      <w:r>
        <w:t>-</w:t>
      </w:r>
      <w:r w:rsidRPr="00BC5512">
        <w:t xml:space="preserve"> to X4-using virus were noted to have lower </w:t>
      </w:r>
      <w:r>
        <w:t>CD4</w:t>
      </w:r>
      <w:r>
        <w:rPr>
          <w:vertAlign w:val="superscript"/>
        </w:rPr>
        <w:t>+</w:t>
      </w:r>
      <w:r>
        <w:t xml:space="preserve"> </w:t>
      </w:r>
      <w:r w:rsidRPr="00BC5512">
        <w:t>cell counts than those who failed maraviroc</w:t>
      </w:r>
      <w:r w:rsidR="00100985">
        <w:t xml:space="preserve"> treatment with R5-using virus.</w:t>
      </w:r>
    </w:p>
    <w:p w:rsidR="002C782A" w:rsidRPr="00BC5512" w:rsidRDefault="002C782A" w:rsidP="00100985">
      <w:pPr>
        <w:pStyle w:val="ListBullet"/>
      </w:pPr>
      <w:r w:rsidRPr="00BC5512">
        <w:t>Not all non R5-using viruses were demonstrated to revert to R5 when ma</w:t>
      </w:r>
      <w:r w:rsidR="00100985">
        <w:t>raviroc treatment was stopped.</w:t>
      </w:r>
    </w:p>
    <w:p w:rsidR="002C782A" w:rsidRDefault="002C782A" w:rsidP="00100985">
      <w:pPr>
        <w:pStyle w:val="ListBullet"/>
      </w:pPr>
      <w:r w:rsidRPr="00BC5512">
        <w:t>No increased risk of progression to AIDS or increased resistance to HIV treatment has been numerically demonstrated. However, the studies were not specifically designed to demonstrate individual response to change of viral tropism. The po</w:t>
      </w:r>
      <w:r>
        <w:t>ssibility that C</w:t>
      </w:r>
      <w:r w:rsidRPr="00BC5512">
        <w:t xml:space="preserve">ategory C AIDS events in maraviroc treated patients are more likely </w:t>
      </w:r>
      <w:r>
        <w:t>to occur in the presence of non</w:t>
      </w:r>
      <w:r>
        <w:noBreakHyphen/>
        <w:t>R5-</w:t>
      </w:r>
      <w:r w:rsidRPr="00BC5512">
        <w:t xml:space="preserve">using virus cannot be excluded. Viral tropism </w:t>
      </w:r>
      <w:r>
        <w:t xml:space="preserve">data </w:t>
      </w:r>
      <w:r w:rsidRPr="00BC5512">
        <w:t>for those patients who died could not be located in th</w:t>
      </w:r>
      <w:r w:rsidR="00100985">
        <w:t>e submission.</w:t>
      </w:r>
    </w:p>
    <w:p w:rsidR="002C782A" w:rsidRPr="00100985" w:rsidRDefault="002C782A" w:rsidP="00100985">
      <w:pPr>
        <w:pStyle w:val="Heading5"/>
      </w:pPr>
      <w:r>
        <w:t>Benefit-risk balance</w:t>
      </w:r>
    </w:p>
    <w:p w:rsidR="002C782A" w:rsidRPr="00BC5512" w:rsidRDefault="002C782A" w:rsidP="00100985">
      <w:r>
        <w:t>The balance is considered to lie on the side of benefit.</w:t>
      </w:r>
    </w:p>
    <w:p w:rsidR="002C782A" w:rsidRDefault="00100985" w:rsidP="00100985">
      <w:pPr>
        <w:pStyle w:val="Heading3"/>
        <w:rPr>
          <w:rFonts w:eastAsia="Cambria"/>
        </w:rPr>
      </w:pPr>
      <w:bookmarkStart w:id="141" w:name="_Toc355615889"/>
      <w:bookmarkStart w:id="142" w:name="_Toc366272747"/>
      <w:r>
        <w:t>Second r</w:t>
      </w:r>
      <w:r w:rsidR="00C84393">
        <w:t xml:space="preserve">ound </w:t>
      </w:r>
      <w:r>
        <w:t>r</w:t>
      </w:r>
      <w:r w:rsidR="002C782A">
        <w:rPr>
          <w:rFonts w:eastAsia="Cambria"/>
        </w:rPr>
        <w:t>ecommendation</w:t>
      </w:r>
      <w:bookmarkEnd w:id="141"/>
      <w:r w:rsidR="00C84393">
        <w:rPr>
          <w:rFonts w:eastAsia="Cambria"/>
        </w:rPr>
        <w:t xml:space="preserve"> regarding </w:t>
      </w:r>
      <w:r>
        <w:rPr>
          <w:rFonts w:eastAsia="Cambria"/>
        </w:rPr>
        <w:t>a</w:t>
      </w:r>
      <w:r w:rsidR="00C84393">
        <w:rPr>
          <w:rFonts w:eastAsia="Cambria"/>
        </w:rPr>
        <w:t>uthorisation</w:t>
      </w:r>
      <w:bookmarkEnd w:id="142"/>
    </w:p>
    <w:p w:rsidR="002C782A" w:rsidRDefault="002C782A" w:rsidP="00100985">
      <w:r>
        <w:t>It is recommended that maraviroc is registered for use in treatment naïve patients. It is recommended that the Delegate considers the requirement to include the conditions specified in the US and Canadian product information for</w:t>
      </w:r>
      <w:r w:rsidRPr="00877B64">
        <w:t xml:space="preserve"> </w:t>
      </w:r>
      <w:r>
        <w:t xml:space="preserve">maraviroc, including the requirement for diagnosis of R5-using viral </w:t>
      </w:r>
      <w:r w:rsidR="00100985">
        <w:t>infection by means of the ESTA.</w:t>
      </w:r>
    </w:p>
    <w:p w:rsidR="002C782A" w:rsidRPr="006B588F" w:rsidRDefault="002C782A" w:rsidP="00100985">
      <w:r>
        <w:t>The clinical evaluator’s recommended revisions to the PI are beyond the scope of this AusPAR.</w:t>
      </w:r>
    </w:p>
    <w:p w:rsidR="002C782A" w:rsidRDefault="00100985" w:rsidP="00100985">
      <w:pPr>
        <w:pStyle w:val="Heading2"/>
      </w:pPr>
      <w:bookmarkStart w:id="143" w:name="_Toc247691524"/>
      <w:bookmarkStart w:id="144" w:name="_Toc355615890"/>
      <w:bookmarkStart w:id="145" w:name="_Toc366272748"/>
      <w:r>
        <w:t>V. Pharmacovigilance f</w:t>
      </w:r>
      <w:r w:rsidR="002C782A">
        <w:t>indings</w:t>
      </w:r>
      <w:bookmarkEnd w:id="143"/>
      <w:bookmarkEnd w:id="144"/>
      <w:bookmarkEnd w:id="145"/>
    </w:p>
    <w:p w:rsidR="002C782A" w:rsidRDefault="00100985" w:rsidP="00100985">
      <w:pPr>
        <w:pStyle w:val="Heading3"/>
        <w:rPr>
          <w:lang w:eastAsia="en-AU"/>
        </w:rPr>
      </w:pPr>
      <w:bookmarkStart w:id="146" w:name="_Toc247691526"/>
      <w:bookmarkStart w:id="147" w:name="_Toc355615891"/>
      <w:bookmarkStart w:id="148" w:name="_Toc366272749"/>
      <w:r>
        <w:rPr>
          <w:lang w:eastAsia="en-AU"/>
        </w:rPr>
        <w:t>Risk m</w:t>
      </w:r>
      <w:r w:rsidR="002C782A">
        <w:rPr>
          <w:lang w:eastAsia="en-AU"/>
        </w:rPr>
        <w:t xml:space="preserve">anagement </w:t>
      </w:r>
      <w:r>
        <w:rPr>
          <w:lang w:eastAsia="en-AU"/>
        </w:rPr>
        <w:t>p</w:t>
      </w:r>
      <w:r w:rsidR="002C782A">
        <w:rPr>
          <w:lang w:eastAsia="en-AU"/>
        </w:rPr>
        <w:t>lan</w:t>
      </w:r>
      <w:bookmarkEnd w:id="146"/>
      <w:bookmarkEnd w:id="147"/>
      <w:bookmarkEnd w:id="148"/>
    </w:p>
    <w:p w:rsidR="002C782A" w:rsidRDefault="002C782A" w:rsidP="00100985">
      <w:pPr>
        <w:rPr>
          <w:lang w:eastAsia="en-AU"/>
        </w:rPr>
      </w:pPr>
      <w:r>
        <w:rPr>
          <w:lang w:eastAsia="en-AU"/>
        </w:rPr>
        <w:t>The sponsor submitted a Risk Management Plan (RMP; v</w:t>
      </w:r>
      <w:r>
        <w:rPr>
          <w:iCs/>
        </w:rPr>
        <w:t xml:space="preserve">ersion 1.6, dated </w:t>
      </w:r>
      <w:r>
        <w:t xml:space="preserve">30 September </w:t>
      </w:r>
      <w:r>
        <w:rPr>
          <w:iCs/>
        </w:rPr>
        <w:t xml:space="preserve">2010) </w:t>
      </w:r>
      <w:r>
        <w:rPr>
          <w:lang w:eastAsia="en-AU"/>
        </w:rPr>
        <w:t>which was reviewed by the TGA’s Office of Product Review (OPR).</w:t>
      </w:r>
    </w:p>
    <w:p w:rsidR="002C782A" w:rsidRDefault="002C782A" w:rsidP="00100985">
      <w:pPr>
        <w:pStyle w:val="Heading4"/>
        <w:rPr>
          <w:lang w:eastAsia="en-AU"/>
        </w:rPr>
      </w:pPr>
      <w:r>
        <w:rPr>
          <w:lang w:eastAsia="en-AU"/>
        </w:rPr>
        <w:t xml:space="preserve">Safety </w:t>
      </w:r>
      <w:r w:rsidR="00100985">
        <w:rPr>
          <w:lang w:eastAsia="en-AU"/>
        </w:rPr>
        <w:t>s</w:t>
      </w:r>
      <w:r>
        <w:rPr>
          <w:lang w:eastAsia="en-AU"/>
        </w:rPr>
        <w:t>pecification</w:t>
      </w:r>
    </w:p>
    <w:p w:rsidR="002C782A" w:rsidRDefault="002C782A" w:rsidP="00100985">
      <w:r>
        <w:t>Subject to the evaluation of the nonclinical aspects of the Safety Specification (SS) by the Toxicology area of the TGA Office of Scientific Evaluation (OSE) and the clinical aspects of the SS by the Office of Medicines Authorisation (OMA), the summary of the ongoing safety concerns as specified by the sponsor is as shown in Table 10:</w:t>
      </w:r>
    </w:p>
    <w:p w:rsidR="002C782A" w:rsidRDefault="002C782A" w:rsidP="00100985">
      <w:pPr>
        <w:pStyle w:val="TableTitle"/>
      </w:pPr>
      <w:proofErr w:type="gramStart"/>
      <w:r>
        <w:lastRenderedPageBreak/>
        <w:t>Table 10.</w:t>
      </w:r>
      <w:proofErr w:type="gramEnd"/>
      <w:r>
        <w:t xml:space="preserve"> Ongoing safety concerns</w:t>
      </w:r>
    </w:p>
    <w:tbl>
      <w:tblPr>
        <w:tblStyle w:val="TableTGAblue"/>
        <w:tblW w:w="0" w:type="auto"/>
        <w:tblLook w:val="04A0"/>
      </w:tblPr>
      <w:tblGrid>
        <w:gridCol w:w="4360"/>
        <w:gridCol w:w="4360"/>
      </w:tblGrid>
      <w:tr w:rsidR="00C30F77" w:rsidTr="00C30F77">
        <w:trPr>
          <w:cnfStyle w:val="100000000000"/>
        </w:trPr>
        <w:tc>
          <w:tcPr>
            <w:tcW w:w="43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30F77" w:rsidRPr="009364E6" w:rsidRDefault="00C30F77" w:rsidP="00E87B6E">
            <w:pPr>
              <w:keepNext/>
              <w:rPr>
                <w:b w:val="0"/>
                <w:color w:val="auto"/>
              </w:rPr>
            </w:pPr>
            <w:r w:rsidRPr="009364E6">
              <w:rPr>
                <w:b w:val="0"/>
                <w:color w:val="auto"/>
              </w:rPr>
              <w:t>Important identified risks</w:t>
            </w:r>
          </w:p>
        </w:tc>
        <w:tc>
          <w:tcPr>
            <w:tcW w:w="43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30F77" w:rsidRPr="009364E6" w:rsidRDefault="00C30F77" w:rsidP="00E87B6E">
            <w:pPr>
              <w:keepNext/>
              <w:rPr>
                <w:b w:val="0"/>
                <w:color w:val="auto"/>
              </w:rPr>
            </w:pPr>
            <w:r w:rsidRPr="009364E6">
              <w:rPr>
                <w:b w:val="0"/>
                <w:color w:val="auto"/>
              </w:rPr>
              <w:t>None</w:t>
            </w:r>
          </w:p>
        </w:tc>
      </w:tr>
      <w:tr w:rsidR="00C30F77" w:rsidTr="00100985">
        <w:tc>
          <w:tcPr>
            <w:tcW w:w="4360" w:type="dxa"/>
            <w:vAlign w:val="center"/>
          </w:tcPr>
          <w:p w:rsidR="00C30F77" w:rsidRPr="00C30F77" w:rsidRDefault="00C30F77" w:rsidP="00100985">
            <w:pPr>
              <w:keepNext/>
            </w:pPr>
            <w:r w:rsidRPr="00C30F77">
              <w:t>Important potential risks</w:t>
            </w:r>
          </w:p>
        </w:tc>
        <w:tc>
          <w:tcPr>
            <w:tcW w:w="4360" w:type="dxa"/>
          </w:tcPr>
          <w:p w:rsidR="00C30F77" w:rsidRPr="00C30F77" w:rsidRDefault="00C30F77" w:rsidP="00100985">
            <w:r w:rsidRPr="00C30F77">
              <w:t>Potential to alter immune function:</w:t>
            </w:r>
          </w:p>
          <w:p w:rsidR="00C30F77" w:rsidRDefault="00C30F77" w:rsidP="00100985">
            <w:r w:rsidRPr="00C30F77">
              <w:t>Infections: including common viral and bacterial infection, viral encephalitides, TB reactivation, chronic hepatitis B/C, Category C infections</w:t>
            </w:r>
          </w:p>
          <w:p w:rsidR="00C30F77" w:rsidRDefault="00C30F77" w:rsidP="00100985">
            <w:r>
              <w:t>Malignancies</w:t>
            </w:r>
          </w:p>
          <w:p w:rsidR="00C30F77" w:rsidRDefault="00C30F77" w:rsidP="00100985">
            <w:r>
              <w:t>Autoimmune diseases</w:t>
            </w:r>
          </w:p>
          <w:p w:rsidR="00C30F77" w:rsidRDefault="00C30F77" w:rsidP="00E87B6E">
            <w:pPr>
              <w:keepNext/>
            </w:pPr>
            <w:r>
              <w:t>Potential for hepatic toxicity</w:t>
            </w:r>
          </w:p>
          <w:p w:rsidR="00C30F77" w:rsidRDefault="00C30F77" w:rsidP="00E87B6E">
            <w:pPr>
              <w:keepNext/>
            </w:pPr>
            <w:r>
              <w:t>Change in HIV tropism assessment</w:t>
            </w:r>
          </w:p>
          <w:p w:rsidR="00C30F77" w:rsidRDefault="00C30F77" w:rsidP="00E87B6E">
            <w:pPr>
              <w:keepNext/>
            </w:pPr>
            <w:r>
              <w:t>Ischaemic cardiac disorders</w:t>
            </w:r>
          </w:p>
          <w:p w:rsidR="00C30F77" w:rsidRDefault="00C30F77" w:rsidP="00E87B6E">
            <w:pPr>
              <w:keepNext/>
            </w:pPr>
            <w:r>
              <w:t>Off-label use in children and adolescents and pregnant women</w:t>
            </w:r>
          </w:p>
          <w:p w:rsidR="00C30F77" w:rsidRPr="00C30F77" w:rsidRDefault="00C30F77" w:rsidP="00E87B6E">
            <w:pPr>
              <w:keepNext/>
            </w:pPr>
            <w:r>
              <w:t>Muscle disorders such as rhabdomyolysis and myositis</w:t>
            </w:r>
          </w:p>
        </w:tc>
      </w:tr>
      <w:tr w:rsidR="00C30F77" w:rsidTr="00C30F77">
        <w:tc>
          <w:tcPr>
            <w:tcW w:w="4360" w:type="dxa"/>
          </w:tcPr>
          <w:p w:rsidR="00C30F77" w:rsidRPr="00C30F77" w:rsidRDefault="00C30F77" w:rsidP="00C30F77">
            <w:r>
              <w:t>Important missing information</w:t>
            </w:r>
          </w:p>
        </w:tc>
        <w:tc>
          <w:tcPr>
            <w:tcW w:w="4360" w:type="dxa"/>
          </w:tcPr>
          <w:p w:rsidR="00C30F77" w:rsidRDefault="00C30F77" w:rsidP="00C30F77">
            <w:r>
              <w:t>Pregnant women</w:t>
            </w:r>
          </w:p>
          <w:p w:rsidR="00C30F77" w:rsidRPr="00C30F77" w:rsidRDefault="00C30F77" w:rsidP="00C30F77">
            <w:r>
              <w:t>Paediatric and adolescent population</w:t>
            </w:r>
          </w:p>
        </w:tc>
      </w:tr>
    </w:tbl>
    <w:p w:rsidR="00C30F77" w:rsidRPr="009364E6" w:rsidRDefault="009364E6" w:rsidP="009364E6">
      <w:pPr>
        <w:rPr>
          <w:b/>
        </w:rPr>
      </w:pPr>
      <w:r w:rsidRPr="009364E6">
        <w:rPr>
          <w:b/>
        </w:rPr>
        <w:t>Other Risks</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4360"/>
        <w:gridCol w:w="4360"/>
      </w:tblGrid>
      <w:tr w:rsidR="009364E6" w:rsidRPr="009364E6" w:rsidTr="009364E6">
        <w:tc>
          <w:tcPr>
            <w:tcW w:w="4360" w:type="dxa"/>
          </w:tcPr>
          <w:p w:rsidR="009364E6" w:rsidRPr="009364E6" w:rsidRDefault="009364E6" w:rsidP="009364E6">
            <w:r w:rsidRPr="009364E6">
              <w:t>Other identified Risks</w:t>
            </w:r>
          </w:p>
        </w:tc>
        <w:tc>
          <w:tcPr>
            <w:tcW w:w="4360" w:type="dxa"/>
          </w:tcPr>
          <w:p w:rsidR="009364E6" w:rsidRPr="009364E6" w:rsidRDefault="009364E6" w:rsidP="009364E6">
            <w:r w:rsidRPr="009364E6">
              <w:t>Pregnant women</w:t>
            </w:r>
          </w:p>
          <w:p w:rsidR="009364E6" w:rsidRPr="009364E6" w:rsidRDefault="00C30F77" w:rsidP="009364E6">
            <w:r w:rsidRPr="009364E6">
              <w:t>Paediatric and adolescent population</w:t>
            </w:r>
          </w:p>
        </w:tc>
      </w:tr>
    </w:tbl>
    <w:p w:rsidR="002C782A" w:rsidRDefault="002C782A" w:rsidP="002C782A">
      <w:pPr>
        <w:pStyle w:val="Heading4"/>
        <w:rPr>
          <w:lang w:eastAsia="en-AU"/>
        </w:rPr>
      </w:pPr>
      <w:r>
        <w:rPr>
          <w:lang w:eastAsia="en-AU"/>
        </w:rPr>
        <w:t xml:space="preserve">Pharmacovigilance </w:t>
      </w:r>
      <w:r w:rsidR="00100985">
        <w:rPr>
          <w:lang w:eastAsia="en-AU"/>
        </w:rPr>
        <w:t>p</w:t>
      </w:r>
      <w:r>
        <w:rPr>
          <w:lang w:eastAsia="en-AU"/>
        </w:rPr>
        <w:t>lan</w:t>
      </w:r>
    </w:p>
    <w:p w:rsidR="002C782A" w:rsidRDefault="002C782A" w:rsidP="000E58E8">
      <w:pPr>
        <w:rPr>
          <w:rFonts w:eastAsia="TimesNewRoman"/>
        </w:rPr>
      </w:pPr>
      <w:r>
        <w:t xml:space="preserve">The sponsor proposes routine pharmacovigilance activities, consistent with the activities outlined in </w:t>
      </w:r>
      <w:r>
        <w:rPr>
          <w:i/>
        </w:rPr>
        <w:t>3.1.2 Routine pharmacovigilance practices, Note for Guidance on Planning Pharmacovigilance Activities</w:t>
      </w:r>
      <w:r>
        <w:rPr>
          <w:bCs/>
          <w:i/>
        </w:rPr>
        <w:t xml:space="preserve"> </w:t>
      </w:r>
      <w:r>
        <w:rPr>
          <w:i/>
        </w:rPr>
        <w:t>(CPMP/ICH/5716/03),</w:t>
      </w:r>
      <w:r>
        <w:t xml:space="preserve"> to monitor all the specified ongoing safety concerns. In addition the sponsor proposes to further monitor the following specified ongoing safety concerns (except pregnant women and off-label use) by analysing data from on-going studies:</w:t>
      </w:r>
    </w:p>
    <w:p w:rsidR="002C782A" w:rsidRPr="000E58E8" w:rsidRDefault="002C782A" w:rsidP="000E58E8">
      <w:pPr>
        <w:pStyle w:val="ListBullet"/>
      </w:pPr>
      <w:r w:rsidRPr="000E58E8">
        <w:t>Hepatic safety</w:t>
      </w:r>
    </w:p>
    <w:p w:rsidR="002C782A" w:rsidRPr="000E58E8" w:rsidRDefault="002C782A" w:rsidP="000E58E8">
      <w:pPr>
        <w:pStyle w:val="ListBullet"/>
      </w:pPr>
      <w:r w:rsidRPr="000E58E8">
        <w:t>Potential to alter immune function: Infection (including Category C events, HCV co-infection, encephaliti</w:t>
      </w:r>
      <w:r w:rsidR="00C84393" w:rsidRPr="000E58E8">
        <w:t>d</w:t>
      </w:r>
      <w:r w:rsidRPr="000E58E8">
        <w:t>es )</w:t>
      </w:r>
    </w:p>
    <w:p w:rsidR="002C782A" w:rsidRPr="000E58E8" w:rsidRDefault="002C782A" w:rsidP="000E58E8">
      <w:pPr>
        <w:pStyle w:val="ListBullet"/>
      </w:pPr>
      <w:r w:rsidRPr="000E58E8">
        <w:t>Potential to alter immune function: malignancies</w:t>
      </w:r>
    </w:p>
    <w:p w:rsidR="002C782A" w:rsidRPr="000E58E8" w:rsidRDefault="002C782A" w:rsidP="000E58E8">
      <w:pPr>
        <w:pStyle w:val="ListBullet"/>
      </w:pPr>
      <w:r w:rsidRPr="000E58E8">
        <w:t>Potential to alter immune function: autoimmune diseases</w:t>
      </w:r>
    </w:p>
    <w:p w:rsidR="002C782A" w:rsidRPr="000E58E8" w:rsidRDefault="002C782A" w:rsidP="000E58E8">
      <w:pPr>
        <w:pStyle w:val="ListBullet"/>
      </w:pPr>
      <w:r w:rsidRPr="000E58E8">
        <w:t>Change in tropism result from CCR5 to CXCR4 tropic with associated adverse clinical outcome</w:t>
      </w:r>
    </w:p>
    <w:p w:rsidR="002C782A" w:rsidRPr="000E58E8" w:rsidRDefault="002C782A" w:rsidP="000E58E8">
      <w:pPr>
        <w:pStyle w:val="ListBullet"/>
      </w:pPr>
      <w:r w:rsidRPr="000E58E8">
        <w:t>Potential imbalance in ischaemic cardiac events</w:t>
      </w:r>
    </w:p>
    <w:p w:rsidR="002C782A" w:rsidRPr="000E58E8" w:rsidRDefault="002C782A" w:rsidP="000E58E8">
      <w:pPr>
        <w:pStyle w:val="ListBullet"/>
      </w:pPr>
      <w:r w:rsidRPr="000E58E8">
        <w:t>Potential for rhabdomyolysis and myositis</w:t>
      </w:r>
    </w:p>
    <w:p w:rsidR="002C782A" w:rsidRPr="000E58E8" w:rsidRDefault="002C782A" w:rsidP="000E58E8">
      <w:pPr>
        <w:pStyle w:val="ListBullet"/>
      </w:pPr>
      <w:r w:rsidRPr="000E58E8">
        <w:t>Off label use in paediatrics and adolescents</w:t>
      </w:r>
    </w:p>
    <w:p w:rsidR="002C782A" w:rsidRDefault="002C782A" w:rsidP="000E58E8">
      <w:pPr>
        <w:pStyle w:val="ListBullet"/>
      </w:pPr>
      <w:r>
        <w:lastRenderedPageBreak/>
        <w:t>Pregnant women</w:t>
      </w:r>
    </w:p>
    <w:p w:rsidR="002C782A" w:rsidRDefault="002C782A" w:rsidP="002C782A">
      <w:pPr>
        <w:pStyle w:val="ListBullet"/>
        <w:numPr>
          <w:ilvl w:val="0"/>
          <w:numId w:val="0"/>
        </w:numPr>
      </w:pPr>
      <w:r>
        <w:t>The sponsor provided a list of outstanding studies within the Pharmacovigilance Plan, including milestones.</w:t>
      </w:r>
    </w:p>
    <w:p w:rsidR="002C782A" w:rsidRDefault="002C782A" w:rsidP="000E58E8">
      <w:r>
        <w:t>The sponsor states that the Targeted Follow-Up Questionnaires (TFupQ) are routinely used to gather specific information on serious AEs reported spontaneously for maraviroc. The events were selected based on the potential risks identified in the RMP and, for maraviroc, comprise:</w:t>
      </w:r>
    </w:p>
    <w:p w:rsidR="002C782A" w:rsidRPr="000E58E8" w:rsidRDefault="002C782A" w:rsidP="000E58E8">
      <w:pPr>
        <w:pStyle w:val="ListBullet"/>
      </w:pPr>
      <w:r w:rsidRPr="00780CF3">
        <w:t>I</w:t>
      </w:r>
      <w:r w:rsidRPr="000E58E8">
        <w:t>nfections (that is, Category C infections and encephalitis)</w:t>
      </w:r>
    </w:p>
    <w:p w:rsidR="002C782A" w:rsidRPr="000E58E8" w:rsidRDefault="002C782A" w:rsidP="000E58E8">
      <w:pPr>
        <w:pStyle w:val="ListBullet"/>
      </w:pPr>
      <w:r w:rsidRPr="000E58E8">
        <w:t>Malignancies (AIDS and non-AIDS related)</w:t>
      </w:r>
    </w:p>
    <w:p w:rsidR="002C782A" w:rsidRPr="000E58E8" w:rsidRDefault="002C782A" w:rsidP="000E58E8">
      <w:pPr>
        <w:pStyle w:val="ListBullet"/>
      </w:pPr>
      <w:r w:rsidRPr="000E58E8">
        <w:t>Life threatening liver related events, ischaemic cerebrovascular and cardiovascular events</w:t>
      </w:r>
    </w:p>
    <w:p w:rsidR="002C782A" w:rsidRPr="000E58E8" w:rsidRDefault="002C782A" w:rsidP="000E58E8">
      <w:pPr>
        <w:pStyle w:val="ListBullet"/>
      </w:pPr>
      <w:r w:rsidRPr="000E58E8">
        <w:t>Rhabdomyolysis and myositis.</w:t>
      </w:r>
    </w:p>
    <w:p w:rsidR="002C782A" w:rsidRDefault="002C782A" w:rsidP="000E58E8">
      <w:r>
        <w:t>The sponsor also reports that hepatic data will be reviewed by the Hepatic Expert Panel or its members on request by the sponsor or the Data Safety Monitoring Board (DSMB); and an Immune Expert Panel (one for infections and one for malignancy) will be convened if there is any evidence that malignancy rates or rates of Category C infections exceed those expected.</w:t>
      </w:r>
    </w:p>
    <w:p w:rsidR="002C782A" w:rsidRDefault="002C782A" w:rsidP="000E58E8">
      <w:pPr>
        <w:pStyle w:val="Heading4"/>
        <w:rPr>
          <w:lang w:eastAsia="en-AU"/>
        </w:rPr>
      </w:pPr>
      <w:r>
        <w:rPr>
          <w:lang w:eastAsia="en-AU"/>
        </w:rPr>
        <w:t xml:space="preserve">Risk </w:t>
      </w:r>
      <w:r w:rsidR="000E58E8">
        <w:rPr>
          <w:lang w:eastAsia="en-AU"/>
        </w:rPr>
        <w:t>m</w:t>
      </w:r>
      <w:r>
        <w:rPr>
          <w:lang w:eastAsia="en-AU"/>
        </w:rPr>
        <w:t xml:space="preserve">inimisation </w:t>
      </w:r>
      <w:r w:rsidR="000E58E8">
        <w:rPr>
          <w:lang w:eastAsia="en-AU"/>
        </w:rPr>
        <w:t>a</w:t>
      </w:r>
      <w:r>
        <w:rPr>
          <w:lang w:eastAsia="en-AU"/>
        </w:rPr>
        <w:t>ctivities</w:t>
      </w:r>
    </w:p>
    <w:p w:rsidR="002C782A" w:rsidRDefault="002C782A" w:rsidP="000E58E8">
      <w:r>
        <w:t xml:space="preserve">Routine risk minimisation activities will include contraindications, special warning and precaution statements, instructions for use, overdosage statements and/or notification of undesirable effects in the Australian PI for all the specified ongoing safety concerns. In relation to the important potential risk: </w:t>
      </w:r>
      <w:r w:rsidRPr="00F369E5">
        <w:rPr>
          <w:i/>
        </w:rPr>
        <w:t>‘</w:t>
      </w:r>
      <w:r w:rsidRPr="00F369E5">
        <w:rPr>
          <w:rFonts w:eastAsia="TimesNewRoman"/>
          <w:i/>
        </w:rPr>
        <w:t>Change in tropism result from CCR5 to CXCR4 tropic with associated adverse clinical outcome’</w:t>
      </w:r>
      <w:r>
        <w:rPr>
          <w:rFonts w:eastAsia="TimesNewRoman"/>
        </w:rPr>
        <w:t xml:space="preserve"> </w:t>
      </w:r>
      <w:r>
        <w:t xml:space="preserve">the sponsor has developed educational material for prescribers on the </w:t>
      </w:r>
      <w:r>
        <w:rPr>
          <w:rFonts w:eastAsia="TimesNewRoman"/>
        </w:rPr>
        <w:t>understandin</w:t>
      </w:r>
      <w:r w:rsidR="000E58E8">
        <w:rPr>
          <w:rFonts w:eastAsia="TimesNewRoman"/>
        </w:rPr>
        <w:t>g of genotypic tropism testing.</w:t>
      </w:r>
    </w:p>
    <w:p w:rsidR="002C782A" w:rsidRDefault="000E58E8" w:rsidP="000E58E8">
      <w:pPr>
        <w:pStyle w:val="Heading4"/>
        <w:rPr>
          <w:lang w:eastAsia="en-AU"/>
        </w:rPr>
      </w:pPr>
      <w:r>
        <w:rPr>
          <w:lang w:eastAsia="en-AU"/>
        </w:rPr>
        <w:t>Summary of initial r</w:t>
      </w:r>
      <w:r w:rsidR="002C782A">
        <w:rPr>
          <w:lang w:eastAsia="en-AU"/>
        </w:rPr>
        <w:t>ecommendations</w:t>
      </w:r>
    </w:p>
    <w:p w:rsidR="002C782A" w:rsidRPr="00AF550F" w:rsidRDefault="002C782A" w:rsidP="000E58E8">
      <w:r w:rsidRPr="00AF550F">
        <w:t>The OPR provides these recommendations in the context that the submitted RMP is supportive to the application; the implementation of a RMP satisfactory to the TGA is imposed as a condition of registration; and the submitted RMP is applicable without modification in Australia unless so qualified:</w:t>
      </w:r>
    </w:p>
    <w:p w:rsidR="002C782A" w:rsidRPr="000E58E8" w:rsidRDefault="002C782A" w:rsidP="000E58E8">
      <w:pPr>
        <w:pStyle w:val="ListBullet"/>
      </w:pPr>
      <w:r w:rsidRPr="00AF550F">
        <w:t xml:space="preserve">The non-clinical and clinical aspects of the SS remain subject to the evaluation by the </w:t>
      </w:r>
      <w:r w:rsidRPr="000E58E8">
        <w:t>Toxicology area of the OSE and by the OMA respectively.</w:t>
      </w:r>
    </w:p>
    <w:p w:rsidR="002C782A" w:rsidRPr="000E58E8" w:rsidRDefault="002C782A" w:rsidP="000E58E8">
      <w:pPr>
        <w:pStyle w:val="ListBullet"/>
      </w:pPr>
      <w:r w:rsidRPr="000E58E8">
        <w:t>Based on the results of Study A4001026, the European Medicines Agency’s Committee for Medicinal Products for Human Use (CHMP) was concerned by the high risk for virological failure and resistance development in the treatment of CCR5 tropic HIV-1 infected adu</w:t>
      </w:r>
      <w:r w:rsidRPr="00AF550F">
        <w:t xml:space="preserve">lt antiretroviral-naïve patients with maraviroc. Furthermore the important potential risk: </w:t>
      </w:r>
      <w:r w:rsidRPr="00F369E5">
        <w:rPr>
          <w:i/>
        </w:rPr>
        <w:t>‘Development of drug resistance’</w:t>
      </w:r>
      <w:r w:rsidRPr="00AF550F">
        <w:t xml:space="preserve"> is common for other anti</w:t>
      </w:r>
      <w:r>
        <w:t xml:space="preserve">retroviral medicinal products. </w:t>
      </w:r>
      <w:r w:rsidRPr="00AF550F">
        <w:t xml:space="preserve">Consequently the sponsor should amend the relevant sections of the RMP to include the important potential risk: </w:t>
      </w:r>
      <w:r w:rsidRPr="00F369E5">
        <w:rPr>
          <w:i/>
        </w:rPr>
        <w:t>‘Development of drug resistance’</w:t>
      </w:r>
      <w:r w:rsidRPr="00AF550F">
        <w:t xml:space="preserve"> as an ongoing safety concern or provide compelling justification for </w:t>
      </w:r>
      <w:r w:rsidRPr="000E58E8">
        <w:t>not doing so.</w:t>
      </w:r>
    </w:p>
    <w:p w:rsidR="002C782A" w:rsidRPr="000E58E8" w:rsidRDefault="002C782A" w:rsidP="000E58E8">
      <w:pPr>
        <w:pStyle w:val="ListBullet"/>
      </w:pPr>
      <w:r w:rsidRPr="000E58E8">
        <w:t xml:space="preserve">The </w:t>
      </w:r>
      <w:r w:rsidRPr="00AF550F">
        <w:t xml:space="preserve">sponsor should consider amending the important missing information: </w:t>
      </w:r>
      <w:r w:rsidRPr="00F369E5">
        <w:rPr>
          <w:i/>
        </w:rPr>
        <w:t>‘Pregnant women’</w:t>
      </w:r>
      <w:r w:rsidRPr="00AF550F">
        <w:t xml:space="preserve"> to </w:t>
      </w:r>
      <w:r w:rsidRPr="00F369E5">
        <w:rPr>
          <w:i/>
        </w:rPr>
        <w:t>‘Pregnant or lactating women’</w:t>
      </w:r>
      <w:r w:rsidRPr="00AF550F">
        <w:t>, as use during lactation already appears to be e</w:t>
      </w:r>
      <w:r>
        <w:t xml:space="preserve">ncompassed under this heading. </w:t>
      </w:r>
      <w:r w:rsidRPr="00AF550F">
        <w:t xml:space="preserve">The relevant sections of the RMP should be amended </w:t>
      </w:r>
      <w:r w:rsidRPr="000E58E8">
        <w:t>accordingly.</w:t>
      </w:r>
    </w:p>
    <w:p w:rsidR="002C782A" w:rsidRPr="000E58E8" w:rsidRDefault="002C782A" w:rsidP="000E58E8">
      <w:pPr>
        <w:pStyle w:val="ListBullet"/>
      </w:pPr>
      <w:r w:rsidRPr="000E58E8">
        <w:lastRenderedPageBreak/>
        <w:t>In principle there is no o</w:t>
      </w:r>
      <w:r w:rsidRPr="00AF550F">
        <w:t>bjec</w:t>
      </w:r>
      <w:r w:rsidRPr="000E58E8">
        <w:t>tion</w:t>
      </w:r>
      <w:r w:rsidRPr="00AF550F">
        <w:t xml:space="preserve"> to the sponsor implementing additional pharmacovigilance activities to further monitor the specified ongoing safety concerns. However, the ongoing studies are not considered to be part of the planned clinical studies </w:t>
      </w:r>
      <w:r>
        <w:t xml:space="preserve">in the pharmacovigilance plan. </w:t>
      </w:r>
      <w:r w:rsidRPr="00AF550F">
        <w:t>Therefore the related study pro</w:t>
      </w:r>
      <w:r>
        <w:t xml:space="preserve">tocols have not been reviewed. </w:t>
      </w:r>
      <w:r w:rsidRPr="00AF550F">
        <w:t>The sponsor has recently provided the final protocol of the planned study in patients co-infected with HCV (A4001098) and advised that this study was initiated on 18 May 2011. Consequently it is also not considered to be part of the planned clinical studies in the pharmacovigilance plan and the related study p</w:t>
      </w:r>
      <w:r>
        <w:t xml:space="preserve">rotocol has not been reviewed. </w:t>
      </w:r>
      <w:r w:rsidRPr="00AF550F">
        <w:t xml:space="preserve">Nevertheless an update on the progress/results/analysis of these studies, as outlined in the RMP, will be expected in future </w:t>
      </w:r>
      <w:r>
        <w:t xml:space="preserve">Periodic Safety Update </w:t>
      </w:r>
      <w:r w:rsidRPr="000E58E8">
        <w:t>Reports (PSURs).</w:t>
      </w:r>
    </w:p>
    <w:p w:rsidR="002C782A" w:rsidRPr="000E58E8" w:rsidRDefault="002C782A" w:rsidP="000E58E8">
      <w:pPr>
        <w:pStyle w:val="ListBullet"/>
      </w:pPr>
      <w:r w:rsidRPr="000E58E8">
        <w:t>The final protocol for Study A4001098 should be included in Annex 5 of the RMP.</w:t>
      </w:r>
    </w:p>
    <w:p w:rsidR="002C782A" w:rsidRPr="000E58E8" w:rsidRDefault="002C782A" w:rsidP="000E58E8">
      <w:pPr>
        <w:pStyle w:val="ListBullet"/>
      </w:pPr>
      <w:r w:rsidRPr="000E58E8">
        <w:t>The sponsor s</w:t>
      </w:r>
      <w:r w:rsidRPr="00AF550F">
        <w:t xml:space="preserve">hould provide copies of the specified Targeted Follow-Up </w:t>
      </w:r>
      <w:r w:rsidRPr="000E58E8">
        <w:t>Questionnaires, and include these in Annex 7 of the RMP.</w:t>
      </w:r>
    </w:p>
    <w:p w:rsidR="002C782A" w:rsidRPr="000E58E8" w:rsidRDefault="002C782A" w:rsidP="000E58E8">
      <w:pPr>
        <w:pStyle w:val="ListBullet"/>
      </w:pPr>
      <w:r w:rsidRPr="000E58E8">
        <w:t>If the important pote</w:t>
      </w:r>
      <w:r w:rsidRPr="00AF550F">
        <w:t xml:space="preserve">ntial </w:t>
      </w:r>
      <w:proofErr w:type="gramStart"/>
      <w:r w:rsidRPr="00AF550F">
        <w:t>risk</w:t>
      </w:r>
      <w:proofErr w:type="gramEnd"/>
      <w:r w:rsidRPr="00AF550F">
        <w:t xml:space="preserve">: </w:t>
      </w:r>
      <w:r w:rsidRPr="00F369E5">
        <w:rPr>
          <w:i/>
        </w:rPr>
        <w:t>‘Development of drug resistance’</w:t>
      </w:r>
      <w:r w:rsidRPr="00AF550F">
        <w:t xml:space="preserve"> is included as an </w:t>
      </w:r>
      <w:r w:rsidRPr="000E58E8">
        <w:t>ongoing safety concern, monitoring by routine pharmacovigilance is acceptable.</w:t>
      </w:r>
    </w:p>
    <w:p w:rsidR="002C782A" w:rsidRPr="000E58E8" w:rsidRDefault="002C782A" w:rsidP="000E58E8">
      <w:pPr>
        <w:pStyle w:val="ListBullet"/>
      </w:pPr>
      <w:r w:rsidRPr="000E58E8">
        <w:t>The educational plan for prescribers on the understanding of genotypic tropism testing is cons</w:t>
      </w:r>
      <w:r w:rsidRPr="00AF550F">
        <w:t xml:space="preserve">idered to be an additional risk minimisation activity. Consequently the sponsor should amend the table </w:t>
      </w:r>
      <w:r w:rsidRPr="00F369E5">
        <w:rPr>
          <w:i/>
        </w:rPr>
        <w:t>‘A Summary Table of Planned Actions’</w:t>
      </w:r>
      <w:r w:rsidRPr="00AF550F">
        <w:t xml:space="preserve"> to indicate that routine risk minimisation activities alone are insufficient to appropriately mitigate the specified ongoing safety concern and to reflect the proposed use of additional risk </w:t>
      </w:r>
      <w:r w:rsidRPr="000E58E8">
        <w:t>minimisatio</w:t>
      </w:r>
      <w:r w:rsidR="000E58E8" w:rsidRPr="000E58E8">
        <w:t>n activities for such purpose.</w:t>
      </w:r>
    </w:p>
    <w:p w:rsidR="002C782A" w:rsidRPr="000E58E8" w:rsidRDefault="002C782A" w:rsidP="000E58E8">
      <w:pPr>
        <w:pStyle w:val="ListBullet"/>
      </w:pPr>
      <w:r w:rsidRPr="000E58E8">
        <w:t>Given the Australian and international post marketing exposure of maraviroc, the sponsor should pr</w:t>
      </w:r>
      <w:r w:rsidRPr="00AF550F">
        <w:t>ovide information on the occurrence and frequency of medicat</w:t>
      </w:r>
      <w:r>
        <w:t xml:space="preserve">ion errors from related PSURs. </w:t>
      </w:r>
      <w:r w:rsidRPr="00AF550F">
        <w:t>Consequently</w:t>
      </w:r>
      <w:r>
        <w:t>,</w:t>
      </w:r>
      <w:r w:rsidRPr="00AF550F">
        <w:t xml:space="preserve"> </w:t>
      </w:r>
      <w:r>
        <w:t xml:space="preserve">the section on </w:t>
      </w:r>
      <w:r w:rsidRPr="00F369E5">
        <w:rPr>
          <w:i/>
        </w:rPr>
        <w:t>‘Potential for Medication Errors’</w:t>
      </w:r>
      <w:r w:rsidRPr="00AF550F">
        <w:t xml:space="preserve"> of the RMP s</w:t>
      </w:r>
      <w:r w:rsidRPr="000E58E8">
        <w:t>hould be amended accordingly.</w:t>
      </w:r>
    </w:p>
    <w:p w:rsidR="002C782A" w:rsidRPr="000E58E8" w:rsidRDefault="002C782A" w:rsidP="000E58E8">
      <w:pPr>
        <w:pStyle w:val="ListBullet"/>
      </w:pPr>
      <w:r w:rsidRPr="000E58E8">
        <w:t xml:space="preserve">The sponsor has recently advised that educational materials on the understanding of genotypic tropism testing </w:t>
      </w:r>
      <w:r w:rsidRPr="00AF550F">
        <w:t xml:space="preserve">are provided to prescribers in Australia. Consequently the sponsor should provide details of this educational plan and include them </w:t>
      </w:r>
      <w:r w:rsidR="000E58E8">
        <w:t xml:space="preserve">in Annex 8 of the </w:t>
      </w:r>
      <w:r w:rsidR="000E58E8" w:rsidRPr="000E58E8">
        <w:t>RMP.</w:t>
      </w:r>
    </w:p>
    <w:p w:rsidR="002C782A" w:rsidRPr="000E58E8" w:rsidRDefault="002C782A" w:rsidP="000E58E8">
      <w:pPr>
        <w:pStyle w:val="ListBullet"/>
      </w:pPr>
      <w:r w:rsidRPr="000E58E8">
        <w:t>The sponso</w:t>
      </w:r>
      <w:r w:rsidRPr="00AF550F">
        <w:t xml:space="preserve">r must also plan appropriate methods to assess the effectiveness of this additional risk minimisation activity as a measure to reduce the important potential risk: </w:t>
      </w:r>
      <w:r w:rsidRPr="00F369E5">
        <w:rPr>
          <w:i/>
        </w:rPr>
        <w:t>‘Change in tropism result from CCR5 to CXCR4 tropic with associated adverse clinical outcome’</w:t>
      </w:r>
      <w:r>
        <w:t xml:space="preserve"> in the post </w:t>
      </w:r>
      <w:r w:rsidRPr="00AF550F">
        <w:t>market environment and provide details of these</w:t>
      </w:r>
      <w:r w:rsidR="000E58E8">
        <w:t xml:space="preserve"> methods </w:t>
      </w:r>
      <w:r w:rsidR="000E58E8" w:rsidRPr="000E58E8">
        <w:t>to the TGA for review.</w:t>
      </w:r>
    </w:p>
    <w:p w:rsidR="002C782A" w:rsidRPr="00AF550F" w:rsidRDefault="002C782A" w:rsidP="000E58E8">
      <w:pPr>
        <w:pStyle w:val="ListBullet"/>
      </w:pPr>
      <w:r w:rsidRPr="000E58E8">
        <w:t>In regar</w:t>
      </w:r>
      <w:r w:rsidRPr="00AF550F">
        <w:t xml:space="preserve">d to the proposed routine risk minimisation activities, if the important potential risk: </w:t>
      </w:r>
      <w:r w:rsidRPr="00F369E5">
        <w:rPr>
          <w:i/>
        </w:rPr>
        <w:t>‘Development of drug resistance’</w:t>
      </w:r>
      <w:r w:rsidRPr="00AF550F">
        <w:t xml:space="preserve"> is included as an ongoing safety concern it is recommended to the Delegate that the draft </w:t>
      </w:r>
      <w:r>
        <w:t xml:space="preserve">PI </w:t>
      </w:r>
      <w:r w:rsidRPr="00AF550F">
        <w:t xml:space="preserve">document be revised to include a similar statement to that found in the currently approved </w:t>
      </w:r>
      <w:r>
        <w:t>Summary of Product Characteristics (</w:t>
      </w:r>
      <w:r w:rsidRPr="00AF550F">
        <w:t xml:space="preserve">SmPC </w:t>
      </w:r>
      <w:r>
        <w:t>)</w:t>
      </w:r>
      <w:r w:rsidRPr="00AF550F">
        <w:t xml:space="preserve">: </w:t>
      </w:r>
      <w:r w:rsidRPr="00F369E5">
        <w:rPr>
          <w:i/>
        </w:rPr>
        <w:t>“Background resistance to other classes of antiretrovirals have been shown to be similar in previously undetected CXCR4</w:t>
      </w:r>
      <w:r>
        <w:rPr>
          <w:i/>
        </w:rPr>
        <w:t xml:space="preserve"> </w:t>
      </w:r>
      <w:r w:rsidRPr="00F369E5">
        <w:rPr>
          <w:i/>
        </w:rPr>
        <w:t>tropic virus of the minor viral population, as that found in CCR5</w:t>
      </w:r>
      <w:r>
        <w:rPr>
          <w:i/>
        </w:rPr>
        <w:t xml:space="preserve"> </w:t>
      </w:r>
      <w:r w:rsidRPr="00F369E5">
        <w:rPr>
          <w:i/>
        </w:rPr>
        <w:t>tropic virus.”</w:t>
      </w:r>
    </w:p>
    <w:p w:rsidR="002C782A" w:rsidRPr="000E58E8" w:rsidRDefault="002C782A" w:rsidP="000E58E8">
      <w:pPr>
        <w:pStyle w:val="ListBullet"/>
      </w:pPr>
      <w:r w:rsidRPr="00AF550F">
        <w:t xml:space="preserve">The nonclinical and clinical aspects of the PI remain subject to the evaluation by the </w:t>
      </w:r>
      <w:r w:rsidRPr="000E58E8">
        <w:t>Toxicology area of the OSE and by the OMA respectively.</w:t>
      </w:r>
    </w:p>
    <w:p w:rsidR="002C782A" w:rsidRDefault="002C782A" w:rsidP="000E58E8">
      <w:pPr>
        <w:pStyle w:val="ListBullet"/>
      </w:pPr>
      <w:r w:rsidRPr="000E58E8">
        <w:t>In regar</w:t>
      </w:r>
      <w:r w:rsidRPr="00AF550F">
        <w:t xml:space="preserve">d to the proposed routine risk minimisation activities, it is recommended to the Delegate that the draft </w:t>
      </w:r>
      <w:r>
        <w:t xml:space="preserve">CMI </w:t>
      </w:r>
      <w:r w:rsidRPr="00AF550F">
        <w:t>document be revised to include a warning that the product is not to be used in children to adequately reflect the currently approved Australian PI.</w:t>
      </w:r>
    </w:p>
    <w:p w:rsidR="002C782A" w:rsidRPr="00327E77" w:rsidRDefault="002C782A" w:rsidP="000E58E8">
      <w:r w:rsidRPr="00327E77">
        <w:lastRenderedPageBreak/>
        <w:t xml:space="preserve">The sponsor subsequently provided information and documents that </w:t>
      </w:r>
      <w:r>
        <w:t xml:space="preserve">addressed all </w:t>
      </w:r>
      <w:r w:rsidRPr="00327E77">
        <w:t>the above matters</w:t>
      </w:r>
      <w:r>
        <w:t xml:space="preserve"> to the satisfaction of the TGA</w:t>
      </w:r>
      <w:r w:rsidR="000E58E8">
        <w:t>.</w:t>
      </w:r>
    </w:p>
    <w:p w:rsidR="002C782A" w:rsidRDefault="002C782A" w:rsidP="000E58E8">
      <w:pPr>
        <w:pStyle w:val="Heading4"/>
      </w:pPr>
      <w:r>
        <w:t>Final recommendation</w:t>
      </w:r>
    </w:p>
    <w:p w:rsidR="002C782A" w:rsidRPr="00327E77" w:rsidRDefault="002C782A" w:rsidP="000E58E8">
      <w:r w:rsidRPr="00327E77">
        <w:t>If this application is approved the following specific condition of r</w:t>
      </w:r>
      <w:r>
        <w:t xml:space="preserve">egistration should be applied: </w:t>
      </w:r>
      <w:r w:rsidRPr="00327E77">
        <w:t xml:space="preserve">The </w:t>
      </w:r>
      <w:r>
        <w:t>RMP v</w:t>
      </w:r>
      <w:r w:rsidRPr="00327E77">
        <w:t xml:space="preserve">ersion: 1.6, dated 30 September 2010, to be revised as specified in the sponsor’s correspondence </w:t>
      </w:r>
      <w:r>
        <w:t xml:space="preserve">to TGA </w:t>
      </w:r>
      <w:r w:rsidRPr="00327E77">
        <w:t xml:space="preserve">dated 21 July, 12 </w:t>
      </w:r>
      <w:r>
        <w:t xml:space="preserve">and </w:t>
      </w:r>
      <w:r w:rsidRPr="00327E77">
        <w:t>18 August 2011, must be implemented.</w:t>
      </w:r>
    </w:p>
    <w:p w:rsidR="002C782A" w:rsidRPr="00792A32" w:rsidRDefault="002C782A" w:rsidP="000E58E8">
      <w:pPr>
        <w:pStyle w:val="Heading2"/>
      </w:pPr>
      <w:bookmarkStart w:id="149" w:name="_Toc247691527"/>
      <w:bookmarkStart w:id="150" w:name="_Toc355615892"/>
      <w:bookmarkStart w:id="151" w:name="_Toc366272750"/>
      <w:r>
        <w:t xml:space="preserve">VI. </w:t>
      </w:r>
      <w:r w:rsidR="000E58E8">
        <w:t>Overall c</w:t>
      </w:r>
      <w:r w:rsidRPr="00792A32">
        <w:t xml:space="preserve">onclusion and </w:t>
      </w:r>
      <w:r w:rsidR="000E58E8">
        <w:t>r</w:t>
      </w:r>
      <w:r w:rsidRPr="00792A32">
        <w:t>isk/</w:t>
      </w:r>
      <w:r w:rsidR="000E58E8">
        <w:t>b</w:t>
      </w:r>
      <w:r w:rsidRPr="00792A32">
        <w:t xml:space="preserve">enefit </w:t>
      </w:r>
      <w:r w:rsidR="000E58E8">
        <w:t>a</w:t>
      </w:r>
      <w:r w:rsidRPr="00792A32">
        <w:t>ssessment</w:t>
      </w:r>
      <w:bookmarkEnd w:id="90"/>
      <w:bookmarkEnd w:id="149"/>
      <w:bookmarkEnd w:id="150"/>
      <w:bookmarkEnd w:id="151"/>
    </w:p>
    <w:p w:rsidR="002C782A" w:rsidRDefault="002C782A" w:rsidP="000E58E8">
      <w:bookmarkStart w:id="152" w:name="_Toc247691528"/>
      <w:r>
        <w:t xml:space="preserve">The submission was summarised in the following </w:t>
      </w:r>
      <w:r w:rsidRPr="00EF5C48">
        <w:t xml:space="preserve">Delegate’s </w:t>
      </w:r>
      <w:r>
        <w:t>overview</w:t>
      </w:r>
      <w:r w:rsidRPr="00EF5C48">
        <w:t xml:space="preserve"> and recommendation</w:t>
      </w:r>
      <w:r>
        <w:t>s:</w:t>
      </w:r>
    </w:p>
    <w:p w:rsidR="002C782A" w:rsidRDefault="002C782A" w:rsidP="000E58E8">
      <w:pPr>
        <w:pStyle w:val="Heading3"/>
      </w:pPr>
      <w:bookmarkStart w:id="153" w:name="_Toc355615893"/>
      <w:bookmarkStart w:id="154" w:name="_Toc366272751"/>
      <w:r>
        <w:t>Quality</w:t>
      </w:r>
      <w:bookmarkEnd w:id="152"/>
      <w:bookmarkEnd w:id="153"/>
      <w:bookmarkEnd w:id="154"/>
    </w:p>
    <w:p w:rsidR="002C782A" w:rsidRDefault="002C782A" w:rsidP="000E58E8">
      <w:r>
        <w:t>There was no requirement for a quality evaluation in a submission of this type.</w:t>
      </w:r>
    </w:p>
    <w:p w:rsidR="002C782A" w:rsidRDefault="002C782A" w:rsidP="002C782A">
      <w:pPr>
        <w:pStyle w:val="Heading3"/>
      </w:pPr>
      <w:bookmarkStart w:id="155" w:name="_Toc355615894"/>
      <w:bookmarkStart w:id="156" w:name="_Toc366272752"/>
      <w:r>
        <w:t>Nonclinical</w:t>
      </w:r>
      <w:bookmarkEnd w:id="155"/>
      <w:bookmarkEnd w:id="156"/>
    </w:p>
    <w:p w:rsidR="002C782A" w:rsidRDefault="002C782A" w:rsidP="002C782A">
      <w:r>
        <w:t>There was no requirement for a nonclinical evaluation in a submission of this type.</w:t>
      </w:r>
    </w:p>
    <w:p w:rsidR="002C782A" w:rsidRDefault="002C782A" w:rsidP="002C782A">
      <w:pPr>
        <w:pStyle w:val="Heading3"/>
      </w:pPr>
      <w:bookmarkStart w:id="157" w:name="_Toc247691530"/>
      <w:bookmarkStart w:id="158" w:name="_Toc355615895"/>
      <w:bookmarkStart w:id="159" w:name="_Toc366272753"/>
      <w:r>
        <w:t>Clinical</w:t>
      </w:r>
      <w:bookmarkEnd w:id="157"/>
      <w:bookmarkEnd w:id="158"/>
      <w:bookmarkEnd w:id="159"/>
    </w:p>
    <w:p w:rsidR="002C782A" w:rsidRDefault="002C782A" w:rsidP="002C782A">
      <w:pPr>
        <w:pStyle w:val="Heading4"/>
      </w:pPr>
      <w:r>
        <w:t xml:space="preserve">Delegate </w:t>
      </w:r>
      <w:r w:rsidR="000E58E8">
        <w:t>c</w:t>
      </w:r>
      <w:r>
        <w:t>onsiderations</w:t>
      </w:r>
    </w:p>
    <w:p w:rsidR="002C782A" w:rsidRDefault="002C782A" w:rsidP="000E58E8">
      <w:pPr>
        <w:pStyle w:val="Heading5"/>
      </w:pPr>
      <w:r>
        <w:t>Supporting data</w:t>
      </w:r>
    </w:p>
    <w:p w:rsidR="002C782A" w:rsidRDefault="002C782A" w:rsidP="000E58E8">
      <w:r>
        <w:t>Clinical data only are submitte</w:t>
      </w:r>
      <w:r w:rsidR="000E58E8">
        <w:t>d. The submitted data include:</w:t>
      </w:r>
    </w:p>
    <w:p w:rsidR="002C782A" w:rsidRPr="000E58E8" w:rsidRDefault="002C782A" w:rsidP="000E58E8">
      <w:pPr>
        <w:pStyle w:val="ListBullet"/>
      </w:pPr>
      <w:r>
        <w:t>4</w:t>
      </w:r>
      <w:r w:rsidRPr="000E58E8">
        <w:t>8 Week and 96 Week results of Study A4001026 for treatment naïve patients</w:t>
      </w:r>
    </w:p>
    <w:p w:rsidR="002C782A" w:rsidRPr="000E58E8" w:rsidRDefault="002C782A" w:rsidP="000E58E8">
      <w:pPr>
        <w:pStyle w:val="ListBullet"/>
      </w:pPr>
      <w:r w:rsidRPr="000E58E8">
        <w:t>48 Week results of two pivotal studies (A4001027 and A4001028) i</w:t>
      </w:r>
      <w:r w:rsidR="000E58E8">
        <w:t>n treatment experience patients</w:t>
      </w:r>
    </w:p>
    <w:p w:rsidR="002C782A" w:rsidRDefault="002C782A" w:rsidP="000E58E8">
      <w:pPr>
        <w:pStyle w:val="ListBullet"/>
      </w:pPr>
      <w:r w:rsidRPr="000E58E8">
        <w:t>48 Week re</w:t>
      </w:r>
      <w:r>
        <w:t>sults for supportive Study (A4001029) assessing the safety of maraviroc in treatment experienced patients infected with non-CCR5 tropic or non-phenotypable HIV-1.</w:t>
      </w:r>
    </w:p>
    <w:p w:rsidR="002C782A" w:rsidRDefault="002C782A" w:rsidP="008E3DE4">
      <w:r w:rsidRPr="00D70F38">
        <w:t>The Week 48</w:t>
      </w:r>
      <w:r>
        <w:t xml:space="preserve"> efficacy analysis in treatment </w:t>
      </w:r>
      <w:r w:rsidRPr="00D70F38">
        <w:t>experienced patients from Stud</w:t>
      </w:r>
      <w:r>
        <w:t>ies</w:t>
      </w:r>
      <w:r w:rsidRPr="00D70F38">
        <w:t xml:space="preserve"> A4001027 and A4001028 confirmed the superior efficacy of maraviroc 300 mg QD and BID compared to placebo, and the safety analysis revealed no new or unexpected safety</w:t>
      </w:r>
      <w:r>
        <w:t xml:space="preserve"> signals. The safety follow-up of 48 Weeks is considered relatively short, and rare AEs may remain to be identified. The clinical evaluator agrees that the risk benefit profile remains positive in these treatment experienced patients. The PI amendments recommended by clinical evaluator in relation to treatment experienced patients have been largely accepted by the sponsor. The 48 Week results of supportive Study A4001029 were also included in the PI, but the use of maraviroc for the treatment of patients infected with non-CCR</w:t>
      </w:r>
      <w:r w:rsidR="008E3DE4">
        <w:t>5 tropic virus is not proposed.</w:t>
      </w:r>
    </w:p>
    <w:p w:rsidR="002C782A" w:rsidRDefault="002C782A" w:rsidP="008E3DE4">
      <w:r>
        <w:t>This application concerns an extension of indication to treatment</w:t>
      </w:r>
      <w:r w:rsidRPr="0043166D">
        <w:t xml:space="preserve"> </w:t>
      </w:r>
      <w:r>
        <w:t>naïve patients infected with CCR5 tropic HIV-1; therefore only Study A4001026 is discussed in this overview.</w:t>
      </w:r>
    </w:p>
    <w:p w:rsidR="002C782A" w:rsidRDefault="002C782A" w:rsidP="008E3DE4">
      <w:pPr>
        <w:pStyle w:val="Heading4"/>
      </w:pPr>
      <w:r>
        <w:lastRenderedPageBreak/>
        <w:t>Study A4001026 (MERIT Study)</w:t>
      </w:r>
    </w:p>
    <w:p w:rsidR="002C782A" w:rsidRPr="00327E77" w:rsidRDefault="002C782A" w:rsidP="008E3DE4">
      <w:r w:rsidRPr="00327E77">
        <w:t>Study A4001026 was a Phase</w:t>
      </w:r>
      <w:r>
        <w:t xml:space="preserve"> </w:t>
      </w:r>
      <w:r w:rsidRPr="00327E77">
        <w:t>IIb/III multicentre, randomised (1:1:1), double-blind study comparing maraviroc 300 mg either QD or BID versus efavirenz 600 mg QD, each in combination with lamivudine 150 mg/zidovudine 300 mg (C</w:t>
      </w:r>
      <w:r>
        <w:t xml:space="preserve">ombivir) BID, in treatment </w:t>
      </w:r>
      <w:r w:rsidRPr="00327E77">
        <w:t>naïve, CCR5</w:t>
      </w:r>
      <w:r>
        <w:t xml:space="preserve"> </w:t>
      </w:r>
      <w:r w:rsidRPr="00327E77">
        <w:t xml:space="preserve">tropic, HIV-1 infected patients. Results to Week 96 were initially provided. There was an interim analysis at Week 16, a primary efficacy analysis at Week 48, and an analysis at Week 96. </w:t>
      </w:r>
      <w:r>
        <w:t>The a</w:t>
      </w:r>
      <w:r w:rsidRPr="00327E77">
        <w:t>nalysis at Week 240 was later submitted as supplementary data.</w:t>
      </w:r>
    </w:p>
    <w:p w:rsidR="002C782A" w:rsidRDefault="002C782A" w:rsidP="002C782A">
      <w:r>
        <w:t>Eligible patients were HIV-infected subjects who were ≥ 16 years old and who had &gt; 2000 copies of HIV-1 RNA/mL. Infection with CXCR4 (X4) or D/M tropic virus and resistance to efavirenz, zidovudine or lamivudine were exclusion criteria. The OTA was used to detect the presence of CXCR4- tropic virus. Detailed criteria for subject’s selection were included. All subjects had genotypic and/or phenotypic testing for the presence of CCR5 tropic HIV-1 prior</w:t>
      </w:r>
      <w:r w:rsidR="008E3DE4">
        <w:t xml:space="preserve"> to receiving study treatments.</w:t>
      </w:r>
    </w:p>
    <w:p w:rsidR="002C782A" w:rsidRDefault="002C782A" w:rsidP="002C782A">
      <w:r>
        <w:t xml:space="preserve">A total of 695 patients were treated: 174 in the maraviroc QD group, 360 in the maraviroc BID group, and 361 in the efavirenz group. Following the interim analysis at Week 16, the maraviroc QD group was discontinued due to failure to meet non-inferiority criteria. Subjects in the maraviroc QD arm were eligible to receive OL maraviroc 300 mg BID, based on safety criteria and virological response. The efficacy analysis discussed in this overview is focused on the comparison between subjects treated with maraviroc 300 mg BID (referred to here as the maraviroc BID group) and subjects treated with efavirenz 600 </w:t>
      </w:r>
      <w:r w:rsidR="008E3DE4">
        <w:t>mg QD (the efavirenz QD group).</w:t>
      </w:r>
    </w:p>
    <w:p w:rsidR="002C782A" w:rsidRDefault="002C782A" w:rsidP="002C782A">
      <w:r>
        <w:t>The co-primary efficacy endpoints are proportion of subjects achieving HIV RNA VL &lt; 400 and &lt; 50 copies/mL at Week 48. The primary objective was to assess non-inferiority of maraviroc BID compared to efavirenz QD in terms of the proportion of subjects achieving VL &lt; 400 and &lt; 50 copies/mL at Week 48. Similar assessments were conducted at Weeks 24 and 96 as secondary objectives. Other secondary objectives included: comparison of treatment effects on TLOVR, reduction of plasma log</w:t>
      </w:r>
      <w:r w:rsidRPr="00F26AA0">
        <w:rPr>
          <w:vertAlign w:val="subscript"/>
        </w:rPr>
        <w:t>10</w:t>
      </w:r>
      <w:r>
        <w:t xml:space="preserve"> VL from baseline, changes in CD4</w:t>
      </w:r>
      <w:r w:rsidRPr="00F26AA0">
        <w:rPr>
          <w:vertAlign w:val="superscript"/>
        </w:rPr>
        <w:t>+</w:t>
      </w:r>
      <w:r>
        <w:t xml:space="preserve"> and CD8</w:t>
      </w:r>
      <w:r w:rsidRPr="00F26AA0">
        <w:rPr>
          <w:vertAlign w:val="superscript"/>
        </w:rPr>
        <w:t>+</w:t>
      </w:r>
      <w:r>
        <w:t xml:space="preserve"> cell counts from baseline, Time-Averaged Difference (TAD) in log</w:t>
      </w:r>
      <w:r w:rsidRPr="00F26AA0">
        <w:rPr>
          <w:vertAlign w:val="subscript"/>
        </w:rPr>
        <w:t>10</w:t>
      </w:r>
      <w:r>
        <w:t xml:space="preserve"> VL, HIV-1 genotype and phenotype at the time of failure, HIV-1 tropism at baseline and at the time of failure, safety, and tolerability.</w:t>
      </w:r>
    </w:p>
    <w:p w:rsidR="002C782A" w:rsidRDefault="002C782A" w:rsidP="002C782A">
      <w:r>
        <w:t xml:space="preserve">The primary analysis was based on 1-sided, 97.5% CI with adjustment for randomisation strata. Non-inferiority was concluded if the LB of 97.5% CI was above </w:t>
      </w:r>
      <w:r>
        <w:noBreakHyphen/>
        <w:t>10%. For the primary analysis, subjects were stratified by geographic location (Northern or Southern Hemisphere) and screening VL (&lt; 100,000 or ≥ 100,000 copies/mL). Efficacy analyses were conducted in the FAS and the PP set. Sensitivity analysis was performed using the TLOVR algorithm. The initially planned 1-sided significance level of 0.0125 (Bonferroni adjustment for multiple comparisons) was changed to the 1-sided 97.5% CI when the maraviroc QD group was discontinued.</w:t>
      </w:r>
    </w:p>
    <w:p w:rsidR="002C782A" w:rsidRDefault="002C782A" w:rsidP="002C782A">
      <w:pPr>
        <w:pStyle w:val="Heading4"/>
      </w:pPr>
      <w:r>
        <w:t>Results</w:t>
      </w:r>
    </w:p>
    <w:p w:rsidR="002C782A" w:rsidRDefault="002C782A" w:rsidP="002C782A">
      <w:r>
        <w:t>A relatively high proportion of females (29% of the maraviroc group, 28% of the efavirenz group) and Black patients (34.2% of the maraviroc group and 36.8 % of the efavirenz group) were included in the study. No significant differences in demographic characteristics were noted between the two arms. The overall rates of study discontinuation were similar in the two arms. However, the efavirenz group had higher rates of discontinuation due to AEs (13.6%) compared with the maraviroc arm (4.2%), whereas the maraviroc group experienced higher rates of virologic failure (11.9%) compared</w:t>
      </w:r>
      <w:r w:rsidR="008E3DE4">
        <w:t xml:space="preserve"> to the efavirenz group (4.2%).</w:t>
      </w:r>
    </w:p>
    <w:p w:rsidR="002C782A" w:rsidRDefault="002C782A" w:rsidP="008E3DE4">
      <w:pPr>
        <w:pStyle w:val="Heading5"/>
      </w:pPr>
      <w:r>
        <w:lastRenderedPageBreak/>
        <w:t>Efficacy analyses base</w:t>
      </w:r>
      <w:r w:rsidR="00FE638D">
        <w:t>d on the original Trofile assay</w:t>
      </w:r>
    </w:p>
    <w:p w:rsidR="002C782A" w:rsidRPr="00F26AA0" w:rsidRDefault="002C782A" w:rsidP="008E3DE4">
      <w:pPr>
        <w:pStyle w:val="Heading6"/>
      </w:pPr>
      <w:r w:rsidRPr="00F26AA0">
        <w:t xml:space="preserve">Proportion of subjects achieving </w:t>
      </w:r>
      <w:r>
        <w:t>VL &lt; 400 and &lt; 50 copies/mL</w:t>
      </w:r>
    </w:p>
    <w:p w:rsidR="002C782A" w:rsidRDefault="002C782A" w:rsidP="002C782A">
      <w:r w:rsidRPr="00337FA1">
        <w:rPr>
          <w:i/>
        </w:rPr>
        <w:t>Week 48 analyses in FAS</w:t>
      </w:r>
      <w:r>
        <w:t xml:space="preserve">: Based on achieving VL &lt; 400 copies/mL, the percentage of subjects was 70.6% for the maraviroc group and 73.1% for the efavirenz group. The LB of 1-sided 97.5% CI for the difference was -9.5%, which fulfilled the non-inferiority criteria. Non-inferiority is also supported by </w:t>
      </w:r>
      <w:r w:rsidR="008E3DE4">
        <w:t>the TLOVR sensitivity analysis.</w:t>
      </w:r>
    </w:p>
    <w:p w:rsidR="002C782A" w:rsidRDefault="002C782A" w:rsidP="002C782A">
      <w:r>
        <w:t>Based on achieving VL &lt; 50 copies/mL, the percentage of subjects was 65.3% in the maraviroc group and 69.3% in the efavirenz group. The LB of the 1-sided 97.5% CI for the difference was -10.9%, which failed to meet the non-inferiority criteria. The TLOVR sensitivity analysis was consistent with this finding. The results are summarised in Tables 11 and 12, below.</w:t>
      </w:r>
    </w:p>
    <w:p w:rsidR="002C782A" w:rsidRDefault="002C782A" w:rsidP="008E3DE4">
      <w:pPr>
        <w:pStyle w:val="TableTitle"/>
      </w:pPr>
      <w:proofErr w:type="gramStart"/>
      <w:r>
        <w:t>Table 11.</w:t>
      </w:r>
      <w:proofErr w:type="gramEnd"/>
      <w:r>
        <w:t xml:space="preserve"> Percentage of subjects with VL&lt; 400 and &lt; 50 </w:t>
      </w:r>
      <w:r w:rsidR="008E3DE4">
        <w:t>copies/mL at Week 48 in the FAS</w:t>
      </w:r>
    </w:p>
    <w:p w:rsidR="002C782A" w:rsidRDefault="002C782A" w:rsidP="00C84393">
      <w:pPr>
        <w:pStyle w:val="Footer"/>
        <w:rPr>
          <w:sz w:val="22"/>
        </w:rPr>
      </w:pPr>
      <w:r>
        <w:rPr>
          <w:noProof/>
          <w:sz w:val="22"/>
          <w:lang w:eastAsia="en-AU"/>
        </w:rPr>
        <w:drawing>
          <wp:inline distT="0" distB="0" distL="0" distR="0">
            <wp:extent cx="5291455" cy="609600"/>
            <wp:effectExtent l="19050" t="0" r="4445" b="0"/>
            <wp:docPr id="9" name="Picture 9" descr="Table 11. Percentage of subjects with VL&lt; 400 and &lt; 50 copies/mL at Week 48 in the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291455" cy="609600"/>
                    </a:xfrm>
                    <a:prstGeom prst="rect">
                      <a:avLst/>
                    </a:prstGeom>
                    <a:noFill/>
                    <a:ln w="9525">
                      <a:noFill/>
                      <a:miter lim="800000"/>
                      <a:headEnd/>
                      <a:tailEnd/>
                    </a:ln>
                  </pic:spPr>
                </pic:pic>
              </a:graphicData>
            </a:graphic>
          </wp:inline>
        </w:drawing>
      </w:r>
    </w:p>
    <w:p w:rsidR="00E87B6E" w:rsidRPr="00E87B6E" w:rsidRDefault="00E87B6E" w:rsidP="008E3DE4">
      <w:pPr>
        <w:pStyle w:val="TableDescription"/>
      </w:pPr>
      <w:r w:rsidRPr="00E87B6E">
        <w:t>N= number of subjects in the treatment group in the indicated population</w:t>
      </w:r>
    </w:p>
    <w:p w:rsidR="00E87B6E" w:rsidRPr="00E87B6E" w:rsidRDefault="00E87B6E" w:rsidP="008E3DE4">
      <w:pPr>
        <w:pStyle w:val="TableDescription"/>
      </w:pPr>
      <w:r w:rsidRPr="00E87B6E">
        <w:t xml:space="preserve">n = number of subjects contributing to the calculation </w:t>
      </w:r>
      <w:r>
        <w:t xml:space="preserve">of the </w:t>
      </w:r>
      <w:r w:rsidRPr="00E87B6E">
        <w:t>percentage</w:t>
      </w:r>
    </w:p>
    <w:p w:rsidR="002C782A" w:rsidRDefault="002C782A" w:rsidP="008E3DE4">
      <w:pPr>
        <w:pStyle w:val="TableTitle"/>
      </w:pPr>
      <w:bookmarkStart w:id="160" w:name="_Ref303932269"/>
      <w:proofErr w:type="gramStart"/>
      <w:r>
        <w:t>Table 12.</w:t>
      </w:r>
      <w:proofErr w:type="gramEnd"/>
      <w:r>
        <w:t xml:space="preserve"> Differences in percentage of subjects with VL&lt; 400 and &lt; 50 copies/mL at Week 48 in the FAS</w:t>
      </w:r>
      <w:bookmarkEnd w:id="160"/>
    </w:p>
    <w:p w:rsidR="002C782A" w:rsidRDefault="002C782A" w:rsidP="00E87B6E">
      <w:pPr>
        <w:pStyle w:val="Footer"/>
        <w:rPr>
          <w:sz w:val="22"/>
        </w:rPr>
      </w:pPr>
      <w:r>
        <w:rPr>
          <w:noProof/>
          <w:sz w:val="22"/>
          <w:lang w:eastAsia="en-AU"/>
        </w:rPr>
        <w:drawing>
          <wp:inline distT="0" distB="0" distL="0" distR="0">
            <wp:extent cx="5320030" cy="714375"/>
            <wp:effectExtent l="19050" t="0" r="0" b="0"/>
            <wp:docPr id="11" name="Picture 11" descr="Table 12. Differences in percentage of subjects with VL&lt; 400 and &lt; 50 copies/mL at Week 48 in the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320030" cy="714375"/>
                    </a:xfrm>
                    <a:prstGeom prst="rect">
                      <a:avLst/>
                    </a:prstGeom>
                    <a:noFill/>
                    <a:ln w="9525">
                      <a:noFill/>
                      <a:miter lim="800000"/>
                      <a:headEnd/>
                      <a:tailEnd/>
                    </a:ln>
                  </pic:spPr>
                </pic:pic>
              </a:graphicData>
            </a:graphic>
          </wp:inline>
        </w:drawing>
      </w:r>
    </w:p>
    <w:p w:rsidR="00E87B6E" w:rsidRPr="00E87B6E" w:rsidRDefault="00E87B6E" w:rsidP="00FE638D">
      <w:pPr>
        <w:pStyle w:val="TableDescription"/>
      </w:pPr>
      <w:proofErr w:type="gramStart"/>
      <w:r w:rsidRPr="00E87B6E">
        <w:t>a</w:t>
      </w:r>
      <w:proofErr w:type="gramEnd"/>
      <w:r w:rsidRPr="00E87B6E">
        <w:t>: adjusted for randomisation strata</w:t>
      </w:r>
    </w:p>
    <w:p w:rsidR="002C782A" w:rsidRDefault="002C782A" w:rsidP="002C782A">
      <w:r w:rsidRPr="00337FA1">
        <w:rPr>
          <w:i/>
        </w:rPr>
        <w:t>Week 48 analyses in the PP set:</w:t>
      </w:r>
      <w:r>
        <w:t xml:space="preserve"> the LB of the 1-sided 97.5% CI for the difference between the two treatment arms was -10.5% and -11.2% based on VL &lt; 400 and &lt;</w:t>
      </w:r>
      <w:proofErr w:type="gramStart"/>
      <w:r>
        <w:t>50 copies/mL, respectively</w:t>
      </w:r>
      <w:proofErr w:type="gramEnd"/>
      <w:r>
        <w:t>. Non-inf</w:t>
      </w:r>
      <w:r w:rsidR="00FE638D">
        <w:t>eriority criteria were not met.</w:t>
      </w:r>
    </w:p>
    <w:p w:rsidR="002C782A" w:rsidRDefault="002C782A" w:rsidP="002C782A">
      <w:r w:rsidRPr="00337FA1">
        <w:rPr>
          <w:i/>
        </w:rPr>
        <w:t>Week 96 analyses in the FAS:</w:t>
      </w:r>
      <w:r>
        <w:t xml:space="preserve"> based on achieving VL &lt; 400 copies/mL, the percentage of subjects was 61% for the maraviroc group and 65% for the efavirenz group. Based on achieving VL &lt; 50 copies/mL, the percentage of subjects was 57% and 63% for the maraviroc and efavirenz group, respectively. The LB of the 1-sided 97.5% CI for the difference was </w:t>
      </w:r>
      <w:r>
        <w:noBreakHyphen/>
        <w:t xml:space="preserve">10.2 and </w:t>
      </w:r>
      <w:r>
        <w:noBreakHyphen/>
        <w:t>12.8 based on VL &lt; 400 and &lt; 50 copies/mL, respectively. The pre-specified non-inferiority criteria were not met.</w:t>
      </w:r>
    </w:p>
    <w:p w:rsidR="002C782A" w:rsidRPr="00F26AA0" w:rsidRDefault="002C782A" w:rsidP="00FE638D">
      <w:pPr>
        <w:pStyle w:val="Heading6"/>
      </w:pPr>
      <w:r w:rsidRPr="00F26AA0">
        <w:t>Mean change from baseline in CD4</w:t>
      </w:r>
      <w:r w:rsidRPr="00F26AA0">
        <w:rPr>
          <w:vertAlign w:val="superscript"/>
        </w:rPr>
        <w:t>+</w:t>
      </w:r>
      <w:r w:rsidRPr="00F26AA0">
        <w:t xml:space="preserve"> cell count</w:t>
      </w:r>
    </w:p>
    <w:p w:rsidR="002C782A" w:rsidRDefault="002C782A" w:rsidP="002C782A">
      <w:r w:rsidRPr="00337FA1">
        <w:rPr>
          <w:i/>
        </w:rPr>
        <w:t>At Week 48:</w:t>
      </w:r>
      <w:r>
        <w:t xml:space="preserve"> the mean increase from baseline in CD4</w:t>
      </w:r>
      <w:r w:rsidRPr="00F26AA0">
        <w:rPr>
          <w:vertAlign w:val="superscript"/>
        </w:rPr>
        <w:t>+</w:t>
      </w:r>
      <w:r>
        <w:t xml:space="preserve"> cell count was greater in the maraviroc group than in the efavirenz group (170 </w:t>
      </w:r>
      <w:proofErr w:type="gramStart"/>
      <w:r>
        <w:t>versus 144 cells/mm</w:t>
      </w:r>
      <w:r w:rsidRPr="00F26AA0">
        <w:rPr>
          <w:vertAlign w:val="superscript"/>
        </w:rPr>
        <w:t>3</w:t>
      </w:r>
      <w:proofErr w:type="gramEnd"/>
      <w:r>
        <w:t xml:space="preserve">). The difference was </w:t>
      </w:r>
      <w:proofErr w:type="gramStart"/>
      <w:r>
        <w:t>26.3 cells/µL (95% CI 7.0, 45.6)</w:t>
      </w:r>
      <w:proofErr w:type="gramEnd"/>
      <w:r>
        <w:t>. Results for the PP pop</w:t>
      </w:r>
      <w:r w:rsidR="00FE638D">
        <w:t>ulation supported this finding.</w:t>
      </w:r>
    </w:p>
    <w:p w:rsidR="002C782A" w:rsidRDefault="002C782A" w:rsidP="002C782A">
      <w:r w:rsidRPr="00337FA1">
        <w:rPr>
          <w:i/>
        </w:rPr>
        <w:t>At Week 96:</w:t>
      </w:r>
      <w:r>
        <w:t xml:space="preserve"> the mean difference in CD4</w:t>
      </w:r>
      <w:r w:rsidRPr="00F26AA0">
        <w:rPr>
          <w:vertAlign w:val="superscript"/>
        </w:rPr>
        <w:t>+</w:t>
      </w:r>
      <w:r>
        <w:t xml:space="preserve"> cell count between the maraviroc and efavirenz groups was </w:t>
      </w:r>
      <w:proofErr w:type="gramStart"/>
      <w:r>
        <w:t>35.44 cells/μL</w:t>
      </w:r>
      <w:proofErr w:type="gramEnd"/>
      <w:r>
        <w:t>. The 95% CI (13.2, 57.86) excluded zero, indicating a better result for maraviroc BID than for efavirenz QD.</w:t>
      </w:r>
    </w:p>
    <w:p w:rsidR="002C782A" w:rsidRPr="00D70F38" w:rsidRDefault="002C782A" w:rsidP="00FE638D">
      <w:pPr>
        <w:pStyle w:val="Heading6"/>
      </w:pPr>
      <w:r>
        <w:t>Virologic f</w:t>
      </w:r>
      <w:r w:rsidRPr="00D70F38">
        <w:t xml:space="preserve">ailure and </w:t>
      </w:r>
      <w:r>
        <w:t>r</w:t>
      </w:r>
      <w:r w:rsidRPr="00D70F38">
        <w:t>ebound</w:t>
      </w:r>
    </w:p>
    <w:p w:rsidR="002C782A" w:rsidRDefault="002C782A" w:rsidP="002C782A">
      <w:r w:rsidRPr="00337FA1">
        <w:rPr>
          <w:i/>
        </w:rPr>
        <w:t>Week 48 assessment:</w:t>
      </w:r>
      <w:r>
        <w:t xml:space="preserve"> based on VL &lt; 400 copies/mL, virologic failure occurred in 27.7% of the non-responders in the maraviroc group, compared to 5.3% of the non-responders in the efavirenz group. Virologic failure based on VL &lt; 50 copies/mL occurred in 32.0% of the non-responders in the maraviroc group, compared </w:t>
      </w:r>
      <w:r w:rsidR="00FE638D">
        <w:t>to 8.8% in the efavirenz group.</w:t>
      </w:r>
    </w:p>
    <w:p w:rsidR="002C782A" w:rsidRDefault="002C782A" w:rsidP="002C782A">
      <w:r>
        <w:t xml:space="preserve">Rebound based on VL &lt; 400 copies/mL was reported for 20.8% of non-responders in the maraviroc group compared to 16.0% in the efavirenz group. Rebound based on VL </w:t>
      </w:r>
      <w:r>
        <w:lastRenderedPageBreak/>
        <w:t xml:space="preserve">&lt; 50 copies/mL occurred in 19.7% of non-responders in the maraviroc group compared to 14.7% in the efavirenz </w:t>
      </w:r>
      <w:r w:rsidR="00FE638D">
        <w:t>group.</w:t>
      </w:r>
    </w:p>
    <w:p w:rsidR="002C782A" w:rsidRDefault="002C782A" w:rsidP="002C782A">
      <w:r w:rsidRPr="00337FA1">
        <w:rPr>
          <w:i/>
        </w:rPr>
        <w:t>Week 96 assessment:</w:t>
      </w:r>
      <w:r>
        <w:t xml:space="preserve"> A similar pattern to that in Week 48 was demonstrated for virologic failure and rebound assessed at Week 96.</w:t>
      </w:r>
    </w:p>
    <w:p w:rsidR="002C782A" w:rsidRDefault="002C782A" w:rsidP="002C782A">
      <w:r>
        <w:t>Overall, the rates of virologic failure and rebound were higher in the maraviroc BID group.</w:t>
      </w:r>
    </w:p>
    <w:p w:rsidR="002C782A" w:rsidRPr="00D70F38" w:rsidRDefault="002C782A" w:rsidP="00FE638D">
      <w:pPr>
        <w:pStyle w:val="Heading6"/>
      </w:pPr>
      <w:r w:rsidRPr="00D70F38">
        <w:t>Viral resistance at the time of discontinuation / treatment failure</w:t>
      </w:r>
    </w:p>
    <w:p w:rsidR="002C782A" w:rsidRDefault="002C782A" w:rsidP="002C782A">
      <w:r w:rsidRPr="00337FA1">
        <w:rPr>
          <w:i/>
        </w:rPr>
        <w:t>Week 48 assessment:</w:t>
      </w:r>
      <w:r>
        <w:t xml:space="preserve"> At the time of discontinuation, 33/97 (34.0%) in the maraviroc group and 3/91(3.3%) in the efavirenz group had resistance to lamivudine. Six of 97 subjects (6.2%) in the maraviroc group had virus with zidovudine resistance, evidenced by the presence of one or more TAMs. For all 6 patients whose virus had TAMs, lamivudine resistance was also present. None of the 91 subjects who failed efavirenz had virus with TAMs. Eight of 91 (8.8%) in the efavirenz group had resistance to efavirenz. No subjects in the maraviroc gro</w:t>
      </w:r>
      <w:r w:rsidR="00FE638D">
        <w:t>up had resistance to efavirenz.</w:t>
      </w:r>
    </w:p>
    <w:p w:rsidR="002C782A" w:rsidRDefault="002C782A" w:rsidP="002C782A">
      <w:r>
        <w:t>At the time of treatment failure, 62.8% (27/43) in the maraviroc group and 20.0% (3/15) in the efavirenz group had resistance to lamivudine. In addition, 14.0% (6/43) in the maraviroc group had zidovudine resistance. For all 6 subjects whose virus had TAMs, lamivudine resistance was also present. None of the 15 subjects who failed efavirenz had virus with TAMs at failure. Seven of 15 subjects (46.7%) in the efavirenz group had resistance to efavirenz at time of failure. No subjects in the maraviroc group had reduced susceptibility to efavirenz.</w:t>
      </w:r>
    </w:p>
    <w:p w:rsidR="002C782A" w:rsidRDefault="002C782A" w:rsidP="002C782A">
      <w:r w:rsidRPr="00337FA1">
        <w:rPr>
          <w:i/>
        </w:rPr>
        <w:t>Week 96 assessment:</w:t>
      </w:r>
      <w:r w:rsidRPr="00337FA1">
        <w:t xml:space="preserve"> </w:t>
      </w:r>
      <w:r>
        <w:t>At the time of discontinuation, 40 (31.0%) in the maraviroc group and 8 (6.5%) in the efavirenz group had resistance to zidovudine/lamivudine. Six (4.7%) subjects in the maraviroc group and 2 (1.6%) in the efavirenz group had virus with one or more TAMs.</w:t>
      </w:r>
    </w:p>
    <w:p w:rsidR="002C782A" w:rsidRDefault="002C782A" w:rsidP="002C782A">
      <w:r>
        <w:t>At the time of treatment failure, 33 (60.0%) subjects in the maraviroc group and 8 (34.8%) in the efavirenz group had resistance to zidovudine/lamivudine. In addition, 6 (10.9%) in the maraviroc group and 2 (8.7%) in the efavirenz group had virus with one or more TAMs.</w:t>
      </w:r>
    </w:p>
    <w:p w:rsidR="002C782A" w:rsidRDefault="002C782A" w:rsidP="002C782A">
      <w:r>
        <w:t>Overall, a higher percentage of patients in the maraviroc group developed resistanc</w:t>
      </w:r>
      <w:r w:rsidR="00FE638D">
        <w:t>e to backbone antiviral agents.</w:t>
      </w:r>
    </w:p>
    <w:p w:rsidR="002C782A" w:rsidRPr="00D70F38" w:rsidRDefault="002C782A" w:rsidP="00FE638D">
      <w:pPr>
        <w:pStyle w:val="Heading6"/>
      </w:pPr>
      <w:r w:rsidRPr="00D70F38">
        <w:t>Viral tropism at the time of discontinuation / treatment failure</w:t>
      </w:r>
    </w:p>
    <w:p w:rsidR="002C782A" w:rsidRDefault="002C782A" w:rsidP="002C782A">
      <w:proofErr w:type="gramStart"/>
      <w:r>
        <w:t>Of the 694 evaluable subjects, 13 (3.8%) in the maraviroc group and 11 (3.1%) in the efavirenz group switched from CCR5 tropic at screening to D/M tropic at</w:t>
      </w:r>
      <w:r w:rsidR="00FE638D">
        <w:t xml:space="preserve"> baseline.</w:t>
      </w:r>
      <w:proofErr w:type="gramEnd"/>
    </w:p>
    <w:p w:rsidR="002C782A" w:rsidRDefault="002C782A" w:rsidP="002C782A">
      <w:r w:rsidRPr="00337FA1">
        <w:rPr>
          <w:i/>
        </w:rPr>
        <w:t xml:space="preserve">Week 48 </w:t>
      </w:r>
      <w:proofErr w:type="gramStart"/>
      <w:r w:rsidRPr="00337FA1">
        <w:rPr>
          <w:i/>
        </w:rPr>
        <w:t>assessment</w:t>
      </w:r>
      <w:proofErr w:type="gramEnd"/>
      <w:r w:rsidRPr="00337FA1">
        <w:rPr>
          <w:i/>
        </w:rPr>
        <w:t>:</w:t>
      </w:r>
      <w:r>
        <w:t xml:space="preserve"> at the time of discontinuation, 75 patients in the maraviroc group and 74 in the efavirenz group had a CCR5 tropism result at baseline and on-treatment. Of these, 12 subjects, all in the maraviroc group, had a change in tropism to CXCR4 or D/M. At the time of treatment failure, 32 subjects in the maraviroc group and 15 in the efavirenz group had a CCR5 tropism result at baseline and on-treatment. Of these, 10 subjects, all in the maraviroc group, had a change in tropism to CXCR4 or D/M.</w:t>
      </w:r>
    </w:p>
    <w:p w:rsidR="002C782A" w:rsidRDefault="002C782A" w:rsidP="002C782A">
      <w:r w:rsidRPr="00337FA1">
        <w:rPr>
          <w:i/>
        </w:rPr>
        <w:t xml:space="preserve">Week 96 </w:t>
      </w:r>
      <w:proofErr w:type="gramStart"/>
      <w:r w:rsidRPr="00337FA1">
        <w:rPr>
          <w:i/>
        </w:rPr>
        <w:t>assessment</w:t>
      </w:r>
      <w:proofErr w:type="gramEnd"/>
      <w:r w:rsidRPr="00337FA1">
        <w:rPr>
          <w:i/>
        </w:rPr>
        <w:t>:</w:t>
      </w:r>
      <w:r>
        <w:t xml:space="preserve"> at the time of discontinuation, 106 subjects in the maraviroc group and 105 in the efavirenz group had a CCR5 tropism result at baseline and on-treatment. Of these, 14 subjects, all in the maraviroc group, had a change in tropism to CXCR4 or D/M.</w:t>
      </w:r>
    </w:p>
    <w:p w:rsidR="002C782A" w:rsidRDefault="002C782A" w:rsidP="002C782A">
      <w:r>
        <w:t>At the time of treatment failure, 43 subjects in the maraviroc group and 22 in the efavirenz group had a CCR5 tropism result at baseline and on-treatment. Of these, 12 subjects, all in the maraviroc group, had a change in tropism to CXCR4 or D/M.</w:t>
      </w:r>
    </w:p>
    <w:p w:rsidR="002C782A" w:rsidRDefault="002C782A" w:rsidP="002C782A">
      <w:r>
        <w:t>It appears that maraviroc treatment failure may increase the risk of selection of non-CCR5 tropic virus; however, the majority of the subjects who failed with maraviroc still had CCR5 tropic virus at the time of treatment failure.</w:t>
      </w:r>
    </w:p>
    <w:p w:rsidR="002C782A" w:rsidRPr="00F777BD" w:rsidRDefault="002C782A" w:rsidP="00FE638D">
      <w:pPr>
        <w:pStyle w:val="Heading6"/>
      </w:pPr>
      <w:r w:rsidRPr="00F777BD">
        <w:lastRenderedPageBreak/>
        <w:t>Tropism and viral resistance</w:t>
      </w:r>
    </w:p>
    <w:p w:rsidR="002C782A" w:rsidRDefault="002C782A" w:rsidP="002C782A">
      <w:r w:rsidRPr="00337FA1">
        <w:rPr>
          <w:i/>
        </w:rPr>
        <w:t>Week 48 assessment:</w:t>
      </w:r>
      <w:r>
        <w:t xml:space="preserve"> in the maraviroc group, 7/13 (54%) who failed with CCR5 tropic virus had zidovudine/lamivudine resistance, compared to 16 of 16 (100%) subjects who failed with D/M or CXCR4 tropic virus. All viruses with zidovudine/lamivudine resistance at failure contained the M184V/I mutation with or without additional NRTI resistance mutations.</w:t>
      </w:r>
    </w:p>
    <w:p w:rsidR="002C782A" w:rsidRDefault="002C782A" w:rsidP="002C782A">
      <w:r w:rsidRPr="00337FA1">
        <w:rPr>
          <w:i/>
        </w:rPr>
        <w:t>Week 96 assessment:</w:t>
      </w:r>
      <w:r>
        <w:t xml:space="preserve"> zidovudine/lamivudine resistance mutations were reported by 10 (18.2%) subjects in the maraviroc group and 5 (21.7%) subjects in the efavirenz group who had CCR5 tropism at the time of failure. Of these, the M184V/I mutation was present in 10 (18.2%) of the maraviroc group and 5 (21.7%) of the efavirenz group. Nine (39.1%) in the efavirenz group developed efavirenz associated mutations. Of those with D/M tropism at the time of treatment failure in the maraviroc group, 14 (25.5%) had zidovudine/lamivudine mutations and 14 (25.5%) had an M184V/I mutation.</w:t>
      </w:r>
    </w:p>
    <w:p w:rsidR="002C782A" w:rsidRPr="002A25E8" w:rsidRDefault="002C782A" w:rsidP="00FE638D">
      <w:pPr>
        <w:pStyle w:val="Heading6"/>
      </w:pPr>
      <w:r w:rsidRPr="002A25E8">
        <w:t>Tropism and CD4</w:t>
      </w:r>
      <w:r w:rsidRPr="002A25E8">
        <w:rPr>
          <w:vertAlign w:val="superscript"/>
        </w:rPr>
        <w:t>+</w:t>
      </w:r>
      <w:r w:rsidRPr="002A25E8">
        <w:t xml:space="preserve"> cell count</w:t>
      </w:r>
    </w:p>
    <w:p w:rsidR="002C782A" w:rsidRDefault="002C782A" w:rsidP="002C782A">
      <w:r w:rsidRPr="00337FA1">
        <w:rPr>
          <w:i/>
        </w:rPr>
        <w:t>Week 48 assessments:</w:t>
      </w:r>
      <w:r>
        <w:t xml:space="preserve"> Change from baseline in CD4</w:t>
      </w:r>
      <w:r w:rsidRPr="002A25E8">
        <w:rPr>
          <w:vertAlign w:val="superscript"/>
        </w:rPr>
        <w:t>+</w:t>
      </w:r>
      <w:r>
        <w:t xml:space="preserve"> cell count was higher across all tropism groups for the maraviroc group compared to the efavirenz group for those failing treatment. Mean CD4</w:t>
      </w:r>
      <w:r w:rsidRPr="002A25E8">
        <w:rPr>
          <w:vertAlign w:val="superscript"/>
        </w:rPr>
        <w:t>+</w:t>
      </w:r>
      <w:r>
        <w:t xml:space="preserve"> cell count increases from baseline were greater in all maraviroc treatment failures </w:t>
      </w:r>
      <w:proofErr w:type="gramStart"/>
      <w:r>
        <w:t>(100.6 cells/µL)</w:t>
      </w:r>
      <w:proofErr w:type="gramEnd"/>
      <w:r>
        <w:t xml:space="preserve"> compared with all efavirenz treatment failures (44.3 cells/µL). Subjects with D/M tropic or CXCR4 virus at the time of maraviroc treatment failure had mean increases in CD4</w:t>
      </w:r>
      <w:r w:rsidRPr="002A25E8">
        <w:rPr>
          <w:vertAlign w:val="superscript"/>
        </w:rPr>
        <w:t>+</w:t>
      </w:r>
      <w:r>
        <w:t xml:space="preserve"> cell count (83.3 cells/µL) that were similar to those who failed maraviroc with CCR5 tropic virus (80.3 cells/µL).</w:t>
      </w:r>
    </w:p>
    <w:p w:rsidR="002C782A" w:rsidRDefault="002C782A" w:rsidP="002C782A">
      <w:r w:rsidRPr="00337FA1">
        <w:rPr>
          <w:i/>
        </w:rPr>
        <w:t>Week 96 assessment:</w:t>
      </w:r>
      <w:r>
        <w:t xml:space="preserve"> the CD4</w:t>
      </w:r>
      <w:r w:rsidRPr="002A25E8">
        <w:rPr>
          <w:vertAlign w:val="superscript"/>
        </w:rPr>
        <w:t>+</w:t>
      </w:r>
      <w:r>
        <w:t xml:space="preserve"> cell count increased from baseline for subjects in the maraviroc group who were either CCR5 tropic or CXCR4 tropic at treatment failure. Mean increases in CD4</w:t>
      </w:r>
      <w:r w:rsidRPr="002A25E8">
        <w:rPr>
          <w:vertAlign w:val="superscript"/>
        </w:rPr>
        <w:t>+</w:t>
      </w:r>
      <w:r>
        <w:t xml:space="preserve"> cell count were higher for those who were CCR5 tropic at treatment failure compared with those who were CXCR4 tropic at treatment failure.</w:t>
      </w:r>
    </w:p>
    <w:p w:rsidR="002C782A" w:rsidRPr="00734C8C" w:rsidRDefault="002C782A" w:rsidP="00FE638D">
      <w:pPr>
        <w:pStyle w:val="Heading6"/>
      </w:pPr>
      <w:r w:rsidRPr="00734C8C">
        <w:t>Subgroup analysis</w:t>
      </w:r>
    </w:p>
    <w:p w:rsidR="002C782A" w:rsidRDefault="002C782A" w:rsidP="002C782A">
      <w:r>
        <w:t>In the stratum with VL at screening ≥ 100,000 copies/mL, the proportions of subjects achieving VL &lt; 400 and &lt; 50 copies/mL were lower in the maraviroc group compared to the efavirenz group. Poorer response rates were also observed for the maraviroc group in Black subjects, in Southern hemisphere patients, in patients with subtype C virus and in female subjects.</w:t>
      </w:r>
    </w:p>
    <w:p w:rsidR="002C782A" w:rsidRDefault="002C782A" w:rsidP="00FE638D">
      <w:pPr>
        <w:pStyle w:val="Heading4"/>
      </w:pPr>
      <w:r>
        <w:t>Re-analysis of efficacy using ESTA</w:t>
      </w:r>
    </w:p>
    <w:p w:rsidR="002C782A" w:rsidRDefault="002C782A" w:rsidP="00FE638D">
      <w:r>
        <w:t xml:space="preserve">Following the Week 96 database lock, an ESTA became available and the OTA was replaced by ESTA in the market. Data from </w:t>
      </w:r>
      <w:r w:rsidRPr="002A25E8">
        <w:rPr>
          <w:i/>
        </w:rPr>
        <w:t>in vitro</w:t>
      </w:r>
      <w:r>
        <w:t xml:space="preserve"> experiments showed that ESTA has increased sensitivity in detecting CXCR4 tropic virus. A retrospective re</w:t>
      </w:r>
      <w:r>
        <w:noBreakHyphen/>
        <w:t xml:space="preserve">analysis of efficacy was conducted on the subpopulation of subjects who were identified as CCR5 positive based on ESTA. The efficacy endpoint for this analysis was the percentage of subjects with VL &lt; 400 and &lt; 50 copies/mL at Week 96. </w:t>
      </w:r>
    </w:p>
    <w:p w:rsidR="002C782A" w:rsidRDefault="002C782A" w:rsidP="002C782A">
      <w:r>
        <w:t>Of the 721 subjects in both arms of the study with virus originally classified as CCR5 at the screening, 106 (14.7%) were re-classified as D/M tropic or X4 tropic by ESTA; 48 (13.3%) and 58 (16.1%) in the maraviroc and efavirenz arms, respectively. On re-analysis, discontinuations due to lack of efficacy were 9.3% in the maraviroc group versus 4% in the efavirenz group. However the rate of discontinuation differed depending on the analysis method used. Using the TLOVR algorithm for the FAS, non-responders due to virologic failure were 21.3% in the maraviroc group compared to 4.9% in the efavirenz group. Non-responders due to rebound were 22.5% in the maraviroc group compared to 16.0% in the efavirenz group. Non-responders due to AEs were 15.0% in the maraviroc group versus 53.1% in the efavirenz group. Similar patterns were seen at 96 Weeks.</w:t>
      </w:r>
    </w:p>
    <w:p w:rsidR="002C782A" w:rsidRDefault="002C782A" w:rsidP="002C782A">
      <w:r w:rsidRPr="00337FA1">
        <w:rPr>
          <w:i/>
        </w:rPr>
        <w:lastRenderedPageBreak/>
        <w:t>Week 48 assessment:</w:t>
      </w:r>
      <w:r>
        <w:t xml:space="preserve"> the re-analysis in FAS showed that 68.5% in the maraviroc arm and 68.3% in the efavirenz arm reached VL &lt; 50 copies/mL, resulting in a difference of -0.2% with a LB of 97.5% CI of -7.4%. The non-inferiority criterion was fulfilled, and this was supported by the PP analysis (LB of CI -9.8%). For VL &lt; 400 copies/mL, the re-analysis in FAS showed a difference of + 0.6, with a LB of 97.5% CI of -6.4%, fulfilling the non-inferiority criteria. This was also supported by PP analysis (LB of CI:-9.5). Results are summarised in Table 13, below.</w:t>
      </w:r>
    </w:p>
    <w:p w:rsidR="002C782A" w:rsidRDefault="002C782A" w:rsidP="00FE638D">
      <w:pPr>
        <w:pStyle w:val="TableTitle"/>
      </w:pPr>
      <w:proofErr w:type="gramStart"/>
      <w:r>
        <w:t>Table 13.</w:t>
      </w:r>
      <w:proofErr w:type="gramEnd"/>
      <w:r>
        <w:t xml:space="preserve"> Week 48: Percentage of subjects with VL &lt; 400 and &lt; 50 copies/mL in the FAS </w:t>
      </w:r>
    </w:p>
    <w:p w:rsidR="002C782A" w:rsidRDefault="002C782A" w:rsidP="00FE638D">
      <w:r>
        <w:rPr>
          <w:noProof/>
          <w:lang w:eastAsia="en-AU"/>
        </w:rPr>
        <w:drawing>
          <wp:inline distT="0" distB="0" distL="0" distR="0">
            <wp:extent cx="5729605" cy="1310005"/>
            <wp:effectExtent l="19050" t="0" r="4445" b="0"/>
            <wp:docPr id="13" name="Picture 13" descr="Table 13. Week 48: Percentage of subjects with VL &lt; 400 and &lt; 50 copies/mL in the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29605" cy="1310005"/>
                    </a:xfrm>
                    <a:prstGeom prst="rect">
                      <a:avLst/>
                    </a:prstGeom>
                    <a:noFill/>
                    <a:ln w="9525">
                      <a:noFill/>
                      <a:miter lim="800000"/>
                      <a:headEnd/>
                      <a:tailEnd/>
                    </a:ln>
                  </pic:spPr>
                </pic:pic>
              </a:graphicData>
            </a:graphic>
          </wp:inline>
        </w:drawing>
      </w:r>
    </w:p>
    <w:p w:rsidR="002C782A" w:rsidRPr="00327E77" w:rsidRDefault="002C782A" w:rsidP="002C782A">
      <w:r w:rsidRPr="00337FA1">
        <w:rPr>
          <w:i/>
        </w:rPr>
        <w:t>Week 96 assessment:</w:t>
      </w:r>
      <w:r w:rsidRPr="00327E77">
        <w:t xml:space="preserve"> the percentage of subjects with VL &lt; 400 and &lt; 50 copies/mL at Week 96 in the FAS set is presented in Table </w:t>
      </w:r>
      <w:r>
        <w:t>14</w:t>
      </w:r>
      <w:r w:rsidRPr="00327E77">
        <w:t>, below.</w:t>
      </w:r>
    </w:p>
    <w:p w:rsidR="002C782A" w:rsidRDefault="002C782A" w:rsidP="00FE638D">
      <w:pPr>
        <w:pStyle w:val="TableTitle"/>
      </w:pPr>
      <w:bookmarkStart w:id="161" w:name="_Ref303931629"/>
      <w:proofErr w:type="gramStart"/>
      <w:r>
        <w:t>Table 14.</w:t>
      </w:r>
      <w:proofErr w:type="gramEnd"/>
      <w:r>
        <w:t xml:space="preserve"> Week 96: Percentage of subjects with VL &lt; 400 and &lt; 50 copies/mL in the FAS </w:t>
      </w:r>
      <w:bookmarkEnd w:id="161"/>
      <w:r>
        <w:rPr>
          <w:noProof/>
          <w:lang w:eastAsia="en-AU"/>
        </w:rPr>
        <w:drawing>
          <wp:inline distT="0" distB="0" distL="0" distR="0">
            <wp:extent cx="5153025" cy="586105"/>
            <wp:effectExtent l="19050" t="0" r="9525" b="0"/>
            <wp:docPr id="14" name="Picture 1" descr="Table 14. Week 96: Percentage of subjects with VL &lt; 400 and &lt; 50 copies/mL in the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153025" cy="586105"/>
                    </a:xfrm>
                    <a:prstGeom prst="rect">
                      <a:avLst/>
                    </a:prstGeom>
                    <a:noFill/>
                    <a:ln w="9525">
                      <a:noFill/>
                      <a:miter lim="800000"/>
                      <a:headEnd/>
                      <a:tailEnd/>
                    </a:ln>
                  </pic:spPr>
                </pic:pic>
              </a:graphicData>
            </a:graphic>
          </wp:inline>
        </w:drawing>
      </w:r>
    </w:p>
    <w:p w:rsidR="00E87B6E" w:rsidRPr="00E87B6E" w:rsidRDefault="00E87B6E" w:rsidP="00FE638D">
      <w:pPr>
        <w:pStyle w:val="TableDescription"/>
      </w:pPr>
      <w:r w:rsidRPr="00E87B6E">
        <w:t>N = number of subjects in treatment group’ n = number of subjects with an observation</w:t>
      </w:r>
    </w:p>
    <w:p w:rsidR="002C782A" w:rsidRDefault="002C782A" w:rsidP="002C782A">
      <w:r>
        <w:t>The difference between the two arms in the percentage of subjects with VL &lt;400 and &lt; 50 copies/mL was -3.2 and -5.8, respectively. The LB of 97.5% CI for the difference was -10.2 and -12.8, respectively, which failed to meet</w:t>
      </w:r>
      <w:r w:rsidR="00FE638D">
        <w:t xml:space="preserve"> the non-inferiority criteria.</w:t>
      </w:r>
    </w:p>
    <w:p w:rsidR="002C782A" w:rsidRDefault="002C782A" w:rsidP="002C782A">
      <w:r>
        <w:t>Various sensitivity analyses for both VL &lt; 400 and &lt; 50 copies/mL at 48 and 96 Weeks fai</w:t>
      </w:r>
      <w:r w:rsidR="00FE638D">
        <w:t>led to support non-inferiority.</w:t>
      </w:r>
    </w:p>
    <w:p w:rsidR="002C782A" w:rsidRDefault="002C782A" w:rsidP="00FE638D">
      <w:pPr>
        <w:pStyle w:val="Heading4"/>
      </w:pPr>
      <w:bookmarkStart w:id="162" w:name="_Toc322681330"/>
      <w:r>
        <w:t>Efficacy analyses at Week 240</w:t>
      </w:r>
      <w:bookmarkEnd w:id="162"/>
      <w:r w:rsidR="00FE638D">
        <w:t xml:space="preserve"> from Study A4001026</w:t>
      </w:r>
    </w:p>
    <w:p w:rsidR="002C782A" w:rsidRDefault="002C782A" w:rsidP="002C782A">
      <w:r>
        <w:t xml:space="preserve">The efficacy analyses at Week 240 were provided in the supplementary data. Based on ESTA analysis and with the VL cut-off </w:t>
      </w:r>
      <w:proofErr w:type="gramStart"/>
      <w:r>
        <w:t>of 50 copies/mL,</w:t>
      </w:r>
      <w:proofErr w:type="gramEnd"/>
      <w:r>
        <w:t xml:space="preserve"> the percentage of subjects was 50.8% (158/311) in the maraviroc group and 45.9% (139/303) in the efavirenz group. Based on the OTA analysis, the percentage of subjects was 48.9% (176/360) in the maraviroc group and 45.1% (165/361) in the efavirenz group.</w:t>
      </w:r>
    </w:p>
    <w:p w:rsidR="002C782A" w:rsidRDefault="002C782A" w:rsidP="002C782A">
      <w:r>
        <w:t>At Week 240, the mean changes from baseline in CD4</w:t>
      </w:r>
      <w:r w:rsidRPr="00523C33">
        <w:rPr>
          <w:vertAlign w:val="superscript"/>
        </w:rPr>
        <w:t>+</w:t>
      </w:r>
      <w:r>
        <w:t xml:space="preserve"> cell count by visit (LOCF) was 292.9 cells/µL for the maraviroc BID group and 270.6 cells</w:t>
      </w:r>
      <w:r w:rsidR="00FE638D">
        <w:t>/µL for the efavirenz QD group.</w:t>
      </w:r>
    </w:p>
    <w:p w:rsidR="002C782A" w:rsidRDefault="002C782A" w:rsidP="00356E09">
      <w:pPr>
        <w:pStyle w:val="Heading4"/>
      </w:pPr>
      <w:r>
        <w:t>Safety data from Study A4001026 for treatment</w:t>
      </w:r>
      <w:r w:rsidRPr="0043166D">
        <w:t xml:space="preserve"> </w:t>
      </w:r>
      <w:r>
        <w:t>naïve patients</w:t>
      </w:r>
    </w:p>
    <w:p w:rsidR="002C782A" w:rsidRDefault="002C782A" w:rsidP="00356E09">
      <w:r>
        <w:t>The safety of maraviroc BID compared to efavirenz QD, each in combination with zidovudine/lamivudine, in treatment naïve patients was assessed to Week 96. The total exposure, in patient-years, was 506 years for maraviroc and 507.9 years for efavirenz. The median duration of exposure was 672 days for maravi</w:t>
      </w:r>
      <w:r w:rsidR="00356E09">
        <w:t>roc and 673 days for efavirenz.</w:t>
      </w:r>
    </w:p>
    <w:p w:rsidR="002C782A" w:rsidRDefault="002C782A" w:rsidP="002C782A">
      <w:r>
        <w:t xml:space="preserve">All causality AEs were reported by 399 (94.2%) of the maraviroc BID group and 342 (94.7%) of the efavirenz group. Treatment related AEs were reported for 65.8% of the maraviroc group and 79.2% of the efavirenz group. The most frequently reported treatment emergent AEs were nausea (36.1% for maraviroc, 34.6% for efavirenz), headache (25.3% for maraviroc, 25.2% for efavirenz), diarrhoea (8.1% for maraviroc, </w:t>
      </w:r>
      <w:r>
        <w:lastRenderedPageBreak/>
        <w:t xml:space="preserve">12.7% for efavirenz) and fatigue (16.1% for maraviroc and 14.1% for efavirenz). The incidence of Grade 3 treatment emergent AEs </w:t>
      </w:r>
      <w:proofErr w:type="gramStart"/>
      <w:r>
        <w:t>was</w:t>
      </w:r>
      <w:proofErr w:type="gramEnd"/>
      <w:r>
        <w:t xml:space="preserve"> greater in the efavirenz arm. However, the incidence of Grade 4 events was similar for both treatment arms.</w:t>
      </w:r>
    </w:p>
    <w:p w:rsidR="002C782A" w:rsidRDefault="002C782A" w:rsidP="002C782A">
      <w:r>
        <w:t>A total of 94 subjects permanently discontinued from the study due to treatment emergent AEs; the percentage of patients who discontinued the study due to AEs was lower in the maraviroc group (7.5%) compared to that in the efavirenz group (18.6%). The most common reasons for discontinuation were increased transaminases, nausea and pregnancy in the maraviroc group, and rash, pregnancy, tuberculosis, dizziness and nausea in the efavirenz group.</w:t>
      </w:r>
    </w:p>
    <w:p w:rsidR="002C782A" w:rsidRPr="0087681C" w:rsidRDefault="002C782A" w:rsidP="002C782A">
      <w:r>
        <w:t xml:space="preserve">Twelve subjects died (6 in each treatment group) during the study, up to the Week 96 cut-off. </w:t>
      </w:r>
      <w:r w:rsidRPr="0087681C">
        <w:t>Two deaths were considered to be related to the study drug, both in the maraviroc group: one case of nasopharyngeal cancer reported on Day 502, and one case of diffuse large B</w:t>
      </w:r>
      <w:r w:rsidRPr="0087681C">
        <w:noBreakHyphen/>
        <w:t>cel</w:t>
      </w:r>
      <w:r w:rsidR="00356E09">
        <w:t>l lymphoma reported on Day 268.</w:t>
      </w:r>
    </w:p>
    <w:p w:rsidR="002C782A" w:rsidRDefault="002C782A" w:rsidP="002C782A">
      <w:r>
        <w:t>Forty-eight (13.3%) subjects in the maraviroc group and 55 (15.2%) in the efavirenz group recorded treatment emergent serious AEs during the 96 Week treatment period, or within 7 days of study drug discontinuation. Serious AEs were considered related to the study drug for 10 (2.8%) of the maraviroc group and 15 (4.2%) of the efavirenz group, and no clear pat</w:t>
      </w:r>
      <w:r w:rsidR="00356E09">
        <w:t>tern of events was discernable.</w:t>
      </w:r>
    </w:p>
    <w:p w:rsidR="002C782A" w:rsidRDefault="002C782A" w:rsidP="002C782A">
      <w:r>
        <w:t xml:space="preserve">Adverse events of interest include infections, AIDS related events and malignancies. A similar percentage of participants reported treatment related AEs relating </w:t>
      </w:r>
      <w:r w:rsidR="00356E09">
        <w:t>to infections and infestations.</w:t>
      </w:r>
    </w:p>
    <w:p w:rsidR="002C782A" w:rsidRDefault="002C782A" w:rsidP="002C782A">
      <w:r>
        <w:t>Treatment emergent AEs related to malignancies were reported in 4 subjects in the maraviroc group (1.4%) and 10 in the efavirenz group (3.3%). Three additional neoplasms were considered benign. Three events in the maraviroc group were considered related to the study drug: nasopharyngeal cancer, Hodgkin’s disease, and diffuse large B-cell lymphoma. No event was considered related in the efavirenz group. Adverse events related to malignancies resulted in discontinuation in 3 instances in the maraviroc group and 4 in the efavirenz group. Adjusted for exposure, the incidence rate for maraviroc and efavirenz, respectively, was 1.0 and 2.4 events/100 years of exposure.</w:t>
      </w:r>
    </w:p>
    <w:p w:rsidR="002C782A" w:rsidRDefault="002C782A" w:rsidP="002C782A">
      <w:r>
        <w:t>There were fewer Category C AIDS related events in the maraviroc group (2.5%) compared to the efavirenz group (3.3%). The main reason for this imbalance was a higher incidence of pulmonary tuberculosis in the efavirenz group. Adjusted for exposure, the incidences in the maraviroc group and the efavirenz group were 1.8 and 2.4/100 years, respectively.</w:t>
      </w:r>
    </w:p>
    <w:p w:rsidR="002C782A" w:rsidRDefault="002C782A" w:rsidP="002C782A">
      <w:r>
        <w:t>Lipid changes were lower with maraviroc as compared to efavirenz. Liver enzymes were raised more frequently in the efavirenz group. Rates of laboratory abnormalities (including liver inflammation) did not differ between the treatment arms. No significant differences were found in other laboratory findings.</w:t>
      </w:r>
    </w:p>
    <w:p w:rsidR="002C782A" w:rsidRDefault="002C782A" w:rsidP="00356E09">
      <w:pPr>
        <w:pStyle w:val="Heading4"/>
        <w:rPr>
          <w:lang w:val="en-US"/>
        </w:rPr>
      </w:pPr>
      <w:r>
        <w:t>Statistical methodology</w:t>
      </w:r>
    </w:p>
    <w:p w:rsidR="002C782A" w:rsidRDefault="002C782A" w:rsidP="00356E09">
      <w:pPr>
        <w:rPr>
          <w:rFonts w:eastAsia="SimSun"/>
          <w:lang w:bidi="en-US"/>
        </w:rPr>
      </w:pPr>
      <w:r>
        <w:t>The concerns relating to the statistical methodology of the submitted study, such as the impact of multiplicity and post hoc analysis, were raised by the clinical evaluator. The sponsor provided their arguments in the response to the CER. The evaluator’s concerns and sponsor’s response in relation to statistical issues were review</w:t>
      </w:r>
      <w:r w:rsidR="00356E09">
        <w:t>ed by an external statistician.</w:t>
      </w:r>
    </w:p>
    <w:p w:rsidR="002C782A" w:rsidRDefault="002C782A" w:rsidP="002C782A">
      <w:r>
        <w:t xml:space="preserve">In summary, the statistician is of the view that the methodological problems generated by multiplicity in this particular instance are considered at the low level of concern, and in this unusual instance where a subgroup analysis is based on a more sensitive assay (ESTA), multiplicity is not on its own a reason for rejection of the application. The available statistical evidence suggests that maraviroc is either non-inferior to efavirenz or </w:t>
      </w:r>
      <w:r>
        <w:lastRenderedPageBreak/>
        <w:t>narrowly inferior to efavirenz. These statistical results would need to be considered in conjunction with background clinical knowledge.</w:t>
      </w:r>
    </w:p>
    <w:p w:rsidR="002C782A" w:rsidRDefault="00356E09" w:rsidP="002C782A">
      <w:pPr>
        <w:pStyle w:val="Heading3"/>
        <w:rPr>
          <w:lang w:eastAsia="en-AU"/>
        </w:rPr>
      </w:pPr>
      <w:bookmarkStart w:id="163" w:name="_Toc355615896"/>
      <w:bookmarkStart w:id="164" w:name="_Toc366272754"/>
      <w:r>
        <w:rPr>
          <w:lang w:eastAsia="en-AU"/>
        </w:rPr>
        <w:t>Risk management p</w:t>
      </w:r>
      <w:r w:rsidR="002C782A">
        <w:rPr>
          <w:lang w:eastAsia="en-AU"/>
        </w:rPr>
        <w:t>lan</w:t>
      </w:r>
      <w:bookmarkEnd w:id="163"/>
      <w:bookmarkEnd w:id="164"/>
    </w:p>
    <w:p w:rsidR="002C782A" w:rsidRDefault="002C782A" w:rsidP="002C782A">
      <w:r>
        <w:t xml:space="preserve">The RMP </w:t>
      </w:r>
      <w:r>
        <w:rPr>
          <w:iCs/>
        </w:rPr>
        <w:t xml:space="preserve">Version 1.6, dated </w:t>
      </w:r>
      <w:r>
        <w:t xml:space="preserve">30 September </w:t>
      </w:r>
      <w:r>
        <w:rPr>
          <w:iCs/>
        </w:rPr>
        <w:t xml:space="preserve">2010, </w:t>
      </w:r>
      <w:r>
        <w:t xml:space="preserve">has been reviewed by the Office of Product Review (OPR). The sponsor has adequately addressed all OPR recommendations raised during the evaluation of the RMP Version 1.6. The sponsor has submitted an updated EU-RMP (Version 1.7, dated October 2011) with an Australian Specific Annex as Annex 8. The RMP evaluator recommends that if this application is approved, the following specific condition of registration should be applied: </w:t>
      </w:r>
      <w:r>
        <w:rPr>
          <w:i/>
        </w:rPr>
        <w:t>‘</w:t>
      </w:r>
      <w:r w:rsidRPr="00FE4D9A">
        <w:rPr>
          <w:i/>
        </w:rPr>
        <w:t xml:space="preserve">the Risk Management Plan Version </w:t>
      </w:r>
      <w:proofErr w:type="gramStart"/>
      <w:r w:rsidRPr="00FE4D9A">
        <w:rPr>
          <w:i/>
        </w:rPr>
        <w:t>1.7,</w:t>
      </w:r>
      <w:proofErr w:type="gramEnd"/>
      <w:r w:rsidRPr="00FE4D9A">
        <w:rPr>
          <w:i/>
        </w:rPr>
        <w:t xml:space="preserve"> dated October 2011, with an Australian Specific Annex (ASA) as Annex 8, must be implemented</w:t>
      </w:r>
      <w:r>
        <w:rPr>
          <w:i/>
        </w:rPr>
        <w:t>’</w:t>
      </w:r>
      <w:r>
        <w:t>.</w:t>
      </w:r>
    </w:p>
    <w:p w:rsidR="002C782A" w:rsidRDefault="00356E09" w:rsidP="00356E09">
      <w:pPr>
        <w:pStyle w:val="Heading3"/>
      </w:pPr>
      <w:bookmarkStart w:id="165" w:name="_Toc247691531"/>
      <w:bookmarkStart w:id="166" w:name="_Toc355615897"/>
      <w:bookmarkStart w:id="167" w:name="_Toc366272755"/>
      <w:r>
        <w:t>Risk-benefit a</w:t>
      </w:r>
      <w:r w:rsidR="002C782A">
        <w:t>nalysis</w:t>
      </w:r>
      <w:bookmarkEnd w:id="165"/>
      <w:bookmarkEnd w:id="166"/>
      <w:bookmarkEnd w:id="167"/>
    </w:p>
    <w:p w:rsidR="002C782A" w:rsidRDefault="00356E09" w:rsidP="00356E09">
      <w:pPr>
        <w:pStyle w:val="Heading4"/>
        <w:rPr>
          <w:lang w:eastAsia="zh-CN"/>
        </w:rPr>
      </w:pPr>
      <w:r>
        <w:rPr>
          <w:lang w:eastAsia="zh-CN"/>
        </w:rPr>
        <w:t>Benefits</w:t>
      </w:r>
    </w:p>
    <w:p w:rsidR="002C782A" w:rsidRDefault="002C782A" w:rsidP="00356E09">
      <w:pPr>
        <w:rPr>
          <w:b/>
          <w:u w:val="single"/>
          <w:lang w:eastAsia="zh-CN"/>
        </w:rPr>
      </w:pPr>
      <w:r>
        <w:rPr>
          <w:lang w:eastAsia="zh-CN"/>
        </w:rPr>
        <w:t xml:space="preserve">Based on the submitted data, the benefits associated with maraviroc BID treatment in </w:t>
      </w:r>
      <w:r>
        <w:t>treatment</w:t>
      </w:r>
      <w:r w:rsidRPr="0043166D">
        <w:t xml:space="preserve"> </w:t>
      </w:r>
      <w:r>
        <w:t>naïve patients</w:t>
      </w:r>
      <w:r>
        <w:rPr>
          <w:i/>
        </w:rPr>
        <w:t xml:space="preserve"> </w:t>
      </w:r>
      <w:r>
        <w:t>infected with CCR5 tropic HIV-1 including the followings:</w:t>
      </w:r>
    </w:p>
    <w:p w:rsidR="002C782A" w:rsidRDefault="002C782A" w:rsidP="00356E09">
      <w:pPr>
        <w:pStyle w:val="Heading5"/>
        <w:rPr>
          <w:lang w:eastAsia="zh-CN"/>
        </w:rPr>
      </w:pPr>
      <w:r>
        <w:rPr>
          <w:lang w:eastAsia="zh-CN"/>
        </w:rPr>
        <w:t xml:space="preserve">Non-inferior efficacy in the CCR5 </w:t>
      </w:r>
      <w:r>
        <w:t>tropic</w:t>
      </w:r>
      <w:r w:rsidR="00356E09">
        <w:rPr>
          <w:lang w:eastAsia="zh-CN"/>
        </w:rPr>
        <w:t xml:space="preserve"> population identified by ESTA</w:t>
      </w:r>
    </w:p>
    <w:p w:rsidR="002C782A" w:rsidRDefault="002C782A" w:rsidP="002C782A">
      <w:pPr>
        <w:rPr>
          <w:rFonts w:eastAsia="SimSun"/>
          <w:lang w:val="en-US" w:bidi="en-US"/>
        </w:rPr>
      </w:pPr>
      <w:r>
        <w:rPr>
          <w:lang w:eastAsia="zh-CN"/>
        </w:rPr>
        <w:t xml:space="preserve">The primary efficacy analysis with the OTA at Week 48 </w:t>
      </w:r>
      <w:r>
        <w:t xml:space="preserve">demonstrated non-inferiority only for VL &lt; 400 copies/mL and only in the FAS. Efficacy was later re-analysed based on the </w:t>
      </w:r>
      <w:r>
        <w:rPr>
          <w:lang w:eastAsia="zh-CN"/>
        </w:rPr>
        <w:t xml:space="preserve">CCR5 </w:t>
      </w:r>
      <w:r>
        <w:t>tropic</w:t>
      </w:r>
      <w:r>
        <w:rPr>
          <w:b/>
          <w:lang w:eastAsia="zh-CN"/>
        </w:rPr>
        <w:t xml:space="preserve"> </w:t>
      </w:r>
      <w:r>
        <w:rPr>
          <w:lang w:eastAsia="zh-CN"/>
        </w:rPr>
        <w:t>population identified</w:t>
      </w:r>
      <w:r>
        <w:rPr>
          <w:b/>
          <w:lang w:eastAsia="zh-CN"/>
        </w:rPr>
        <w:t xml:space="preserve"> </w:t>
      </w:r>
      <w:r>
        <w:rPr>
          <w:lang w:eastAsia="zh-CN"/>
        </w:rPr>
        <w:t xml:space="preserve">by </w:t>
      </w:r>
      <w:r>
        <w:t xml:space="preserve">ESTA. Of the 721 subjects in both arms of the study with virus originally classified as CCR5 at the screening, 106 (48 in the maraviroc group and 58 efavirenz group) were excluded from the re-analysis as they were identified as D/M tropic or X4 tropic by ESTA. </w:t>
      </w:r>
      <w:r>
        <w:rPr>
          <w:lang w:eastAsia="zh-CN"/>
        </w:rPr>
        <w:t xml:space="preserve">The re-analysis </w:t>
      </w:r>
      <w:r>
        <w:t xml:space="preserve">supported the non-inferiority </w:t>
      </w:r>
      <w:r>
        <w:rPr>
          <w:lang w:eastAsia="zh-CN"/>
        </w:rPr>
        <w:t xml:space="preserve">of maraviroc over efavirenz at Week 48 </w:t>
      </w:r>
      <w:r>
        <w:t xml:space="preserve">based on VL &lt; 400 and VL &lt; 50 copies/mL, however, </w:t>
      </w:r>
      <w:r>
        <w:rPr>
          <w:lang w:eastAsia="zh-CN"/>
        </w:rPr>
        <w:t>non</w:t>
      </w:r>
      <w:r>
        <w:t>-inferiority was not demonstrated for the efficacy analysis at Week 96. Efficacy at Week 240 in terms of VL &lt; 50 copies/mL and CD4</w:t>
      </w:r>
      <w:r>
        <w:rPr>
          <w:vertAlign w:val="superscript"/>
        </w:rPr>
        <w:t>+</w:t>
      </w:r>
      <w:r>
        <w:t xml:space="preserve"> cell count</w:t>
      </w:r>
      <w:r w:rsidR="00356E09">
        <w:t xml:space="preserve"> appears to be well maintained.</w:t>
      </w:r>
    </w:p>
    <w:p w:rsidR="002C782A" w:rsidRDefault="002C782A" w:rsidP="00356E09">
      <w:pPr>
        <w:pStyle w:val="Heading5"/>
        <w:rPr>
          <w:lang w:eastAsia="zh-CN"/>
        </w:rPr>
      </w:pPr>
      <w:r>
        <w:rPr>
          <w:lang w:eastAsia="zh-CN"/>
        </w:rPr>
        <w:t xml:space="preserve">Better tolerability and better </w:t>
      </w:r>
      <w:r>
        <w:t>CD4</w:t>
      </w:r>
      <w:r>
        <w:rPr>
          <w:vertAlign w:val="superscript"/>
        </w:rPr>
        <w:t>+</w:t>
      </w:r>
      <w:r>
        <w:t xml:space="preserve"> </w:t>
      </w:r>
      <w:r>
        <w:rPr>
          <w:lang w:eastAsia="zh-CN"/>
        </w:rPr>
        <w:t>cell gain</w:t>
      </w:r>
    </w:p>
    <w:p w:rsidR="002C782A" w:rsidRDefault="002C782A" w:rsidP="002C782A">
      <w:pPr>
        <w:autoSpaceDE w:val="0"/>
        <w:autoSpaceDN w:val="0"/>
        <w:adjustRightInd w:val="0"/>
        <w:rPr>
          <w:rFonts w:eastAsiaTheme="minorEastAsia"/>
          <w:color w:val="000000"/>
          <w:lang w:eastAsia="zh-CN"/>
        </w:rPr>
      </w:pPr>
      <w:r>
        <w:rPr>
          <w:rFonts w:eastAsiaTheme="minorEastAsia"/>
          <w:color w:val="000000"/>
          <w:lang w:eastAsia="zh-CN"/>
        </w:rPr>
        <w:t xml:space="preserve">In general, the safety profile of maraviroc in treatment naïve patients was not different from the already known safety profile in treatment experienced patients. When compared to efavirenz, maraviroc demonstrated a better safety profile with respect to discontinuations due to AEs and with respect to lipid profile (cholesterol, LDL, and triglycerides). Better lipid profile is considered an advantage, especially for HIV patients with cardiovascular and metabolic co-morbidities. Importantly, </w:t>
      </w:r>
      <w:r>
        <w:t xml:space="preserve">no increased risk </w:t>
      </w:r>
      <w:r>
        <w:rPr>
          <w:rFonts w:eastAsiaTheme="minorEastAsia"/>
          <w:color w:val="000000"/>
          <w:lang w:eastAsia="zh-CN"/>
        </w:rPr>
        <w:t>in Category C events or AIDS defining conditions</w:t>
      </w:r>
      <w:r>
        <w:t xml:space="preserve"> has</w:t>
      </w:r>
      <w:r w:rsidR="00356E09">
        <w:t xml:space="preserve"> been numerically demonstrated.</w:t>
      </w:r>
    </w:p>
    <w:p w:rsidR="002C782A" w:rsidRDefault="0041615A" w:rsidP="0041615A">
      <w:pPr>
        <w:pStyle w:val="Heading4"/>
        <w:rPr>
          <w:lang w:eastAsia="zh-CN"/>
        </w:rPr>
      </w:pPr>
      <w:r>
        <w:rPr>
          <w:lang w:eastAsia="zh-CN"/>
        </w:rPr>
        <w:t>Risks</w:t>
      </w:r>
    </w:p>
    <w:p w:rsidR="002C782A" w:rsidRPr="00B1760F" w:rsidRDefault="002C782A" w:rsidP="0041615A">
      <w:r w:rsidRPr="00B1760F">
        <w:t>The risks associated with maraviroc BID treatment in treatment naïve patients infected with CCR5 tropic HIV-1 include:</w:t>
      </w:r>
    </w:p>
    <w:p w:rsidR="002C782A" w:rsidRPr="00E107E0" w:rsidRDefault="002C782A" w:rsidP="0041615A">
      <w:pPr>
        <w:pStyle w:val="Heading5"/>
      </w:pPr>
      <w:r w:rsidRPr="00E107E0">
        <w:t>Higher risk of virologic failure and resistance development to backbone agents</w:t>
      </w:r>
    </w:p>
    <w:p w:rsidR="002C782A" w:rsidRPr="00E107E0" w:rsidRDefault="002C782A" w:rsidP="002C782A">
      <w:r w:rsidRPr="00E107E0">
        <w:t>Virological failure was much more common with maraviroc than with efavirenz. The number of discontinuations due to lack of efficacy was 2-3 times higher with maraviroc,  and around 3-4 times as many patients in the maraviroc group developed resistance to the NRTI backbone treatmen</w:t>
      </w:r>
      <w:r w:rsidR="0041615A">
        <w:t>t, in particular to lamivudine.</w:t>
      </w:r>
    </w:p>
    <w:p w:rsidR="002C782A" w:rsidRPr="00E107E0" w:rsidRDefault="002C782A" w:rsidP="0041615A">
      <w:pPr>
        <w:pStyle w:val="Heading5"/>
      </w:pPr>
      <w:r w:rsidRPr="00E107E0">
        <w:lastRenderedPageBreak/>
        <w:t>Tropism switch and clinical significance of the tropism change</w:t>
      </w:r>
    </w:p>
    <w:p w:rsidR="002C782A" w:rsidRPr="00E107E0" w:rsidRDefault="002C782A" w:rsidP="002C782A">
      <w:r w:rsidRPr="00E107E0">
        <w:t>Based on the subgroup analyses, it appears that maraviroc treatment failure may increase the risk of selection of non-CCR5 tropic virus. The current</w:t>
      </w:r>
      <w:r>
        <w:t>ly</w:t>
      </w:r>
      <w:r w:rsidRPr="00E107E0">
        <w:t xml:space="preserve"> available data did not indicate an association between tropism change and adverse clinical outcome. It is acknowledged that the submitted studies were not specifically designed to show individual response</w:t>
      </w:r>
      <w:r>
        <w:t>s</w:t>
      </w:r>
      <w:r w:rsidRPr="00E107E0">
        <w:t xml:space="preserve"> to tropism change</w:t>
      </w:r>
      <w:r>
        <w:t>;</w:t>
      </w:r>
      <w:r w:rsidRPr="00E107E0">
        <w:t xml:space="preserve"> the impact of tropism change (from CCR5</w:t>
      </w:r>
      <w:r>
        <w:t xml:space="preserve"> </w:t>
      </w:r>
      <w:r w:rsidRPr="00E107E0">
        <w:t>tropic to X4</w:t>
      </w:r>
      <w:r>
        <w:t xml:space="preserve"> tropic) on clinical outcomes,</w:t>
      </w:r>
      <w:r w:rsidRPr="00E107E0">
        <w:t xml:space="preserve"> such as risk for malignancy</w:t>
      </w:r>
      <w:r>
        <w:t xml:space="preserve"> and</w:t>
      </w:r>
      <w:r w:rsidRPr="00E107E0">
        <w:t xml:space="preserve"> </w:t>
      </w:r>
      <w:r>
        <w:t>C</w:t>
      </w:r>
      <w:r w:rsidRPr="00E107E0">
        <w:t>ategory C infection</w:t>
      </w:r>
      <w:r>
        <w:t>s</w:t>
      </w:r>
      <w:r w:rsidRPr="00E107E0">
        <w:t>, will need to be studied at longer term and in larger populations before a firm conclusion can be made.</w:t>
      </w:r>
    </w:p>
    <w:p w:rsidR="002C782A" w:rsidRPr="00E107E0" w:rsidRDefault="002C782A" w:rsidP="006C2728">
      <w:pPr>
        <w:pStyle w:val="Heading5"/>
      </w:pPr>
      <w:r w:rsidRPr="00E107E0">
        <w:t xml:space="preserve">Limitation with the </w:t>
      </w:r>
      <w:r>
        <w:t>ESTA</w:t>
      </w:r>
    </w:p>
    <w:p w:rsidR="002C782A" w:rsidRPr="00E107E0" w:rsidRDefault="002C782A" w:rsidP="002C782A">
      <w:r w:rsidRPr="00E107E0">
        <w:t xml:space="preserve">The commercially available ESTA requires a VL </w:t>
      </w:r>
      <w:proofErr w:type="gramStart"/>
      <w:r w:rsidRPr="00E107E0">
        <w:t>of at least 1,000 copies/mL, which may limit the early detection of X4-using virus</w:t>
      </w:r>
      <w:proofErr w:type="gramEnd"/>
      <w:r w:rsidRPr="00E107E0">
        <w:t xml:space="preserve">. The length of time required for ESTA </w:t>
      </w:r>
      <w:r>
        <w:t xml:space="preserve">turnaround </w:t>
      </w:r>
      <w:r w:rsidRPr="00E107E0">
        <w:t>and the cost of the assay may be a problem in clinical practice.</w:t>
      </w:r>
    </w:p>
    <w:p w:rsidR="002C782A" w:rsidRPr="00E107E0" w:rsidRDefault="002C782A" w:rsidP="002C782A">
      <w:pPr>
        <w:pStyle w:val="Heading4"/>
      </w:pPr>
      <w:r w:rsidRPr="00E107E0">
        <w:t>Product Information</w:t>
      </w:r>
    </w:p>
    <w:p w:rsidR="002C782A" w:rsidRPr="00E107E0" w:rsidRDefault="002C782A" w:rsidP="002C782A">
      <w:r w:rsidRPr="00E107E0">
        <w:t xml:space="preserve">Product Information has been thoroughly reviewed by the clinical evaluator, and a draft PI incorporating relevant changes should be submitted. Further changes to the PI may be required after the </w:t>
      </w:r>
      <w:r>
        <w:t>Advisory Committee on Prescription Medicines (</w:t>
      </w:r>
      <w:r w:rsidRPr="00E107E0">
        <w:t>ACPM</w:t>
      </w:r>
      <w:r>
        <w:t>)</w:t>
      </w:r>
      <w:r w:rsidRPr="00E107E0">
        <w:t xml:space="preserve"> discussion.</w:t>
      </w:r>
      <w:r>
        <w:t xml:space="preserve"> Details of these are beyond the scope of this AusPAR.</w:t>
      </w:r>
    </w:p>
    <w:p w:rsidR="002C782A" w:rsidRPr="00327E77" w:rsidRDefault="002C782A" w:rsidP="002C782A">
      <w:pPr>
        <w:pStyle w:val="Heading4"/>
      </w:pPr>
      <w:r w:rsidRPr="00327E77">
        <w:t>Proposed action</w:t>
      </w:r>
    </w:p>
    <w:p w:rsidR="002C782A" w:rsidRPr="00327E77" w:rsidRDefault="002C782A" w:rsidP="002C782A">
      <w:r>
        <w:t>The D</w:t>
      </w:r>
      <w:r w:rsidRPr="00327E77">
        <w:t>elegate is of the opinion that the benefits and risks balance is favourable for the use of maraviroc</w:t>
      </w:r>
      <w:r>
        <w:t xml:space="preserve"> </w:t>
      </w:r>
      <w:r w:rsidRPr="00327E77">
        <w:t>(Celsentri), in combination with lamivudine 150 mg/z</w:t>
      </w:r>
      <w:r>
        <w:t xml:space="preserve">idovudine 300 mg, for treatment </w:t>
      </w:r>
      <w:r w:rsidRPr="00327E77">
        <w:t>naïve adult patients infected with only CCR5</w:t>
      </w:r>
      <w:r>
        <w:t xml:space="preserve"> tropic HIV-1, provided</w:t>
      </w:r>
      <w:r w:rsidRPr="00327E77">
        <w:t xml:space="preserve"> that the </w:t>
      </w:r>
      <w:r w:rsidRPr="00B1760F">
        <w:rPr>
          <w:i/>
        </w:rPr>
        <w:t>Indication</w:t>
      </w:r>
      <w:r w:rsidRPr="00327E77">
        <w:t xml:space="preserve"> is qualified with appropriate information and the RMP as agreed wi</w:t>
      </w:r>
      <w:r w:rsidR="006C2728">
        <w:t>th OPR is properly implemented.</w:t>
      </w:r>
    </w:p>
    <w:p w:rsidR="002C782A" w:rsidRDefault="002C782A" w:rsidP="002C782A">
      <w:pPr>
        <w:rPr>
          <w:lang w:val="en-US"/>
        </w:rPr>
      </w:pPr>
      <w:r>
        <w:t>Pending the advice from the ACPM, the Delegate proposes the approval of Celsentri, in combination with other antiretroviral medicinal products, for treatment naïve adult patients infected with only CCR5 tropic HIV-1, with the following points being considered when initiating the therapy:</w:t>
      </w:r>
    </w:p>
    <w:p w:rsidR="002C782A" w:rsidRPr="006C2728" w:rsidRDefault="002C782A" w:rsidP="006C2728">
      <w:pPr>
        <w:pStyle w:val="ListBullet"/>
      </w:pPr>
      <w:r>
        <w:t>A</w:t>
      </w:r>
      <w:r w:rsidRPr="006C2728">
        <w:t>dult patients infected with only CCR5 tropic HIV-1 should use Celsentri.</w:t>
      </w:r>
    </w:p>
    <w:p w:rsidR="002C782A" w:rsidRPr="006C2728" w:rsidRDefault="002C782A" w:rsidP="006C2728">
      <w:pPr>
        <w:pStyle w:val="ListBullet"/>
      </w:pPr>
      <w:r w:rsidRPr="006C2728">
        <w:t>CCR5 tropism should be confirmed using a highly sensitive tropism assay prior to initiation o</w:t>
      </w:r>
      <w:r>
        <w:t xml:space="preserve">f Celsentri therapy. Outgrowth of pre-existing, low-level CXCR4 or D/M tropic HIV-1 not detected by tropism testing at screening has been associated with </w:t>
      </w:r>
      <w:r w:rsidRPr="006C2728">
        <w:t>virologic failure on Celsentri.</w:t>
      </w:r>
    </w:p>
    <w:p w:rsidR="002C782A" w:rsidRDefault="002C782A" w:rsidP="006C2728">
      <w:pPr>
        <w:pStyle w:val="ListBullet"/>
      </w:pPr>
      <w:r w:rsidRPr="006C2728">
        <w:t>Celsentri is no</w:t>
      </w:r>
      <w:r>
        <w:t>t recommended in patients infected with D/M or CXCR4 tropic HIV-1</w:t>
      </w:r>
      <w:r w:rsidR="006C2728">
        <w:t>.</w:t>
      </w:r>
    </w:p>
    <w:p w:rsidR="002C782A" w:rsidRPr="006C2728" w:rsidRDefault="002C782A" w:rsidP="006C2728">
      <w:pPr>
        <w:pStyle w:val="ListBullet"/>
      </w:pPr>
      <w:r w:rsidRPr="00DA2BBC">
        <w:t xml:space="preserve">In treatment naïve subjects, more subjects treated with </w:t>
      </w:r>
      <w:r>
        <w:t>Celsentri</w:t>
      </w:r>
      <w:r w:rsidRPr="00DA2BBC">
        <w:t xml:space="preserve"> experienced virologic </w:t>
      </w:r>
      <w:r w:rsidRPr="006C2728">
        <w:t>failure and developed lamivudine resistance compared to efavirenz.</w:t>
      </w:r>
    </w:p>
    <w:p w:rsidR="002C782A" w:rsidRPr="00DA2BBC" w:rsidRDefault="002C782A" w:rsidP="006C2728">
      <w:pPr>
        <w:pStyle w:val="ListBullet"/>
      </w:pPr>
      <w:r w:rsidRPr="006C2728">
        <w:t xml:space="preserve">The safety </w:t>
      </w:r>
      <w:r w:rsidRPr="00DA2BBC">
        <w:t xml:space="preserve">and efficacy of </w:t>
      </w:r>
      <w:r>
        <w:t>Celsentri</w:t>
      </w:r>
      <w:r w:rsidRPr="00DA2BBC">
        <w:t xml:space="preserve"> have not been established in p</w:t>
      </w:r>
      <w:r>
        <w:t>a</w:t>
      </w:r>
      <w:r w:rsidRPr="00DA2BBC">
        <w:t>ediatric patients.</w:t>
      </w:r>
    </w:p>
    <w:p w:rsidR="002C782A" w:rsidRDefault="002C782A" w:rsidP="006C2728">
      <w:r>
        <w:t>Conditions of registration should include:</w:t>
      </w:r>
    </w:p>
    <w:p w:rsidR="002C782A" w:rsidRPr="006C2728" w:rsidRDefault="002C782A" w:rsidP="006C2728">
      <w:pPr>
        <w:pStyle w:val="ListBullet"/>
      </w:pPr>
      <w:r w:rsidRPr="006C2728">
        <w:t xml:space="preserve">Submission of </w:t>
      </w:r>
      <w:r w:rsidR="006C2728" w:rsidRPr="006C2728">
        <w:t>the reports of ongoing studies.</w:t>
      </w:r>
    </w:p>
    <w:p w:rsidR="002C782A" w:rsidRDefault="002C782A" w:rsidP="006C2728">
      <w:pPr>
        <w:pStyle w:val="ListBullet"/>
      </w:pPr>
      <w:r w:rsidRPr="006C2728">
        <w:t>RMP Version 1.7, dated October 2011, with an Australian Specific Annex as Annex 8, must be impl</w:t>
      </w:r>
      <w:r>
        <w:t>emented.</w:t>
      </w:r>
    </w:p>
    <w:p w:rsidR="002C782A" w:rsidRDefault="002C782A" w:rsidP="002C782A">
      <w:pPr>
        <w:rPr>
          <w:b/>
        </w:rPr>
      </w:pPr>
      <w:r>
        <w:rPr>
          <w:b/>
        </w:rPr>
        <w:t>A</w:t>
      </w:r>
      <w:r w:rsidRPr="00AB3BD5">
        <w:rPr>
          <w:b/>
        </w:rPr>
        <w:t xml:space="preserve">dvice requested </w:t>
      </w:r>
      <w:r w:rsidR="006C2728">
        <w:rPr>
          <w:b/>
        </w:rPr>
        <w:t>from ACPM</w:t>
      </w:r>
    </w:p>
    <w:p w:rsidR="002C782A" w:rsidRDefault="002C782A" w:rsidP="006C2728">
      <w:pPr>
        <w:rPr>
          <w:lang w:val="en-GB"/>
        </w:rPr>
      </w:pPr>
      <w:r>
        <w:rPr>
          <w:lang w:val="en-GB"/>
        </w:rPr>
        <w:t>The Delegate sought advice from ACPM specifically on the following aspects:</w:t>
      </w:r>
    </w:p>
    <w:p w:rsidR="002C782A" w:rsidRPr="006C2728" w:rsidRDefault="002C782A" w:rsidP="006C2728">
      <w:pPr>
        <w:pStyle w:val="ListBullet"/>
      </w:pPr>
      <w:r>
        <w:rPr>
          <w:lang w:eastAsia="zh-CN"/>
        </w:rPr>
        <w:lastRenderedPageBreak/>
        <w:t xml:space="preserve">Based on the efficacy analyses discussed above, is ACPM of the view that the non-inferiority of </w:t>
      </w:r>
      <w:r>
        <w:t>maraviroc</w:t>
      </w:r>
      <w:r>
        <w:rPr>
          <w:lang w:eastAsia="zh-CN"/>
        </w:rPr>
        <w:t xml:space="preserve"> BID compared to </w:t>
      </w:r>
      <w:r>
        <w:t>efavirenz</w:t>
      </w:r>
      <w:r>
        <w:rPr>
          <w:lang w:eastAsia="zh-CN"/>
        </w:rPr>
        <w:t xml:space="preserve"> QD, </w:t>
      </w:r>
      <w:r>
        <w:t xml:space="preserve">each in combination with </w:t>
      </w:r>
      <w:r>
        <w:rPr>
          <w:lang w:eastAsia="zh-CN"/>
        </w:rPr>
        <w:t xml:space="preserve">lamivudine </w:t>
      </w:r>
      <w:r w:rsidRPr="006C2728">
        <w:t xml:space="preserve">150 mg/zidovudine 300 mg BID, </w:t>
      </w:r>
      <w:proofErr w:type="gramStart"/>
      <w:r w:rsidRPr="006C2728">
        <w:t>is</w:t>
      </w:r>
      <w:proofErr w:type="gramEnd"/>
      <w:r w:rsidRPr="006C2728">
        <w:t xml:space="preserve"> demonstrated in treatment naïve patients infected with </w:t>
      </w:r>
      <w:r w:rsidR="006C2728" w:rsidRPr="006C2728">
        <w:t>CCR5 tropic HIV-1?</w:t>
      </w:r>
    </w:p>
    <w:p w:rsidR="002C782A" w:rsidRPr="006C2728" w:rsidRDefault="002C782A" w:rsidP="006C2728">
      <w:pPr>
        <w:pStyle w:val="ListBullet"/>
      </w:pPr>
      <w:r w:rsidRPr="006C2728">
        <w:t>Is ACPM of the view that the post hoc efficacy re-analysis based on ESTA assay is valid to support the extension of the indication to treatment naïve patients infected with CCR5 tropic HIV-1?</w:t>
      </w:r>
    </w:p>
    <w:p w:rsidR="002C782A" w:rsidRPr="00243803" w:rsidRDefault="002C782A" w:rsidP="006C2728">
      <w:pPr>
        <w:pStyle w:val="ListBullet"/>
        <w:rPr>
          <w:b/>
        </w:rPr>
      </w:pPr>
      <w:r w:rsidRPr="006C2728">
        <w:t>Is ACPM of the view that the better safety profile of maraviroc (300 mg BID) outweighs the risk of treatment failur</w:t>
      </w:r>
      <w:r w:rsidRPr="00243803">
        <w:rPr>
          <w:lang w:eastAsia="zh-CN"/>
        </w:rPr>
        <w:t>e and resistance development to the backbone antiretroviral agents?</w:t>
      </w:r>
    </w:p>
    <w:p w:rsidR="002C782A" w:rsidRDefault="006C2728" w:rsidP="006C2728">
      <w:pPr>
        <w:pStyle w:val="Heading4"/>
      </w:pPr>
      <w:bookmarkStart w:id="168" w:name="_Toc196046505"/>
      <w:bookmarkStart w:id="169" w:name="_Toc196046949"/>
      <w:r>
        <w:t>Response from s</w:t>
      </w:r>
      <w:r w:rsidR="002C782A">
        <w:t>ponsor</w:t>
      </w:r>
    </w:p>
    <w:p w:rsidR="002C782A" w:rsidRDefault="002C782A" w:rsidP="006C2728">
      <w:r>
        <w:t>The sponsor provided comments on matters addressed to ACPM by the Delegate and on other matters raised in the Delegate’s overview. Statements from four specialists (experts) in the field of HIV medicine were also provided and comments from these were referred to in the sponsor’s response.</w:t>
      </w:r>
    </w:p>
    <w:p w:rsidR="002C782A" w:rsidRPr="00C412E0" w:rsidRDefault="002C782A" w:rsidP="006C2728">
      <w:pPr>
        <w:pStyle w:val="Heading5"/>
      </w:pPr>
      <w:r w:rsidRPr="00C412E0">
        <w:t>Efficacy results at Weeks 48, 96 and 240 in Study A4001026</w:t>
      </w:r>
    </w:p>
    <w:p w:rsidR="002C782A" w:rsidRPr="00C412E0" w:rsidRDefault="002C782A" w:rsidP="002C782A">
      <w:r w:rsidRPr="00C412E0">
        <w:t xml:space="preserve">Non-inferiority of </w:t>
      </w:r>
      <w:r>
        <w:t>maraviroc versus</w:t>
      </w:r>
      <w:r w:rsidRPr="00C412E0">
        <w:t xml:space="preserve"> </w:t>
      </w:r>
      <w:r>
        <w:t>efavirenz</w:t>
      </w:r>
      <w:r w:rsidRPr="00C412E0">
        <w:t xml:space="preserve"> is demonstrated by the definitive ESTA analysis of both co-primary endpoints (&lt;</w:t>
      </w:r>
      <w:r>
        <w:t xml:space="preserve"> </w:t>
      </w:r>
      <w:r w:rsidRPr="00C412E0">
        <w:t>400 and &lt;</w:t>
      </w:r>
      <w:r>
        <w:t xml:space="preserve"> </w:t>
      </w:r>
      <w:r w:rsidRPr="00C412E0">
        <w:t>50 copies/mL) at the pre-specified primary time point (Week 48) (Delegate concurs) with low concern for issues of multiplicity (</w:t>
      </w:r>
      <w:r>
        <w:t>s</w:t>
      </w:r>
      <w:r w:rsidRPr="00C412E0">
        <w:t xml:space="preserve">tatistical evaluator concurs). The 96 </w:t>
      </w:r>
      <w:r>
        <w:t>W</w:t>
      </w:r>
      <w:r w:rsidRPr="00C412E0">
        <w:t xml:space="preserve">eek A4001026 data extend and reinforce the safety and efficacy results observed at Week 48. The analyses at both 48 and 96 </w:t>
      </w:r>
      <w:r>
        <w:t>W</w:t>
      </w:r>
      <w:r w:rsidRPr="00C412E0">
        <w:t xml:space="preserve">eeks showed only small differences between </w:t>
      </w:r>
      <w:r>
        <w:t xml:space="preserve">maraviroc </w:t>
      </w:r>
      <w:r w:rsidRPr="00C412E0">
        <w:t xml:space="preserve">and </w:t>
      </w:r>
      <w:r>
        <w:t>efavirenz</w:t>
      </w:r>
      <w:r w:rsidRPr="00C412E0">
        <w:t xml:space="preserve"> in the proportions of subjects achieving VL &lt;</w:t>
      </w:r>
      <w:r>
        <w:t xml:space="preserve"> </w:t>
      </w:r>
      <w:r w:rsidRPr="00C412E0">
        <w:t>50 copies/</w:t>
      </w:r>
      <w:r>
        <w:t>mL.</w:t>
      </w:r>
      <w:r>
        <w:rPr>
          <w:rStyle w:val="FootnoteReference"/>
        </w:rPr>
        <w:footnoteReference w:id="20"/>
      </w:r>
      <w:r w:rsidRPr="00C412E0">
        <w:t xml:space="preserve"> Data through 240 Weeks for the treatment</w:t>
      </w:r>
      <w:r w:rsidRPr="00123AFD">
        <w:t xml:space="preserve"> </w:t>
      </w:r>
      <w:r>
        <w:t>naïve</w:t>
      </w:r>
      <w:r w:rsidRPr="00C412E0">
        <w:t xml:space="preserve"> Study A4001026 provided useful information on the long term efficacy and safety of </w:t>
      </w:r>
      <w:r>
        <w:t>maraviroc</w:t>
      </w:r>
      <w:r w:rsidRPr="00C412E0">
        <w:t xml:space="preserve"> and are the longest term clinical study efficacy data available for </w:t>
      </w:r>
      <w:r>
        <w:t>maraviroc</w:t>
      </w:r>
      <w:r w:rsidRPr="00C412E0">
        <w:t>. The percentage of subjects with a VL &lt;</w:t>
      </w:r>
      <w:r>
        <w:t xml:space="preserve"> </w:t>
      </w:r>
      <w:r w:rsidRPr="00C412E0">
        <w:t>50 copies/mL at Weeks 48, 96 and 240 is shown in Table 1</w:t>
      </w:r>
      <w:r>
        <w:t>5</w:t>
      </w:r>
      <w:r w:rsidRPr="00C412E0">
        <w:t xml:space="preserve"> for subjects with R5 virus at screening determined by the Trofile assay (‘All subjects ‘) and by ESTA (‘ESTA R5 subjects’).</w:t>
      </w:r>
    </w:p>
    <w:p w:rsidR="002C782A" w:rsidRPr="00C412E0" w:rsidRDefault="002C782A" w:rsidP="006C2728">
      <w:pPr>
        <w:pStyle w:val="TableTitle"/>
      </w:pPr>
      <w:proofErr w:type="gramStart"/>
      <w:r w:rsidRPr="00C412E0">
        <w:t>Table 1</w:t>
      </w:r>
      <w:r>
        <w:t>5</w:t>
      </w:r>
      <w:r w:rsidRPr="00C412E0">
        <w:t>.</w:t>
      </w:r>
      <w:proofErr w:type="gramEnd"/>
      <w:r w:rsidRPr="00C412E0">
        <w:t xml:space="preserve"> Subjects with </w:t>
      </w:r>
      <w:r>
        <w:t>VL</w:t>
      </w:r>
      <w:r w:rsidRPr="00C412E0">
        <w:t xml:space="preserve"> &lt;</w:t>
      </w:r>
      <w:r>
        <w:t xml:space="preserve"> </w:t>
      </w:r>
      <w:r w:rsidRPr="00C412E0">
        <w:t>50 copies/mL at Weeks 48, 96 and 240 in Study A4001026</w:t>
      </w:r>
    </w:p>
    <w:p w:rsidR="002C782A" w:rsidRDefault="002C782A" w:rsidP="006C2728">
      <w:r>
        <w:rPr>
          <w:noProof/>
          <w:lang w:eastAsia="en-AU"/>
        </w:rPr>
        <w:drawing>
          <wp:inline distT="0" distB="0" distL="0" distR="0">
            <wp:extent cx="5400040" cy="1585638"/>
            <wp:effectExtent l="19050" t="0" r="0" b="0"/>
            <wp:docPr id="21" name="Picture 6" descr="Table 15. Subjects with VL &lt; 50 copies/mL at Weeks 48, 96 and 240 in Study A40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400040" cy="1585638"/>
                    </a:xfrm>
                    <a:prstGeom prst="rect">
                      <a:avLst/>
                    </a:prstGeom>
                    <a:noFill/>
                    <a:ln w="9525">
                      <a:noFill/>
                      <a:miter lim="800000"/>
                      <a:headEnd/>
                      <a:tailEnd/>
                    </a:ln>
                  </pic:spPr>
                </pic:pic>
              </a:graphicData>
            </a:graphic>
          </wp:inline>
        </w:drawing>
      </w:r>
    </w:p>
    <w:p w:rsidR="002C782A" w:rsidRDefault="002C782A" w:rsidP="002C782A">
      <w:r w:rsidRPr="00C412E0">
        <w:t>As shown in Table 1</w:t>
      </w:r>
      <w:r>
        <w:t>5</w:t>
      </w:r>
      <w:r w:rsidRPr="00C412E0">
        <w:t>, at Week 240, VL &lt;</w:t>
      </w:r>
      <w:r>
        <w:t xml:space="preserve"> </w:t>
      </w:r>
      <w:r w:rsidRPr="00C412E0">
        <w:t>50 copies/mL was observed for slightly more ESTA R5 subjects</w:t>
      </w:r>
      <w:r>
        <w:t xml:space="preserve"> </w:t>
      </w:r>
      <w:r w:rsidRPr="00C412E0">
        <w:t xml:space="preserve">in the </w:t>
      </w:r>
      <w:r>
        <w:t>maraviroc</w:t>
      </w:r>
      <w:r w:rsidRPr="00C412E0">
        <w:t xml:space="preserve"> BID treatment group (158/311, 50.8%) versus the </w:t>
      </w:r>
      <w:r>
        <w:t>efavirenz</w:t>
      </w:r>
      <w:r w:rsidRPr="00C412E0">
        <w:t xml:space="preserve"> QD treatment group (139/303, 45.9%</w:t>
      </w:r>
      <w:r>
        <w:t xml:space="preserve">). </w:t>
      </w:r>
      <w:r w:rsidRPr="00C412E0">
        <w:t xml:space="preserve">Results were qualitatively the same and quantitatively similar in all subjects enrolled, irrespective of the ESTA R5 assay: </w:t>
      </w:r>
      <w:r>
        <w:t>maraviroc</w:t>
      </w:r>
      <w:r w:rsidRPr="00C412E0">
        <w:t xml:space="preserve"> BID (176/360, 48.9%) and </w:t>
      </w:r>
      <w:r>
        <w:t>efavirenz</w:t>
      </w:r>
      <w:r w:rsidR="006C2728">
        <w:t xml:space="preserve"> QD (165/361, 45.7%).</w:t>
      </w:r>
    </w:p>
    <w:p w:rsidR="002C782A" w:rsidRPr="00C412E0" w:rsidRDefault="002C782A" w:rsidP="002C782A">
      <w:r w:rsidRPr="00C412E0">
        <w:lastRenderedPageBreak/>
        <w:t>Change f</w:t>
      </w:r>
      <w:r>
        <w:t>rom baseline in CD4</w:t>
      </w:r>
      <w:r>
        <w:rPr>
          <w:vertAlign w:val="superscript"/>
        </w:rPr>
        <w:t>+</w:t>
      </w:r>
      <w:r>
        <w:t xml:space="preserve"> count by visit (LOCF) for ESTA R5 </w:t>
      </w:r>
      <w:r w:rsidRPr="00C412E0">
        <w:t xml:space="preserve">subjects was captured as a numerical advantage for the </w:t>
      </w:r>
      <w:r>
        <w:t>maraviroc</w:t>
      </w:r>
      <w:r w:rsidRPr="00C412E0">
        <w:t xml:space="preserve"> BID treatment group over the </w:t>
      </w:r>
      <w:r>
        <w:t>efavirenz</w:t>
      </w:r>
      <w:r w:rsidRPr="00C412E0">
        <w:t xml:space="preserve"> QD treatment group as early as the first study visit (Week 2; Study A4001026 240 week </w:t>
      </w:r>
      <w:r>
        <w:t xml:space="preserve">clinical study report). This advantage (approximately </w:t>
      </w:r>
      <w:r w:rsidRPr="00C412E0">
        <w:t xml:space="preserve">25-30 cells/μL) was maintained across all </w:t>
      </w:r>
      <w:r>
        <w:t>subsequent visits</w:t>
      </w:r>
      <w:r w:rsidRPr="00C412E0">
        <w:t xml:space="preserve">. At Week 240, the mean increase from baseline in </w:t>
      </w:r>
      <w:r>
        <w:t>CD4</w:t>
      </w:r>
      <w:r>
        <w:rPr>
          <w:vertAlign w:val="superscript"/>
        </w:rPr>
        <w:t>+</w:t>
      </w:r>
      <w:r>
        <w:t xml:space="preserve"> </w:t>
      </w:r>
      <w:r w:rsidRPr="00C412E0">
        <w:t xml:space="preserve">count for the </w:t>
      </w:r>
      <w:r>
        <w:t>maraviroc</w:t>
      </w:r>
      <w:r w:rsidRPr="00C412E0">
        <w:t xml:space="preserve"> BI</w:t>
      </w:r>
      <w:r>
        <w:t xml:space="preserve">D </w:t>
      </w:r>
      <w:r w:rsidRPr="00C412E0">
        <w:t xml:space="preserve">group was 292.9 cells/μL and 270.6 cells/μL for the </w:t>
      </w:r>
      <w:r>
        <w:t>efavirenz</w:t>
      </w:r>
      <w:r w:rsidRPr="00C412E0">
        <w:t xml:space="preserve"> QD group. This result is meaningful to clinic</w:t>
      </w:r>
      <w:r>
        <w:t xml:space="preserve">ians </w:t>
      </w:r>
      <w:r w:rsidRPr="00C412E0">
        <w:t xml:space="preserve">and </w:t>
      </w:r>
      <w:r>
        <w:t xml:space="preserve">an expert </w:t>
      </w:r>
      <w:r w:rsidRPr="00C412E0">
        <w:t xml:space="preserve">has noted, </w:t>
      </w:r>
      <w:r>
        <w:rPr>
          <w:i/>
        </w:rPr>
        <w:t>‘</w:t>
      </w:r>
      <w:proofErr w:type="gramStart"/>
      <w:r w:rsidRPr="00725971">
        <w:rPr>
          <w:i/>
        </w:rPr>
        <w:t>..maraviroc</w:t>
      </w:r>
      <w:proofErr w:type="gramEnd"/>
      <w:r w:rsidRPr="00725971">
        <w:rPr>
          <w:i/>
        </w:rPr>
        <w:t xml:space="preserve"> demonstrates a significant CD4</w:t>
      </w:r>
      <w:r w:rsidRPr="00B5630E">
        <w:rPr>
          <w:i/>
          <w:vertAlign w:val="superscript"/>
        </w:rPr>
        <w:t>+</w:t>
      </w:r>
      <w:r w:rsidRPr="00725971">
        <w:rPr>
          <w:i/>
        </w:rPr>
        <w:t xml:space="preserve"> count advantage compared to efavirenz, reinforcing its benefit in these patient groups, where there are fewer treatment options due</w:t>
      </w:r>
      <w:r>
        <w:rPr>
          <w:i/>
        </w:rPr>
        <w:t xml:space="preserve"> to </w:t>
      </w:r>
      <w:r w:rsidRPr="00725971">
        <w:rPr>
          <w:i/>
        </w:rPr>
        <w:t>the coexisting conditions.</w:t>
      </w:r>
      <w:r>
        <w:rPr>
          <w:i/>
        </w:rPr>
        <w:t>’</w:t>
      </w:r>
    </w:p>
    <w:p w:rsidR="002C782A" w:rsidRDefault="002C782A" w:rsidP="00126932">
      <w:pPr>
        <w:pStyle w:val="Heading5"/>
      </w:pPr>
      <w:r>
        <w:t>Safety</w:t>
      </w:r>
    </w:p>
    <w:p w:rsidR="002C782A" w:rsidRDefault="002C782A" w:rsidP="002C782A">
      <w:r w:rsidRPr="00C412E0">
        <w:t>As note</w:t>
      </w:r>
      <w:r>
        <w:t xml:space="preserve">d by the Delegate and the clinical evaluator (initial and final evaluation reports), maraviroc 300 mg </w:t>
      </w:r>
      <w:r w:rsidRPr="00C412E0">
        <w:t xml:space="preserve">BID demonstrated a better safety profile than </w:t>
      </w:r>
      <w:r>
        <w:t>efavirenz</w:t>
      </w:r>
      <w:r w:rsidRPr="00C412E0">
        <w:t xml:space="preserve"> 600 mg OD with respect to discontinuations due to </w:t>
      </w:r>
      <w:r>
        <w:t>AE</w:t>
      </w:r>
      <w:r w:rsidRPr="00C412E0">
        <w:t>s and with respect to lipid profile (cholesterol, LDL and triglycerides). Discontinuations d</w:t>
      </w:r>
      <w:r>
        <w:t xml:space="preserve">ue </w:t>
      </w:r>
      <w:r w:rsidRPr="00C412E0">
        <w:t xml:space="preserve">to </w:t>
      </w:r>
      <w:r>
        <w:t>AE</w:t>
      </w:r>
      <w:r w:rsidRPr="00C412E0">
        <w:t xml:space="preserve">s, serious </w:t>
      </w:r>
      <w:r>
        <w:t>AE</w:t>
      </w:r>
      <w:r w:rsidRPr="00C412E0">
        <w:t xml:space="preserve">s and Grade 3 or 4 </w:t>
      </w:r>
      <w:r>
        <w:t>AE</w:t>
      </w:r>
      <w:r w:rsidRPr="00C412E0">
        <w:t xml:space="preserve">s occurred with a lower frequency in the </w:t>
      </w:r>
      <w:r>
        <w:t>maraviroc</w:t>
      </w:r>
      <w:r w:rsidRPr="00C412E0">
        <w:t xml:space="preserve"> 300 mg BID treatment group compared to the </w:t>
      </w:r>
      <w:r>
        <w:t>efavirenz</w:t>
      </w:r>
      <w:r w:rsidR="00126932">
        <w:t xml:space="preserve"> 600 mg QD treatment group.</w:t>
      </w:r>
    </w:p>
    <w:p w:rsidR="002C782A" w:rsidRDefault="002C782A" w:rsidP="002C782A">
      <w:r w:rsidRPr="00C412E0">
        <w:t>Importantly</w:t>
      </w:r>
      <w:r>
        <w:t>,</w:t>
      </w:r>
      <w:r w:rsidRPr="00C412E0">
        <w:t xml:space="preserve"> long term data through 240 weeks demonstrated no evidence of an increase in Cat</w:t>
      </w:r>
      <w:r>
        <w:t xml:space="preserve">egory C </w:t>
      </w:r>
      <w:r w:rsidRPr="00C412E0">
        <w:t xml:space="preserve">events; no increased risk of development of malignancy in patients who took </w:t>
      </w:r>
      <w:r>
        <w:t>maraviroc</w:t>
      </w:r>
      <w:r w:rsidRPr="00C412E0">
        <w:t>; and no new or unexpected safety signals were reported from this study, as noted by the Delegate. There were no ob</w:t>
      </w:r>
      <w:r>
        <w:t xml:space="preserve">served </w:t>
      </w:r>
      <w:r w:rsidRPr="00C412E0">
        <w:t xml:space="preserve">adverse clinical or immunological consequences related to the emergence of CXCR4-using virus associated with virologic failure on </w:t>
      </w:r>
      <w:r>
        <w:t>maraviroc</w:t>
      </w:r>
      <w:r w:rsidRPr="00C412E0">
        <w:t>. Individuals switching tropism during maraviroc-contai</w:t>
      </w:r>
      <w:r>
        <w:t xml:space="preserve">ning </w:t>
      </w:r>
      <w:r w:rsidRPr="00C412E0">
        <w:t>therapy had good immunological outcomes and responded to subsequent therapy (Por</w:t>
      </w:r>
      <w:r>
        <w:t>tsmouth </w:t>
      </w:r>
      <w:r>
        <w:rPr>
          <w:i/>
        </w:rPr>
        <w:t>et </w:t>
      </w:r>
      <w:r w:rsidRPr="00725971">
        <w:rPr>
          <w:i/>
        </w:rPr>
        <w:t>al</w:t>
      </w:r>
      <w:r>
        <w:t>. 2010</w:t>
      </w:r>
      <w:r>
        <w:rPr>
          <w:rStyle w:val="FootnoteReference"/>
        </w:rPr>
        <w:footnoteReference w:id="21"/>
      </w:r>
      <w:r>
        <w:t>)</w:t>
      </w:r>
      <w:r w:rsidR="00126932">
        <w:t>.</w:t>
      </w:r>
    </w:p>
    <w:p w:rsidR="002C782A" w:rsidRDefault="002C782A" w:rsidP="002C782A">
      <w:r>
        <w:t xml:space="preserve">An expert </w:t>
      </w:r>
      <w:r w:rsidRPr="00C412E0">
        <w:t xml:space="preserve">states, </w:t>
      </w:r>
      <w:r>
        <w:rPr>
          <w:i/>
        </w:rPr>
        <w:t>‘</w:t>
      </w:r>
      <w:r w:rsidRPr="00725971">
        <w:rPr>
          <w:i/>
        </w:rPr>
        <w:t>The side effect profile in our patient experience is minimal – consisting of some nausea for 2-3 days after initiating therapy and spontaneously resolving.</w:t>
      </w:r>
      <w:r>
        <w:rPr>
          <w:i/>
        </w:rPr>
        <w:t>’</w:t>
      </w:r>
    </w:p>
    <w:p w:rsidR="002C782A" w:rsidRDefault="002C782A" w:rsidP="002C782A">
      <w:r w:rsidRPr="00C412E0">
        <w:t>The Delegate made the observation that the safety profile demonstrated in the treatmen</w:t>
      </w:r>
      <w:r>
        <w:t xml:space="preserve">t naïve patients </w:t>
      </w:r>
      <w:r w:rsidRPr="00C412E0">
        <w:t>aligned with that known for treatment experienced patients. The most recent PSUR that was submitted recently to the TGA continues to support a favourable safety profile for treatmen</w:t>
      </w:r>
      <w:r>
        <w:t xml:space="preserve">t </w:t>
      </w:r>
      <w:r w:rsidR="00126932">
        <w:t>experienced patients.</w:t>
      </w:r>
    </w:p>
    <w:p w:rsidR="002C782A" w:rsidRPr="00C412E0" w:rsidRDefault="00126932" w:rsidP="00126932">
      <w:pPr>
        <w:pStyle w:val="Heading5"/>
      </w:pPr>
      <w:r>
        <w:t>Viral r</w:t>
      </w:r>
      <w:r w:rsidR="002C782A" w:rsidRPr="00C412E0">
        <w:t>esistance</w:t>
      </w:r>
    </w:p>
    <w:p w:rsidR="002C782A" w:rsidRDefault="002C782A" w:rsidP="002C782A">
      <w:r w:rsidRPr="00C412E0">
        <w:t>In patients who de</w:t>
      </w:r>
      <w:r>
        <w:t xml:space="preserve">velop resistance on the trial, the mutation that developed most commonly was that for </w:t>
      </w:r>
      <w:r w:rsidRPr="00C412E0">
        <w:t xml:space="preserve">lamivudine (M184V). The clinical significance of this mutation has been debated for years as this mutation leads to a less fit virus which is less pathogenic and most treatment guidelines suggest maintaining selection pressure for this mutation once it has been identified. The </w:t>
      </w:r>
      <w:r>
        <w:t>c</w:t>
      </w:r>
      <w:r w:rsidRPr="00C412E0">
        <w:t xml:space="preserve">linical </w:t>
      </w:r>
      <w:r>
        <w:t>e</w:t>
      </w:r>
      <w:r w:rsidRPr="00C412E0">
        <w:t>valuat</w:t>
      </w:r>
      <w:r>
        <w:t xml:space="preserve">or </w:t>
      </w:r>
      <w:r w:rsidRPr="00C412E0">
        <w:t xml:space="preserve">conceded that </w:t>
      </w:r>
      <w:r>
        <w:t xml:space="preserve">the </w:t>
      </w:r>
      <w:r w:rsidRPr="00C412E0">
        <w:t>presence of the M184V mutation may not necessarily preclude continuing treatment w</w:t>
      </w:r>
      <w:r>
        <w:t xml:space="preserve">ith </w:t>
      </w:r>
      <w:r w:rsidR="00126932">
        <w:t>lamivudine.</w:t>
      </w:r>
    </w:p>
    <w:p w:rsidR="002C782A" w:rsidRDefault="002C782A" w:rsidP="002C782A">
      <w:r w:rsidRPr="00C412E0">
        <w:t>Notably, of 4</w:t>
      </w:r>
      <w:r>
        <w:t xml:space="preserve"> efavirenz treated subjects who discontinued due to lack of efficacy, 3 subjects had virus that selected </w:t>
      </w:r>
      <w:r w:rsidRPr="00C412E0">
        <w:t xml:space="preserve">K103N (with resistance to </w:t>
      </w:r>
      <w:r>
        <w:t>efavirenz</w:t>
      </w:r>
      <w:r w:rsidRPr="00C412E0">
        <w:t>) and 1 of these 3 subjects also selected M184V, with resistanc</w:t>
      </w:r>
      <w:r>
        <w:t xml:space="preserve">e to </w:t>
      </w:r>
      <w:r w:rsidRPr="00C412E0">
        <w:t xml:space="preserve">lamivudine. Also, of the 4 </w:t>
      </w:r>
      <w:r>
        <w:t>efavirenz</w:t>
      </w:r>
      <w:r w:rsidRPr="00C412E0">
        <w:t xml:space="preserve"> treated subjects with virologic failure at Week 96, 3 subjects selected NNRTI resistance-associated mutations (K103N, K103N/P225H and V106M); virus from the remainin</w:t>
      </w:r>
      <w:r>
        <w:t>g subjects remained wild-type. There were no NRTI resistance-associated mutations selected.</w:t>
      </w:r>
    </w:p>
    <w:p w:rsidR="002C782A" w:rsidRDefault="002C782A" w:rsidP="00126932">
      <w:r>
        <w:t xml:space="preserve">The efficacy of rilpivirine in HIV-infected, treatment naïve subjects was demonstrated in two Phase III </w:t>
      </w:r>
      <w:r w:rsidRPr="00C412E0">
        <w:t xml:space="preserve">trials (C209 [ECHO] and C215 [THRIVE]) in which </w:t>
      </w:r>
      <w:r>
        <w:t>efavirenz</w:t>
      </w:r>
      <w:r w:rsidRPr="00C412E0">
        <w:t xml:space="preserve"> was used as the </w:t>
      </w:r>
      <w:r w:rsidRPr="00C412E0">
        <w:lastRenderedPageBreak/>
        <w:t>active comparator</w:t>
      </w:r>
      <w:r>
        <w:t xml:space="preserve">. Rilpirvirine </w:t>
      </w:r>
      <w:r w:rsidRPr="00C412E0">
        <w:t xml:space="preserve">was approved by the TGA for therapy of treatment naïve patients in December, 2011. As in Study A4001026, more subjects discontinued rilpivirine due to virologic failure; conversely, more subjects discontinued </w:t>
      </w:r>
      <w:r>
        <w:t>efavirenz</w:t>
      </w:r>
      <w:r w:rsidRPr="00C412E0">
        <w:t xml:space="preserve"> due to </w:t>
      </w:r>
      <w:r>
        <w:t>AE</w:t>
      </w:r>
      <w:r w:rsidRPr="00C412E0">
        <w:t>s. Furthermore, subjects experiencing virologic failure on rilpivirine developed more NNRTI resistance-associated substitutions conferring more cross-resistanc</w:t>
      </w:r>
      <w:r>
        <w:t xml:space="preserve">e to the </w:t>
      </w:r>
      <w:r w:rsidRPr="00C412E0">
        <w:t>NNRTI class and had a higher likelihood of cross-resistance to all NNRTIs in the class than subjec</w:t>
      </w:r>
      <w:r>
        <w:t xml:space="preserve">ts </w:t>
      </w:r>
      <w:r w:rsidRPr="00C412E0">
        <w:t xml:space="preserve">who failed on </w:t>
      </w:r>
      <w:r>
        <w:t>efavirenz.</w:t>
      </w:r>
      <w:r>
        <w:rPr>
          <w:rStyle w:val="FootnoteReference"/>
        </w:rPr>
        <w:t xml:space="preserve"> </w:t>
      </w:r>
      <w:r>
        <w:rPr>
          <w:rStyle w:val="FootnoteReference"/>
        </w:rPr>
        <w:footnoteReference w:id="22"/>
      </w:r>
      <w:r w:rsidRPr="00725971">
        <w:rPr>
          <w:vertAlign w:val="superscript"/>
        </w:rPr>
        <w:t>,</w:t>
      </w:r>
      <w:r>
        <w:rPr>
          <w:rStyle w:val="FootnoteReference"/>
        </w:rPr>
        <w:footnoteReference w:id="23"/>
      </w:r>
      <w:r w:rsidRPr="00725971">
        <w:rPr>
          <w:vertAlign w:val="superscript"/>
        </w:rPr>
        <w:t>,</w:t>
      </w:r>
      <w:r>
        <w:rPr>
          <w:rStyle w:val="FootnoteReference"/>
        </w:rPr>
        <w:footnoteReference w:id="24"/>
      </w:r>
    </w:p>
    <w:p w:rsidR="002C782A" w:rsidRDefault="002C782A" w:rsidP="002C782A">
      <w:r>
        <w:t xml:space="preserve">An expert </w:t>
      </w:r>
      <w:r w:rsidRPr="00C412E0">
        <w:t xml:space="preserve">provides the following Australian clinical context: </w:t>
      </w:r>
      <w:r>
        <w:rPr>
          <w:i/>
        </w:rPr>
        <w:t>‘</w:t>
      </w:r>
      <w:proofErr w:type="gramStart"/>
      <w:r w:rsidRPr="00725971">
        <w:rPr>
          <w:i/>
        </w:rPr>
        <w:t>The</w:t>
      </w:r>
      <w:proofErr w:type="gramEnd"/>
      <w:r w:rsidRPr="00725971">
        <w:rPr>
          <w:i/>
        </w:rPr>
        <w:t xml:space="preserve"> use of an agent which may have demonstrated a higher risk of failure in clinical trials does not necessarily translate into a higher risk of failure in clinical practice: the key to treatment success is patient adherence</w:t>
      </w:r>
      <w:r>
        <w:rPr>
          <w:i/>
        </w:rPr>
        <w:t>’</w:t>
      </w:r>
      <w:r>
        <w:t>.</w:t>
      </w:r>
    </w:p>
    <w:p w:rsidR="002C782A" w:rsidRPr="00126932" w:rsidRDefault="00126932" w:rsidP="00126932">
      <w:pPr>
        <w:pStyle w:val="Heading5"/>
      </w:pPr>
      <w:r>
        <w:t>Tropism</w:t>
      </w:r>
    </w:p>
    <w:p w:rsidR="002C782A" w:rsidRDefault="002C782A" w:rsidP="00126932">
      <w:r>
        <w:t xml:space="preserve">The sponsor </w:t>
      </w:r>
      <w:r w:rsidRPr="00C412E0">
        <w:t>agree</w:t>
      </w:r>
      <w:r>
        <w:t>s that CXCR4-</w:t>
      </w:r>
      <w:r w:rsidRPr="00C412E0">
        <w:t>using virus is more often seen in later stages of HIV infection and coincides with</w:t>
      </w:r>
      <w:r>
        <w:t xml:space="preserve"> disease progression. However, the sponsor does not believe the evidence would concur with the assessment that maraviroc</w:t>
      </w:r>
      <w:r w:rsidRPr="00C412E0">
        <w:t xml:space="preserve"> treatment puts patients at risk of more rapid disease progress</w:t>
      </w:r>
      <w:r>
        <w:t>ion with the selection of CXCR4-</w:t>
      </w:r>
      <w:r w:rsidRPr="00C412E0">
        <w:t>using</w:t>
      </w:r>
      <w:r>
        <w:t xml:space="preserve"> </w:t>
      </w:r>
      <w:r w:rsidRPr="00C412E0">
        <w:t>virus. Tropism change was not seen in isolation but found in the context of M184V. It is likely that in lat</w:t>
      </w:r>
      <w:r>
        <w:t>er stages of HIV infection, CXCR4-</w:t>
      </w:r>
      <w:r w:rsidRPr="00C412E0">
        <w:t>using virus emerges as a result of progressive immune dysregulation rather than being a cause of it</w:t>
      </w:r>
      <w:r>
        <w:t>.</w:t>
      </w:r>
      <w:r>
        <w:rPr>
          <w:rStyle w:val="FootnoteReference"/>
        </w:rPr>
        <w:footnoteReference w:id="25"/>
      </w:r>
    </w:p>
    <w:p w:rsidR="002C782A" w:rsidRDefault="002C782A" w:rsidP="002C782A">
      <w:r w:rsidRPr="00C412E0">
        <w:t>Unlike natural disease progression which coincides with increasing CXCR4 use, the emergence of CXCR4-using virus during thera</w:t>
      </w:r>
      <w:r>
        <w:t xml:space="preserve">py with maraviroc has been shown to be reversible on withdrawal of maraviroc. </w:t>
      </w:r>
      <w:r w:rsidRPr="00C412E0">
        <w:t xml:space="preserve">Selective pressure from </w:t>
      </w:r>
      <w:r>
        <w:t>maraviroc</w:t>
      </w:r>
      <w:r w:rsidRPr="00C412E0">
        <w:t xml:space="preserve"> will lead to the </w:t>
      </w:r>
      <w:r>
        <w:t>emergence of pre-existing CXCR4-</w:t>
      </w:r>
      <w:r w:rsidRPr="00C412E0">
        <w:t>using virus that th</w:t>
      </w:r>
      <w:r>
        <w:t xml:space="preserve">en on </w:t>
      </w:r>
      <w:r w:rsidRPr="00C412E0">
        <w:t xml:space="preserve">cessation of </w:t>
      </w:r>
      <w:r>
        <w:t>maraviroc</w:t>
      </w:r>
      <w:r w:rsidRPr="00C412E0">
        <w:t xml:space="preserve"> the</w:t>
      </w:r>
      <w:r>
        <w:t>rapy will be replaced with CCR5-using virus. CCR5-</w:t>
      </w:r>
      <w:r w:rsidRPr="00C412E0">
        <w:t>using virus often rapidly outgrows CXCR4 virus suggesting the CCR5 tropic vi</w:t>
      </w:r>
      <w:r>
        <w:t>rus is indeed fitter than CXCR4-</w:t>
      </w:r>
      <w:r w:rsidRPr="00C412E0">
        <w:t>using virus.</w:t>
      </w:r>
      <w:r>
        <w:rPr>
          <w:rStyle w:val="FootnoteReference"/>
        </w:rPr>
        <w:footnoteReference w:id="26"/>
      </w:r>
    </w:p>
    <w:p w:rsidR="002C782A" w:rsidRDefault="002C782A" w:rsidP="002C782A">
      <w:r>
        <w:t>The emergence of CXCR4-</w:t>
      </w:r>
      <w:r w:rsidRPr="00C412E0">
        <w:t>using virus is less detrimental to patients than, for example, emergence of</w:t>
      </w:r>
      <w:r>
        <w:t xml:space="preserve"> </w:t>
      </w:r>
      <w:r w:rsidRPr="00C412E0">
        <w:t>re</w:t>
      </w:r>
      <w:r>
        <w:t>s</w:t>
      </w:r>
      <w:r w:rsidRPr="00C412E0">
        <w:t xml:space="preserve">istance to an NNRTI, which may disqualify several drugs from future use. </w:t>
      </w:r>
      <w:r>
        <w:t>Maraviroc</w:t>
      </w:r>
      <w:r w:rsidRPr="00C412E0">
        <w:t xml:space="preserve"> is the only CCR5</w:t>
      </w:r>
      <w:r>
        <w:t xml:space="preserve"> </w:t>
      </w:r>
      <w:r w:rsidRPr="00C412E0">
        <w:t>inhibitor currently available, so there is currently no potential for a succession of entry inhibitor treatm</w:t>
      </w:r>
      <w:r>
        <w:t xml:space="preserve">ent. </w:t>
      </w:r>
      <w:r w:rsidRPr="00C412E0">
        <w:t>Furthermore, the potential clinical benefit for re-treatment with maraviroc on the reversion of the D</w:t>
      </w:r>
      <w:r>
        <w:t>/</w:t>
      </w:r>
      <w:r w:rsidRPr="00C412E0">
        <w:t>M phenotype after maraviroc wi</w:t>
      </w:r>
      <w:r w:rsidR="00126932">
        <w:t>thdrawal has not been explored.</w:t>
      </w:r>
    </w:p>
    <w:p w:rsidR="002C782A" w:rsidRDefault="002C782A" w:rsidP="002C782A">
      <w:r w:rsidRPr="00C412E0">
        <w:t>Several Australian HIV clinical specialists have lent their opinion to this issue and they are of the view</w:t>
      </w:r>
      <w:r>
        <w:t xml:space="preserve"> </w:t>
      </w:r>
      <w:r w:rsidRPr="00C412E0">
        <w:t>there is no extra concern over the development of CXCR4 viru</w:t>
      </w:r>
      <w:r>
        <w:t>s. One of these expert states: ‘</w:t>
      </w:r>
      <w:r w:rsidRPr="00423F9E">
        <w:rPr>
          <w:i/>
        </w:rPr>
        <w:t xml:space="preserve">the available data strongly suggest that CCR5 tropism reversion does occur following </w:t>
      </w:r>
      <w:r>
        <w:rPr>
          <w:i/>
        </w:rPr>
        <w:t>the withdrawal (or failure) of m</w:t>
      </w:r>
      <w:r w:rsidRPr="00423F9E">
        <w:rPr>
          <w:i/>
        </w:rPr>
        <w:t>araviroc therapy, and that the natural history is not altered significantly.</w:t>
      </w:r>
      <w:r>
        <w:rPr>
          <w:i/>
        </w:rPr>
        <w:t>’</w:t>
      </w:r>
      <w:r w:rsidRPr="00C412E0">
        <w:t xml:space="preserve"> It is regarded as a means for viral escape of drug-pressure and as such is comparable with conventional antiretroviral drugs; emergence of pre-existing viral species that are not susceptible to the </w:t>
      </w:r>
      <w:r>
        <w:t>antiretroviral therapy (</w:t>
      </w:r>
      <w:r w:rsidRPr="00C412E0">
        <w:t>ART</w:t>
      </w:r>
      <w:r>
        <w:t>)</w:t>
      </w:r>
      <w:r w:rsidRPr="00C412E0">
        <w:t>. Commonly, a low percentage of patients develop conventional resistance using another agent, and this</w:t>
      </w:r>
      <w:r>
        <w:t xml:space="preserve"> is </w:t>
      </w:r>
      <w:r w:rsidRPr="00C412E0">
        <w:t xml:space="preserve">no different to the percentage reported with maraviroc. These patients can be treated with </w:t>
      </w:r>
      <w:r w:rsidRPr="00C412E0">
        <w:lastRenderedPageBreak/>
        <w:t>another re</w:t>
      </w:r>
      <w:r>
        <w:t xml:space="preserve">gimen </w:t>
      </w:r>
      <w:r w:rsidRPr="00C412E0">
        <w:t>as currently the therapy landscape provides more treatment options, which is an ongoing critical need in the treatment of HIV infection as resistance development and tolerability are the ke</w:t>
      </w:r>
      <w:r w:rsidR="00126932">
        <w:t>y factors in switching therapy.</w:t>
      </w:r>
    </w:p>
    <w:p w:rsidR="002C782A" w:rsidRDefault="002C782A" w:rsidP="002C782A">
      <w:r w:rsidRPr="00C412E0">
        <w:t>The concern over the impact of tropism change from CCR5</w:t>
      </w:r>
      <w:r>
        <w:t xml:space="preserve"> </w:t>
      </w:r>
      <w:r w:rsidRPr="00C412E0">
        <w:t>tropic to CXCR4</w:t>
      </w:r>
      <w:r>
        <w:t xml:space="preserve"> </w:t>
      </w:r>
      <w:r w:rsidRPr="00C412E0">
        <w:t>tropic in the development of</w:t>
      </w:r>
      <w:r>
        <w:t xml:space="preserve"> </w:t>
      </w:r>
      <w:r w:rsidRPr="00C412E0">
        <w:t>malignan</w:t>
      </w:r>
      <w:r>
        <w:t xml:space="preserve">cy or incidence of Category C events is speculative at this stage, as there is no evidence from the </w:t>
      </w:r>
      <w:r w:rsidRPr="00C412E0">
        <w:t xml:space="preserve">pivotal trial data to suggest this is the case. To evaluate these risks, longer term studies and larger populations would be required. Of note, the incidence of these events at Week 240 was 3.1% in the </w:t>
      </w:r>
      <w:r>
        <w:t>maraviroc</w:t>
      </w:r>
      <w:r w:rsidRPr="00C412E0">
        <w:t xml:space="preserve"> arm versus 3.9% in the efavirenz arm with the majority of these being cases of tub</w:t>
      </w:r>
      <w:r>
        <w:t>erculosis. The incidence of non</w:t>
      </w:r>
      <w:r>
        <w:noBreakHyphen/>
      </w:r>
      <w:r w:rsidRPr="00C412E0">
        <w:t>Category C malignancies w</w:t>
      </w:r>
      <w:r w:rsidR="00126932">
        <w:t>as also similar between groups.</w:t>
      </w:r>
    </w:p>
    <w:p w:rsidR="002C782A" w:rsidRDefault="00126932" w:rsidP="002C782A">
      <w:pPr>
        <w:pStyle w:val="Heading5"/>
      </w:pPr>
      <w:r>
        <w:t>Tropism testing</w:t>
      </w:r>
    </w:p>
    <w:p w:rsidR="002C782A" w:rsidRDefault="002C782A" w:rsidP="002C782A">
      <w:r w:rsidRPr="00C412E0">
        <w:t>The OTA from Monogram Biosciences is th</w:t>
      </w:r>
      <w:r>
        <w:t xml:space="preserve">e only tropism assay that has </w:t>
      </w:r>
      <w:r w:rsidRPr="00C412E0">
        <w:t>undergone prospec</w:t>
      </w:r>
      <w:r>
        <w:t xml:space="preserve">tive evaluation in the context of large registrational clinical studies. OTA, a phenotypic </w:t>
      </w:r>
      <w:r w:rsidRPr="00C412E0">
        <w:t xml:space="preserve">assay, supported the licensure of </w:t>
      </w:r>
      <w:r>
        <w:t xml:space="preserve">maraviroc in the US and EU for ART </w:t>
      </w:r>
      <w:r w:rsidRPr="00C412E0">
        <w:t>experienced (MOTIVATE</w:t>
      </w:r>
      <w:r>
        <w:rPr>
          <w:rStyle w:val="FootnoteReference"/>
        </w:rPr>
        <w:footnoteReference w:id="27"/>
      </w:r>
      <w:r w:rsidRPr="00C412E0">
        <w:t>) pa</w:t>
      </w:r>
      <w:r>
        <w:t xml:space="preserve">tients </w:t>
      </w:r>
      <w:r w:rsidRPr="00C412E0">
        <w:t>who harbor R5 virus. An ESTA was subsequ</w:t>
      </w:r>
      <w:r>
        <w:t>ently developed and commercialis</w:t>
      </w:r>
      <w:r w:rsidRPr="00C412E0">
        <w:t>ed by Monogram Biosciences.</w:t>
      </w:r>
      <w:r>
        <w:rPr>
          <w:rStyle w:val="FootnoteReference"/>
        </w:rPr>
        <w:footnoteReference w:id="28"/>
      </w:r>
      <w:r w:rsidRPr="00C412E0">
        <w:t xml:space="preserve"> This assay supported the ART</w:t>
      </w:r>
      <w:r>
        <w:t xml:space="preserve"> </w:t>
      </w:r>
      <w:r w:rsidRPr="00C412E0">
        <w:t>naïve indication granted in the US for patients with R5 virus. While ESTA is a modified or enhanced version of OTA, it has not bee</w:t>
      </w:r>
      <w:r>
        <w:t xml:space="preserve">n </w:t>
      </w:r>
      <w:r w:rsidRPr="00C412E0">
        <w:t>formally evaluated in large prospective clinical studies. Neither the OTA nor ESTA are FDA-approved assays; they are governed under the standards outlined in the U</w:t>
      </w:r>
      <w:r>
        <w:t xml:space="preserve">S </w:t>
      </w:r>
      <w:r w:rsidRPr="00C412E0">
        <w:t>Clinical Laboratory Improve</w:t>
      </w:r>
      <w:r w:rsidR="002040DD">
        <w:t>ment Amendments (CLIA) of 1988.</w:t>
      </w:r>
    </w:p>
    <w:p w:rsidR="002C782A" w:rsidRDefault="002C782A" w:rsidP="002C782A">
      <w:r>
        <w:t xml:space="preserve">An expert </w:t>
      </w:r>
      <w:r w:rsidRPr="00C412E0">
        <w:t>notes</w:t>
      </w:r>
      <w:r w:rsidRPr="00423F9E">
        <w:rPr>
          <w:i/>
        </w:rPr>
        <w:t xml:space="preserve">: </w:t>
      </w:r>
      <w:r>
        <w:rPr>
          <w:i/>
        </w:rPr>
        <w:t>‘</w:t>
      </w:r>
      <w:r w:rsidRPr="00423F9E">
        <w:rPr>
          <w:i/>
        </w:rPr>
        <w:t xml:space="preserve">Virtually all </w:t>
      </w:r>
      <w:r w:rsidRPr="00123AFD">
        <w:rPr>
          <w:i/>
        </w:rPr>
        <w:t>naïve</w:t>
      </w:r>
      <w:r w:rsidRPr="00423F9E">
        <w:rPr>
          <w:i/>
        </w:rPr>
        <w:t xml:space="preserve"> patients considering starting treatment will have an HIV </w:t>
      </w:r>
      <w:r>
        <w:rPr>
          <w:i/>
        </w:rPr>
        <w:t>VL</w:t>
      </w:r>
      <w:r w:rsidRPr="00423F9E">
        <w:rPr>
          <w:i/>
        </w:rPr>
        <w:t xml:space="preserve"> over 1,000 copies and the decision to start treatment is rarely so urgent that the time required to obtain an assay result will be critical</w:t>
      </w:r>
      <w:r>
        <w:rPr>
          <w:i/>
        </w:rPr>
        <w:t>’</w:t>
      </w:r>
      <w:r w:rsidRPr="00C412E0">
        <w:t>. However, recent advances in both laboratory methodologies to generate high quality V3 loop sequence data and bioinformatics algorithms has greatly advanced the clinical utility of genotypic tropism methods, and with reduced time for results (1-2 weeks inclusive, compared to 6-7 weeks for ESTA), have become the most practical means for tropism testing in Australia. As with HIV resistance testing, genotypic tropism testing provides a viable option for patient manageme</w:t>
      </w:r>
      <w:r>
        <w:t>nt and is currently being utilis</w:t>
      </w:r>
      <w:r w:rsidRPr="00C412E0">
        <w:t>ed by accredited laboratories in Australia. The Australian commentary on the DHHS Guidelines and the European Consensus Group on clinical management of tropism testing have recently included a recommendation for the use of genotypic tropism testing in their treatment guidelines.</w:t>
      </w:r>
      <w:r>
        <w:rPr>
          <w:rStyle w:val="FootnoteReference"/>
        </w:rPr>
        <w:footnoteReference w:id="29"/>
      </w:r>
      <w:r>
        <w:t xml:space="preserve"> An expert </w:t>
      </w:r>
      <w:r w:rsidRPr="00C412E0">
        <w:t xml:space="preserve">states, </w:t>
      </w:r>
      <w:r>
        <w:t>‘</w:t>
      </w:r>
      <w:r w:rsidRPr="001C7415">
        <w:rPr>
          <w:i/>
        </w:rPr>
        <w:t>Given that baseline HIV drug resistance genotyping is standard in Australian centres including Royal Perth Hospital, and that results are routinely considered by clinicians when considering first-line therapy, the process of performing and interpreting a highly-sensitive CCR5 tropism assay does not represent a major challenge in routine clinical care</w:t>
      </w:r>
      <w:r>
        <w:rPr>
          <w:i/>
        </w:rPr>
        <w:t>’</w:t>
      </w:r>
      <w:r w:rsidR="002040DD">
        <w:t>.</w:t>
      </w:r>
    </w:p>
    <w:p w:rsidR="002C782A" w:rsidRDefault="002C782A" w:rsidP="002C782A">
      <w:r w:rsidRPr="00C412E0">
        <w:t>A total of 859 screening samples from the MERIT trial were re-examined using ESTA and genotypic testing.</w:t>
      </w:r>
      <w:r>
        <w:t xml:space="preserve"> Overall concordance between the two tests was 82.1%. Specificity and NPV were both high at </w:t>
      </w:r>
      <w:r w:rsidRPr="00C412E0">
        <w:t xml:space="preserve">92.7% and 87.1% respectively (Swenson </w:t>
      </w:r>
      <w:r w:rsidRPr="00725971">
        <w:rPr>
          <w:i/>
        </w:rPr>
        <w:t>et al</w:t>
      </w:r>
      <w:r w:rsidRPr="00C412E0">
        <w:t>, 2011</w:t>
      </w:r>
      <w:r>
        <w:rPr>
          <w:rStyle w:val="FootnoteReference"/>
        </w:rPr>
        <w:footnoteReference w:id="30"/>
      </w:r>
      <w:r>
        <w:t>).</w:t>
      </w:r>
      <w:r w:rsidRPr="00337FA1">
        <w:t xml:space="preserve"> </w:t>
      </w:r>
      <w:r w:rsidRPr="00C412E0">
        <w:t>These methods performed similarly in predicting virological response to mar</w:t>
      </w:r>
      <w:r>
        <w:t>aviroc, as illustrated in Table 16</w:t>
      </w:r>
      <w:r w:rsidR="002040DD">
        <w:t>.</w:t>
      </w:r>
    </w:p>
    <w:p w:rsidR="002C782A" w:rsidRPr="00C412E0" w:rsidRDefault="002C782A" w:rsidP="00F61BA3">
      <w:pPr>
        <w:pStyle w:val="TableTitle"/>
      </w:pPr>
      <w:proofErr w:type="gramStart"/>
      <w:r>
        <w:lastRenderedPageBreak/>
        <w:t>Table 16.</w:t>
      </w:r>
      <w:proofErr w:type="gramEnd"/>
      <w:r w:rsidRPr="00C412E0">
        <w:t xml:space="preserve"> </w:t>
      </w:r>
      <w:proofErr w:type="gramStart"/>
      <w:r w:rsidRPr="00C412E0">
        <w:t>Non-inferiority analysis between the maraviroc and efavirenz treatment arms</w:t>
      </w:r>
      <w:r>
        <w:t>.</w:t>
      </w:r>
      <w:proofErr w:type="gramEnd"/>
    </w:p>
    <w:p w:rsidR="002C782A" w:rsidRDefault="002C782A" w:rsidP="00F61BA3">
      <w:r>
        <w:rPr>
          <w:noProof/>
          <w:lang w:eastAsia="en-AU"/>
        </w:rPr>
        <w:drawing>
          <wp:inline distT="0" distB="0" distL="0" distR="0">
            <wp:extent cx="5400040" cy="1012508"/>
            <wp:effectExtent l="19050" t="0" r="0" b="0"/>
            <wp:docPr id="22" name="Picture 9" descr="Table 16. Non-inferiority analysis between the maraviroc and efavirenz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400040" cy="1012508"/>
                    </a:xfrm>
                    <a:prstGeom prst="rect">
                      <a:avLst/>
                    </a:prstGeom>
                    <a:noFill/>
                    <a:ln w="9525">
                      <a:noFill/>
                      <a:miter lim="800000"/>
                      <a:headEnd/>
                      <a:tailEnd/>
                    </a:ln>
                  </pic:spPr>
                </pic:pic>
              </a:graphicData>
            </a:graphic>
          </wp:inline>
        </w:drawing>
      </w:r>
    </w:p>
    <w:p w:rsidR="002C782A" w:rsidRDefault="002C782A" w:rsidP="002C782A">
      <w:r>
        <w:t xml:space="preserve">The collective datasets described in the submission, as well as others, support the notion that the change from R5 to non-R5 (that is, dual-, mixed-, or X4 tropic) requires significant time (in the absence of therapy) or </w:t>
      </w:r>
      <w:r w:rsidRPr="00C412E0">
        <w:t>significant drug pressure (in the context of maraviroc-containing HAART). Nevertheless, the question arises if HIV tropism could change during the course of a screening evaluation period such that a tropism result based on a sample at time point “1” would not be relev</w:t>
      </w:r>
      <w:r w:rsidR="00F61BA3">
        <w:t>ant at time point “2”.</w:t>
      </w:r>
    </w:p>
    <w:p w:rsidR="002C782A" w:rsidRDefault="002C782A" w:rsidP="002C782A">
      <w:r w:rsidRPr="00C412E0">
        <w:t>Giv</w:t>
      </w:r>
      <w:r>
        <w:t>en the rapid turnaround time (1</w:t>
      </w:r>
      <w:r w:rsidRPr="00C412E0">
        <w:t xml:space="preserve">-2 weeks) with genotypic testing, and the data from natural history studies and analyses of virologic failures with </w:t>
      </w:r>
      <w:r>
        <w:t>maraviroc-containing HAART, changes in tropism during the testing period should not be a point of concern.</w:t>
      </w:r>
    </w:p>
    <w:p w:rsidR="002C782A" w:rsidRDefault="002C782A" w:rsidP="002C782A">
      <w:r w:rsidRPr="00C412E0">
        <w:t>Spontaneous tropism changes (from R5 to non-R5 or vice-versa) were observed in approximately 10% o</w:t>
      </w:r>
      <w:r>
        <w:t xml:space="preserve">f </w:t>
      </w:r>
      <w:r w:rsidRPr="00C412E0">
        <w:t xml:space="preserve">patients between screening and study baseline in the </w:t>
      </w:r>
      <w:r>
        <w:t>maraviroc</w:t>
      </w:r>
      <w:r w:rsidRPr="00C412E0">
        <w:t xml:space="preserve"> clinical trials using the </w:t>
      </w:r>
      <w:r>
        <w:t>OTA</w:t>
      </w:r>
      <w:r w:rsidRPr="00C412E0">
        <w:t>;</w:t>
      </w:r>
      <w:r>
        <w:t xml:space="preserve"> </w:t>
      </w:r>
      <w:r w:rsidRPr="00C412E0">
        <w:t>the turnaround time for Trofile is at least two wee</w:t>
      </w:r>
      <w:r>
        <w:t>ks from the point of sample receipt at the laboratory. In an effort to characteris</w:t>
      </w:r>
      <w:r w:rsidRPr="00C412E0">
        <w:t xml:space="preserve">e these discordant, intra-patient samples, population-based and “deep” sequencing analyses of the HIV envelope V3 loop were performed. </w:t>
      </w:r>
      <w:r>
        <w:t>Maraviroc</w:t>
      </w:r>
      <w:r w:rsidRPr="00C412E0">
        <w:t xml:space="preserve"> recipients in the MERIT, MOTIVATE and A4001029 studies who spontaneously changed tropism readout (n</w:t>
      </w:r>
      <w:r>
        <w:t xml:space="preserve"> </w:t>
      </w:r>
      <w:r w:rsidRPr="00C412E0">
        <w:t>=</w:t>
      </w:r>
      <w:r>
        <w:t xml:space="preserve"> </w:t>
      </w:r>
      <w:r w:rsidRPr="00C412E0">
        <w:t>53) or did not change (n</w:t>
      </w:r>
      <w:r>
        <w:t xml:space="preserve"> </w:t>
      </w:r>
      <w:r w:rsidRPr="00C412E0">
        <w:t>=</w:t>
      </w:r>
      <w:r>
        <w:t xml:space="preserve"> </w:t>
      </w:r>
      <w:r w:rsidRPr="00C412E0">
        <w:t xml:space="preserve">72 random samples) by the </w:t>
      </w:r>
      <w:r>
        <w:t xml:space="preserve">OTA </w:t>
      </w:r>
      <w:r w:rsidRPr="00C412E0">
        <w:t>b</w:t>
      </w:r>
      <w:r>
        <w:t xml:space="preserve">etween screening and baseline (approximately </w:t>
      </w:r>
      <w:r w:rsidRPr="00C412E0">
        <w:t>4-8 weeks) were evaluated. Tropism of the V3 loop sequences was infe</w:t>
      </w:r>
      <w:r w:rsidR="00F61BA3">
        <w:t>rred by “geno2pheno” algorithm.</w:t>
      </w:r>
    </w:p>
    <w:p w:rsidR="002C782A" w:rsidRDefault="002C782A" w:rsidP="002C782A">
      <w:r w:rsidRPr="00C412E0">
        <w:t>In the majority of cases, the prevalence of non-CCR5 usage inferred from “deep” sequencing was stable over the short term between screening and baseline. Where apparent phenotypic tropism changes fro</w:t>
      </w:r>
      <w:r>
        <w:t xml:space="preserve">m R5 </w:t>
      </w:r>
      <w:r w:rsidRPr="00C412E0">
        <w:t>to non-R5 occurred, non-R5 virus was generally detectable at the screening tim</w:t>
      </w:r>
      <w:r>
        <w:t xml:space="preserve">e point by genotype coupled </w:t>
      </w:r>
      <w:r w:rsidRPr="00C412E0">
        <w:t>with relatively small increases in non-R5 virus by the baseline time point. These findings are consistent with the authors’ conclusion that small variations in CXCR4-using HIV populations around the phenotypic assay detection limit, rather than co-receptor switch (</w:t>
      </w:r>
      <w:r>
        <w:t xml:space="preserve">that is, a </w:t>
      </w:r>
      <w:r w:rsidRPr="00C412E0">
        <w:t>recent evolutionary event), contributed to apparent changes in Trofile readouts.</w:t>
      </w:r>
      <w:r>
        <w:rPr>
          <w:rStyle w:val="FootnoteReference"/>
        </w:rPr>
        <w:footnoteReference w:id="31"/>
      </w:r>
    </w:p>
    <w:p w:rsidR="002C782A" w:rsidRDefault="002C782A" w:rsidP="002C782A">
      <w:pPr>
        <w:pStyle w:val="Heading5"/>
      </w:pPr>
      <w:r>
        <w:t>Product Information</w:t>
      </w:r>
    </w:p>
    <w:p w:rsidR="002C782A" w:rsidRDefault="00F61BA3" w:rsidP="002C782A">
      <w:r>
        <w:t>The proposed INDICATION is:</w:t>
      </w:r>
    </w:p>
    <w:p w:rsidR="002C782A" w:rsidRPr="007923F0" w:rsidRDefault="002C782A" w:rsidP="002C782A">
      <w:pPr>
        <w:rPr>
          <w:i/>
        </w:rPr>
      </w:pPr>
      <w:r w:rsidRPr="007923F0">
        <w:rPr>
          <w:i/>
        </w:rPr>
        <w:t>C</w:t>
      </w:r>
      <w:r>
        <w:rPr>
          <w:i/>
        </w:rPr>
        <w:t>elsentri</w:t>
      </w:r>
      <w:r w:rsidRPr="007923F0">
        <w:rPr>
          <w:i/>
        </w:rPr>
        <w:t>, in combination with other antiretroviral medicinal product, is indicated for adult patients infected with CCR5 tropic HIV-1.</w:t>
      </w:r>
    </w:p>
    <w:p w:rsidR="002C782A" w:rsidRPr="007923F0" w:rsidRDefault="002C782A" w:rsidP="002C782A">
      <w:pPr>
        <w:rPr>
          <w:i/>
        </w:rPr>
      </w:pPr>
      <w:r w:rsidRPr="007923F0">
        <w:rPr>
          <w:i/>
        </w:rPr>
        <w:t>The use of other active agents with Celsentri is associated with a greater li</w:t>
      </w:r>
      <w:r w:rsidR="00F61BA3">
        <w:rPr>
          <w:i/>
        </w:rPr>
        <w:t>kelihood of treatment response.</w:t>
      </w:r>
    </w:p>
    <w:p w:rsidR="0068000C" w:rsidRDefault="002C782A" w:rsidP="002C782A">
      <w:r w:rsidRPr="007923F0">
        <w:t xml:space="preserve">The Delegate has recommended the approval of this indication and proposed several points for inclusion in the PI to be considered before the initiation of therapy. As these points are found in the </w:t>
      </w:r>
      <w:r w:rsidRPr="007923F0">
        <w:rPr>
          <w:i/>
        </w:rPr>
        <w:t>Usage</w:t>
      </w:r>
      <w:r>
        <w:t xml:space="preserve"> </w:t>
      </w:r>
      <w:r w:rsidRPr="007923F0">
        <w:t>secti</w:t>
      </w:r>
      <w:r>
        <w:t xml:space="preserve">on of the </w:t>
      </w:r>
      <w:r w:rsidRPr="007923F0">
        <w:t>US PI</w:t>
      </w:r>
      <w:r>
        <w:t xml:space="preserve">, which does not exist in the Australian PI, the sponsor believes it appropriate </w:t>
      </w:r>
      <w:r w:rsidRPr="007923F0">
        <w:t xml:space="preserve">to incorporate them into the </w:t>
      </w:r>
      <w:r w:rsidRPr="007923F0">
        <w:rPr>
          <w:i/>
        </w:rPr>
        <w:t>Dosage and Administration</w:t>
      </w:r>
      <w:r>
        <w:t xml:space="preserve"> </w:t>
      </w:r>
      <w:r w:rsidRPr="007923F0">
        <w:t xml:space="preserve">section following the existing statement </w:t>
      </w:r>
      <w:r w:rsidRPr="007923F0">
        <w:rPr>
          <w:i/>
        </w:rPr>
        <w:t>‘The following points should be considered when initiating therapy with Celsentri’</w:t>
      </w:r>
      <w:r w:rsidR="00F61BA3">
        <w:t>.</w:t>
      </w:r>
    </w:p>
    <w:p w:rsidR="002C782A" w:rsidRPr="007923F0" w:rsidRDefault="002C782A" w:rsidP="002C782A">
      <w:r>
        <w:lastRenderedPageBreak/>
        <w:t>Details of other revisions to the PI and CMI are bey</w:t>
      </w:r>
      <w:r w:rsidR="00F61BA3">
        <w:t>ond the scope of this AusPAR.</w:t>
      </w:r>
    </w:p>
    <w:p w:rsidR="002C782A" w:rsidRDefault="00F61BA3" w:rsidP="002C782A">
      <w:pPr>
        <w:pStyle w:val="Heading5"/>
      </w:pPr>
      <w:r>
        <w:t>Benefit-r</w:t>
      </w:r>
      <w:r w:rsidR="002C782A">
        <w:t>isk a</w:t>
      </w:r>
      <w:r w:rsidR="002C782A" w:rsidRPr="00C412E0">
        <w:t>ssessment</w:t>
      </w:r>
      <w:r w:rsidR="002C782A">
        <w:t xml:space="preserve"> </w:t>
      </w:r>
      <w:r>
        <w:t>- conclusion</w:t>
      </w:r>
    </w:p>
    <w:p w:rsidR="002C782A" w:rsidRDefault="002C782A" w:rsidP="002C782A">
      <w:r>
        <w:t>The Delegate and t</w:t>
      </w:r>
      <w:r w:rsidRPr="00C412E0">
        <w:t xml:space="preserve">he </w:t>
      </w:r>
      <w:r>
        <w:t>c</w:t>
      </w:r>
      <w:r w:rsidRPr="00C412E0">
        <w:t xml:space="preserve">linical </w:t>
      </w:r>
      <w:r>
        <w:t>e</w:t>
      </w:r>
      <w:r w:rsidRPr="00C412E0">
        <w:t xml:space="preserve">valuator on consideration of the benefits and risk balance find in favour of </w:t>
      </w:r>
      <w:r>
        <w:t xml:space="preserve">approving the extension of </w:t>
      </w:r>
      <w:r w:rsidRPr="007923F0">
        <w:rPr>
          <w:i/>
        </w:rPr>
        <w:t>Indication</w:t>
      </w:r>
      <w:r w:rsidRPr="00C412E0">
        <w:t xml:space="preserve"> for Celsentr</w:t>
      </w:r>
      <w:r>
        <w:t xml:space="preserve">i to include treatment naïve patients. The sponsor </w:t>
      </w:r>
      <w:r w:rsidRPr="00C412E0">
        <w:t>welcomes this recommendation given the</w:t>
      </w:r>
      <w:r>
        <w:t xml:space="preserve"> difficult to treat area of HIV therapy, where regimen selection </w:t>
      </w:r>
      <w:r w:rsidRPr="00C412E0">
        <w:t>requires individuali</w:t>
      </w:r>
      <w:r>
        <w:t>s</w:t>
      </w:r>
      <w:r w:rsidRPr="00C412E0">
        <w:t>atio</w:t>
      </w:r>
      <w:r w:rsidR="00F61BA3">
        <w:t>n based on a number of factors.</w:t>
      </w:r>
    </w:p>
    <w:p w:rsidR="002C782A" w:rsidRDefault="002C782A" w:rsidP="002C782A">
      <w:r>
        <w:t xml:space="preserve">An expert </w:t>
      </w:r>
      <w:r w:rsidRPr="00C412E0">
        <w:t xml:space="preserve">offers his opinion from the Australian HIV Specialist view, </w:t>
      </w:r>
      <w:r>
        <w:rPr>
          <w:i/>
        </w:rPr>
        <w:t>‘</w:t>
      </w:r>
      <w:r w:rsidRPr="00003F10">
        <w:rPr>
          <w:i/>
        </w:rPr>
        <w:t>I would agree with the view the benefi</w:t>
      </w:r>
      <w:r>
        <w:rPr>
          <w:i/>
        </w:rPr>
        <w:t>ts of approving m</w:t>
      </w:r>
      <w:r w:rsidRPr="00003F10">
        <w:rPr>
          <w:i/>
        </w:rPr>
        <w:t>araviroc for first-line treatment outweigh the risks, and that current clinical practice (which is increas</w:t>
      </w:r>
      <w:r>
        <w:rPr>
          <w:i/>
        </w:rPr>
        <w:t>ingly interested in early treat</w:t>
      </w:r>
      <w:r w:rsidRPr="00003F10">
        <w:rPr>
          <w:i/>
        </w:rPr>
        <w:t>ment) and laboratory support (which now provides clinically relevant V3 genotyping results using highly sensitive assay methods) provide the optimal conditions for m</w:t>
      </w:r>
      <w:r>
        <w:rPr>
          <w:i/>
        </w:rPr>
        <w:t>araviroc treatment to be utilised in Australia.’</w:t>
      </w:r>
    </w:p>
    <w:p w:rsidR="002C782A" w:rsidRPr="00C412E0" w:rsidRDefault="002C782A" w:rsidP="002C782A">
      <w:r w:rsidRPr="00C412E0">
        <w:t xml:space="preserve">The </w:t>
      </w:r>
      <w:r>
        <w:t>s</w:t>
      </w:r>
      <w:r w:rsidRPr="00C412E0">
        <w:t>ponsor agrees to the conditions of registration proposed by the Delegate; submission of reports of ongoing studies and implementation of the RM</w:t>
      </w:r>
      <w:r>
        <w:t xml:space="preserve">P </w:t>
      </w:r>
      <w:r w:rsidRPr="00C412E0">
        <w:t>(v 1.7)</w:t>
      </w:r>
      <w:r>
        <w:t>,</w:t>
      </w:r>
      <w:r w:rsidRPr="00C412E0">
        <w:t xml:space="preserve"> including the Australia Sp</w:t>
      </w:r>
      <w:r>
        <w:t xml:space="preserve">ecific </w:t>
      </w:r>
      <w:r w:rsidRPr="00C412E0">
        <w:t>Annex.</w:t>
      </w:r>
    </w:p>
    <w:p w:rsidR="002C782A" w:rsidRDefault="00F61BA3" w:rsidP="002C782A">
      <w:pPr>
        <w:pStyle w:val="Heading4"/>
      </w:pPr>
      <w:r>
        <w:t>Advisory committee co</w:t>
      </w:r>
      <w:r w:rsidR="002C782A">
        <w:t>nsiderations</w:t>
      </w:r>
    </w:p>
    <w:p w:rsidR="002C782A" w:rsidRPr="00910194" w:rsidRDefault="002C782A" w:rsidP="002C782A">
      <w:pPr>
        <w:rPr>
          <w:bCs/>
        </w:rPr>
      </w:pPr>
      <w:r>
        <w:rPr>
          <w:bCs/>
        </w:rPr>
        <w:t xml:space="preserve">The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2C782A" w:rsidRDefault="002C782A" w:rsidP="002C782A">
      <w:pPr>
        <w:spacing w:after="240"/>
        <w:rPr>
          <w:rFonts w:cs="Arial"/>
          <w:b/>
        </w:rPr>
      </w:pPr>
      <w:r>
        <w:rPr>
          <w:rFonts w:cs="Arial"/>
        </w:rPr>
        <w:t>The ACPM, taking into account the submitted evidence of efficacy, safety and quality, agreed with the Delegate and considered this product to have an overall positive benefit</w:t>
      </w:r>
      <w:r>
        <w:rPr>
          <w:rFonts w:cs="Arial"/>
        </w:rPr>
        <w:noBreakHyphen/>
        <w:t>risk profile for the following indication</w:t>
      </w:r>
      <w:r>
        <w:rPr>
          <w:rFonts w:cs="Arial"/>
          <w:b/>
        </w:rPr>
        <w:t>:</w:t>
      </w:r>
    </w:p>
    <w:p w:rsidR="002C782A" w:rsidRPr="004440D8" w:rsidRDefault="002C782A" w:rsidP="00661846">
      <w:pPr>
        <w:pStyle w:val="Heading5"/>
      </w:pPr>
      <w:proofErr w:type="gramStart"/>
      <w:r>
        <w:t>For treatment</w:t>
      </w:r>
      <w:r w:rsidRPr="00123AFD">
        <w:t xml:space="preserve"> naïve</w:t>
      </w:r>
      <w:r w:rsidRPr="004440D8">
        <w:t xml:space="preserve"> patients infected with only CCR5</w:t>
      </w:r>
      <w:r>
        <w:t xml:space="preserve"> </w:t>
      </w:r>
      <w:r w:rsidR="00661846">
        <w:t>tropic HIV-1.</w:t>
      </w:r>
      <w:proofErr w:type="gramEnd"/>
    </w:p>
    <w:p w:rsidR="002C782A" w:rsidRDefault="002C782A" w:rsidP="002C782A">
      <w:pPr>
        <w:spacing w:after="240"/>
        <w:rPr>
          <w:rFonts w:cs="Arial"/>
          <w:bCs/>
          <w:iCs/>
        </w:rPr>
      </w:pPr>
      <w:r>
        <w:rPr>
          <w:rFonts w:cs="Arial"/>
          <w:bCs/>
          <w:iCs/>
        </w:rPr>
        <w:t>In making this recommendation the ACPM carefully considered the evidence that use in treatment</w:t>
      </w:r>
      <w:r w:rsidRPr="00123AFD">
        <w:t xml:space="preserve"> </w:t>
      </w:r>
      <w:r>
        <w:t>naïve</w:t>
      </w:r>
      <w:r>
        <w:rPr>
          <w:rFonts w:cs="Arial"/>
          <w:bCs/>
          <w:iCs/>
        </w:rPr>
        <w:t xml:space="preserve"> patients efficacy must be balanced with the safety risks associated with reversible neurological toxicity and the permanent risk of the emergence of resistance; hence treatment must be limited to patients with the highly sensitiv</w:t>
      </w:r>
      <w:r w:rsidR="00661846">
        <w:rPr>
          <w:rFonts w:cs="Arial"/>
          <w:bCs/>
          <w:iCs/>
        </w:rPr>
        <w:t>e phenotypic CCR5 tropic virus.</w:t>
      </w:r>
    </w:p>
    <w:p w:rsidR="002C782A" w:rsidRDefault="002C782A" w:rsidP="002C782A">
      <w:pPr>
        <w:spacing w:after="240"/>
        <w:rPr>
          <w:rFonts w:cs="Arial"/>
          <w:bCs/>
          <w:iCs/>
        </w:rPr>
      </w:pPr>
      <w:r>
        <w:rPr>
          <w:rFonts w:cs="Arial"/>
          <w:bCs/>
          <w:iCs/>
        </w:rPr>
        <w:t xml:space="preserve">In addition, the ACPM advised that </w:t>
      </w:r>
      <w:r>
        <w:rPr>
          <w:color w:val="000000"/>
        </w:rPr>
        <w:t xml:space="preserve">CCR5 tropism should be confirmed using a highly sensitive tropism assay prior to initiation of Celsentri therapy and noted that outgrowth of pre-existing low-level CXCR4 or D/M tropic HIV-1 that is not detected by tropism testing at screening has been associated with increased virologic failure with this product. The ACPM cautioned that </w:t>
      </w:r>
      <w:r>
        <w:rPr>
          <w:rFonts w:cs="Arial"/>
          <w:bCs/>
          <w:iCs/>
        </w:rPr>
        <w:t>until a validated widely available highly sensitive diagnostic assay test was available for CCR5 tropic virus, it remained challenging for clinicians to target this very specific popula</w:t>
      </w:r>
      <w:r w:rsidR="00661846">
        <w:rPr>
          <w:rFonts w:cs="Arial"/>
          <w:bCs/>
          <w:iCs/>
        </w:rPr>
        <w:t>tion group for this indication.</w:t>
      </w:r>
    </w:p>
    <w:p w:rsidR="002C782A" w:rsidRDefault="002C782A" w:rsidP="002C782A">
      <w:pPr>
        <w:rPr>
          <w:rFonts w:cs="Arial"/>
          <w:bCs/>
        </w:rPr>
      </w:pPr>
      <w:r>
        <w:rPr>
          <w:rFonts w:cs="Arial"/>
          <w:bCs/>
        </w:rPr>
        <w:t>The ACPM agreed with the Delegate to the proposed amendments to the PI and CMI and specifically advised on the inclusion of the following in a higher profile position than dosage and administration secti</w:t>
      </w:r>
      <w:r w:rsidR="00661846">
        <w:rPr>
          <w:rFonts w:cs="Arial"/>
          <w:bCs/>
        </w:rPr>
        <w:t>ons as proposed by the sponsor.</w:t>
      </w:r>
    </w:p>
    <w:p w:rsidR="002C782A" w:rsidRPr="004A59C7" w:rsidRDefault="002C782A" w:rsidP="00661846">
      <w:pPr>
        <w:pStyle w:val="ListBullet"/>
      </w:pPr>
      <w:r w:rsidRPr="004A59C7">
        <w:t xml:space="preserve">statements in the appropriate </w:t>
      </w:r>
      <w:r w:rsidRPr="0068000C">
        <w:rPr>
          <w:i/>
        </w:rPr>
        <w:t>Clinical T</w:t>
      </w:r>
      <w:r w:rsidR="0068000C" w:rsidRPr="0068000C">
        <w:rPr>
          <w:i/>
        </w:rPr>
        <w:t>rials</w:t>
      </w:r>
      <w:r w:rsidR="0068000C">
        <w:t xml:space="preserve">, </w:t>
      </w:r>
      <w:r w:rsidR="0068000C" w:rsidRPr="0068000C">
        <w:rPr>
          <w:i/>
        </w:rPr>
        <w:t>Precautions</w:t>
      </w:r>
      <w:r w:rsidR="0068000C">
        <w:t xml:space="preserve">  or</w:t>
      </w:r>
      <w:r w:rsidRPr="004A59C7">
        <w:t xml:space="preserve"> </w:t>
      </w:r>
      <w:r w:rsidRPr="0068000C">
        <w:rPr>
          <w:i/>
        </w:rPr>
        <w:t>Contraindications</w:t>
      </w:r>
      <w:r w:rsidRPr="004A59C7">
        <w:t xml:space="preserve">  sections of the PI and CMI to ensure:</w:t>
      </w:r>
    </w:p>
    <w:p w:rsidR="002C782A" w:rsidRPr="004A59C7" w:rsidRDefault="002C782A" w:rsidP="00661846">
      <w:pPr>
        <w:pStyle w:val="ListBullet2"/>
      </w:pPr>
      <w:r w:rsidRPr="004A59C7">
        <w:t>the product be limited to use in adult patients infected only with only CCR5 and is not recommended in patients infected with CXCR4 tropic HIV-1 or D/M tropic virus, and that safety or efficacy has no</w:t>
      </w:r>
      <w:r w:rsidR="00661846">
        <w:t>t been established in children.</w:t>
      </w:r>
    </w:p>
    <w:p w:rsidR="002C782A" w:rsidRPr="004A59C7" w:rsidRDefault="002C782A" w:rsidP="00661846">
      <w:pPr>
        <w:pStyle w:val="ListBullet2"/>
      </w:pPr>
      <w:proofErr w:type="gramStart"/>
      <w:r w:rsidRPr="004A59C7">
        <w:t>that</w:t>
      </w:r>
      <w:proofErr w:type="gramEnd"/>
      <w:r w:rsidRPr="004A59C7">
        <w:t xml:space="preserve"> CCR5 should be confirmed using a highly sensitive tropism assay.</w:t>
      </w:r>
    </w:p>
    <w:p w:rsidR="002C782A" w:rsidRPr="00661846" w:rsidRDefault="002C782A" w:rsidP="00661846">
      <w:pPr>
        <w:pStyle w:val="ListBullet2"/>
      </w:pPr>
      <w:proofErr w:type="gramStart"/>
      <w:r w:rsidRPr="004A59C7">
        <w:lastRenderedPageBreak/>
        <w:t>awareness</w:t>
      </w:r>
      <w:proofErr w:type="gramEnd"/>
      <w:r w:rsidRPr="004A59C7">
        <w:t xml:space="preserve"> that treatment naïve patients using this product are more likely to experience treatment failure and develop lamivudine resistance when compared to efav</w:t>
      </w:r>
      <w:r w:rsidRPr="00661846">
        <w:t>irenz.</w:t>
      </w:r>
    </w:p>
    <w:p w:rsidR="002C782A" w:rsidRPr="004A59C7" w:rsidRDefault="002C782A" w:rsidP="00661846">
      <w:pPr>
        <w:pStyle w:val="ListBullet2"/>
      </w:pPr>
      <w:proofErr w:type="gramStart"/>
      <w:r w:rsidRPr="00661846">
        <w:t>the</w:t>
      </w:r>
      <w:proofErr w:type="gramEnd"/>
      <w:r w:rsidRPr="00661846">
        <w:t xml:space="preserve"> accurate refl</w:t>
      </w:r>
      <w:r w:rsidRPr="004A59C7">
        <w:t>ection and awareness of the risk of treatment failure and resistance development to the backbone agents. These statements must have a higher profile than those in the proposed documents with consideration given to inclusion of clearer tabulation of treatment failure and the percentage of patients with adverse event, naming the higher percentage of patients had treatment failure in maraviroc (twice daily dosing group versus higher percentage of patients experienced adverse event in the efavirenz, once daily dosage group)</w:t>
      </w:r>
      <w:r>
        <w:t>.</w:t>
      </w:r>
      <w:r w:rsidRPr="004A59C7">
        <w:t xml:space="preserve"> Highlight that the only backbone therapy used in the studies was zidovudine and lamivudine</w:t>
      </w:r>
      <w:r w:rsidR="00661846">
        <w:t>.</w:t>
      </w:r>
    </w:p>
    <w:p w:rsidR="002C782A" w:rsidRPr="004A59C7" w:rsidRDefault="002C782A" w:rsidP="00661846">
      <w:pPr>
        <w:pStyle w:val="ListBullet"/>
      </w:pPr>
      <w:r w:rsidRPr="004A59C7">
        <w:t xml:space="preserve">statements in the </w:t>
      </w:r>
      <w:r w:rsidRPr="004A59C7">
        <w:rPr>
          <w:i/>
        </w:rPr>
        <w:t>Adverse events / Side effects</w:t>
      </w:r>
      <w:r w:rsidRPr="004A59C7">
        <w:t xml:space="preserve"> sections to adopt a similar approach to the FDA with statements to describe the severe rash followed by generalised immune disorders, as well as cardiac dysfunction and hepatocellular dysfunction, as reported in the PSUR.</w:t>
      </w:r>
    </w:p>
    <w:p w:rsidR="002C782A" w:rsidRDefault="002C782A" w:rsidP="002C782A">
      <w:r>
        <w:t>The ACPM agreed with the Delegate on the propo</w:t>
      </w:r>
      <w:r w:rsidR="00661846">
        <w:t>sed conditions of registration.</w:t>
      </w:r>
    </w:p>
    <w:p w:rsidR="002C782A" w:rsidRDefault="002C782A" w:rsidP="002C782A">
      <w:r>
        <w:t>The ACPM advised that the implementation by the sponsor of the recommendations outlined above to the satisfaction of the TGA, in addition to the evidence of efficacy and safety provided, would support the safe and</w:t>
      </w:r>
      <w:r w:rsidR="00661846">
        <w:t xml:space="preserve"> effective use of this product.</w:t>
      </w:r>
    </w:p>
    <w:p w:rsidR="002C782A" w:rsidRPr="002E238E" w:rsidRDefault="002C782A" w:rsidP="00661846">
      <w:pPr>
        <w:pStyle w:val="Heading3"/>
      </w:pPr>
      <w:bookmarkStart w:id="170" w:name="_Toc247691532"/>
      <w:bookmarkStart w:id="171" w:name="_Toc355615898"/>
      <w:bookmarkStart w:id="172" w:name="_Toc366272756"/>
      <w:bookmarkEnd w:id="91"/>
      <w:bookmarkEnd w:id="168"/>
      <w:bookmarkEnd w:id="169"/>
      <w:r>
        <w:t>Outcome</w:t>
      </w:r>
      <w:bookmarkEnd w:id="170"/>
      <w:bookmarkEnd w:id="171"/>
      <w:bookmarkEnd w:id="172"/>
    </w:p>
    <w:p w:rsidR="002C782A" w:rsidRDefault="002C782A" w:rsidP="00661846">
      <w:r>
        <w:t>Based on a review of quality, safety and efficacy, TGA approved the registration of Celsentri tablets containing maraviroc 150 mg and 300 mg for the following new indication:</w:t>
      </w:r>
    </w:p>
    <w:p w:rsidR="002C782A" w:rsidRDefault="002C782A" w:rsidP="002C782A">
      <w:pPr>
        <w:ind w:left="720"/>
        <w:rPr>
          <w:i/>
        </w:rPr>
      </w:pPr>
      <w:r w:rsidRPr="00117FA9">
        <w:rPr>
          <w:i/>
        </w:rPr>
        <w:t>Celsentri, in combination with other antiretroviral medicinal produ</w:t>
      </w:r>
      <w:r>
        <w:rPr>
          <w:i/>
        </w:rPr>
        <w:t xml:space="preserve">cts, is indicated for treatment </w:t>
      </w:r>
      <w:r w:rsidRPr="00117FA9">
        <w:rPr>
          <w:i/>
        </w:rPr>
        <w:t>experienced adult patients infect</w:t>
      </w:r>
      <w:r w:rsidR="00661846">
        <w:rPr>
          <w:i/>
        </w:rPr>
        <w:t>ed with only CCR5-tropic HIV-1.</w:t>
      </w:r>
    </w:p>
    <w:p w:rsidR="002C782A" w:rsidRDefault="002C782A" w:rsidP="00661846">
      <w:r>
        <w:t>The full indications are now:</w:t>
      </w:r>
    </w:p>
    <w:p w:rsidR="002C782A" w:rsidRDefault="002C782A" w:rsidP="0068000C">
      <w:pPr>
        <w:keepNext/>
        <w:ind w:left="720"/>
        <w:rPr>
          <w:i/>
        </w:rPr>
      </w:pPr>
      <w:r w:rsidRPr="00117FA9">
        <w:rPr>
          <w:i/>
        </w:rPr>
        <w:t>Celsentri, in combination with other antiretroviral medicinal produ</w:t>
      </w:r>
      <w:r>
        <w:rPr>
          <w:i/>
        </w:rPr>
        <w:t xml:space="preserve">cts, is indicated for treatment </w:t>
      </w:r>
      <w:r w:rsidRPr="00117FA9">
        <w:rPr>
          <w:i/>
        </w:rPr>
        <w:t>experienced adult patients infected with onl</w:t>
      </w:r>
      <w:r w:rsidR="00661846">
        <w:rPr>
          <w:i/>
        </w:rPr>
        <w:t>y CCR5-tropic HIV-1.</w:t>
      </w:r>
    </w:p>
    <w:p w:rsidR="002C782A" w:rsidRPr="00117FA9" w:rsidRDefault="002C782A" w:rsidP="002C782A">
      <w:pPr>
        <w:ind w:left="720"/>
        <w:rPr>
          <w:i/>
        </w:rPr>
      </w:pPr>
      <w:r w:rsidRPr="00117FA9">
        <w:rPr>
          <w:i/>
        </w:rPr>
        <w:t>The use of other active agents with C</w:t>
      </w:r>
      <w:r>
        <w:rPr>
          <w:i/>
        </w:rPr>
        <w:t xml:space="preserve">elsentri </w:t>
      </w:r>
      <w:r w:rsidRPr="00117FA9">
        <w:rPr>
          <w:i/>
        </w:rPr>
        <w:t>is associated with a greater li</w:t>
      </w:r>
      <w:r w:rsidR="00661846">
        <w:rPr>
          <w:i/>
        </w:rPr>
        <w:t>kelihood of treatment response.</w:t>
      </w:r>
    </w:p>
    <w:p w:rsidR="002C782A" w:rsidRPr="003B2E04" w:rsidRDefault="002C782A" w:rsidP="002C782A">
      <w:r w:rsidRPr="003B2E04">
        <w:t>This approval is based on the evaluation of the information and data provided with the original letter of application and with any subsequent correspondence and submissio</w:t>
      </w:r>
      <w:r w:rsidR="00661846">
        <w:t>ns relating to the application.</w:t>
      </w:r>
    </w:p>
    <w:p w:rsidR="002C782A" w:rsidRDefault="002C782A" w:rsidP="00661846">
      <w:pPr>
        <w:pStyle w:val="Heading4"/>
      </w:pPr>
      <w:r>
        <w:t>Specific conditions of registration applying to these goods</w:t>
      </w:r>
    </w:p>
    <w:p w:rsidR="002C782A" w:rsidRDefault="002C782A" w:rsidP="00661846">
      <w:proofErr w:type="gramStart"/>
      <w:r w:rsidRPr="00CC592A">
        <w:t xml:space="preserve">The implementation in Australia of maraviroc </w:t>
      </w:r>
      <w:r>
        <w:t xml:space="preserve">RMP </w:t>
      </w:r>
      <w:r w:rsidRPr="00CC592A">
        <w:t xml:space="preserve">version 1.7, October 2011 with an Australian specific Annex as Annex 8, and any subsequent revisions, as agreed with the TGA and its </w:t>
      </w:r>
      <w:r>
        <w:t>OPR</w:t>
      </w:r>
      <w:r w:rsidRPr="00CC592A">
        <w:t>.</w:t>
      </w:r>
      <w:proofErr w:type="gramEnd"/>
    </w:p>
    <w:p w:rsidR="002C782A" w:rsidRDefault="002C782A" w:rsidP="00661846">
      <w:pPr>
        <w:pStyle w:val="Heading2"/>
      </w:pPr>
      <w:bookmarkStart w:id="173" w:name="_Toc247691533"/>
      <w:bookmarkStart w:id="174" w:name="_Toc355615899"/>
      <w:bookmarkStart w:id="175" w:name="_Toc366272757"/>
      <w:proofErr w:type="gramStart"/>
      <w:r>
        <w:t>Attachment 1.</w:t>
      </w:r>
      <w:proofErr w:type="gramEnd"/>
      <w:r>
        <w:tab/>
        <w:t>Product Information</w:t>
      </w:r>
      <w:bookmarkEnd w:id="173"/>
      <w:bookmarkEnd w:id="174"/>
      <w:bookmarkEnd w:id="175"/>
    </w:p>
    <w:p w:rsidR="002C782A" w:rsidRPr="002C782A" w:rsidRDefault="002C782A" w:rsidP="002C782A">
      <w:pPr>
        <w:autoSpaceDE w:val="0"/>
        <w:autoSpaceDN w:val="0"/>
        <w:adjustRightInd w:val="0"/>
        <w:spacing w:after="0"/>
        <w:rPr>
          <w:color w:val="000000"/>
          <w:lang w:eastAsia="en-AU"/>
        </w:rPr>
      </w:pPr>
      <w:r w:rsidRPr="002C782A">
        <w:rPr>
          <w:color w:val="000000"/>
          <w:lang w:eastAsia="en-AU"/>
        </w:rPr>
        <w:t>The Product Information approved at the time this AusPAR was published is at Attachment 1. For the most recent Product Information please refer to the TGA website at &lt;</w:t>
      </w:r>
      <w:hyperlink r:id="rId39" w:history="1">
        <w:r w:rsidRPr="002C782A">
          <w:rPr>
            <w:rStyle w:val="Hyperlink"/>
            <w:lang w:eastAsia="en-AU"/>
          </w:rPr>
          <w:t>http://www.tga.gov.au/hp/information-medicines-pi.htm</w:t>
        </w:r>
      </w:hyperlink>
      <w:hyperlink w:history="1"/>
      <w:r w:rsidRPr="002C782A">
        <w:rPr>
          <w:color w:val="000000"/>
          <w:lang w:eastAsia="en-AU"/>
        </w:rPr>
        <w:t>&gt;.</w:t>
      </w:r>
    </w:p>
    <w:p w:rsidR="003D1E62" w:rsidRDefault="002C782A" w:rsidP="00661846">
      <w:pPr>
        <w:pStyle w:val="Heading2"/>
        <w:rPr>
          <w:lang w:eastAsia="ja-JP"/>
        </w:rPr>
      </w:pPr>
      <w:bookmarkStart w:id="176" w:name="_Toc355615900"/>
      <w:bookmarkStart w:id="177" w:name="_Toc366272758"/>
      <w:proofErr w:type="gramStart"/>
      <w:r>
        <w:lastRenderedPageBreak/>
        <w:t>Attachment 2</w:t>
      </w:r>
      <w:r w:rsidRPr="00F23732">
        <w:t>.</w:t>
      </w:r>
      <w:proofErr w:type="gramEnd"/>
      <w:r w:rsidRPr="00F23732">
        <w:tab/>
        <w:t>Extract from the Clinical Evaluation Report</w:t>
      </w:r>
      <w:bookmarkEnd w:id="176"/>
      <w:bookmarkEnd w:id="17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0"/>
          <w:headerReference w:type="default" r:id="rId41"/>
          <w:footerReference w:type="default" r:id="rId42"/>
          <w:headerReference w:type="first" r:id="rId43"/>
          <w:footerReference w:type="first" r:id="rId44"/>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5"/>
      <w:headerReference w:type="default" r:id="rId46"/>
      <w:footerReference w:type="default" r:id="rId47"/>
      <w:headerReference w:type="first" r:id="rId48"/>
      <w:footerReference w:type="first" r:id="rId4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5D3" w:rsidRDefault="009475D3" w:rsidP="00C40A36">
      <w:pPr>
        <w:spacing w:after="0"/>
      </w:pPr>
      <w:r>
        <w:separator/>
      </w:r>
    </w:p>
  </w:endnote>
  <w:endnote w:type="continuationSeparator" w:id="0">
    <w:p w:rsidR="009475D3" w:rsidRDefault="009475D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RMT-OV-OFTMSB">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91" w:rsidRDefault="00682F9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19" w:type="dxa"/>
      <w:tblBorders>
        <w:top w:val="single" w:sz="4" w:space="0" w:color="auto"/>
      </w:tblBorders>
      <w:tblLayout w:type="fixed"/>
      <w:tblCellMar>
        <w:top w:w="170" w:type="dxa"/>
        <w:left w:w="0" w:type="dxa"/>
        <w:bottom w:w="170" w:type="dxa"/>
        <w:right w:w="0" w:type="dxa"/>
      </w:tblCellMar>
      <w:tblLook w:val="04A0"/>
    </w:tblPr>
    <w:tblGrid>
      <w:gridCol w:w="5588"/>
      <w:gridCol w:w="2931"/>
    </w:tblGrid>
    <w:tr w:rsidR="008E3DE4" w:rsidRPr="00487162" w:rsidTr="002810FE">
      <w:trPr>
        <w:trHeight w:val="265"/>
      </w:trPr>
      <w:tc>
        <w:tcPr>
          <w:tcW w:w="5588" w:type="dxa"/>
          <w:tcMar>
            <w:top w:w="142" w:type="dxa"/>
            <w:bottom w:w="0" w:type="dxa"/>
          </w:tcMar>
        </w:tcPr>
        <w:p w:rsidR="008E3DE4" w:rsidRPr="00487162" w:rsidRDefault="008E3DE4" w:rsidP="002810FE">
          <w:pPr>
            <w:pStyle w:val="Footer"/>
          </w:pPr>
          <w:proofErr w:type="spellStart"/>
          <w:r w:rsidRPr="002C782A">
            <w:t>AusPAR</w:t>
          </w:r>
          <w:proofErr w:type="spellEnd"/>
          <w:r w:rsidRPr="002C782A">
            <w:t xml:space="preserve"> </w:t>
          </w:r>
          <w:proofErr w:type="spellStart"/>
          <w:r w:rsidRPr="002C782A">
            <w:t>Celsentri</w:t>
          </w:r>
          <w:proofErr w:type="spellEnd"/>
          <w:r w:rsidRPr="002C782A">
            <w:t xml:space="preserve"> </w:t>
          </w:r>
          <w:proofErr w:type="spellStart"/>
          <w:r w:rsidRPr="002C782A">
            <w:t>Maraviroc</w:t>
          </w:r>
          <w:proofErr w:type="spellEnd"/>
          <w:r w:rsidRPr="002C782A">
            <w:t xml:space="preserve"> </w:t>
          </w:r>
          <w:proofErr w:type="spellStart"/>
          <w:r w:rsidRPr="002C782A">
            <w:t>ViiV</w:t>
          </w:r>
          <w:proofErr w:type="spellEnd"/>
          <w:r w:rsidRPr="002C782A">
            <w:t xml:space="preserve"> Healthcare Pty Ltd </w:t>
          </w:r>
          <w:r>
            <w:t>PM-2010-02896-3-2</w:t>
          </w:r>
          <w:r>
            <w:br/>
          </w:r>
          <w:r w:rsidRPr="002C782A">
            <w:t xml:space="preserve">Date of finalisation: </w:t>
          </w:r>
          <w:r w:rsidR="001273CE">
            <w:t>12</w:t>
          </w:r>
          <w:r w:rsidR="006C2728">
            <w:t xml:space="preserve"> </w:t>
          </w:r>
          <w:r w:rsidRPr="002C782A">
            <w:t>May 2013</w:t>
          </w:r>
        </w:p>
      </w:tc>
      <w:tc>
        <w:tcPr>
          <w:tcW w:w="2931" w:type="dxa"/>
          <w:tcMar>
            <w:top w:w="142" w:type="dxa"/>
            <w:bottom w:w="0" w:type="dxa"/>
          </w:tcMar>
        </w:tcPr>
        <w:p w:rsidR="008E3DE4" w:rsidRPr="008D3CBC" w:rsidRDefault="008E3DE4" w:rsidP="00E45619">
          <w:pPr>
            <w:pStyle w:val="Footer"/>
            <w:jc w:val="right"/>
            <w:rPr>
              <w:i/>
            </w:rPr>
          </w:pPr>
          <w:r w:rsidRPr="008D3CBC">
            <w:rPr>
              <w:i/>
            </w:rPr>
            <w:t xml:space="preserve">Page </w:t>
          </w:r>
          <w:r w:rsidR="00BC4122" w:rsidRPr="008D3CBC">
            <w:rPr>
              <w:i/>
            </w:rPr>
            <w:fldChar w:fldCharType="begin"/>
          </w:r>
          <w:r w:rsidRPr="008D3CBC">
            <w:rPr>
              <w:i/>
            </w:rPr>
            <w:instrText>PAGE</w:instrText>
          </w:r>
          <w:r w:rsidR="00BC4122" w:rsidRPr="008D3CBC">
            <w:rPr>
              <w:i/>
            </w:rPr>
            <w:fldChar w:fldCharType="separate"/>
          </w:r>
          <w:r w:rsidR="009B6C16">
            <w:rPr>
              <w:i/>
              <w:noProof/>
            </w:rPr>
            <w:t>55</w:t>
          </w:r>
          <w:r w:rsidR="00BC4122" w:rsidRPr="008D3CBC">
            <w:rPr>
              <w:i/>
            </w:rPr>
            <w:fldChar w:fldCharType="end"/>
          </w:r>
          <w:r w:rsidRPr="008D3CBC">
            <w:rPr>
              <w:i/>
            </w:rPr>
            <w:t xml:space="preserve"> of </w:t>
          </w:r>
          <w:r w:rsidR="00BC4122" w:rsidRPr="008D3CBC">
            <w:rPr>
              <w:i/>
            </w:rPr>
            <w:fldChar w:fldCharType="begin"/>
          </w:r>
          <w:r w:rsidRPr="008D3CBC">
            <w:rPr>
              <w:i/>
            </w:rPr>
            <w:instrText xml:space="preserve"> NUMPAGES  \* Arabic </w:instrText>
          </w:r>
          <w:r w:rsidR="00BC4122" w:rsidRPr="008D3CBC">
            <w:rPr>
              <w:i/>
            </w:rPr>
            <w:fldChar w:fldCharType="separate"/>
          </w:r>
          <w:r w:rsidR="009B6C16">
            <w:rPr>
              <w:i/>
              <w:noProof/>
            </w:rPr>
            <w:t>56</w:t>
          </w:r>
          <w:r w:rsidR="00BC4122" w:rsidRPr="008D3CBC">
            <w:rPr>
              <w:i/>
            </w:rPr>
            <w:fldChar w:fldCharType="end"/>
          </w:r>
        </w:p>
      </w:tc>
    </w:tr>
  </w:tbl>
  <w:p w:rsidR="008E3DE4" w:rsidRDefault="008E3DE4" w:rsidP="00E2613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E3DE4" w:rsidRPr="00487162" w:rsidTr="00E45619">
      <w:trPr>
        <w:trHeight w:val="269"/>
      </w:trPr>
      <w:tc>
        <w:tcPr>
          <w:tcW w:w="4519" w:type="dxa"/>
          <w:tcBorders>
            <w:top w:val="single" w:sz="4" w:space="0" w:color="auto"/>
          </w:tcBorders>
          <w:tcMar>
            <w:top w:w="142" w:type="dxa"/>
            <w:bottom w:w="0" w:type="dxa"/>
          </w:tcMar>
        </w:tcPr>
        <w:p w:rsidR="008E3DE4" w:rsidRPr="00487162" w:rsidRDefault="008E3DE4" w:rsidP="00FE1DEE">
          <w:pPr>
            <w:pStyle w:val="Footer"/>
          </w:pPr>
          <w:r w:rsidRPr="00487162">
            <w:t>Document title, Part #, Section # - Section title</w:t>
          </w:r>
        </w:p>
        <w:p w:rsidR="008E3DE4" w:rsidRPr="00487162" w:rsidRDefault="008E3DE4" w:rsidP="00FE1DEE">
          <w:pPr>
            <w:pStyle w:val="Footer"/>
          </w:pPr>
          <w:r w:rsidRPr="00487162">
            <w:t>V1.0 October 2010</w:t>
          </w:r>
        </w:p>
      </w:tc>
      <w:tc>
        <w:tcPr>
          <w:tcW w:w="4342" w:type="dxa"/>
          <w:tcBorders>
            <w:top w:val="single" w:sz="4" w:space="0" w:color="auto"/>
          </w:tcBorders>
          <w:tcMar>
            <w:top w:w="142" w:type="dxa"/>
            <w:bottom w:w="0" w:type="dxa"/>
          </w:tcMar>
        </w:tcPr>
        <w:p w:rsidR="008E3DE4" w:rsidRPr="00487162" w:rsidRDefault="008E3DE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8E3DE4" w:rsidRDefault="008E3DE4">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8E3DE4" w:rsidRPr="00487162" w:rsidTr="00E45619">
              <w:trPr>
                <w:trHeight w:hRule="exact" w:val="704"/>
              </w:trPr>
              <w:tc>
                <w:tcPr>
                  <w:tcW w:w="9175" w:type="dxa"/>
                </w:tcPr>
                <w:p w:rsidR="008E3DE4" w:rsidRPr="00487162" w:rsidRDefault="008E3DE4" w:rsidP="008E7846">
                  <w:pPr>
                    <w:pStyle w:val="TGASignoff"/>
                  </w:pPr>
                  <w:r w:rsidRPr="00487162">
                    <w:t>Therapeutic Goods Administration</w:t>
                  </w:r>
                </w:p>
              </w:tc>
            </w:tr>
            <w:tr w:rsidR="008E3DE4" w:rsidRPr="00487162" w:rsidTr="00E45619">
              <w:trPr>
                <w:trHeight w:val="1221"/>
              </w:trPr>
              <w:tc>
                <w:tcPr>
                  <w:tcW w:w="9175" w:type="dxa"/>
                  <w:tcMar>
                    <w:top w:w="28" w:type="dxa"/>
                  </w:tcMar>
                </w:tcPr>
                <w:p w:rsidR="008E3DE4" w:rsidRPr="00487162" w:rsidRDefault="008E3DE4" w:rsidP="00E45619">
                  <w:pPr>
                    <w:pStyle w:val="Address"/>
                  </w:pPr>
                  <w:r w:rsidRPr="00487162">
                    <w:t>PO Box 100 Woden ACT 2606 Australia</w:t>
                  </w:r>
                </w:p>
                <w:p w:rsidR="008E3DE4" w:rsidRPr="00487162" w:rsidRDefault="008E3DE4"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8E3DE4" w:rsidRPr="004C239D" w:rsidRDefault="00BC4122" w:rsidP="004C239D">
                  <w:pPr>
                    <w:pStyle w:val="Address"/>
                    <w:spacing w:line="260" w:lineRule="atLeast"/>
                    <w:rPr>
                      <w:b/>
                      <w:color w:val="0000FF"/>
                      <w:u w:val="single"/>
                    </w:rPr>
                  </w:pPr>
                  <w:hyperlink r:id="rId2" w:history="1">
                    <w:r w:rsidR="008E3DE4" w:rsidRPr="00607888">
                      <w:rPr>
                        <w:rStyle w:val="Hyperlink"/>
                        <w:b/>
                      </w:rPr>
                      <w:t>http://www.tga.gov.au</w:t>
                    </w:r>
                  </w:hyperlink>
                </w:p>
              </w:tc>
            </w:tr>
          </w:tbl>
          <w:p w:rsidR="008E3DE4" w:rsidRDefault="00BC4122" w:rsidP="008E7846">
            <w:pPr>
              <w:pStyle w:val="Notes"/>
            </w:pPr>
          </w:p>
        </w:sdtContent>
      </w:sdt>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E3DE4" w:rsidTr="0010601F">
      <w:trPr>
        <w:trHeight w:val="108"/>
      </w:trPr>
      <w:tc>
        <w:tcPr>
          <w:tcW w:w="8875" w:type="dxa"/>
          <w:gridSpan w:val="2"/>
          <w:tcBorders>
            <w:bottom w:val="single" w:sz="4" w:space="0" w:color="auto"/>
          </w:tcBorders>
          <w:tcMar>
            <w:right w:w="284" w:type="dxa"/>
          </w:tcMar>
        </w:tcPr>
        <w:p w:rsidR="008E3DE4" w:rsidRDefault="008E3DE4" w:rsidP="006E08B3">
          <w:pPr>
            <w:pStyle w:val="Heading3"/>
          </w:pPr>
          <w:r>
            <w:t>Copyright</w:t>
          </w:r>
        </w:p>
        <w:p w:rsidR="008E3DE4" w:rsidRDefault="008E3DE4" w:rsidP="006E08B3">
          <w:r>
            <w:rPr>
              <w:rFonts w:cs="Arial"/>
            </w:rPr>
            <w:t>©</w:t>
          </w:r>
          <w:r>
            <w:t xml:space="preserve"> Commonwealth of Australia [add year]</w:t>
          </w:r>
        </w:p>
        <w:p w:rsidR="008E3DE4" w:rsidRDefault="008E3DE4" w:rsidP="006E08B3"/>
        <w:p w:rsidR="008E3DE4" w:rsidRDefault="008E3DE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E3DE4" w:rsidRDefault="008E3DE4" w:rsidP="006E08B3"/>
        <w:p w:rsidR="008E3DE4" w:rsidRDefault="008E3DE4" w:rsidP="006E08B3">
          <w:pPr>
            <w:pStyle w:val="Heading3"/>
          </w:pPr>
          <w:r>
            <w:t>Confidentiality</w:t>
          </w:r>
        </w:p>
        <w:p w:rsidR="008E3DE4" w:rsidRDefault="008E3DE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E3DE4" w:rsidRDefault="008E3DE4" w:rsidP="006E08B3"/>
        <w:p w:rsidR="008E3DE4" w:rsidRDefault="008E3DE4" w:rsidP="006E08B3">
          <w:r>
            <w:t>For submission made by individuals, all personal details, other than your name, will be removed from your submission before it is published on the TGA’s Internet site.</w:t>
          </w:r>
        </w:p>
        <w:p w:rsidR="008E3DE4" w:rsidRDefault="008E3DE4" w:rsidP="006E08B3"/>
        <w:p w:rsidR="008E3DE4" w:rsidRDefault="008E3DE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E3DE4" w:rsidTr="0010601F">
      <w:trPr>
        <w:trHeight w:val="417"/>
      </w:trPr>
      <w:tc>
        <w:tcPr>
          <w:tcW w:w="4519" w:type="dxa"/>
          <w:tcBorders>
            <w:top w:val="single" w:sz="4" w:space="0" w:color="auto"/>
          </w:tcBorders>
          <w:tcMar>
            <w:top w:w="142" w:type="dxa"/>
            <w:bottom w:w="0" w:type="dxa"/>
          </w:tcMar>
        </w:tcPr>
        <w:p w:rsidR="008E3DE4" w:rsidRDefault="008E3DE4" w:rsidP="006E08B3">
          <w:r>
            <w:t>Document title, Part #, Section # - Section title</w:t>
          </w:r>
        </w:p>
        <w:p w:rsidR="008E3DE4" w:rsidRDefault="008E3DE4" w:rsidP="006E08B3">
          <w:r>
            <w:t>V1.0 October 2010</w:t>
          </w:r>
        </w:p>
      </w:tc>
      <w:tc>
        <w:tcPr>
          <w:tcW w:w="4356" w:type="dxa"/>
          <w:tcBorders>
            <w:top w:val="single" w:sz="4" w:space="0" w:color="auto"/>
          </w:tcBorders>
          <w:tcMar>
            <w:top w:w="142" w:type="dxa"/>
            <w:bottom w:w="0" w:type="dxa"/>
          </w:tcMar>
        </w:tcPr>
        <w:p w:rsidR="008E3DE4" w:rsidRDefault="008E3DE4"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8E3DE4" w:rsidRDefault="008E3DE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89" w:type="dxa"/>
      <w:tblLayout w:type="fixed"/>
      <w:tblCellMar>
        <w:top w:w="170" w:type="dxa"/>
        <w:left w:w="0" w:type="dxa"/>
        <w:bottom w:w="227" w:type="dxa"/>
        <w:right w:w="0" w:type="dxa"/>
      </w:tblCellMar>
      <w:tblLook w:val="04A0"/>
    </w:tblPr>
    <w:tblGrid>
      <w:gridCol w:w="7694"/>
      <w:gridCol w:w="895"/>
    </w:tblGrid>
    <w:tr w:rsidR="008E3DE4" w:rsidRPr="00487162" w:rsidTr="002A42BB">
      <w:trPr>
        <w:trHeight w:val="289"/>
      </w:trPr>
      <w:tc>
        <w:tcPr>
          <w:tcW w:w="7694" w:type="dxa"/>
          <w:tcMar>
            <w:top w:w="142" w:type="dxa"/>
            <w:bottom w:w="0" w:type="dxa"/>
          </w:tcMar>
        </w:tcPr>
        <w:p w:rsidR="008E3DE4" w:rsidRPr="00487162" w:rsidRDefault="008E3DE4" w:rsidP="00682F91">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Date of finalisation: 1</w:t>
          </w:r>
          <w:r w:rsidR="00682F91">
            <w:t>2</w:t>
          </w:r>
          <w:r>
            <w:t xml:space="preserve"> May 2013</w:t>
          </w:r>
        </w:p>
      </w:tc>
      <w:tc>
        <w:tcPr>
          <w:tcW w:w="895" w:type="dxa"/>
          <w:tcMar>
            <w:top w:w="142" w:type="dxa"/>
            <w:bottom w:w="0" w:type="dxa"/>
          </w:tcMar>
        </w:tcPr>
        <w:p w:rsidR="008E3DE4" w:rsidRPr="00487162" w:rsidRDefault="008E3DE4" w:rsidP="00D855D4">
          <w:pPr>
            <w:pStyle w:val="Footer"/>
            <w:jc w:val="right"/>
          </w:pPr>
          <w:r w:rsidRPr="00487162">
            <w:t xml:space="preserve">Page </w:t>
          </w:r>
          <w:r>
            <w:t>2</w:t>
          </w:r>
          <w:r w:rsidRPr="00487162">
            <w:t xml:space="preserve"> of </w:t>
          </w:r>
          <w:fldSimple w:instr=" NUMPAGES  \* Arabic ">
            <w:r w:rsidR="009B6C16">
              <w:rPr>
                <w:noProof/>
              </w:rPr>
              <w:t>56</w:t>
            </w:r>
          </w:fldSimple>
        </w:p>
      </w:tc>
    </w:tr>
  </w:tbl>
  <w:p w:rsidR="008E3DE4" w:rsidRDefault="008E3DE4"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91" w:rsidRDefault="00682F9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84" w:type="dxa"/>
      <w:tblLayout w:type="fixed"/>
      <w:tblCellMar>
        <w:top w:w="170" w:type="dxa"/>
        <w:left w:w="0" w:type="dxa"/>
        <w:bottom w:w="227" w:type="dxa"/>
        <w:right w:w="0" w:type="dxa"/>
      </w:tblCellMar>
      <w:tblLook w:val="04A0"/>
    </w:tblPr>
    <w:tblGrid>
      <w:gridCol w:w="5670"/>
      <w:gridCol w:w="2914"/>
    </w:tblGrid>
    <w:tr w:rsidR="008E3DE4" w:rsidRPr="005A27B0" w:rsidTr="002A42BB">
      <w:trPr>
        <w:trHeight w:val="293"/>
      </w:trPr>
      <w:tc>
        <w:tcPr>
          <w:tcW w:w="5670" w:type="dxa"/>
          <w:tcBorders>
            <w:top w:val="single" w:sz="4" w:space="0" w:color="auto"/>
          </w:tcBorders>
          <w:tcMar>
            <w:top w:w="142" w:type="dxa"/>
            <w:bottom w:w="0" w:type="dxa"/>
          </w:tcMar>
        </w:tcPr>
        <w:p w:rsidR="008E3DE4" w:rsidRPr="005A27B0" w:rsidRDefault="008E3DE4" w:rsidP="002A42BB">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 xml:space="preserve">Date of finalisation: </w:t>
          </w:r>
          <w:r w:rsidR="00682F91">
            <w:t xml:space="preserve">12 </w:t>
          </w:r>
          <w:r>
            <w:t>May 2013</w:t>
          </w:r>
        </w:p>
      </w:tc>
      <w:tc>
        <w:tcPr>
          <w:tcW w:w="2914"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PAGE">
            <w:r w:rsidR="009B6C16">
              <w:rPr>
                <w:noProof/>
              </w:rPr>
              <w:t>3</w:t>
            </w:r>
          </w:fldSimple>
          <w:r w:rsidRPr="005A27B0">
            <w:t xml:space="preserve"> of </w:t>
          </w:r>
          <w:fldSimple w:instr=" NUMPAGES  \* Arabic ">
            <w:r w:rsidR="009B6C16">
              <w:rPr>
                <w:noProof/>
              </w:rPr>
              <w:t>56</w:t>
            </w:r>
          </w:fldSimple>
        </w:p>
      </w:tc>
    </w:tr>
  </w:tbl>
  <w:p w:rsidR="008E3DE4" w:rsidRDefault="008E3DE4" w:rsidP="0005559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E3DE4" w:rsidRPr="005A27B0" w:rsidTr="00546C7E">
      <w:trPr>
        <w:trHeight w:val="269"/>
      </w:trPr>
      <w:tc>
        <w:tcPr>
          <w:tcW w:w="4519" w:type="dxa"/>
          <w:tcBorders>
            <w:top w:val="single" w:sz="4" w:space="0" w:color="auto"/>
          </w:tcBorders>
          <w:tcMar>
            <w:top w:w="142" w:type="dxa"/>
            <w:bottom w:w="0" w:type="dxa"/>
          </w:tcMar>
        </w:tcPr>
        <w:p w:rsidR="008E3DE4" w:rsidRPr="005A27B0" w:rsidRDefault="008E3DE4" w:rsidP="00FE1DEE">
          <w:pPr>
            <w:pStyle w:val="Footer"/>
          </w:pPr>
          <w:r w:rsidRPr="005A27B0">
            <w:t>Document title, Part #, Section # - Section title</w:t>
          </w:r>
        </w:p>
        <w:p w:rsidR="008E3DE4" w:rsidRPr="005A27B0" w:rsidRDefault="008E3DE4" w:rsidP="00FE1DEE">
          <w:pPr>
            <w:pStyle w:val="Footer"/>
          </w:pPr>
          <w:r w:rsidRPr="005A27B0">
            <w:t>V1.0 October 2010</w:t>
          </w:r>
        </w:p>
      </w:tc>
      <w:tc>
        <w:tcPr>
          <w:tcW w:w="4342"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 PAGE   \* MERGEFORMAT ">
            <w:r>
              <w:rPr>
                <w:noProof/>
              </w:rPr>
              <w:t>1</w:t>
            </w:r>
          </w:fldSimple>
          <w:r w:rsidRPr="005A27B0">
            <w:t xml:space="preserve"> of </w:t>
          </w:r>
          <w:fldSimple w:instr=" NUMPAGES  ">
            <w:r>
              <w:rPr>
                <w:noProof/>
              </w:rPr>
              <w:t>56</w:t>
            </w:r>
          </w:fldSimple>
        </w:p>
      </w:tc>
    </w:tr>
  </w:tbl>
  <w:p w:rsidR="008E3DE4" w:rsidRDefault="008E3D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13" w:type="dxa"/>
      <w:tblLayout w:type="fixed"/>
      <w:tblCellMar>
        <w:top w:w="170" w:type="dxa"/>
        <w:left w:w="0" w:type="dxa"/>
        <w:bottom w:w="227" w:type="dxa"/>
        <w:right w:w="0" w:type="dxa"/>
      </w:tblCellMar>
      <w:tblLook w:val="04A0"/>
    </w:tblPr>
    <w:tblGrid>
      <w:gridCol w:w="9520"/>
      <w:gridCol w:w="4893"/>
    </w:tblGrid>
    <w:tr w:rsidR="008E3DE4" w:rsidRPr="005A27B0" w:rsidTr="00163B89">
      <w:trPr>
        <w:trHeight w:val="397"/>
      </w:trPr>
      <w:tc>
        <w:tcPr>
          <w:tcW w:w="9520" w:type="dxa"/>
          <w:tcBorders>
            <w:top w:val="single" w:sz="4" w:space="0" w:color="auto"/>
          </w:tcBorders>
          <w:tcMar>
            <w:top w:w="142" w:type="dxa"/>
            <w:bottom w:w="0" w:type="dxa"/>
          </w:tcMar>
        </w:tcPr>
        <w:p w:rsidR="008E3DE4" w:rsidRPr="005A27B0" w:rsidRDefault="008E3DE4" w:rsidP="002A42BB">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 xml:space="preserve">Date of finalisation: </w:t>
          </w:r>
          <w:r w:rsidR="001273CE">
            <w:t xml:space="preserve">12 </w:t>
          </w:r>
          <w:r>
            <w:t>May 2013</w:t>
          </w:r>
        </w:p>
      </w:tc>
      <w:tc>
        <w:tcPr>
          <w:tcW w:w="4893"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PAGE">
            <w:r w:rsidR="009B6C16">
              <w:rPr>
                <w:noProof/>
              </w:rPr>
              <w:t>7</w:t>
            </w:r>
          </w:fldSimple>
          <w:r w:rsidRPr="005A27B0">
            <w:t xml:space="preserve"> of </w:t>
          </w:r>
          <w:fldSimple w:instr=" NUMPAGES  \* Arabic ">
            <w:r w:rsidR="009B6C16">
              <w:rPr>
                <w:noProof/>
              </w:rPr>
              <w:t>56</w:t>
            </w:r>
          </w:fldSimple>
        </w:p>
      </w:tc>
    </w:tr>
  </w:tbl>
  <w:p w:rsidR="008E3DE4" w:rsidRDefault="008E3DE4" w:rsidP="0005559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10" w:type="dxa"/>
      <w:tblLayout w:type="fixed"/>
      <w:tblCellMar>
        <w:top w:w="170" w:type="dxa"/>
        <w:left w:w="0" w:type="dxa"/>
        <w:bottom w:w="227" w:type="dxa"/>
        <w:right w:w="0" w:type="dxa"/>
      </w:tblCellMar>
      <w:tblLook w:val="04A0"/>
    </w:tblPr>
    <w:tblGrid>
      <w:gridCol w:w="9254"/>
      <w:gridCol w:w="4756"/>
    </w:tblGrid>
    <w:tr w:rsidR="008E3DE4" w:rsidRPr="005A27B0" w:rsidTr="00163B89">
      <w:trPr>
        <w:trHeight w:val="363"/>
      </w:trPr>
      <w:tc>
        <w:tcPr>
          <w:tcW w:w="9254" w:type="dxa"/>
          <w:tcBorders>
            <w:top w:val="single" w:sz="4" w:space="0" w:color="auto"/>
          </w:tcBorders>
          <w:tcMar>
            <w:top w:w="142" w:type="dxa"/>
            <w:bottom w:w="0" w:type="dxa"/>
          </w:tcMar>
        </w:tcPr>
        <w:p w:rsidR="008E3DE4" w:rsidRPr="005A27B0" w:rsidRDefault="008E3DE4" w:rsidP="002A42BB">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 xml:space="preserve">Date of finalisation: </w:t>
          </w:r>
          <w:r w:rsidR="001273CE">
            <w:t xml:space="preserve">12 </w:t>
          </w:r>
          <w:r>
            <w:t>May 2013</w:t>
          </w:r>
        </w:p>
      </w:tc>
      <w:tc>
        <w:tcPr>
          <w:tcW w:w="4756"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PAGE">
            <w:r w:rsidR="009B6C16">
              <w:rPr>
                <w:noProof/>
              </w:rPr>
              <w:t>8</w:t>
            </w:r>
          </w:fldSimple>
          <w:r w:rsidRPr="005A27B0">
            <w:t xml:space="preserve"> of </w:t>
          </w:r>
          <w:fldSimple w:instr=" NUMPAGES  \* Arabic ">
            <w:r w:rsidR="009B6C16">
              <w:rPr>
                <w:noProof/>
              </w:rPr>
              <w:t>56</w:t>
            </w:r>
          </w:fldSimple>
        </w:p>
      </w:tc>
    </w:tr>
  </w:tbl>
  <w:p w:rsidR="008E3DE4" w:rsidRDefault="008E3DE4" w:rsidP="0005559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12" w:type="dxa"/>
      <w:tblLayout w:type="fixed"/>
      <w:tblCellMar>
        <w:top w:w="170" w:type="dxa"/>
        <w:left w:w="0" w:type="dxa"/>
        <w:bottom w:w="227" w:type="dxa"/>
        <w:right w:w="0" w:type="dxa"/>
      </w:tblCellMar>
      <w:tblLook w:val="04A0"/>
    </w:tblPr>
    <w:tblGrid>
      <w:gridCol w:w="9520"/>
      <w:gridCol w:w="4892"/>
    </w:tblGrid>
    <w:tr w:rsidR="008E3DE4" w:rsidRPr="005A27B0" w:rsidTr="008D3CBC">
      <w:trPr>
        <w:trHeight w:val="501"/>
      </w:trPr>
      <w:tc>
        <w:tcPr>
          <w:tcW w:w="9520" w:type="dxa"/>
          <w:tcBorders>
            <w:top w:val="single" w:sz="4" w:space="0" w:color="auto"/>
          </w:tcBorders>
          <w:tcMar>
            <w:top w:w="142" w:type="dxa"/>
            <w:bottom w:w="0" w:type="dxa"/>
          </w:tcMar>
        </w:tcPr>
        <w:p w:rsidR="008E3DE4" w:rsidRPr="005A27B0" w:rsidRDefault="008E3DE4" w:rsidP="002A42BB">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 xml:space="preserve">Date of finalisation: </w:t>
          </w:r>
          <w:r w:rsidR="001273CE">
            <w:t xml:space="preserve">12 </w:t>
          </w:r>
          <w:r>
            <w:t>May 2013</w:t>
          </w:r>
        </w:p>
      </w:tc>
      <w:tc>
        <w:tcPr>
          <w:tcW w:w="4892"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PAGE">
            <w:r w:rsidR="009B6C16">
              <w:rPr>
                <w:noProof/>
              </w:rPr>
              <w:t>9</w:t>
            </w:r>
          </w:fldSimple>
          <w:r w:rsidRPr="005A27B0">
            <w:t xml:space="preserve"> of </w:t>
          </w:r>
          <w:fldSimple w:instr=" NUMPAGES  \* Arabic ">
            <w:r w:rsidR="009B6C16">
              <w:rPr>
                <w:noProof/>
              </w:rPr>
              <w:t>56</w:t>
            </w:r>
          </w:fldSimple>
        </w:p>
      </w:tc>
    </w:tr>
  </w:tbl>
  <w:p w:rsidR="008E3DE4" w:rsidRDefault="008E3DE4" w:rsidP="0005559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54" w:type="dxa"/>
      <w:tblLayout w:type="fixed"/>
      <w:tblCellMar>
        <w:top w:w="170" w:type="dxa"/>
        <w:left w:w="0" w:type="dxa"/>
        <w:bottom w:w="227" w:type="dxa"/>
        <w:right w:w="0" w:type="dxa"/>
      </w:tblCellMar>
      <w:tblLook w:val="04A0"/>
    </w:tblPr>
    <w:tblGrid>
      <w:gridCol w:w="9349"/>
      <w:gridCol w:w="4805"/>
    </w:tblGrid>
    <w:tr w:rsidR="008E3DE4" w:rsidRPr="005A27B0" w:rsidTr="008D3CBC">
      <w:trPr>
        <w:trHeight w:val="329"/>
      </w:trPr>
      <w:tc>
        <w:tcPr>
          <w:tcW w:w="9349" w:type="dxa"/>
          <w:tcBorders>
            <w:top w:val="single" w:sz="4" w:space="0" w:color="auto"/>
          </w:tcBorders>
          <w:tcMar>
            <w:top w:w="142" w:type="dxa"/>
            <w:bottom w:w="0" w:type="dxa"/>
          </w:tcMar>
        </w:tcPr>
        <w:p w:rsidR="008E3DE4" w:rsidRPr="005A27B0" w:rsidRDefault="008E3DE4" w:rsidP="002A42BB">
          <w:pPr>
            <w:pStyle w:val="Footer"/>
          </w:pPr>
          <w:proofErr w:type="spellStart"/>
          <w:r>
            <w:t>AusPAR</w:t>
          </w:r>
          <w:proofErr w:type="spellEnd"/>
          <w:r>
            <w:t xml:space="preserve"> </w:t>
          </w:r>
          <w:proofErr w:type="spellStart"/>
          <w:r>
            <w:t>Celsentri</w:t>
          </w:r>
          <w:proofErr w:type="spellEnd"/>
          <w:r>
            <w:t xml:space="preserve"> </w:t>
          </w:r>
          <w:proofErr w:type="spellStart"/>
          <w:r>
            <w:t>Maraviroc</w:t>
          </w:r>
          <w:proofErr w:type="spellEnd"/>
          <w:r>
            <w:t xml:space="preserve"> </w:t>
          </w:r>
          <w:proofErr w:type="spellStart"/>
          <w:r>
            <w:t>ViiV</w:t>
          </w:r>
          <w:proofErr w:type="spellEnd"/>
          <w:r>
            <w:t xml:space="preserve"> Healthcare Pty Ltd PM-2010-02896-3-2</w:t>
          </w:r>
          <w:r>
            <w:br/>
            <w:t xml:space="preserve">Date of finalisation: </w:t>
          </w:r>
          <w:r w:rsidR="001273CE">
            <w:t xml:space="preserve">12 </w:t>
          </w:r>
          <w:r>
            <w:t>May 2013</w:t>
          </w:r>
        </w:p>
      </w:tc>
      <w:tc>
        <w:tcPr>
          <w:tcW w:w="4805" w:type="dxa"/>
          <w:tcBorders>
            <w:top w:val="single" w:sz="4" w:space="0" w:color="auto"/>
          </w:tcBorders>
          <w:tcMar>
            <w:top w:w="142" w:type="dxa"/>
            <w:bottom w:w="0" w:type="dxa"/>
          </w:tcMar>
        </w:tcPr>
        <w:p w:rsidR="008E3DE4" w:rsidRPr="005A27B0" w:rsidRDefault="008E3DE4" w:rsidP="00546C7E">
          <w:pPr>
            <w:pStyle w:val="Footer"/>
            <w:jc w:val="right"/>
          </w:pPr>
          <w:r w:rsidRPr="005A27B0">
            <w:t xml:space="preserve">Page </w:t>
          </w:r>
          <w:fldSimple w:instr="PAGE">
            <w:r w:rsidR="009B6C16">
              <w:rPr>
                <w:noProof/>
              </w:rPr>
              <w:t>10</w:t>
            </w:r>
          </w:fldSimple>
          <w:r w:rsidRPr="005A27B0">
            <w:t xml:space="preserve"> of </w:t>
          </w:r>
          <w:fldSimple w:instr=" NUMPAGES  \* Arabic ">
            <w:r w:rsidR="009B6C16">
              <w:rPr>
                <w:noProof/>
              </w:rPr>
              <w:t>56</w:t>
            </w:r>
          </w:fldSimple>
        </w:p>
      </w:tc>
    </w:tr>
  </w:tbl>
  <w:p w:rsidR="008E3DE4" w:rsidRDefault="008E3DE4" w:rsidP="000555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5D3" w:rsidRDefault="009475D3" w:rsidP="00C40A36">
      <w:pPr>
        <w:spacing w:after="0"/>
      </w:pPr>
      <w:r>
        <w:separator/>
      </w:r>
    </w:p>
  </w:footnote>
  <w:footnote w:type="continuationSeparator" w:id="0">
    <w:p w:rsidR="009475D3" w:rsidRDefault="009475D3" w:rsidP="00C40A36">
      <w:pPr>
        <w:spacing w:after="0"/>
      </w:pPr>
      <w:r>
        <w:continuationSeparator/>
      </w:r>
    </w:p>
  </w:footnote>
  <w:footnote w:id="1">
    <w:p w:rsidR="008E3DE4" w:rsidRPr="00A97E7E" w:rsidRDefault="008E3DE4" w:rsidP="00456ADD">
      <w:pPr>
        <w:pStyle w:val="FootnoteText"/>
      </w:pPr>
      <w:r w:rsidRPr="00AE4BCF">
        <w:rPr>
          <w:rStyle w:val="FootnoteReference"/>
          <w:szCs w:val="18"/>
        </w:rPr>
        <w:footnoteRef/>
      </w:r>
      <w:r w:rsidRPr="00AE4BCF">
        <w:rPr>
          <w:szCs w:val="18"/>
        </w:rPr>
        <w:t xml:space="preserve"> </w:t>
      </w:r>
      <w:r w:rsidRPr="00A97E7E">
        <w:t>CCR5 and CXCR4 are also referred to as R5 and X4, respectively, in this report.</w:t>
      </w:r>
    </w:p>
  </w:footnote>
  <w:footnote w:id="2">
    <w:p w:rsidR="008E3DE4" w:rsidRPr="00882130" w:rsidRDefault="008E3DE4" w:rsidP="008D3CBC">
      <w:pPr>
        <w:pStyle w:val="FootnoteText"/>
      </w:pPr>
      <w:r w:rsidRPr="00882130">
        <w:rPr>
          <w:rStyle w:val="FootnoteReference"/>
          <w:szCs w:val="18"/>
        </w:rPr>
        <w:footnoteRef/>
      </w:r>
      <w:r w:rsidRPr="00882130">
        <w:t xml:space="preserve"> </w:t>
      </w:r>
      <w:proofErr w:type="gramStart"/>
      <w:r w:rsidRPr="00882130">
        <w:t xml:space="preserve">Also known as the </w:t>
      </w:r>
      <w:proofErr w:type="spellStart"/>
      <w:r w:rsidRPr="00882130">
        <w:t>Maraviroc</w:t>
      </w:r>
      <w:proofErr w:type="spellEnd"/>
      <w:r w:rsidRPr="00882130">
        <w:t xml:space="preserve"> ver</w:t>
      </w:r>
      <w:r>
        <w:t>s</w:t>
      </w:r>
      <w:r w:rsidRPr="00882130">
        <w:t xml:space="preserve">us </w:t>
      </w:r>
      <w:proofErr w:type="spellStart"/>
      <w:r w:rsidRPr="00882130">
        <w:t>Efavirenz</w:t>
      </w:r>
      <w:proofErr w:type="spellEnd"/>
      <w:r w:rsidRPr="00882130">
        <w:t xml:space="preserve"> </w:t>
      </w:r>
      <w:r>
        <w:t xml:space="preserve">in Treatment naïve patients </w:t>
      </w:r>
      <w:r w:rsidRPr="00882130">
        <w:t>(MERIT) study.</w:t>
      </w:r>
      <w:proofErr w:type="gramEnd"/>
    </w:p>
  </w:footnote>
  <w:footnote w:id="3">
    <w:p w:rsidR="008E3DE4" w:rsidRPr="00B64CFE" w:rsidRDefault="008E3DE4" w:rsidP="008D3CBC">
      <w:pPr>
        <w:pStyle w:val="FootnoteText"/>
      </w:pPr>
      <w:r w:rsidRPr="00300768">
        <w:rPr>
          <w:vertAlign w:val="superscript"/>
        </w:rPr>
        <w:footnoteRef/>
      </w:r>
      <w:r w:rsidRPr="00300768">
        <w:rPr>
          <w:vertAlign w:val="superscript"/>
        </w:rPr>
        <w:t xml:space="preserve"> </w:t>
      </w:r>
      <w:r w:rsidRPr="00B64CFE">
        <w:t xml:space="preserve">The </w:t>
      </w:r>
      <w:proofErr w:type="spellStart"/>
      <w:r w:rsidRPr="00B64CFE">
        <w:t>Trofile</w:t>
      </w:r>
      <w:proofErr w:type="spellEnd"/>
      <w:r w:rsidRPr="00B64CFE">
        <w:t xml:space="preserve"> co-receptor tropism assay identifies </w:t>
      </w:r>
      <w:r>
        <w:t>which co-receptor (CC</w:t>
      </w:r>
      <w:r w:rsidRPr="00B64CFE">
        <w:t>R5</w:t>
      </w:r>
      <w:r>
        <w:t xml:space="preserve"> or CXC</w:t>
      </w:r>
      <w:r w:rsidRPr="00B64CFE">
        <w:t>R4</w:t>
      </w:r>
      <w:r>
        <w:t>,</w:t>
      </w:r>
      <w:r w:rsidRPr="00B64CFE">
        <w:t xml:space="preserve"> or </w:t>
      </w:r>
      <w:r>
        <w:t>both</w:t>
      </w:r>
      <w:r w:rsidRPr="00B64CFE">
        <w:t>)</w:t>
      </w:r>
      <w:r>
        <w:t xml:space="preserve"> a patient’s HIV strain uses to enter T cells</w:t>
      </w:r>
      <w:r w:rsidRPr="00B64CFE">
        <w:t xml:space="preserve">. </w:t>
      </w:r>
      <w:r>
        <w:t xml:space="preserve">The enhanced sensitivity </w:t>
      </w:r>
      <w:proofErr w:type="spellStart"/>
      <w:r>
        <w:t>Trofile</w:t>
      </w:r>
      <w:proofErr w:type="spellEnd"/>
      <w:r>
        <w:t xml:space="preserve"> assay improves on the sensitivity of the original assay.</w:t>
      </w:r>
    </w:p>
  </w:footnote>
  <w:footnote w:id="4">
    <w:p w:rsidR="008E3DE4" w:rsidRPr="00EC7098" w:rsidRDefault="008E3DE4" w:rsidP="0060752B">
      <w:pPr>
        <w:pStyle w:val="FootnoteText"/>
      </w:pPr>
      <w:r w:rsidRPr="00EC7098">
        <w:rPr>
          <w:vertAlign w:val="superscript"/>
        </w:rPr>
        <w:footnoteRef/>
      </w:r>
      <w:r w:rsidRPr="00EC7098">
        <w:t xml:space="preserve"> </w:t>
      </w:r>
      <w:proofErr w:type="gramStart"/>
      <w:r>
        <w:t xml:space="preserve">Defined according to the US Centres for Disease Control and Prevention (CDC) </w:t>
      </w:r>
      <w:r w:rsidRPr="00EC7098">
        <w:t>categories of HIV infection</w:t>
      </w:r>
      <w:r>
        <w:t>.</w:t>
      </w:r>
      <w:proofErr w:type="gramEnd"/>
      <w:r w:rsidRPr="00EC7098">
        <w:t xml:space="preserve"> </w:t>
      </w:r>
    </w:p>
  </w:footnote>
  <w:footnote w:id="5">
    <w:p w:rsidR="008E3DE4" w:rsidRPr="00D76CA1" w:rsidRDefault="008E3DE4" w:rsidP="00D76CA1">
      <w:pPr>
        <w:pStyle w:val="FootnoteText"/>
      </w:pPr>
      <w:r w:rsidRPr="009E55C8">
        <w:rPr>
          <w:rStyle w:val="FootnoteReference"/>
          <w:szCs w:val="18"/>
        </w:rPr>
        <w:footnoteRef/>
      </w:r>
      <w:r w:rsidRPr="009E55C8">
        <w:t xml:space="preserve"> </w:t>
      </w:r>
      <w:r w:rsidRPr="00D76CA1">
        <w:t>EMEA/CPMP/EWP/633/02, 20 November 2008; adopted in Australia.</w:t>
      </w:r>
    </w:p>
  </w:footnote>
  <w:footnote w:id="6">
    <w:p w:rsidR="008E3DE4" w:rsidRPr="00D76CA1" w:rsidRDefault="008E3DE4" w:rsidP="00D76CA1">
      <w:pPr>
        <w:pStyle w:val="FootnoteText"/>
      </w:pPr>
      <w:r w:rsidRPr="00D76CA1">
        <w:rPr>
          <w:rStyle w:val="FootnoteReference"/>
          <w:szCs w:val="18"/>
        </w:rPr>
        <w:footnoteRef/>
      </w:r>
      <w:r w:rsidRPr="00D76CA1">
        <w:t xml:space="preserve"> CPMP/EWP/482/99, 27 July 2000; adopted in Australia.</w:t>
      </w:r>
    </w:p>
  </w:footnote>
  <w:footnote w:id="7">
    <w:p w:rsidR="008E3DE4" w:rsidRPr="00D76CA1" w:rsidRDefault="008E3DE4" w:rsidP="00D76CA1">
      <w:pPr>
        <w:pStyle w:val="FootnoteText"/>
      </w:pPr>
      <w:r w:rsidRPr="00D76CA1">
        <w:rPr>
          <w:rStyle w:val="FootnoteReference"/>
          <w:szCs w:val="18"/>
        </w:rPr>
        <w:footnoteRef/>
      </w:r>
      <w:r w:rsidRPr="00D76CA1">
        <w:t xml:space="preserve"> </w:t>
      </w:r>
      <w:proofErr w:type="gramStart"/>
      <w:r w:rsidRPr="00D76CA1">
        <w:t xml:space="preserve">The EACS </w:t>
      </w:r>
      <w:proofErr w:type="spellStart"/>
      <w:r w:rsidRPr="00D76CA1">
        <w:t>Euroguidelines</w:t>
      </w:r>
      <w:proofErr w:type="spellEnd"/>
      <w:r w:rsidRPr="00D76CA1">
        <w:t xml:space="preserve"> Group.</w:t>
      </w:r>
      <w:proofErr w:type="gramEnd"/>
      <w:r w:rsidRPr="00D76CA1">
        <w:t xml:space="preserve"> </w:t>
      </w:r>
      <w:proofErr w:type="gramStart"/>
      <w:r w:rsidRPr="00D76CA1">
        <w:t>European guidelines for the clinical management and treatment of HIV-infected adults in Europe.</w:t>
      </w:r>
      <w:proofErr w:type="gramEnd"/>
      <w:r w:rsidRPr="00D76CA1">
        <w:t xml:space="preserve"> AIDS 2003:17</w:t>
      </w:r>
      <w:proofErr w:type="gramStart"/>
      <w:r w:rsidRPr="00D76CA1">
        <w:t>;S3</w:t>
      </w:r>
      <w:proofErr w:type="gramEnd"/>
      <w:r w:rsidRPr="00D76CA1">
        <w:t>-S26.</w:t>
      </w:r>
    </w:p>
  </w:footnote>
  <w:footnote w:id="8">
    <w:p w:rsidR="008E3DE4" w:rsidRPr="00D76CA1" w:rsidRDefault="008E3DE4" w:rsidP="00D76CA1">
      <w:pPr>
        <w:pStyle w:val="FootnoteText"/>
        <w:rPr>
          <w:rStyle w:val="Hyperlink"/>
          <w:rFonts w:eastAsiaTheme="majorEastAsia"/>
          <w:color w:val="auto"/>
          <w:u w:val="none"/>
        </w:rPr>
      </w:pPr>
      <w:r w:rsidRPr="00D76CA1">
        <w:rPr>
          <w:rStyle w:val="FootnoteReference"/>
          <w:szCs w:val="18"/>
        </w:rPr>
        <w:footnoteRef/>
      </w:r>
      <w:r w:rsidRPr="00D76CA1">
        <w:t xml:space="preserve"> HHS Guidelines for the use of Antiretroviral Agents in HIV-1-Infected Adults and Adolescents with Australian commentary. Available at &lt;</w:t>
      </w:r>
      <w:hyperlink r:id="rId1" w:history="1">
        <w:r w:rsidRPr="00D76CA1">
          <w:rPr>
            <w:rStyle w:val="Hyperlink"/>
            <w:rFonts w:eastAsiaTheme="majorEastAsia"/>
            <w:color w:val="auto"/>
            <w:szCs w:val="18"/>
            <w:u w:val="none"/>
          </w:rPr>
          <w:t>http://ashm.org.au/projects/arvguidelines/Default.asp?PublicationID=4</w:t>
        </w:r>
      </w:hyperlink>
      <w:r w:rsidRPr="00D76CA1">
        <w:t>&gt;</w:t>
      </w:r>
    </w:p>
  </w:footnote>
  <w:footnote w:id="9">
    <w:p w:rsidR="008E3DE4" w:rsidRPr="00D76CA1" w:rsidRDefault="008E3DE4" w:rsidP="002C782A">
      <w:pPr>
        <w:spacing w:after="0" w:line="240" w:lineRule="auto"/>
        <w:rPr>
          <w:rStyle w:val="FootnoteTextChar"/>
          <w:rFonts w:eastAsia="Cambria"/>
        </w:rPr>
      </w:pPr>
      <w:r w:rsidRPr="007274D1">
        <w:rPr>
          <w:rStyle w:val="FootnoteReference"/>
          <w:sz w:val="18"/>
          <w:szCs w:val="18"/>
        </w:rPr>
        <w:footnoteRef/>
      </w:r>
      <w:r w:rsidRPr="007274D1">
        <w:rPr>
          <w:sz w:val="18"/>
          <w:szCs w:val="18"/>
        </w:rPr>
        <w:t xml:space="preserve"> </w:t>
      </w:r>
      <w:proofErr w:type="gramStart"/>
      <w:r w:rsidRPr="00D76CA1">
        <w:rPr>
          <w:rStyle w:val="FootnoteTextChar"/>
          <w:rFonts w:eastAsia="Cambria"/>
        </w:rPr>
        <w:t>part</w:t>
      </w:r>
      <w:proofErr w:type="gramEnd"/>
      <w:r w:rsidRPr="00D76CA1">
        <w:rPr>
          <w:rStyle w:val="FootnoteTextChar"/>
          <w:rFonts w:eastAsia="Cambria"/>
        </w:rPr>
        <w:t xml:space="preserve"> or region of the HIV virus that allows it to infect human immune cells by binding to a cytokine receptor such as CCR5 or CXCR4.</w:t>
      </w:r>
    </w:p>
  </w:footnote>
  <w:footnote w:id="10">
    <w:p w:rsidR="008E3DE4" w:rsidRPr="00405D91" w:rsidRDefault="008E3DE4" w:rsidP="004619AA">
      <w:pPr>
        <w:pStyle w:val="FootnoteText"/>
      </w:pPr>
      <w:r w:rsidRPr="00405D91">
        <w:rPr>
          <w:vertAlign w:val="superscript"/>
        </w:rPr>
        <w:footnoteRef/>
      </w:r>
      <w:r w:rsidRPr="00405D91">
        <w:rPr>
          <w:vertAlign w:val="superscript"/>
        </w:rPr>
        <w:t xml:space="preserve"> </w:t>
      </w:r>
      <w:r w:rsidRPr="00405D91">
        <w:t xml:space="preserve">The QT interval is the portion of an electrocardiogram between the onset of the Q wave and the end of the T wave, representing the total time for ventricular depolarization and </w:t>
      </w:r>
      <w:proofErr w:type="spellStart"/>
      <w:r w:rsidRPr="00405D91">
        <w:t>repolarization</w:t>
      </w:r>
      <w:proofErr w:type="spellEnd"/>
      <w:r w:rsidRPr="00405D91">
        <w:t xml:space="preserve">. </w:t>
      </w:r>
      <w:proofErr w:type="spellStart"/>
      <w:r w:rsidRPr="00405D91">
        <w:t>QTc</w:t>
      </w:r>
      <w:proofErr w:type="spellEnd"/>
      <w:r w:rsidRPr="00405D91">
        <w:t xml:space="preserve"> is the QT interval adjusted for heart rate. </w:t>
      </w:r>
      <w:proofErr w:type="spellStart"/>
      <w:r w:rsidRPr="00405D91">
        <w:t>QTc</w:t>
      </w:r>
      <w:proofErr w:type="spellEnd"/>
      <w:r w:rsidRPr="00405D91">
        <w:t xml:space="preserve"> calculated using a correction factor developed by Louis </w:t>
      </w:r>
      <w:proofErr w:type="spellStart"/>
      <w:r w:rsidRPr="00405D91">
        <w:t>Friderica</w:t>
      </w:r>
      <w:proofErr w:type="spellEnd"/>
      <w:r w:rsidRPr="00405D91">
        <w:t xml:space="preserve"> is identified as </w:t>
      </w:r>
      <w:proofErr w:type="spellStart"/>
      <w:r w:rsidRPr="00405D91">
        <w:t>QTcF</w:t>
      </w:r>
      <w:proofErr w:type="spellEnd"/>
      <w:r w:rsidRPr="00405D91">
        <w:t xml:space="preserve">. A prolonged QT interval is a risk factor for ventricular </w:t>
      </w:r>
      <w:proofErr w:type="spellStart"/>
      <w:r w:rsidRPr="00405D91">
        <w:t>tachyarrhythmias</w:t>
      </w:r>
      <w:proofErr w:type="spellEnd"/>
      <w:r w:rsidRPr="00405D91">
        <w:t xml:space="preserve"> </w:t>
      </w:r>
      <w:r>
        <w:t xml:space="preserve">such as </w:t>
      </w:r>
      <w:proofErr w:type="spellStart"/>
      <w:r w:rsidRPr="00A400A6">
        <w:t>torsade</w:t>
      </w:r>
      <w:proofErr w:type="spellEnd"/>
      <w:r w:rsidRPr="00A400A6">
        <w:t xml:space="preserve"> de pointes</w:t>
      </w:r>
      <w:r>
        <w:rPr>
          <w:rFonts w:ascii="TimesNRMT-OV-OFTMSB" w:hAnsi="TimesNRMT-OV-OFTMSB" w:cs="TimesNRMT-OV-OFTMSB"/>
          <w:sz w:val="19"/>
          <w:szCs w:val="19"/>
        </w:rPr>
        <w:t xml:space="preserve"> </w:t>
      </w:r>
      <w:r>
        <w:t>and sudden death.</w:t>
      </w:r>
    </w:p>
  </w:footnote>
  <w:footnote w:id="11">
    <w:p w:rsidR="008E3DE4" w:rsidRPr="00456ADD" w:rsidRDefault="008E3DE4" w:rsidP="004619AA">
      <w:pPr>
        <w:pStyle w:val="FootnoteText"/>
      </w:pPr>
      <w:r w:rsidRPr="00405D91">
        <w:rPr>
          <w:rStyle w:val="FootnoteReference"/>
          <w:szCs w:val="18"/>
        </w:rPr>
        <w:footnoteRef/>
      </w:r>
      <w:r w:rsidRPr="00405D91">
        <w:t xml:space="preserve"> J. </w:t>
      </w:r>
      <w:proofErr w:type="spellStart"/>
      <w:r w:rsidRPr="00405D91">
        <w:t>Morganroth</w:t>
      </w:r>
      <w:proofErr w:type="spellEnd"/>
      <w:r w:rsidRPr="00405D91">
        <w:t xml:space="preserve">. Focus on issues in measuring and interpreting changes in the </w:t>
      </w:r>
      <w:proofErr w:type="spellStart"/>
      <w:r w:rsidRPr="00405D91">
        <w:t>QTc</w:t>
      </w:r>
      <w:proofErr w:type="spellEnd"/>
      <w:r w:rsidRPr="00405D91">
        <w:t xml:space="preserve"> interval duration. </w:t>
      </w:r>
      <w:r w:rsidRPr="00405D91">
        <w:rPr>
          <w:i/>
        </w:rPr>
        <w:t>Eur Heart J Supplements</w:t>
      </w:r>
      <w:r w:rsidRPr="00405D91">
        <w:t xml:space="preserve"> 2001;3(Supplement K):K105–K111, available at: </w:t>
      </w:r>
      <w:r w:rsidRPr="00456ADD">
        <w:t>&lt;</w:t>
      </w:r>
      <w:hyperlink r:id="rId2" w:history="1">
        <w:r w:rsidRPr="00456ADD">
          <w:t>http://eurheartjsupp.oxfordjournals.org/content/3/suppl_K/K105.full.pdf</w:t>
        </w:r>
      </w:hyperlink>
      <w:r w:rsidRPr="00456ADD">
        <w:t>&gt;</w:t>
      </w:r>
    </w:p>
  </w:footnote>
  <w:footnote w:id="12">
    <w:p w:rsidR="008E3DE4" w:rsidRPr="00405D91" w:rsidRDefault="008E3DE4" w:rsidP="004619AA">
      <w:pPr>
        <w:pStyle w:val="FootnoteText"/>
      </w:pPr>
      <w:r w:rsidRPr="00405D91">
        <w:rPr>
          <w:rStyle w:val="FootnoteReference"/>
          <w:szCs w:val="18"/>
        </w:rPr>
        <w:footnoteRef/>
      </w:r>
      <w:r w:rsidRPr="00405D91">
        <w:t xml:space="preserve"> CPMP Guideline on </w:t>
      </w:r>
      <w:r w:rsidRPr="00405D91">
        <w:rPr>
          <w:i/>
        </w:rPr>
        <w:t>Points to consider: The assessment of the potential for QT interval prolongation by non-cardiovascular medicinal products</w:t>
      </w:r>
      <w:r w:rsidRPr="00405D91">
        <w:t xml:space="preserve">. </w:t>
      </w:r>
      <w:proofErr w:type="gramStart"/>
      <w:r w:rsidRPr="00405D91">
        <w:t>CPMP/986/96.</w:t>
      </w:r>
      <w:proofErr w:type="gramEnd"/>
      <w:r w:rsidRPr="00405D91">
        <w:t xml:space="preserve"> December 1997.</w:t>
      </w:r>
    </w:p>
  </w:footnote>
  <w:footnote w:id="13">
    <w:p w:rsidR="008E3DE4" w:rsidRPr="00704CE6" w:rsidRDefault="008E3DE4" w:rsidP="00704CE6">
      <w:pPr>
        <w:pStyle w:val="FootnoteText"/>
        <w:rPr>
          <w:szCs w:val="18"/>
        </w:rPr>
      </w:pPr>
      <w:r w:rsidRPr="007D67F9">
        <w:rPr>
          <w:rStyle w:val="FootnoteReference"/>
          <w:szCs w:val="18"/>
        </w:rPr>
        <w:footnoteRef/>
      </w:r>
      <w:r w:rsidRPr="007D67F9">
        <w:t xml:space="preserve"> </w:t>
      </w:r>
      <w:r w:rsidRPr="00704CE6">
        <w:rPr>
          <w:szCs w:val="18"/>
        </w:rPr>
        <w:t>An independent expert committee appointed by the Minister for Health and Ageing to strengthen the role of evidence in health financing decisions in Australia.</w:t>
      </w:r>
    </w:p>
  </w:footnote>
  <w:footnote w:id="14">
    <w:p w:rsidR="008E3DE4" w:rsidRPr="00704CE6" w:rsidRDefault="008E3DE4" w:rsidP="00704CE6">
      <w:pPr>
        <w:pStyle w:val="FootnoteText"/>
        <w:rPr>
          <w:szCs w:val="18"/>
        </w:rPr>
      </w:pPr>
      <w:r w:rsidRPr="00704CE6">
        <w:rPr>
          <w:rStyle w:val="FootnoteReference"/>
          <w:szCs w:val="18"/>
        </w:rPr>
        <w:footnoteRef/>
      </w:r>
      <w:r w:rsidRPr="00704CE6">
        <w:rPr>
          <w:szCs w:val="18"/>
        </w:rPr>
        <w:t xml:space="preserve"> Consultation Decision Analytic Protocol (DAP) to guide the assessment of a pathology test to determine if a patient has been infected with CCR5 tropic HIV-1 for access to </w:t>
      </w:r>
      <w:proofErr w:type="spellStart"/>
      <w:r w:rsidRPr="00704CE6">
        <w:rPr>
          <w:szCs w:val="18"/>
        </w:rPr>
        <w:t>maraviroc</w:t>
      </w:r>
      <w:proofErr w:type="spellEnd"/>
      <w:r w:rsidRPr="00704CE6">
        <w:rPr>
          <w:szCs w:val="18"/>
        </w:rPr>
        <w:t>. Available at: &lt;</w:t>
      </w:r>
      <w:hyperlink r:id="rId3" w:history="1">
        <w:r w:rsidRPr="00704CE6">
          <w:rPr>
            <w:rStyle w:val="Hyperlink"/>
            <w:color w:val="auto"/>
            <w:szCs w:val="18"/>
            <w:u w:val="none"/>
          </w:rPr>
          <w:t>http://www.msac.gov.au/internet/msac/publishing.nsf/Content/2C3D39E5008C558ECA2578E100179BCF/$File/Consultation%20DAP%201174.pdf</w:t>
        </w:r>
      </w:hyperlink>
      <w:r w:rsidRPr="00704CE6">
        <w:rPr>
          <w:szCs w:val="18"/>
        </w:rPr>
        <w:t>&gt;</w:t>
      </w:r>
    </w:p>
  </w:footnote>
  <w:footnote w:id="15">
    <w:p w:rsidR="008E3DE4" w:rsidRDefault="008E3DE4" w:rsidP="002C782A">
      <w:pPr>
        <w:pStyle w:val="FootnoteText"/>
      </w:pPr>
      <w:r>
        <w:rPr>
          <w:rStyle w:val="FootnoteReference"/>
        </w:rPr>
        <w:footnoteRef/>
      </w:r>
      <w:r>
        <w:t xml:space="preserve"> </w:t>
      </w:r>
      <w:r w:rsidRPr="00592CB6">
        <w:rPr>
          <w:szCs w:val="18"/>
        </w:rPr>
        <w:t xml:space="preserve">McGovern RA, et al. Population-based Sequencing of the V3-loop Is Comparable to the Enhanced Sensitivity </w:t>
      </w:r>
      <w:proofErr w:type="spellStart"/>
      <w:r w:rsidRPr="00592CB6">
        <w:rPr>
          <w:szCs w:val="18"/>
        </w:rPr>
        <w:t>Trofile</w:t>
      </w:r>
      <w:proofErr w:type="spellEnd"/>
      <w:r w:rsidRPr="00592CB6">
        <w:rPr>
          <w:szCs w:val="18"/>
        </w:rPr>
        <w:t xml:space="preserve"> Assay in Predicting </w:t>
      </w:r>
      <w:proofErr w:type="spellStart"/>
      <w:r w:rsidRPr="00592CB6">
        <w:rPr>
          <w:szCs w:val="18"/>
        </w:rPr>
        <w:t>Virologic</w:t>
      </w:r>
      <w:proofErr w:type="spellEnd"/>
      <w:r w:rsidRPr="00592CB6">
        <w:rPr>
          <w:szCs w:val="18"/>
        </w:rPr>
        <w:t xml:space="preserve"> Response to </w:t>
      </w:r>
      <w:proofErr w:type="spellStart"/>
      <w:r w:rsidRPr="00592CB6">
        <w:rPr>
          <w:szCs w:val="18"/>
        </w:rPr>
        <w:t>Maraviroc</w:t>
      </w:r>
      <w:proofErr w:type="spellEnd"/>
      <w:r w:rsidRPr="00592CB6">
        <w:rPr>
          <w:szCs w:val="18"/>
        </w:rPr>
        <w:t xml:space="preserve"> of Treatment-naive Patients in the MERIT Trial. </w:t>
      </w:r>
      <w:r w:rsidRPr="00015125">
        <w:rPr>
          <w:i/>
          <w:szCs w:val="18"/>
        </w:rPr>
        <w:t xml:space="preserve">17th Conference on Retroviruses and Opportunistic Infections 2010 ;Paper #92British Columbia </w:t>
      </w:r>
      <w:proofErr w:type="spellStart"/>
      <w:r w:rsidRPr="00015125">
        <w:rPr>
          <w:i/>
          <w:szCs w:val="18"/>
        </w:rPr>
        <w:t>Center</w:t>
      </w:r>
      <w:proofErr w:type="spellEnd"/>
      <w:r w:rsidRPr="00015125">
        <w:rPr>
          <w:i/>
          <w:szCs w:val="18"/>
        </w:rPr>
        <w:t xml:space="preserve"> of Excellence, </w:t>
      </w:r>
      <w:proofErr w:type="spellStart"/>
      <w:r w:rsidRPr="00015125">
        <w:rPr>
          <w:i/>
          <w:szCs w:val="18"/>
        </w:rPr>
        <w:t>Harrigan</w:t>
      </w:r>
      <w:proofErr w:type="spellEnd"/>
      <w:r w:rsidRPr="00015125">
        <w:rPr>
          <w:i/>
          <w:szCs w:val="18"/>
        </w:rPr>
        <w:t xml:space="preserve"> Laboratory, Vancouver BC</w:t>
      </w:r>
    </w:p>
  </w:footnote>
  <w:footnote w:id="16">
    <w:p w:rsidR="008E3DE4" w:rsidRPr="001B0FAD" w:rsidRDefault="008E3DE4" w:rsidP="001B0FAD">
      <w:pPr>
        <w:pStyle w:val="FootnoteText"/>
      </w:pPr>
      <w:r w:rsidRPr="00A83D78">
        <w:rPr>
          <w:rStyle w:val="FootnoteReference"/>
          <w:szCs w:val="18"/>
        </w:rPr>
        <w:footnoteRef/>
      </w:r>
      <w:r w:rsidRPr="001B0FAD">
        <w:t xml:space="preserve"> McGowan JP, Shah S. Understanding HIV Tropism. Published online at Physicians’ Research Network www.prn.org: The PRN Notebook Volume 15, January 2010  &lt;</w:t>
      </w:r>
      <w:hyperlink r:id="rId4" w:history="1">
        <w:r w:rsidRPr="001B0FAD">
          <w:rPr>
            <w:rStyle w:val="Hyperlink"/>
            <w:color w:val="auto"/>
            <w:szCs w:val="18"/>
            <w:u w:val="none"/>
          </w:rPr>
          <w:t>http://www.prn.org/index.php/management/article/hiv_infection_in_children</w:t>
        </w:r>
      </w:hyperlink>
      <w:r w:rsidRPr="001B0FAD">
        <w:t>&gt;</w:t>
      </w:r>
    </w:p>
  </w:footnote>
  <w:footnote w:id="17">
    <w:p w:rsidR="008E3DE4" w:rsidRPr="001B0FAD" w:rsidRDefault="008E3DE4" w:rsidP="001B0FAD">
      <w:pPr>
        <w:pStyle w:val="FootnoteText"/>
      </w:pPr>
      <w:r w:rsidRPr="00302B31">
        <w:rPr>
          <w:rStyle w:val="FootnoteReference"/>
          <w:szCs w:val="18"/>
        </w:rPr>
        <w:footnoteRef/>
      </w:r>
      <w:r>
        <w:t xml:space="preserve"> </w:t>
      </w:r>
      <w:proofErr w:type="spellStart"/>
      <w:r w:rsidRPr="001B0FAD">
        <w:t>Geretti</w:t>
      </w:r>
      <w:proofErr w:type="spellEnd"/>
      <w:r w:rsidRPr="001B0FAD">
        <w:t xml:space="preserve"> </w:t>
      </w:r>
      <w:proofErr w:type="gramStart"/>
      <w:r w:rsidRPr="001B0FAD">
        <w:t>AM,</w:t>
      </w:r>
      <w:proofErr w:type="gramEnd"/>
      <w:r w:rsidRPr="001B0FAD">
        <w:t xml:space="preserve"> Mackie N. Determining HIV-1 tropism in routine clinical practice. 2009. From the British HIV Association Guidelines on HIV-1 tropism Testing, available at &lt;</w:t>
      </w:r>
      <w:hyperlink r:id="rId5" w:history="1">
        <w:r w:rsidRPr="001B0FAD">
          <w:rPr>
            <w:rStyle w:val="Hyperlink"/>
            <w:color w:val="auto"/>
            <w:szCs w:val="18"/>
            <w:u w:val="none"/>
          </w:rPr>
          <w:t>www.bhiva.org/documents/Guidelines/Tropism/HIV-1Tropism.doc</w:t>
        </w:r>
      </w:hyperlink>
      <w:r w:rsidRPr="001B0FAD">
        <w:rPr>
          <w:rStyle w:val="HTMLCite"/>
          <w:i w:val="0"/>
          <w:iCs w:val="0"/>
          <w:szCs w:val="18"/>
        </w:rPr>
        <w:t>&gt;</w:t>
      </w:r>
    </w:p>
  </w:footnote>
  <w:footnote w:id="18">
    <w:p w:rsidR="008E3DE4" w:rsidRPr="001B0FAD" w:rsidRDefault="008E3DE4" w:rsidP="001B0FAD">
      <w:pPr>
        <w:pStyle w:val="FootnoteText"/>
      </w:pPr>
      <w:r w:rsidRPr="00302B31">
        <w:rPr>
          <w:rStyle w:val="FootnoteReference"/>
          <w:szCs w:val="18"/>
        </w:rPr>
        <w:footnoteRef/>
      </w:r>
      <w:r w:rsidRPr="001B0FAD">
        <w:t xml:space="preserve"> </w:t>
      </w:r>
      <w:proofErr w:type="spellStart"/>
      <w:r w:rsidRPr="001B0FAD">
        <w:t>Brumme</w:t>
      </w:r>
      <w:proofErr w:type="spellEnd"/>
      <w:r w:rsidRPr="001B0FAD">
        <w:t xml:space="preserve"> CJ, Dong W, Chan D, et al. Short-term variation of HIV tropism readouts in the absence of CCR5-antagonists. Plenary and Oral Posters session presented to the Tenth International Congress on Drug Therapy in HIV Infection November 8, 2010. Available at &lt;</w:t>
      </w:r>
      <w:hyperlink r:id="rId6" w:history="1">
        <w:r w:rsidRPr="001B0FAD">
          <w:rPr>
            <w:rStyle w:val="Hyperlink"/>
            <w:color w:val="auto"/>
            <w:szCs w:val="18"/>
            <w:u w:val="none"/>
          </w:rPr>
          <w:t>http://www.hiv11.com/hiv10/webcast/content/hybrid/O123/download/O123.pdf</w:t>
        </w:r>
      </w:hyperlink>
      <w:r w:rsidRPr="001B0FAD">
        <w:t>&gt;</w:t>
      </w:r>
    </w:p>
  </w:footnote>
  <w:footnote w:id="19">
    <w:p w:rsidR="008E3DE4" w:rsidRPr="00A83D78" w:rsidRDefault="008E3DE4" w:rsidP="002C782A">
      <w:pPr>
        <w:pStyle w:val="FootnoteText"/>
        <w:rPr>
          <w:szCs w:val="18"/>
        </w:rPr>
      </w:pPr>
      <w:r w:rsidRPr="00A83D78">
        <w:rPr>
          <w:rStyle w:val="FootnoteReference"/>
          <w:szCs w:val="18"/>
        </w:rPr>
        <w:footnoteRef/>
      </w:r>
      <w:r w:rsidRPr="00A83D78">
        <w:rPr>
          <w:szCs w:val="18"/>
        </w:rPr>
        <w:t xml:space="preserve"> As recommended by the </w:t>
      </w:r>
      <w:r w:rsidRPr="00864F4D">
        <w:rPr>
          <w:i/>
          <w:szCs w:val="18"/>
        </w:rPr>
        <w:t xml:space="preserve">Guideline on the Clinical Development of Medicinal Products for the Treatment </w:t>
      </w:r>
      <w:proofErr w:type="gramStart"/>
      <w:r w:rsidRPr="00864F4D">
        <w:rPr>
          <w:i/>
          <w:szCs w:val="18"/>
        </w:rPr>
        <w:t>Of</w:t>
      </w:r>
      <w:proofErr w:type="gramEnd"/>
      <w:r w:rsidRPr="00864F4D">
        <w:rPr>
          <w:i/>
          <w:szCs w:val="18"/>
        </w:rPr>
        <w:t xml:space="preserve"> HIV Infection</w:t>
      </w:r>
      <w:r w:rsidRPr="00A83D78">
        <w:rPr>
          <w:szCs w:val="18"/>
        </w:rPr>
        <w:t>. Reference EMEA/CPMP/EWP/633/02, which has been adopted in Australia</w:t>
      </w:r>
    </w:p>
  </w:footnote>
  <w:footnote w:id="20">
    <w:p w:rsidR="008E3DE4" w:rsidRPr="00FD6D5F" w:rsidRDefault="008E3DE4" w:rsidP="002C782A">
      <w:pPr>
        <w:spacing w:after="0" w:line="240" w:lineRule="auto"/>
        <w:rPr>
          <w:rStyle w:val="FootnoteTextChar"/>
          <w:rFonts w:eastAsia="Cambria"/>
        </w:rPr>
      </w:pPr>
      <w:r w:rsidRPr="00C673CD">
        <w:rPr>
          <w:rStyle w:val="FootnoteReference"/>
          <w:sz w:val="18"/>
          <w:szCs w:val="18"/>
        </w:rPr>
        <w:footnoteRef/>
      </w:r>
      <w:r w:rsidRPr="00C673CD">
        <w:rPr>
          <w:sz w:val="18"/>
          <w:szCs w:val="18"/>
        </w:rPr>
        <w:t xml:space="preserve"> </w:t>
      </w:r>
      <w:r w:rsidRPr="00FD6D5F">
        <w:rPr>
          <w:rStyle w:val="FootnoteTextChar"/>
          <w:rFonts w:eastAsia="Cambria"/>
        </w:rPr>
        <w:t xml:space="preserve">Sierra-Madero J, Di </w:t>
      </w:r>
      <w:proofErr w:type="spellStart"/>
      <w:r w:rsidRPr="00FD6D5F">
        <w:rPr>
          <w:rStyle w:val="FootnoteTextChar"/>
          <w:rFonts w:eastAsia="Cambria"/>
        </w:rPr>
        <w:t>Perri</w:t>
      </w:r>
      <w:proofErr w:type="spellEnd"/>
      <w:r w:rsidRPr="00FD6D5F">
        <w:rPr>
          <w:rStyle w:val="FootnoteTextChar"/>
          <w:rFonts w:eastAsia="Cambria"/>
        </w:rPr>
        <w:t xml:space="preserve"> G, Wood R et al. Efficacy and safety of </w:t>
      </w:r>
      <w:proofErr w:type="spellStart"/>
      <w:r w:rsidRPr="00FD6D5F">
        <w:rPr>
          <w:rStyle w:val="FootnoteTextChar"/>
          <w:rFonts w:eastAsia="Cambria"/>
        </w:rPr>
        <w:t>maraviroc</w:t>
      </w:r>
      <w:proofErr w:type="spellEnd"/>
      <w:r w:rsidRPr="00FD6D5F">
        <w:rPr>
          <w:rStyle w:val="FootnoteTextChar"/>
          <w:rFonts w:eastAsia="Cambria"/>
        </w:rPr>
        <w:t xml:space="preserve"> versus </w:t>
      </w:r>
      <w:proofErr w:type="spellStart"/>
      <w:r w:rsidRPr="00FD6D5F">
        <w:rPr>
          <w:rStyle w:val="FootnoteTextChar"/>
          <w:rFonts w:eastAsia="Cambria"/>
        </w:rPr>
        <w:t>efavirenz</w:t>
      </w:r>
      <w:proofErr w:type="spellEnd"/>
      <w:r w:rsidRPr="00FD6D5F">
        <w:rPr>
          <w:rStyle w:val="FootnoteTextChar"/>
          <w:rFonts w:eastAsia="Cambria"/>
        </w:rPr>
        <w:t xml:space="preserve">, both with </w:t>
      </w:r>
      <w:proofErr w:type="spellStart"/>
      <w:r w:rsidRPr="00FD6D5F">
        <w:rPr>
          <w:rStyle w:val="FootnoteTextChar"/>
          <w:rFonts w:eastAsia="Cambria"/>
        </w:rPr>
        <w:t>zidovudine</w:t>
      </w:r>
      <w:proofErr w:type="spellEnd"/>
      <w:r w:rsidRPr="00FD6D5F">
        <w:rPr>
          <w:rStyle w:val="FootnoteTextChar"/>
          <w:rFonts w:eastAsia="Cambria"/>
        </w:rPr>
        <w:t>/</w:t>
      </w:r>
      <w:proofErr w:type="spellStart"/>
      <w:r w:rsidRPr="00FD6D5F">
        <w:rPr>
          <w:rStyle w:val="FootnoteTextChar"/>
          <w:rFonts w:eastAsia="Cambria"/>
        </w:rPr>
        <w:t>lamivudine</w:t>
      </w:r>
      <w:proofErr w:type="spellEnd"/>
      <w:r w:rsidRPr="00FD6D5F">
        <w:rPr>
          <w:rStyle w:val="FootnoteTextChar"/>
          <w:rFonts w:eastAsia="Cambria"/>
        </w:rPr>
        <w:t xml:space="preserve">: 96-week results from the MERIT study. </w:t>
      </w:r>
      <w:proofErr w:type="gramStart"/>
      <w:r w:rsidRPr="00FD6D5F">
        <w:rPr>
          <w:rStyle w:val="FootnoteTextChar"/>
          <w:rFonts w:eastAsia="Cambria"/>
        </w:rPr>
        <w:t xml:space="preserve">HIV </w:t>
      </w:r>
      <w:proofErr w:type="spellStart"/>
      <w:r w:rsidRPr="00FD6D5F">
        <w:rPr>
          <w:rStyle w:val="FootnoteTextChar"/>
          <w:rFonts w:eastAsia="Cambria"/>
        </w:rPr>
        <w:t>Clin</w:t>
      </w:r>
      <w:proofErr w:type="spellEnd"/>
      <w:r w:rsidRPr="00FD6D5F">
        <w:rPr>
          <w:rStyle w:val="FootnoteTextChar"/>
          <w:rFonts w:eastAsia="Cambria"/>
        </w:rPr>
        <w:t xml:space="preserve"> Trials.</w:t>
      </w:r>
      <w:proofErr w:type="gramEnd"/>
      <w:r w:rsidRPr="00FD6D5F">
        <w:rPr>
          <w:rStyle w:val="FootnoteTextChar"/>
          <w:rFonts w:eastAsia="Cambria"/>
        </w:rPr>
        <w:t xml:space="preserve"> 2010</w:t>
      </w:r>
      <w:proofErr w:type="gramStart"/>
      <w:r w:rsidRPr="00FD6D5F">
        <w:rPr>
          <w:rStyle w:val="FootnoteTextChar"/>
          <w:rFonts w:eastAsia="Cambria"/>
        </w:rPr>
        <w:t>;11</w:t>
      </w:r>
      <w:proofErr w:type="gramEnd"/>
      <w:r w:rsidRPr="00FD6D5F">
        <w:rPr>
          <w:rStyle w:val="FootnoteTextChar"/>
          <w:rFonts w:eastAsia="Cambria"/>
        </w:rPr>
        <w:t>(3):125-32.</w:t>
      </w:r>
    </w:p>
  </w:footnote>
  <w:footnote w:id="21">
    <w:p w:rsidR="008E3DE4" w:rsidRPr="00126932" w:rsidRDefault="008E3DE4" w:rsidP="002C782A">
      <w:pPr>
        <w:pStyle w:val="FootnoteText"/>
      </w:pPr>
      <w:r w:rsidRPr="00725971">
        <w:rPr>
          <w:rStyle w:val="FootnoteReference"/>
          <w:szCs w:val="18"/>
        </w:rPr>
        <w:footnoteRef/>
      </w:r>
      <w:r w:rsidRPr="00725971">
        <w:rPr>
          <w:szCs w:val="18"/>
        </w:rPr>
        <w:t xml:space="preserve"> </w:t>
      </w:r>
      <w:proofErr w:type="gramStart"/>
      <w:r w:rsidRPr="00126932">
        <w:t>Portsmouth SD, Lewis M, Craig C et al. Long Term Outcome of Individuals Experiencing a Phenotypic Switch in HIV-1 Co-receptor Use in the MERIT Study.</w:t>
      </w:r>
      <w:proofErr w:type="gramEnd"/>
      <w:r w:rsidRPr="00126932">
        <w:t xml:space="preserve"> </w:t>
      </w:r>
      <w:proofErr w:type="gramStart"/>
      <w:r w:rsidRPr="00126932">
        <w:t>Poster no. 104.</w:t>
      </w:r>
      <w:proofErr w:type="gramEnd"/>
      <w:r w:rsidRPr="00126932">
        <w:t xml:space="preserve"> Presented to the International HIV &amp; Hepatitis Virus Drug Resistance Workshop and Curative Strategies; June 8-12,2010; Dubrovnik, Croatia</w:t>
      </w:r>
    </w:p>
  </w:footnote>
  <w:footnote w:id="22">
    <w:p w:rsidR="008E3DE4" w:rsidRPr="00126932" w:rsidRDefault="008E3DE4" w:rsidP="00126932">
      <w:pPr>
        <w:pStyle w:val="FootnoteText"/>
      </w:pPr>
      <w:r w:rsidRPr="00C673CD">
        <w:rPr>
          <w:rStyle w:val="FootnoteReference"/>
          <w:szCs w:val="18"/>
        </w:rPr>
        <w:footnoteRef/>
      </w:r>
      <w:r w:rsidRPr="00C673CD">
        <w:t xml:space="preserve"> </w:t>
      </w:r>
      <w:r w:rsidRPr="00126932">
        <w:t xml:space="preserve">Cohen CJ, Villanueva JA, </w:t>
      </w:r>
      <w:proofErr w:type="spellStart"/>
      <w:r w:rsidRPr="00126932">
        <w:t>Clotet</w:t>
      </w:r>
      <w:proofErr w:type="spellEnd"/>
      <w:r w:rsidRPr="00126932">
        <w:t xml:space="preserve"> B, et al. (on behalf of THRIVE study group). </w:t>
      </w:r>
      <w:proofErr w:type="spellStart"/>
      <w:r w:rsidRPr="00126932">
        <w:t>Rilpivirine</w:t>
      </w:r>
      <w:proofErr w:type="spellEnd"/>
      <w:r w:rsidRPr="00126932">
        <w:t xml:space="preserve"> versus EFV with two background nucleoside or nucleotide reverse transcriptase inhibitors in treatment-naive adults infected with HIV-1 (THRIVE): a phase 3, randomised, non-inferiority trial. Lancet 2011:378:229 -237</w:t>
      </w:r>
    </w:p>
  </w:footnote>
  <w:footnote w:id="23">
    <w:p w:rsidR="008E3DE4" w:rsidRPr="00126932" w:rsidRDefault="008E3DE4" w:rsidP="00126932">
      <w:pPr>
        <w:pStyle w:val="FootnoteText"/>
      </w:pPr>
      <w:r w:rsidRPr="00126932">
        <w:rPr>
          <w:rStyle w:val="FootnoteReference"/>
          <w:szCs w:val="18"/>
        </w:rPr>
        <w:footnoteRef/>
      </w:r>
      <w:r w:rsidRPr="00126932">
        <w:t xml:space="preserve"> Medical review(s): Centre for Drug Evaluation and Research – application number 202022Orig1s000.</w:t>
      </w:r>
    </w:p>
  </w:footnote>
  <w:footnote w:id="24">
    <w:p w:rsidR="008E3DE4" w:rsidRPr="00126932" w:rsidRDefault="008E3DE4" w:rsidP="00126932">
      <w:pPr>
        <w:pStyle w:val="FootnoteText"/>
      </w:pPr>
      <w:r w:rsidRPr="00126932">
        <w:rPr>
          <w:rStyle w:val="FootnoteReference"/>
          <w:szCs w:val="18"/>
        </w:rPr>
        <w:footnoteRef/>
      </w:r>
      <w:r w:rsidRPr="00126932">
        <w:t xml:space="preserve"> Molina JM, Cahn P, </w:t>
      </w:r>
      <w:proofErr w:type="spellStart"/>
      <w:r w:rsidRPr="00126932">
        <w:t>Grinsztein</w:t>
      </w:r>
      <w:proofErr w:type="spellEnd"/>
      <w:r w:rsidRPr="00126932">
        <w:t xml:space="preserve"> B, et al. (on behalf of the ECHO Study group). </w:t>
      </w:r>
      <w:proofErr w:type="spellStart"/>
      <w:r w:rsidRPr="00126932">
        <w:t>Rilpivirine</w:t>
      </w:r>
      <w:proofErr w:type="spellEnd"/>
      <w:r w:rsidRPr="00126932">
        <w:t xml:space="preserve"> versus EFV with </w:t>
      </w:r>
      <w:proofErr w:type="spellStart"/>
      <w:r w:rsidRPr="00126932">
        <w:t>tenofovir</w:t>
      </w:r>
      <w:proofErr w:type="spellEnd"/>
      <w:r w:rsidRPr="00126932">
        <w:t xml:space="preserve"> and </w:t>
      </w:r>
      <w:proofErr w:type="spellStart"/>
      <w:r w:rsidRPr="00126932">
        <w:t>emtricitabine</w:t>
      </w:r>
      <w:proofErr w:type="spellEnd"/>
      <w:r w:rsidRPr="00126932">
        <w:t xml:space="preserve"> in treatment-naïve adults infected with HIV-l (ECHO): a phase 3 randomised double blind active controlled trial. Lancet 2011</w:t>
      </w:r>
      <w:proofErr w:type="gramStart"/>
      <w:r w:rsidRPr="00126932">
        <w:t>;378:238</w:t>
      </w:r>
      <w:proofErr w:type="gramEnd"/>
      <w:r w:rsidRPr="00126932">
        <w:t>-246.</w:t>
      </w:r>
    </w:p>
  </w:footnote>
  <w:footnote w:id="25">
    <w:p w:rsidR="008E3DE4" w:rsidRPr="00126932" w:rsidRDefault="008E3DE4" w:rsidP="00126932">
      <w:pPr>
        <w:pStyle w:val="FootnoteText"/>
      </w:pPr>
      <w:r w:rsidRPr="00126932">
        <w:rPr>
          <w:rStyle w:val="FootnoteReference"/>
          <w:szCs w:val="18"/>
        </w:rPr>
        <w:footnoteRef/>
      </w:r>
      <w:r w:rsidRPr="00126932">
        <w:rPr>
          <w:vertAlign w:val="superscript"/>
        </w:rPr>
        <w:t xml:space="preserve"> </w:t>
      </w:r>
      <w:proofErr w:type="spellStart"/>
      <w:r w:rsidRPr="00126932">
        <w:t>Ariën</w:t>
      </w:r>
      <w:proofErr w:type="spellEnd"/>
      <w:r w:rsidRPr="00126932">
        <w:t xml:space="preserve"> KK, </w:t>
      </w:r>
      <w:proofErr w:type="spellStart"/>
      <w:r w:rsidRPr="00126932">
        <w:t>Gali</w:t>
      </w:r>
      <w:proofErr w:type="spellEnd"/>
      <w:r w:rsidRPr="00126932">
        <w:t xml:space="preserve"> Y, El-</w:t>
      </w:r>
      <w:proofErr w:type="spellStart"/>
      <w:r w:rsidRPr="00126932">
        <w:t>Abdellati</w:t>
      </w:r>
      <w:proofErr w:type="spellEnd"/>
      <w:r w:rsidRPr="00126932">
        <w:t xml:space="preserve"> A, et al. </w:t>
      </w:r>
      <w:proofErr w:type="spellStart"/>
      <w:r w:rsidRPr="00126932">
        <w:t>Replicative</w:t>
      </w:r>
      <w:proofErr w:type="spellEnd"/>
      <w:r w:rsidRPr="00126932">
        <w:t xml:space="preserve"> fitness of CCR5-using and CXCR4-using human immunodeficiency virus type I biological clones. </w:t>
      </w:r>
      <w:proofErr w:type="gramStart"/>
      <w:r w:rsidRPr="00126932">
        <w:t>Virology.</w:t>
      </w:r>
      <w:proofErr w:type="gramEnd"/>
      <w:r w:rsidRPr="00126932">
        <w:t xml:space="preserve"> 2006</w:t>
      </w:r>
      <w:proofErr w:type="gramStart"/>
      <w:r w:rsidRPr="00126932">
        <w:t>;347:65</w:t>
      </w:r>
      <w:proofErr w:type="gramEnd"/>
      <w:r w:rsidRPr="00126932">
        <w:t>-74.</w:t>
      </w:r>
    </w:p>
  </w:footnote>
  <w:footnote w:id="26">
    <w:p w:rsidR="008E3DE4" w:rsidRPr="00126932" w:rsidRDefault="008E3DE4" w:rsidP="00126932">
      <w:pPr>
        <w:pStyle w:val="FootnoteText"/>
      </w:pPr>
      <w:r w:rsidRPr="00126932">
        <w:rPr>
          <w:rStyle w:val="FootnoteReference"/>
          <w:szCs w:val="18"/>
        </w:rPr>
        <w:footnoteRef/>
      </w:r>
      <w:r w:rsidRPr="00126932">
        <w:rPr>
          <w:vertAlign w:val="superscript"/>
        </w:rPr>
        <w:t xml:space="preserve"> </w:t>
      </w:r>
      <w:r w:rsidRPr="00126932">
        <w:t xml:space="preserve">Westby M, Lewis M, Whitcomb J, et al. Emergence of CXCR4-using human immunodeficiency virus type 1 (HIV-l) variants in a minority of HIV-1-infected patients following treatment with the CCR5 antagonist </w:t>
      </w:r>
      <w:proofErr w:type="spellStart"/>
      <w:r w:rsidRPr="00126932">
        <w:t>maraviroc</w:t>
      </w:r>
      <w:proofErr w:type="spellEnd"/>
      <w:r w:rsidRPr="00126932">
        <w:t xml:space="preserve"> is from a </w:t>
      </w:r>
      <w:proofErr w:type="spellStart"/>
      <w:r w:rsidRPr="00126932">
        <w:t>pretreatment</w:t>
      </w:r>
      <w:proofErr w:type="spellEnd"/>
      <w:r w:rsidRPr="00126932">
        <w:t xml:space="preserve"> CXCR4-using virus reservoir. </w:t>
      </w:r>
      <w:proofErr w:type="gramStart"/>
      <w:r w:rsidRPr="00126932">
        <w:t xml:space="preserve">J </w:t>
      </w:r>
      <w:proofErr w:type="spellStart"/>
      <w:r w:rsidRPr="00126932">
        <w:t>Virol</w:t>
      </w:r>
      <w:proofErr w:type="spellEnd"/>
      <w:r w:rsidRPr="00126932">
        <w:t>.</w:t>
      </w:r>
      <w:proofErr w:type="gramEnd"/>
      <w:r w:rsidRPr="00126932">
        <w:t xml:space="preserve"> 2006 May; 80</w:t>
      </w:r>
      <w:proofErr w:type="gramStart"/>
      <w:r w:rsidRPr="00126932">
        <w:t>( 1</w:t>
      </w:r>
      <w:proofErr w:type="gramEnd"/>
      <w:r w:rsidRPr="00126932">
        <w:t xml:space="preserve"> 0):4909-20.</w:t>
      </w:r>
    </w:p>
  </w:footnote>
  <w:footnote w:id="27">
    <w:p w:rsidR="008E3DE4" w:rsidRPr="00160546" w:rsidRDefault="008E3DE4" w:rsidP="002C782A">
      <w:pPr>
        <w:pStyle w:val="FootnoteText"/>
        <w:rPr>
          <w:szCs w:val="18"/>
        </w:rPr>
      </w:pPr>
      <w:r w:rsidRPr="00160546">
        <w:rPr>
          <w:rStyle w:val="FootnoteReference"/>
          <w:szCs w:val="18"/>
        </w:rPr>
        <w:footnoteRef/>
      </w:r>
      <w:r w:rsidRPr="00160546">
        <w:rPr>
          <w:szCs w:val="18"/>
        </w:rPr>
        <w:t xml:space="preserve"> </w:t>
      </w:r>
      <w:r>
        <w:rPr>
          <w:szCs w:val="18"/>
        </w:rPr>
        <w:t xml:space="preserve">MOTIVATE refers to the Phase II clinical trial </w:t>
      </w:r>
      <w:proofErr w:type="spellStart"/>
      <w:r w:rsidRPr="00160546">
        <w:rPr>
          <w:szCs w:val="18"/>
        </w:rPr>
        <w:t>Maraviroc</w:t>
      </w:r>
      <w:proofErr w:type="spellEnd"/>
      <w:r w:rsidRPr="00160546">
        <w:rPr>
          <w:szCs w:val="18"/>
        </w:rPr>
        <w:t xml:space="preserve"> versus Optimized Therapy in </w:t>
      </w:r>
      <w:proofErr w:type="spellStart"/>
      <w:r w:rsidRPr="00160546">
        <w:rPr>
          <w:szCs w:val="18"/>
        </w:rPr>
        <w:t>Viremic</w:t>
      </w:r>
      <w:proofErr w:type="spellEnd"/>
      <w:r w:rsidRPr="00160546">
        <w:rPr>
          <w:szCs w:val="18"/>
        </w:rPr>
        <w:t xml:space="preserve"> Antiretroviral Treatment-Experienced Patients</w:t>
      </w:r>
      <w:r>
        <w:rPr>
          <w:szCs w:val="18"/>
        </w:rPr>
        <w:t xml:space="preserve">. </w:t>
      </w:r>
      <w:r w:rsidRPr="00160546">
        <w:rPr>
          <w:szCs w:val="18"/>
        </w:rPr>
        <w:t xml:space="preserve"> </w:t>
      </w:r>
    </w:p>
  </w:footnote>
  <w:footnote w:id="28">
    <w:p w:rsidR="008E3DE4" w:rsidRPr="00160546" w:rsidRDefault="008E3DE4" w:rsidP="002C782A">
      <w:pPr>
        <w:pStyle w:val="FootnoteText"/>
        <w:rPr>
          <w:szCs w:val="18"/>
        </w:rPr>
      </w:pPr>
      <w:r w:rsidRPr="00160546">
        <w:rPr>
          <w:rStyle w:val="FootnoteReference"/>
          <w:szCs w:val="18"/>
        </w:rPr>
        <w:footnoteRef/>
      </w:r>
      <w:r w:rsidRPr="00160546">
        <w:rPr>
          <w:szCs w:val="18"/>
        </w:rPr>
        <w:t xml:space="preserve"> Reeves JD, </w:t>
      </w:r>
      <w:proofErr w:type="spellStart"/>
      <w:r w:rsidRPr="00160546">
        <w:rPr>
          <w:szCs w:val="18"/>
        </w:rPr>
        <w:t>Coakley</w:t>
      </w:r>
      <w:proofErr w:type="spellEnd"/>
      <w:r w:rsidRPr="00160546">
        <w:rPr>
          <w:szCs w:val="18"/>
        </w:rPr>
        <w:t xml:space="preserve"> E, Petropoulos CJ, Whitcomb JM. An enhanced-sensitivity </w:t>
      </w:r>
      <w:proofErr w:type="spellStart"/>
      <w:r w:rsidRPr="00160546">
        <w:rPr>
          <w:szCs w:val="18"/>
        </w:rPr>
        <w:t>Trofile</w:t>
      </w:r>
      <w:proofErr w:type="spellEnd"/>
      <w:r w:rsidRPr="00160546">
        <w:rPr>
          <w:szCs w:val="18"/>
        </w:rPr>
        <w:t xml:space="preserve"> HIV </w:t>
      </w:r>
      <w:proofErr w:type="spellStart"/>
      <w:r w:rsidRPr="00160546">
        <w:rPr>
          <w:szCs w:val="18"/>
        </w:rPr>
        <w:t>coreceptor</w:t>
      </w:r>
      <w:proofErr w:type="spellEnd"/>
      <w:r w:rsidRPr="00160546">
        <w:rPr>
          <w:szCs w:val="18"/>
        </w:rPr>
        <w:t xml:space="preserve"> tropism assay for selecting patients for therapy with entry inhibitors targeting CCR5: A review of analytical and clinical studies. </w:t>
      </w:r>
      <w:r w:rsidRPr="0068000C">
        <w:rPr>
          <w:i/>
          <w:szCs w:val="18"/>
        </w:rPr>
        <w:t>J Viral Entry</w:t>
      </w:r>
      <w:r w:rsidRPr="00160546">
        <w:rPr>
          <w:szCs w:val="18"/>
        </w:rPr>
        <w:t xml:space="preserve"> 2009</w:t>
      </w:r>
      <w:proofErr w:type="gramStart"/>
      <w:r w:rsidRPr="00160546">
        <w:rPr>
          <w:szCs w:val="18"/>
        </w:rPr>
        <w:t>;3:94</w:t>
      </w:r>
      <w:proofErr w:type="gramEnd"/>
      <w:r w:rsidRPr="00160546">
        <w:rPr>
          <w:szCs w:val="18"/>
        </w:rPr>
        <w:t>-702.</w:t>
      </w:r>
    </w:p>
  </w:footnote>
  <w:footnote w:id="29">
    <w:p w:rsidR="008E3DE4" w:rsidRPr="00654012" w:rsidRDefault="008E3DE4" w:rsidP="002C782A">
      <w:pPr>
        <w:pStyle w:val="FootnoteText"/>
        <w:rPr>
          <w:szCs w:val="18"/>
        </w:rPr>
      </w:pPr>
      <w:r w:rsidRPr="00654012">
        <w:rPr>
          <w:rStyle w:val="FootnoteReference"/>
          <w:szCs w:val="18"/>
        </w:rPr>
        <w:footnoteRef/>
      </w:r>
      <w:r w:rsidRPr="00654012">
        <w:rPr>
          <w:szCs w:val="18"/>
        </w:rPr>
        <w:t xml:space="preserve"> </w:t>
      </w:r>
      <w:proofErr w:type="spellStart"/>
      <w:proofErr w:type="gramStart"/>
      <w:r w:rsidRPr="00654012">
        <w:rPr>
          <w:szCs w:val="18"/>
        </w:rPr>
        <w:t>Vandekerckhove</w:t>
      </w:r>
      <w:proofErr w:type="spellEnd"/>
      <w:r w:rsidRPr="00654012">
        <w:rPr>
          <w:szCs w:val="18"/>
        </w:rPr>
        <w:t xml:space="preserve"> LPR, </w:t>
      </w:r>
      <w:proofErr w:type="spellStart"/>
      <w:r w:rsidRPr="00654012">
        <w:rPr>
          <w:szCs w:val="18"/>
        </w:rPr>
        <w:t>Wensing</w:t>
      </w:r>
      <w:proofErr w:type="spellEnd"/>
      <w:r w:rsidRPr="00654012">
        <w:rPr>
          <w:szCs w:val="18"/>
        </w:rPr>
        <w:t xml:space="preserve"> AMJ, Kaiser R, </w:t>
      </w:r>
      <w:r w:rsidRPr="0068000C">
        <w:rPr>
          <w:i/>
          <w:szCs w:val="18"/>
        </w:rPr>
        <w:t>et al</w:t>
      </w:r>
      <w:r w:rsidRPr="00654012">
        <w:rPr>
          <w:szCs w:val="18"/>
        </w:rPr>
        <w:t>. European guidelines on the clinical management of HIV-1 tropism testing.</w:t>
      </w:r>
      <w:proofErr w:type="gramEnd"/>
      <w:r w:rsidRPr="00654012">
        <w:rPr>
          <w:szCs w:val="18"/>
        </w:rPr>
        <w:t xml:space="preserve"> </w:t>
      </w:r>
      <w:r w:rsidRPr="0068000C">
        <w:rPr>
          <w:i/>
          <w:szCs w:val="18"/>
        </w:rPr>
        <w:t>The Lancet Infectious Diseases</w:t>
      </w:r>
      <w:r w:rsidRPr="00654012">
        <w:rPr>
          <w:szCs w:val="18"/>
        </w:rPr>
        <w:t>.20l l; 1 1(5):394-407</w:t>
      </w:r>
    </w:p>
  </w:footnote>
  <w:footnote w:id="30">
    <w:p w:rsidR="008E3DE4" w:rsidRPr="00654012" w:rsidRDefault="008E3DE4" w:rsidP="002C782A">
      <w:pPr>
        <w:pStyle w:val="FootnoteText"/>
        <w:rPr>
          <w:szCs w:val="18"/>
        </w:rPr>
      </w:pPr>
      <w:r w:rsidRPr="00654012">
        <w:rPr>
          <w:rStyle w:val="FootnoteReference"/>
          <w:szCs w:val="18"/>
        </w:rPr>
        <w:footnoteRef/>
      </w:r>
      <w:r w:rsidRPr="00654012">
        <w:rPr>
          <w:szCs w:val="18"/>
        </w:rPr>
        <w:t xml:space="preserve"> Swenson LC, Mo T., Dong W. </w:t>
      </w:r>
      <w:r w:rsidRPr="0068000C">
        <w:rPr>
          <w:i/>
          <w:szCs w:val="18"/>
        </w:rPr>
        <w:t>et al</w:t>
      </w:r>
      <w:r w:rsidRPr="00654012">
        <w:rPr>
          <w:szCs w:val="18"/>
        </w:rPr>
        <w:t xml:space="preserve">. Deep V3 sequencing for HIV type 1 tropism in treatment-naïve patients: A reanalysis of the MERIT trial of </w:t>
      </w:r>
      <w:proofErr w:type="spellStart"/>
      <w:r w:rsidRPr="00654012">
        <w:rPr>
          <w:szCs w:val="18"/>
        </w:rPr>
        <w:t>maraviroc</w:t>
      </w:r>
      <w:proofErr w:type="spellEnd"/>
      <w:r w:rsidRPr="00654012">
        <w:rPr>
          <w:szCs w:val="18"/>
        </w:rPr>
        <w:t xml:space="preserve">. </w:t>
      </w:r>
      <w:proofErr w:type="spellStart"/>
      <w:r w:rsidRPr="0068000C">
        <w:rPr>
          <w:i/>
          <w:szCs w:val="18"/>
        </w:rPr>
        <w:t>Clin</w:t>
      </w:r>
      <w:proofErr w:type="spellEnd"/>
      <w:r w:rsidRPr="0068000C">
        <w:rPr>
          <w:i/>
          <w:szCs w:val="18"/>
        </w:rPr>
        <w:t xml:space="preserve"> </w:t>
      </w:r>
      <w:proofErr w:type="spellStart"/>
      <w:r w:rsidRPr="0068000C">
        <w:rPr>
          <w:i/>
          <w:szCs w:val="18"/>
        </w:rPr>
        <w:t>Infec</w:t>
      </w:r>
      <w:proofErr w:type="spellEnd"/>
      <w:r w:rsidRPr="0068000C">
        <w:rPr>
          <w:i/>
          <w:szCs w:val="18"/>
        </w:rPr>
        <w:t xml:space="preserve"> </w:t>
      </w:r>
      <w:proofErr w:type="spellStart"/>
      <w:r w:rsidRPr="0068000C">
        <w:rPr>
          <w:i/>
          <w:szCs w:val="18"/>
        </w:rPr>
        <w:t>Dis</w:t>
      </w:r>
      <w:proofErr w:type="spellEnd"/>
      <w:r w:rsidRPr="00654012">
        <w:rPr>
          <w:szCs w:val="18"/>
        </w:rPr>
        <w:t xml:space="preserve"> 2011:53</w:t>
      </w:r>
      <w:proofErr w:type="gramStart"/>
      <w:r w:rsidRPr="00654012">
        <w:rPr>
          <w:szCs w:val="18"/>
        </w:rPr>
        <w:t>;732</w:t>
      </w:r>
      <w:proofErr w:type="gramEnd"/>
      <w:r w:rsidRPr="00654012">
        <w:rPr>
          <w:szCs w:val="18"/>
        </w:rPr>
        <w:t>-742.</w:t>
      </w:r>
    </w:p>
  </w:footnote>
  <w:footnote w:id="31">
    <w:p w:rsidR="008E3DE4" w:rsidRPr="004A59C7" w:rsidRDefault="008E3DE4" w:rsidP="00F61BA3">
      <w:pPr>
        <w:pStyle w:val="FootnoteText"/>
      </w:pPr>
      <w:r w:rsidRPr="004A59C7">
        <w:rPr>
          <w:rStyle w:val="FootnoteReference"/>
          <w:szCs w:val="18"/>
        </w:rPr>
        <w:footnoteRef/>
      </w:r>
      <w:r w:rsidRPr="004A59C7">
        <w:t xml:space="preserve"> </w:t>
      </w:r>
      <w:proofErr w:type="spellStart"/>
      <w:r w:rsidRPr="004A59C7">
        <w:t>Brumme</w:t>
      </w:r>
      <w:proofErr w:type="spellEnd"/>
      <w:r w:rsidRPr="004A59C7">
        <w:t xml:space="preserve"> CJ, Dong W, Chan D, </w:t>
      </w:r>
      <w:r w:rsidRPr="004A59C7">
        <w:rPr>
          <w:i/>
        </w:rPr>
        <w:t>et al</w:t>
      </w:r>
      <w:r w:rsidRPr="004A59C7">
        <w:t xml:space="preserve">. Short-term variation of HIV tropism readouts in the absence of CCR5-antagonists. </w:t>
      </w:r>
      <w:r w:rsidRPr="004A59C7">
        <w:rPr>
          <w:rFonts w:cs="Arial"/>
          <w:i/>
        </w:rPr>
        <w:t xml:space="preserve">J </w:t>
      </w:r>
      <w:proofErr w:type="spellStart"/>
      <w:r w:rsidRPr="004A59C7">
        <w:rPr>
          <w:rFonts w:cs="Arial"/>
          <w:i/>
        </w:rPr>
        <w:t>Int</w:t>
      </w:r>
      <w:proofErr w:type="spellEnd"/>
      <w:r w:rsidRPr="004A59C7">
        <w:rPr>
          <w:rFonts w:cs="Arial"/>
          <w:i/>
        </w:rPr>
        <w:t xml:space="preserve"> AIDS Soc</w:t>
      </w:r>
      <w:r w:rsidRPr="004A59C7">
        <w:rPr>
          <w:rFonts w:cs="Arial"/>
        </w:rPr>
        <w:t xml:space="preserve"> 2010; 13(Suppl</w:t>
      </w:r>
      <w:r>
        <w:rPr>
          <w:rFonts w:cs="Arial"/>
        </w:rPr>
        <w:t>.</w:t>
      </w:r>
      <w:r w:rsidR="00F61BA3">
        <w:rPr>
          <w:rFonts w:cs="Arial"/>
        </w:rPr>
        <w:t xml:space="preserve"> 4): O9.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91" w:rsidRDefault="00682F9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rsidP="004C239D">
    <w:pPr>
      <w:pStyle w:val="HeaderNoLin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rsidP="006E08B3">
    <w:r>
      <w:t>Therapeutic Goods Administration</w:t>
    </w:r>
  </w:p>
  <w:p w:rsidR="008E3DE4" w:rsidRDefault="008E3DE4"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BC412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8E3DE4" w:rsidRDefault="009B6C16" w:rsidP="00593AD1">
    <w:pPr>
      <w:pStyle w:val="HeaderNoLine"/>
    </w:pPr>
    <w:r>
      <w:rPr>
        <w:noProof/>
        <w:lang w:eastAsia="en-AU"/>
      </w:rPr>
      <w:pict>
        <v:shape id="_x0000_i1025" type="#_x0000_t75" alt="Lightblue.jpg" style="width:425.2pt;height:601.2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DE4" w:rsidRDefault="008E3DE4">
    <w:pPr>
      <w:pStyle w:val="Header"/>
    </w:pPr>
    <w:r>
      <w:t>Therapeutic Goods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932833"/>
    <w:multiLevelType w:val="hybridMultilevel"/>
    <w:tmpl w:val="D47C249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3F13F30"/>
    <w:multiLevelType w:val="hybridMultilevel"/>
    <w:tmpl w:val="B1F45E64"/>
    <w:lvl w:ilvl="0" w:tplc="1EC84BF8">
      <w:start w:val="1"/>
      <w:numFmt w:val="decimal"/>
      <w:lvlText w:val="[%1]"/>
      <w:lvlJc w:val="left"/>
      <w:pPr>
        <w:tabs>
          <w:tab w:val="num" w:pos="502"/>
        </w:tabs>
        <w:ind w:left="502" w:hanging="360"/>
      </w:pPr>
    </w:lvl>
    <w:lvl w:ilvl="1" w:tplc="B64CF99E">
      <w:start w:val="1"/>
      <w:numFmt w:val="bullet"/>
      <w:lvlText w:val="o"/>
      <w:lvlJc w:val="left"/>
      <w:pPr>
        <w:tabs>
          <w:tab w:val="num" w:pos="1440"/>
        </w:tabs>
        <w:ind w:left="1440" w:hanging="360"/>
      </w:pPr>
      <w:rPr>
        <w:rFonts w:ascii="Courier New" w:hAnsi="Courier New" w:cs="Courier New" w:hint="default"/>
      </w:rPr>
    </w:lvl>
    <w:lvl w:ilvl="2" w:tplc="E7589FEE">
      <w:start w:val="1"/>
      <w:numFmt w:val="decimal"/>
      <w:lvlText w:val="%3."/>
      <w:lvlJc w:val="left"/>
      <w:pPr>
        <w:tabs>
          <w:tab w:val="num" w:pos="2160"/>
        </w:tabs>
        <w:ind w:left="2160" w:hanging="360"/>
      </w:pPr>
    </w:lvl>
    <w:lvl w:ilvl="3" w:tplc="EF900D2A">
      <w:start w:val="1"/>
      <w:numFmt w:val="decimal"/>
      <w:lvlText w:val="%4."/>
      <w:lvlJc w:val="left"/>
      <w:pPr>
        <w:tabs>
          <w:tab w:val="num" w:pos="2880"/>
        </w:tabs>
        <w:ind w:left="2880" w:hanging="360"/>
      </w:pPr>
    </w:lvl>
    <w:lvl w:ilvl="4" w:tplc="7CD46F1C">
      <w:start w:val="1"/>
      <w:numFmt w:val="decimal"/>
      <w:lvlText w:val="%5."/>
      <w:lvlJc w:val="left"/>
      <w:pPr>
        <w:tabs>
          <w:tab w:val="num" w:pos="3600"/>
        </w:tabs>
        <w:ind w:left="3600" w:hanging="360"/>
      </w:pPr>
    </w:lvl>
    <w:lvl w:ilvl="5" w:tplc="E20800FE">
      <w:start w:val="1"/>
      <w:numFmt w:val="decimal"/>
      <w:lvlText w:val="%6."/>
      <w:lvlJc w:val="left"/>
      <w:pPr>
        <w:tabs>
          <w:tab w:val="num" w:pos="4320"/>
        </w:tabs>
        <w:ind w:left="4320" w:hanging="360"/>
      </w:pPr>
    </w:lvl>
    <w:lvl w:ilvl="6" w:tplc="88CED0C8">
      <w:start w:val="1"/>
      <w:numFmt w:val="decimal"/>
      <w:lvlText w:val="%7."/>
      <w:lvlJc w:val="left"/>
      <w:pPr>
        <w:tabs>
          <w:tab w:val="num" w:pos="5040"/>
        </w:tabs>
        <w:ind w:left="5040" w:hanging="360"/>
      </w:pPr>
    </w:lvl>
    <w:lvl w:ilvl="7" w:tplc="124418E0">
      <w:start w:val="1"/>
      <w:numFmt w:val="decimal"/>
      <w:lvlText w:val="%8."/>
      <w:lvlJc w:val="left"/>
      <w:pPr>
        <w:tabs>
          <w:tab w:val="num" w:pos="5760"/>
        </w:tabs>
        <w:ind w:left="5760" w:hanging="360"/>
      </w:pPr>
    </w:lvl>
    <w:lvl w:ilvl="8" w:tplc="B310F52C">
      <w:start w:val="1"/>
      <w:numFmt w:val="decimal"/>
      <w:lvlText w:val="%9."/>
      <w:lvlJc w:val="left"/>
      <w:pPr>
        <w:tabs>
          <w:tab w:val="num" w:pos="6480"/>
        </w:tabs>
        <w:ind w:left="6480" w:hanging="360"/>
      </w:p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5211414"/>
    <w:multiLevelType w:val="hybridMultilevel"/>
    <w:tmpl w:val="F2D21178"/>
    <w:lvl w:ilvl="0" w:tplc="D8668394">
      <w:start w:val="1"/>
      <w:numFmt w:val="bullet"/>
      <w:lvlText w:val=""/>
      <w:lvlJc w:val="left"/>
      <w:pPr>
        <w:ind w:left="502" w:hanging="360"/>
      </w:pPr>
      <w:rPr>
        <w:rFonts w:ascii="Symbol" w:hAnsi="Symbol" w:hint="default"/>
      </w:rPr>
    </w:lvl>
    <w:lvl w:ilvl="1" w:tplc="3146CB4C">
      <w:start w:val="1"/>
      <w:numFmt w:val="decimal"/>
      <w:lvlText w:val="%2."/>
      <w:lvlJc w:val="left"/>
      <w:pPr>
        <w:tabs>
          <w:tab w:val="num" w:pos="1440"/>
        </w:tabs>
        <w:ind w:left="1440" w:hanging="360"/>
      </w:pPr>
    </w:lvl>
    <w:lvl w:ilvl="2" w:tplc="D36A1BDA">
      <w:start w:val="1"/>
      <w:numFmt w:val="decimal"/>
      <w:lvlText w:val="%3."/>
      <w:lvlJc w:val="left"/>
      <w:pPr>
        <w:tabs>
          <w:tab w:val="num" w:pos="2160"/>
        </w:tabs>
        <w:ind w:left="2160" w:hanging="360"/>
      </w:pPr>
    </w:lvl>
    <w:lvl w:ilvl="3" w:tplc="C7B86AF4">
      <w:start w:val="1"/>
      <w:numFmt w:val="decimal"/>
      <w:lvlText w:val="%4."/>
      <w:lvlJc w:val="left"/>
      <w:pPr>
        <w:tabs>
          <w:tab w:val="num" w:pos="2880"/>
        </w:tabs>
        <w:ind w:left="2880" w:hanging="360"/>
      </w:pPr>
    </w:lvl>
    <w:lvl w:ilvl="4" w:tplc="9EC8D938">
      <w:start w:val="1"/>
      <w:numFmt w:val="decimal"/>
      <w:lvlText w:val="%5."/>
      <w:lvlJc w:val="left"/>
      <w:pPr>
        <w:tabs>
          <w:tab w:val="num" w:pos="3600"/>
        </w:tabs>
        <w:ind w:left="3600" w:hanging="360"/>
      </w:pPr>
    </w:lvl>
    <w:lvl w:ilvl="5" w:tplc="DDA0F4E8">
      <w:start w:val="1"/>
      <w:numFmt w:val="decimal"/>
      <w:lvlText w:val="%6."/>
      <w:lvlJc w:val="left"/>
      <w:pPr>
        <w:tabs>
          <w:tab w:val="num" w:pos="4320"/>
        </w:tabs>
        <w:ind w:left="4320" w:hanging="360"/>
      </w:pPr>
    </w:lvl>
    <w:lvl w:ilvl="6" w:tplc="1A9402EE">
      <w:start w:val="1"/>
      <w:numFmt w:val="decimal"/>
      <w:lvlText w:val="%7."/>
      <w:lvlJc w:val="left"/>
      <w:pPr>
        <w:tabs>
          <w:tab w:val="num" w:pos="5040"/>
        </w:tabs>
        <w:ind w:left="5040" w:hanging="360"/>
      </w:pPr>
    </w:lvl>
    <w:lvl w:ilvl="7" w:tplc="E3944884">
      <w:start w:val="1"/>
      <w:numFmt w:val="decimal"/>
      <w:lvlText w:val="%8."/>
      <w:lvlJc w:val="left"/>
      <w:pPr>
        <w:tabs>
          <w:tab w:val="num" w:pos="5760"/>
        </w:tabs>
        <w:ind w:left="5760" w:hanging="360"/>
      </w:pPr>
    </w:lvl>
    <w:lvl w:ilvl="8" w:tplc="558A11A0">
      <w:start w:val="1"/>
      <w:numFmt w:val="decimal"/>
      <w:lvlText w:val="%9."/>
      <w:lvlJc w:val="left"/>
      <w:pPr>
        <w:tabs>
          <w:tab w:val="num" w:pos="6480"/>
        </w:tabs>
        <w:ind w:left="6480" w:hanging="360"/>
      </w:pPr>
    </w:lvl>
  </w:abstractNum>
  <w:abstractNum w:abstractNumId="9">
    <w:nsid w:val="45B504D8"/>
    <w:multiLevelType w:val="hybridMultilevel"/>
    <w:tmpl w:val="662E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D130D3E"/>
    <w:multiLevelType w:val="hybridMultilevel"/>
    <w:tmpl w:val="39586EF8"/>
    <w:lvl w:ilvl="0" w:tplc="0C090001">
      <w:start w:val="1"/>
      <w:numFmt w:val="bullet"/>
      <w:lvlText w:val=""/>
      <w:lvlJc w:val="left"/>
      <w:pPr>
        <w:ind w:left="72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nsid w:val="643B6F1B"/>
    <w:multiLevelType w:val="hybridMultilevel"/>
    <w:tmpl w:val="38604C80"/>
    <w:lvl w:ilvl="0" w:tplc="0C090001">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062"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3250">
      <o:colormenu v:ext="edit" fillcolor="none [3206]"/>
    </o:shapedefaults>
    <o:shapelayout v:ext="edit">
      <o:idmap v:ext="edit" data="46"/>
    </o:shapelayout>
  </w:hdrShapeDefaults>
  <w:footnotePr>
    <w:footnote w:id="-1"/>
    <w:footnote w:id="0"/>
  </w:footnotePr>
  <w:endnotePr>
    <w:endnote w:id="-1"/>
    <w:endnote w:id="0"/>
  </w:endnotePr>
  <w:compat/>
  <w:rsids>
    <w:rsidRoot w:val="002C782A"/>
    <w:rsid w:val="00002031"/>
    <w:rsid w:val="00004734"/>
    <w:rsid w:val="00006B22"/>
    <w:rsid w:val="0001276A"/>
    <w:rsid w:val="000246AE"/>
    <w:rsid w:val="00025C67"/>
    <w:rsid w:val="0005559E"/>
    <w:rsid w:val="00074975"/>
    <w:rsid w:val="00077775"/>
    <w:rsid w:val="00090471"/>
    <w:rsid w:val="00096AA7"/>
    <w:rsid w:val="000A3AED"/>
    <w:rsid w:val="000B3532"/>
    <w:rsid w:val="000B3A75"/>
    <w:rsid w:val="000C2144"/>
    <w:rsid w:val="000C690F"/>
    <w:rsid w:val="000D1295"/>
    <w:rsid w:val="000D391B"/>
    <w:rsid w:val="000D3D6D"/>
    <w:rsid w:val="000D4FC7"/>
    <w:rsid w:val="000E58E8"/>
    <w:rsid w:val="000F4869"/>
    <w:rsid w:val="000F5B42"/>
    <w:rsid w:val="000F6E6F"/>
    <w:rsid w:val="00100985"/>
    <w:rsid w:val="0010601F"/>
    <w:rsid w:val="0010788A"/>
    <w:rsid w:val="00107A31"/>
    <w:rsid w:val="00110EA5"/>
    <w:rsid w:val="00112F56"/>
    <w:rsid w:val="00125318"/>
    <w:rsid w:val="00126932"/>
    <w:rsid w:val="001273CE"/>
    <w:rsid w:val="001305A2"/>
    <w:rsid w:val="00133238"/>
    <w:rsid w:val="001353DA"/>
    <w:rsid w:val="0014197B"/>
    <w:rsid w:val="001447CD"/>
    <w:rsid w:val="001456BE"/>
    <w:rsid w:val="001516B1"/>
    <w:rsid w:val="00154EBB"/>
    <w:rsid w:val="00156316"/>
    <w:rsid w:val="00162D14"/>
    <w:rsid w:val="00163B89"/>
    <w:rsid w:val="00165389"/>
    <w:rsid w:val="0017693F"/>
    <w:rsid w:val="0018110E"/>
    <w:rsid w:val="00181684"/>
    <w:rsid w:val="001843C6"/>
    <w:rsid w:val="001850E0"/>
    <w:rsid w:val="001A2158"/>
    <w:rsid w:val="001A525F"/>
    <w:rsid w:val="001B09F9"/>
    <w:rsid w:val="001B0FAD"/>
    <w:rsid w:val="001B6448"/>
    <w:rsid w:val="001E07CF"/>
    <w:rsid w:val="001E59F1"/>
    <w:rsid w:val="001F49EB"/>
    <w:rsid w:val="001F6CBA"/>
    <w:rsid w:val="00201D4E"/>
    <w:rsid w:val="002040DD"/>
    <w:rsid w:val="002076C9"/>
    <w:rsid w:val="00220B8A"/>
    <w:rsid w:val="002257F3"/>
    <w:rsid w:val="00233456"/>
    <w:rsid w:val="002339A5"/>
    <w:rsid w:val="00257848"/>
    <w:rsid w:val="0027084A"/>
    <w:rsid w:val="002810FE"/>
    <w:rsid w:val="00286434"/>
    <w:rsid w:val="00286C59"/>
    <w:rsid w:val="00291957"/>
    <w:rsid w:val="002942D1"/>
    <w:rsid w:val="0029501A"/>
    <w:rsid w:val="002A42BB"/>
    <w:rsid w:val="002B1638"/>
    <w:rsid w:val="002C782A"/>
    <w:rsid w:val="002E4C9A"/>
    <w:rsid w:val="002F11F8"/>
    <w:rsid w:val="002F3F56"/>
    <w:rsid w:val="002F44B5"/>
    <w:rsid w:val="00302B31"/>
    <w:rsid w:val="00311AC0"/>
    <w:rsid w:val="0032583B"/>
    <w:rsid w:val="00327883"/>
    <w:rsid w:val="00335504"/>
    <w:rsid w:val="003521E8"/>
    <w:rsid w:val="00353B86"/>
    <w:rsid w:val="00356E09"/>
    <w:rsid w:val="003574C6"/>
    <w:rsid w:val="003728F3"/>
    <w:rsid w:val="0037496E"/>
    <w:rsid w:val="00386150"/>
    <w:rsid w:val="003874CE"/>
    <w:rsid w:val="00390900"/>
    <w:rsid w:val="00394112"/>
    <w:rsid w:val="003A7F6C"/>
    <w:rsid w:val="003B3566"/>
    <w:rsid w:val="003B4D60"/>
    <w:rsid w:val="003B7E39"/>
    <w:rsid w:val="003C58DC"/>
    <w:rsid w:val="003D1E62"/>
    <w:rsid w:val="003E2486"/>
    <w:rsid w:val="003E3208"/>
    <w:rsid w:val="003F0B04"/>
    <w:rsid w:val="0040134E"/>
    <w:rsid w:val="0041615A"/>
    <w:rsid w:val="00440A2D"/>
    <w:rsid w:val="0045149F"/>
    <w:rsid w:val="004564A7"/>
    <w:rsid w:val="00456ADD"/>
    <w:rsid w:val="004617BF"/>
    <w:rsid w:val="004619AA"/>
    <w:rsid w:val="004630E9"/>
    <w:rsid w:val="00463658"/>
    <w:rsid w:val="004722CC"/>
    <w:rsid w:val="004936E4"/>
    <w:rsid w:val="00494E60"/>
    <w:rsid w:val="00497487"/>
    <w:rsid w:val="004B7B76"/>
    <w:rsid w:val="004C239D"/>
    <w:rsid w:val="004C2DCA"/>
    <w:rsid w:val="004F0F38"/>
    <w:rsid w:val="00501921"/>
    <w:rsid w:val="00530354"/>
    <w:rsid w:val="0053625B"/>
    <w:rsid w:val="005434C6"/>
    <w:rsid w:val="00543B39"/>
    <w:rsid w:val="00546C7E"/>
    <w:rsid w:val="00550096"/>
    <w:rsid w:val="00557FF9"/>
    <w:rsid w:val="00576378"/>
    <w:rsid w:val="00577130"/>
    <w:rsid w:val="00577945"/>
    <w:rsid w:val="00577E38"/>
    <w:rsid w:val="00585322"/>
    <w:rsid w:val="005857C6"/>
    <w:rsid w:val="00587EE8"/>
    <w:rsid w:val="00592F6E"/>
    <w:rsid w:val="00593AD1"/>
    <w:rsid w:val="005A68B6"/>
    <w:rsid w:val="005C5570"/>
    <w:rsid w:val="005C79A4"/>
    <w:rsid w:val="005D5442"/>
    <w:rsid w:val="00603F32"/>
    <w:rsid w:val="0060752B"/>
    <w:rsid w:val="0060799E"/>
    <w:rsid w:val="00625A6E"/>
    <w:rsid w:val="00632398"/>
    <w:rsid w:val="00640FC3"/>
    <w:rsid w:val="00642020"/>
    <w:rsid w:val="0065162F"/>
    <w:rsid w:val="0065337B"/>
    <w:rsid w:val="0065419D"/>
    <w:rsid w:val="006604D8"/>
    <w:rsid w:val="00661846"/>
    <w:rsid w:val="00664A5B"/>
    <w:rsid w:val="006763D2"/>
    <w:rsid w:val="0068000C"/>
    <w:rsid w:val="00680C08"/>
    <w:rsid w:val="00682F91"/>
    <w:rsid w:val="006931B1"/>
    <w:rsid w:val="006A15C0"/>
    <w:rsid w:val="006C07D9"/>
    <w:rsid w:val="006C2728"/>
    <w:rsid w:val="006C3E2A"/>
    <w:rsid w:val="006C642F"/>
    <w:rsid w:val="006D03E5"/>
    <w:rsid w:val="006D5D3E"/>
    <w:rsid w:val="006E08B3"/>
    <w:rsid w:val="006F016D"/>
    <w:rsid w:val="006F17AC"/>
    <w:rsid w:val="006F572E"/>
    <w:rsid w:val="007046D6"/>
    <w:rsid w:val="00704CE6"/>
    <w:rsid w:val="00705DB0"/>
    <w:rsid w:val="007212CB"/>
    <w:rsid w:val="00722B57"/>
    <w:rsid w:val="0074253D"/>
    <w:rsid w:val="0074429B"/>
    <w:rsid w:val="007615BC"/>
    <w:rsid w:val="00762F05"/>
    <w:rsid w:val="007652FF"/>
    <w:rsid w:val="00770EF1"/>
    <w:rsid w:val="00773EF7"/>
    <w:rsid w:val="00774E1D"/>
    <w:rsid w:val="0077675A"/>
    <w:rsid w:val="00780355"/>
    <w:rsid w:val="00785721"/>
    <w:rsid w:val="00793A59"/>
    <w:rsid w:val="007A329B"/>
    <w:rsid w:val="007B6E9F"/>
    <w:rsid w:val="007C1216"/>
    <w:rsid w:val="007C1AF7"/>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D3CBC"/>
    <w:rsid w:val="008E3DE4"/>
    <w:rsid w:val="008E7846"/>
    <w:rsid w:val="008F1CCC"/>
    <w:rsid w:val="008F2967"/>
    <w:rsid w:val="008F6943"/>
    <w:rsid w:val="0090166B"/>
    <w:rsid w:val="00902A21"/>
    <w:rsid w:val="00903505"/>
    <w:rsid w:val="00904590"/>
    <w:rsid w:val="00920330"/>
    <w:rsid w:val="009219D7"/>
    <w:rsid w:val="00922D53"/>
    <w:rsid w:val="00923B70"/>
    <w:rsid w:val="00924482"/>
    <w:rsid w:val="00930237"/>
    <w:rsid w:val="009364E6"/>
    <w:rsid w:val="00946EA5"/>
    <w:rsid w:val="009475D3"/>
    <w:rsid w:val="00963C08"/>
    <w:rsid w:val="0098585A"/>
    <w:rsid w:val="009A3ECA"/>
    <w:rsid w:val="009A4CED"/>
    <w:rsid w:val="009A690D"/>
    <w:rsid w:val="009B1D12"/>
    <w:rsid w:val="009B416B"/>
    <w:rsid w:val="009B6C16"/>
    <w:rsid w:val="009C4BD5"/>
    <w:rsid w:val="009D7B77"/>
    <w:rsid w:val="009E0BB0"/>
    <w:rsid w:val="009E3588"/>
    <w:rsid w:val="009E3FBB"/>
    <w:rsid w:val="00A102E4"/>
    <w:rsid w:val="00A12C42"/>
    <w:rsid w:val="00A14DF7"/>
    <w:rsid w:val="00A3246D"/>
    <w:rsid w:val="00A36FA7"/>
    <w:rsid w:val="00A41D88"/>
    <w:rsid w:val="00A475B7"/>
    <w:rsid w:val="00A47AF7"/>
    <w:rsid w:val="00A47C3E"/>
    <w:rsid w:val="00A50226"/>
    <w:rsid w:val="00A52AB8"/>
    <w:rsid w:val="00A60BAD"/>
    <w:rsid w:val="00A84E36"/>
    <w:rsid w:val="00A962FB"/>
    <w:rsid w:val="00A964D1"/>
    <w:rsid w:val="00A97E7E"/>
    <w:rsid w:val="00AA0ED0"/>
    <w:rsid w:val="00AC2B40"/>
    <w:rsid w:val="00AC2BB2"/>
    <w:rsid w:val="00AC2C3C"/>
    <w:rsid w:val="00AC512D"/>
    <w:rsid w:val="00AD0083"/>
    <w:rsid w:val="00AE65EB"/>
    <w:rsid w:val="00AE67A7"/>
    <w:rsid w:val="00AF1D94"/>
    <w:rsid w:val="00AF60C5"/>
    <w:rsid w:val="00B009C6"/>
    <w:rsid w:val="00B01548"/>
    <w:rsid w:val="00B17D46"/>
    <w:rsid w:val="00B21D29"/>
    <w:rsid w:val="00B25034"/>
    <w:rsid w:val="00B33588"/>
    <w:rsid w:val="00B33863"/>
    <w:rsid w:val="00B37D17"/>
    <w:rsid w:val="00B4175E"/>
    <w:rsid w:val="00B452CE"/>
    <w:rsid w:val="00B54C25"/>
    <w:rsid w:val="00B624E0"/>
    <w:rsid w:val="00B76B91"/>
    <w:rsid w:val="00B77EB1"/>
    <w:rsid w:val="00B811C6"/>
    <w:rsid w:val="00B8547E"/>
    <w:rsid w:val="00B855B0"/>
    <w:rsid w:val="00B92E08"/>
    <w:rsid w:val="00BC4122"/>
    <w:rsid w:val="00BC622A"/>
    <w:rsid w:val="00BE0A78"/>
    <w:rsid w:val="00BE79F0"/>
    <w:rsid w:val="00BF046D"/>
    <w:rsid w:val="00BF1190"/>
    <w:rsid w:val="00BF5D04"/>
    <w:rsid w:val="00C1164D"/>
    <w:rsid w:val="00C16861"/>
    <w:rsid w:val="00C30F77"/>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132B"/>
    <w:rsid w:val="00C84393"/>
    <w:rsid w:val="00CB6BC0"/>
    <w:rsid w:val="00CC1B7C"/>
    <w:rsid w:val="00CC727F"/>
    <w:rsid w:val="00CE78B0"/>
    <w:rsid w:val="00CF0F01"/>
    <w:rsid w:val="00CF15C3"/>
    <w:rsid w:val="00CF2B6F"/>
    <w:rsid w:val="00CF58B6"/>
    <w:rsid w:val="00D017ED"/>
    <w:rsid w:val="00D040D3"/>
    <w:rsid w:val="00D04C65"/>
    <w:rsid w:val="00D15354"/>
    <w:rsid w:val="00D224FE"/>
    <w:rsid w:val="00D42ED1"/>
    <w:rsid w:val="00D6493E"/>
    <w:rsid w:val="00D7301E"/>
    <w:rsid w:val="00D76CA1"/>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55FF5"/>
    <w:rsid w:val="00E570DD"/>
    <w:rsid w:val="00E624A5"/>
    <w:rsid w:val="00E7344E"/>
    <w:rsid w:val="00E74E51"/>
    <w:rsid w:val="00E87B6E"/>
    <w:rsid w:val="00EB0798"/>
    <w:rsid w:val="00EB40AD"/>
    <w:rsid w:val="00EB586E"/>
    <w:rsid w:val="00EB5FC8"/>
    <w:rsid w:val="00ED3CAD"/>
    <w:rsid w:val="00ED546C"/>
    <w:rsid w:val="00ED5A41"/>
    <w:rsid w:val="00EE1DE8"/>
    <w:rsid w:val="00EF687C"/>
    <w:rsid w:val="00F033EC"/>
    <w:rsid w:val="00F04F68"/>
    <w:rsid w:val="00F12670"/>
    <w:rsid w:val="00F14B27"/>
    <w:rsid w:val="00F247FE"/>
    <w:rsid w:val="00F3148D"/>
    <w:rsid w:val="00F325C5"/>
    <w:rsid w:val="00F32FE0"/>
    <w:rsid w:val="00F35298"/>
    <w:rsid w:val="00F47333"/>
    <w:rsid w:val="00F47E37"/>
    <w:rsid w:val="00F53C07"/>
    <w:rsid w:val="00F54B65"/>
    <w:rsid w:val="00F61BA3"/>
    <w:rsid w:val="00F640B6"/>
    <w:rsid w:val="00F77285"/>
    <w:rsid w:val="00F80E40"/>
    <w:rsid w:val="00F848D9"/>
    <w:rsid w:val="00F94202"/>
    <w:rsid w:val="00FA5B82"/>
    <w:rsid w:val="00FA639E"/>
    <w:rsid w:val="00FC25E4"/>
    <w:rsid w:val="00FC3753"/>
    <w:rsid w:val="00FC4EF7"/>
    <w:rsid w:val="00FD6D5F"/>
    <w:rsid w:val="00FE1DEE"/>
    <w:rsid w:val="00FE638D"/>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CE78B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qFormat/>
    <w:rsid w:val="00D42ED1"/>
    <w:pPr>
      <w:spacing w:before="0" w:after="0"/>
    </w:pPr>
    <w:rPr>
      <w:rFonts w:cs="Arial"/>
      <w:sz w:val="18"/>
      <w:szCs w:val="18"/>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FigureCaption">
    <w:name w:val="Figure Caption"/>
    <w:basedOn w:val="Normal"/>
    <w:qFormat/>
    <w:rsid w:val="002C782A"/>
    <w:pPr>
      <w:spacing w:before="0" w:after="0"/>
    </w:pPr>
  </w:style>
  <w:style w:type="table" w:customStyle="1" w:styleId="TableTGA1">
    <w:name w:val="Table_TGA_1"/>
    <w:basedOn w:val="TableNormal"/>
    <w:uiPriority w:val="99"/>
    <w:rsid w:val="002C782A"/>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2C782A"/>
  </w:style>
  <w:style w:type="table" w:customStyle="1" w:styleId="TableTGA2">
    <w:name w:val="Table_TGA_2"/>
    <w:basedOn w:val="TableNormal"/>
    <w:uiPriority w:val="99"/>
    <w:qFormat/>
    <w:rsid w:val="002C782A"/>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ListParagraph">
    <w:name w:val="List Paragraph"/>
    <w:basedOn w:val="Normal"/>
    <w:uiPriority w:val="34"/>
    <w:qFormat/>
    <w:rsid w:val="002C782A"/>
    <w:pPr>
      <w:adjustRightInd w:val="0"/>
      <w:snapToGrid w:val="0"/>
      <w:spacing w:before="0" w:after="0"/>
      <w:ind w:left="720"/>
      <w:contextualSpacing/>
    </w:pPr>
    <w:rPr>
      <w:rFonts w:eastAsia="MS Mincho"/>
      <w:szCs w:val="20"/>
      <w:lang w:eastAsia="ja-JP"/>
    </w:rPr>
  </w:style>
  <w:style w:type="paragraph" w:customStyle="1" w:styleId="Abbreviations">
    <w:name w:val="Abbreviations"/>
    <w:basedOn w:val="Normal"/>
    <w:rsid w:val="002C782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nhideWhenUsed/>
    <w:rsid w:val="00704C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rsid w:val="00704CE6"/>
    <w:rPr>
      <w:rFonts w:ascii="Cambria" w:eastAsia="Times New Roman" w:hAnsi="Cambria" w:cs="Times New Roman"/>
      <w:kern w:val="16"/>
      <w:sz w:val="18"/>
      <w:szCs w:val="20"/>
      <w:lang w:eastAsia="en-AU"/>
    </w:rPr>
  </w:style>
  <w:style w:type="character" w:styleId="FootnoteReference">
    <w:name w:val="footnote reference"/>
    <w:basedOn w:val="DefaultParagraphFont"/>
    <w:semiHidden/>
    <w:unhideWhenUsed/>
    <w:rsid w:val="002C782A"/>
    <w:rPr>
      <w:vertAlign w:val="superscript"/>
    </w:rPr>
  </w:style>
  <w:style w:type="character" w:customStyle="1" w:styleId="citation">
    <w:name w:val="citation"/>
    <w:basedOn w:val="DefaultParagraphFont"/>
    <w:rsid w:val="002C782A"/>
  </w:style>
  <w:style w:type="paragraph" w:customStyle="1" w:styleId="citationstext">
    <w:name w:val="citationstext"/>
    <w:basedOn w:val="Normal"/>
    <w:rsid w:val="002C782A"/>
    <w:pPr>
      <w:spacing w:before="100" w:beforeAutospacing="1" w:after="100" w:afterAutospacing="1" w:line="240" w:lineRule="auto"/>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2C78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uiPriority w:val="99"/>
    <w:semiHidden/>
    <w:rsid w:val="002C782A"/>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uiPriority w:val="99"/>
    <w:semiHidden/>
    <w:unhideWhenUsed/>
    <w:rsid w:val="002C782A"/>
    <w:rPr>
      <w:vertAlign w:val="superscript"/>
    </w:rPr>
  </w:style>
  <w:style w:type="paragraph" w:customStyle="1" w:styleId="Default">
    <w:name w:val="Default"/>
    <w:rsid w:val="002C782A"/>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CommentText">
    <w:name w:val="annotation text"/>
    <w:basedOn w:val="Normal"/>
    <w:link w:val="CommentTextChar"/>
    <w:semiHidden/>
    <w:unhideWhenUsed/>
    <w:rsid w:val="002C782A"/>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2C782A"/>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2C782A"/>
    <w:rPr>
      <w:sz w:val="16"/>
      <w:szCs w:val="16"/>
    </w:rPr>
  </w:style>
  <w:style w:type="paragraph" w:styleId="NormalWeb">
    <w:name w:val="Normal (Web)"/>
    <w:basedOn w:val="Normal"/>
    <w:uiPriority w:val="99"/>
    <w:semiHidden/>
    <w:unhideWhenUsed/>
    <w:rsid w:val="002C782A"/>
    <w:pPr>
      <w:spacing w:before="100" w:beforeAutospacing="1" w:after="100" w:afterAutospacing="1" w:line="240" w:lineRule="auto"/>
    </w:pPr>
    <w:rPr>
      <w:rFonts w:ascii="Times New Roman" w:eastAsia="Times New Roman" w:hAnsi="Times New Roman"/>
      <w:sz w:val="24"/>
      <w:szCs w:val="24"/>
      <w:lang w:eastAsia="en-AU"/>
    </w:rPr>
  </w:style>
  <w:style w:type="character" w:styleId="HTMLCite">
    <w:name w:val="HTML Cite"/>
    <w:basedOn w:val="DefaultParagraphFont"/>
    <w:uiPriority w:val="99"/>
    <w:semiHidden/>
    <w:unhideWhenUsed/>
    <w:rsid w:val="002C782A"/>
    <w:rPr>
      <w:i/>
      <w:iCs/>
    </w:rPr>
  </w:style>
  <w:style w:type="character" w:customStyle="1" w:styleId="eutitle">
    <w:name w:val="eutitle"/>
    <w:basedOn w:val="DefaultParagraphFont"/>
    <w:rsid w:val="002C782A"/>
  </w:style>
  <w:style w:type="character" w:styleId="Emphasis">
    <w:name w:val="Emphasis"/>
    <w:basedOn w:val="DefaultParagraphFont"/>
    <w:uiPriority w:val="20"/>
    <w:qFormat/>
    <w:rsid w:val="002C782A"/>
    <w:rPr>
      <w:i/>
      <w:iCs/>
    </w:rPr>
  </w:style>
  <w:style w:type="character" w:customStyle="1" w:styleId="st1">
    <w:name w:val="st1"/>
    <w:basedOn w:val="DefaultParagraphFont"/>
    <w:rsid w:val="002C782A"/>
  </w:style>
  <w:style w:type="character" w:customStyle="1" w:styleId="citation-abbreviation">
    <w:name w:val="citation-abbreviation"/>
    <w:basedOn w:val="DefaultParagraphFont"/>
    <w:rsid w:val="002C782A"/>
  </w:style>
  <w:style w:type="character" w:customStyle="1" w:styleId="citation-publication-date">
    <w:name w:val="citation-publication-date"/>
    <w:basedOn w:val="DefaultParagraphFont"/>
    <w:rsid w:val="002C782A"/>
  </w:style>
  <w:style w:type="character" w:customStyle="1" w:styleId="citation-volume">
    <w:name w:val="citation-volume"/>
    <w:basedOn w:val="DefaultParagraphFont"/>
    <w:rsid w:val="002C782A"/>
  </w:style>
  <w:style w:type="character" w:customStyle="1" w:styleId="citation-issue">
    <w:name w:val="citation-issue"/>
    <w:basedOn w:val="DefaultParagraphFont"/>
    <w:rsid w:val="002C782A"/>
  </w:style>
  <w:style w:type="character" w:customStyle="1" w:styleId="citation-flpages">
    <w:name w:val="citation-flpages"/>
    <w:basedOn w:val="DefaultParagraphFont"/>
    <w:rsid w:val="002C782A"/>
  </w:style>
  <w:style w:type="paragraph" w:styleId="DocumentMap">
    <w:name w:val="Document Map"/>
    <w:basedOn w:val="Normal"/>
    <w:link w:val="DocumentMapChar"/>
    <w:uiPriority w:val="99"/>
    <w:semiHidden/>
    <w:unhideWhenUsed/>
    <w:rsid w:val="00546C7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6C7E"/>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771877">
      <w:bodyDiv w:val="1"/>
      <w:marLeft w:val="0"/>
      <w:marRight w:val="0"/>
      <w:marTop w:val="0"/>
      <w:marBottom w:val="0"/>
      <w:divBdr>
        <w:top w:val="none" w:sz="0" w:space="0" w:color="auto"/>
        <w:left w:val="none" w:sz="0" w:space="0" w:color="auto"/>
        <w:bottom w:val="none" w:sz="0" w:space="0" w:color="auto"/>
        <w:right w:val="none" w:sz="0" w:space="0" w:color="auto"/>
      </w:divBdr>
    </w:div>
    <w:div w:id="214461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header" Target="header9.xml"/><Relationship Id="rId48" Type="http://schemas.openxmlformats.org/officeDocument/2006/relationships/header" Target="header12.xml"/><Relationship Id="rId8" Type="http://schemas.openxmlformats.org/officeDocument/2006/relationships/hyperlink" Target="http://www.tga.gov.au" TargetMode="External"/><Relationship Id="rId51" Type="http://schemas.openxmlformats.org/officeDocument/2006/relationships/theme" Target="theme/theme1.xml"/></Relationships>
</file>

<file path=word/_rels/footer12.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sac.gov.au/internet/msac/publishing.nsf/Content/2C3D39E5008C558ECA2578E100179BCF/$File/Consultation%20DAP%201174.pdf" TargetMode="External"/><Relationship Id="rId2" Type="http://schemas.openxmlformats.org/officeDocument/2006/relationships/hyperlink" Target="http://eurheartjsupp.oxfordjournals.org/content/3/suppl_K/K105.full.pdf" TargetMode="External"/><Relationship Id="rId1" Type="http://schemas.openxmlformats.org/officeDocument/2006/relationships/hyperlink" Target="http://ashm.org.au/projects/arvguidelines/Default.asp?PublicationID=4" TargetMode="External"/><Relationship Id="rId6" Type="http://schemas.openxmlformats.org/officeDocument/2006/relationships/hyperlink" Target="http://www.hiv11.com/hiv10/webcast/content/hybrid/O123/download/O123.pdf" TargetMode="External"/><Relationship Id="rId5" Type="http://schemas.openxmlformats.org/officeDocument/2006/relationships/hyperlink" Target="http://www.bhiva.org/documents/Guidelines/Tropism/HIV-1Tropism.doc" TargetMode="External"/><Relationship Id="rId4" Type="http://schemas.openxmlformats.org/officeDocument/2006/relationships/hyperlink" Target="http://www.prn.org/index.php/management/article/hiv_infection_in_childr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072\R12%20926607%20AusPAR%20template(4).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11A6E-EC58-4311-AEBE-168A6139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template(4).DOTX</Template>
  <TotalTime>197</TotalTime>
  <Pages>56</Pages>
  <Words>23606</Words>
  <Characters>128185</Characters>
  <Application>Microsoft Office Word</Application>
  <DocSecurity>0</DocSecurity>
  <Lines>2465</Lines>
  <Paragraphs>862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150929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Maraviroc</dc:title>
  <dc:subject>prescription medicine regulation</dc:subject>
  <dc:creator>Therapeutic Goods Administration</dc:creator>
  <cp:keywords>auspar, prescription, medicine, assessment, regulation, australia, maraviroc, celsentri</cp:keywords>
  <cp:lastModifiedBy>Sheppard, Fran</cp:lastModifiedBy>
  <cp:revision>58</cp:revision>
  <cp:lastPrinted>2010-12-20T22:59:00Z</cp:lastPrinted>
  <dcterms:created xsi:type="dcterms:W3CDTF">2013-05-16T23:56:00Z</dcterms:created>
  <dcterms:modified xsi:type="dcterms:W3CDTF">2013-09-06T13:16:00Z</dcterms:modified>
</cp:coreProperties>
</file>