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4DA3FA2" w14:textId="77777777" w:rsidTr="00BF1190">
        <w:trPr>
          <w:trHeight w:val="1863"/>
        </w:trPr>
        <w:tc>
          <w:tcPr>
            <w:tcW w:w="3652" w:type="dxa"/>
            <w:tcBorders>
              <w:top w:val="nil"/>
              <w:left w:val="nil"/>
              <w:bottom w:val="nil"/>
              <w:right w:val="nil"/>
            </w:tcBorders>
          </w:tcPr>
          <w:p w14:paraId="08B2224B" w14:textId="71508678" w:rsidR="008E7846" w:rsidRPr="00096AA7" w:rsidRDefault="009F6628" w:rsidP="00096AA7">
            <w:pPr>
              <w:rPr>
                <w:rFonts w:ascii="Arial" w:hAnsi="Arial" w:cs="Arial"/>
                <w:b/>
                <w:color w:val="002C47"/>
                <w:sz w:val="36"/>
                <w:szCs w:val="36"/>
              </w:rPr>
            </w:pPr>
            <w:r>
              <w:rPr>
                <w:rFonts w:ascii="Arial" w:hAnsi="Arial" w:cs="Arial"/>
                <w:b/>
                <w:color w:val="002C47"/>
                <w:sz w:val="36"/>
                <w:szCs w:val="36"/>
              </w:rPr>
              <w:t>April</w:t>
            </w:r>
            <w:r w:rsidR="00F87A91">
              <w:rPr>
                <w:rFonts w:ascii="Arial" w:hAnsi="Arial" w:cs="Arial"/>
                <w:b/>
                <w:color w:val="002C47"/>
                <w:sz w:val="36"/>
                <w:szCs w:val="36"/>
              </w:rPr>
              <w:t xml:space="preserve"> </w:t>
            </w:r>
            <w:r w:rsidR="002F5B90">
              <w:rPr>
                <w:rFonts w:ascii="Arial" w:hAnsi="Arial" w:cs="Arial"/>
                <w:b/>
                <w:color w:val="002C47"/>
                <w:sz w:val="36"/>
                <w:szCs w:val="36"/>
              </w:rPr>
              <w:t>202</w:t>
            </w:r>
            <w:r w:rsidR="005E711F">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AB59550" w14:textId="77777777" w:rsidTr="0032583B">
        <w:trPr>
          <w:trHeight w:val="868"/>
        </w:trPr>
        <w:tc>
          <w:tcPr>
            <w:tcW w:w="9079" w:type="dxa"/>
          </w:tcPr>
          <w:p w14:paraId="33C80005" w14:textId="5D8886A5"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D04380">
              <w:rPr>
                <w:color w:val="FFFFFF" w:themeColor="background1"/>
              </w:rPr>
              <w:t>L</w:t>
            </w:r>
            <w:r w:rsidR="00922803" w:rsidRPr="00922803">
              <w:rPr>
                <w:color w:val="FFFFFF" w:themeColor="background1"/>
              </w:rPr>
              <w:t>uspatercept</w:t>
            </w:r>
            <w:proofErr w:type="spellEnd"/>
          </w:p>
        </w:tc>
      </w:tr>
      <w:tr w:rsidR="0032583B" w:rsidRPr="00B64760" w14:paraId="513F3C1F" w14:textId="77777777" w:rsidTr="0032583B">
        <w:tc>
          <w:tcPr>
            <w:tcW w:w="9079" w:type="dxa"/>
          </w:tcPr>
          <w:p w14:paraId="432DDB34" w14:textId="4229B72A"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922803" w:rsidRPr="00922803">
              <w:rPr>
                <w:color w:val="FFFFFF" w:themeColor="background1"/>
              </w:rPr>
              <w:t>Reblozyl</w:t>
            </w:r>
            <w:proofErr w:type="spellEnd"/>
          </w:p>
        </w:tc>
      </w:tr>
      <w:tr w:rsidR="0032583B" w:rsidRPr="00B64760" w14:paraId="47F88D74" w14:textId="77777777" w:rsidTr="0032583B">
        <w:trPr>
          <w:trHeight w:val="486"/>
        </w:trPr>
        <w:tc>
          <w:tcPr>
            <w:tcW w:w="9079" w:type="dxa"/>
          </w:tcPr>
          <w:p w14:paraId="01F25020" w14:textId="4F7393A3" w:rsidR="0032583B" w:rsidRPr="008E7846" w:rsidRDefault="00460036" w:rsidP="0032583B">
            <w:pPr>
              <w:pStyle w:val="Subtitle"/>
              <w:rPr>
                <w:color w:val="FFFFFF" w:themeColor="background1"/>
              </w:rPr>
            </w:pPr>
            <w:r>
              <w:rPr>
                <w:color w:val="FFFFFF" w:themeColor="background1"/>
              </w:rPr>
              <w:t xml:space="preserve">Sponsor: </w:t>
            </w:r>
            <w:r w:rsidR="00D04380" w:rsidRPr="00D04380">
              <w:rPr>
                <w:color w:val="FFFFFF" w:themeColor="background1"/>
              </w:rPr>
              <w:t>Celgene Pty Ltd</w:t>
            </w:r>
          </w:p>
        </w:tc>
      </w:tr>
    </w:tbl>
    <w:p w14:paraId="25576CF7" w14:textId="77777777" w:rsidR="008E7846" w:rsidRPr="0085156D" w:rsidRDefault="008E7846" w:rsidP="0085156D">
      <w:r w:rsidRPr="0085156D">
        <w:br w:type="page"/>
      </w:r>
    </w:p>
    <w:p w14:paraId="25FC17B3" w14:textId="77777777" w:rsidR="008E7846" w:rsidRPr="001F6CBA" w:rsidRDefault="008E7846" w:rsidP="008E7846">
      <w:pPr>
        <w:pStyle w:val="NonTOCHeading2"/>
      </w:pPr>
      <w:r w:rsidRPr="001F6CBA">
        <w:lastRenderedPageBreak/>
        <w:t>About the Therapeutic Goods Administration (TGA)</w:t>
      </w:r>
    </w:p>
    <w:p w14:paraId="5325EAF1" w14:textId="77777777" w:rsidR="008E7846" w:rsidRDefault="008E7846" w:rsidP="00440EF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0B3133D" w14:textId="77777777" w:rsidR="008E7846" w:rsidRDefault="00C80137" w:rsidP="00440EF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20F5F663" w14:textId="77777777" w:rsidR="008E7846" w:rsidRDefault="008E7846" w:rsidP="00440EF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6F9E4BF" w14:textId="77777777" w:rsidR="008E7846" w:rsidRDefault="008E7846" w:rsidP="00440EF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BC93062" w14:textId="77777777" w:rsidR="00441C3F" w:rsidRDefault="008E7846" w:rsidP="00440EF2">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051CD88" w14:textId="77777777" w:rsidR="008E7846" w:rsidRDefault="008E7846" w:rsidP="00875A6B">
      <w:pPr>
        <w:pStyle w:val="NonTOCHeading2"/>
      </w:pPr>
      <w:r>
        <w:t xml:space="preserve">About </w:t>
      </w:r>
      <w:proofErr w:type="spellStart"/>
      <w:r>
        <w:t>AusPARs</w:t>
      </w:r>
      <w:proofErr w:type="spellEnd"/>
    </w:p>
    <w:p w14:paraId="1D46C183" w14:textId="77777777" w:rsidR="008E7846" w:rsidRDefault="008E7846" w:rsidP="00440EF2">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3E7A6FAB" w14:textId="77777777" w:rsidR="008E7846" w:rsidRDefault="008E7846" w:rsidP="00440EF2">
      <w:pPr>
        <w:pStyle w:val="ListBullet"/>
        <w:numPr>
          <w:ilvl w:val="0"/>
          <w:numId w:val="1"/>
        </w:numPr>
        <w:ind w:left="357" w:hanging="357"/>
      </w:pPr>
      <w:proofErr w:type="spellStart"/>
      <w:r>
        <w:t>AusPARs</w:t>
      </w:r>
      <w:proofErr w:type="spellEnd"/>
      <w:r>
        <w:t xml:space="preserve"> are prepared and published by the TGA.</w:t>
      </w:r>
    </w:p>
    <w:p w14:paraId="7A1ACBFC" w14:textId="77777777" w:rsidR="008E7846" w:rsidRDefault="008E7846" w:rsidP="00440EF2">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71106CB8" w14:textId="77777777" w:rsidR="008E7846" w:rsidRDefault="008E7846" w:rsidP="00440EF2">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1E27B785" w14:textId="77777777" w:rsidR="00B452CE" w:rsidRDefault="008E7846" w:rsidP="00440EF2">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74B839B6" w14:textId="77777777" w:rsidR="00924482" w:rsidRPr="00DF1D7F" w:rsidRDefault="00924482" w:rsidP="00F54B65">
      <w:pPr>
        <w:pStyle w:val="LegalSubheading"/>
        <w:spacing w:before="3120"/>
      </w:pPr>
      <w:r w:rsidRPr="00DF1D7F">
        <w:t>Copyright</w:t>
      </w:r>
    </w:p>
    <w:p w14:paraId="5A8AF77F" w14:textId="4B1F34C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F87A91">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2045B10F"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CA651D6" w14:textId="77777777" w:rsidR="0089635C" w:rsidRPr="0089635C" w:rsidRDefault="0089635C" w:rsidP="0010788A">
          <w:pPr>
            <w:pStyle w:val="Contents"/>
          </w:pPr>
          <w:r w:rsidRPr="0010788A">
            <w:t>Contents</w:t>
          </w:r>
        </w:p>
        <w:p w14:paraId="6609D805" w14:textId="18C3A97D" w:rsidR="00645B5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2045182" w:history="1">
            <w:r w:rsidR="00645B58" w:rsidRPr="009832BD">
              <w:rPr>
                <w:rStyle w:val="Hyperlink"/>
                <w:noProof/>
              </w:rPr>
              <w:t>List of abbreviations</w:t>
            </w:r>
            <w:r w:rsidR="00645B58">
              <w:rPr>
                <w:noProof/>
                <w:webHidden/>
              </w:rPr>
              <w:tab/>
            </w:r>
            <w:r w:rsidR="00645B58">
              <w:rPr>
                <w:noProof/>
                <w:webHidden/>
              </w:rPr>
              <w:fldChar w:fldCharType="begin"/>
            </w:r>
            <w:r w:rsidR="00645B58">
              <w:rPr>
                <w:noProof/>
                <w:webHidden/>
              </w:rPr>
              <w:instrText xml:space="preserve"> PAGEREF _Toc102045182 \h </w:instrText>
            </w:r>
            <w:r w:rsidR="00645B58">
              <w:rPr>
                <w:noProof/>
                <w:webHidden/>
              </w:rPr>
            </w:r>
            <w:r w:rsidR="00645B58">
              <w:rPr>
                <w:noProof/>
                <w:webHidden/>
              </w:rPr>
              <w:fldChar w:fldCharType="separate"/>
            </w:r>
            <w:r w:rsidR="00645B58">
              <w:rPr>
                <w:noProof/>
                <w:webHidden/>
              </w:rPr>
              <w:t>6</w:t>
            </w:r>
            <w:r w:rsidR="00645B58">
              <w:rPr>
                <w:noProof/>
                <w:webHidden/>
              </w:rPr>
              <w:fldChar w:fldCharType="end"/>
            </w:r>
          </w:hyperlink>
        </w:p>
        <w:p w14:paraId="22B11867" w14:textId="4304A87E" w:rsidR="00645B58" w:rsidRDefault="00645B58">
          <w:pPr>
            <w:pStyle w:val="TOC1"/>
            <w:rPr>
              <w:rFonts w:asciiTheme="minorHAnsi" w:eastAsiaTheme="minorEastAsia" w:hAnsiTheme="minorHAnsi" w:cstheme="minorBidi"/>
              <w:b w:val="0"/>
              <w:noProof/>
              <w:sz w:val="22"/>
              <w:lang w:eastAsia="en-AU"/>
            </w:rPr>
          </w:pPr>
          <w:hyperlink w:anchor="_Toc102045183" w:history="1">
            <w:r w:rsidRPr="009832BD">
              <w:rPr>
                <w:rStyle w:val="Hyperlink"/>
                <w:noProof/>
              </w:rPr>
              <w:t>I. Introduction to product submission</w:t>
            </w:r>
            <w:r>
              <w:rPr>
                <w:noProof/>
                <w:webHidden/>
              </w:rPr>
              <w:tab/>
            </w:r>
            <w:r>
              <w:rPr>
                <w:noProof/>
                <w:webHidden/>
              </w:rPr>
              <w:fldChar w:fldCharType="begin"/>
            </w:r>
            <w:r>
              <w:rPr>
                <w:noProof/>
                <w:webHidden/>
              </w:rPr>
              <w:instrText xml:space="preserve"> PAGEREF _Toc102045183 \h </w:instrText>
            </w:r>
            <w:r>
              <w:rPr>
                <w:noProof/>
                <w:webHidden/>
              </w:rPr>
            </w:r>
            <w:r>
              <w:rPr>
                <w:noProof/>
                <w:webHidden/>
              </w:rPr>
              <w:fldChar w:fldCharType="separate"/>
            </w:r>
            <w:r>
              <w:rPr>
                <w:noProof/>
                <w:webHidden/>
              </w:rPr>
              <w:t>8</w:t>
            </w:r>
            <w:r>
              <w:rPr>
                <w:noProof/>
                <w:webHidden/>
              </w:rPr>
              <w:fldChar w:fldCharType="end"/>
            </w:r>
          </w:hyperlink>
        </w:p>
        <w:p w14:paraId="7F01E00F" w14:textId="1C88DC5B" w:rsidR="00645B58" w:rsidRDefault="00645B58">
          <w:pPr>
            <w:pStyle w:val="TOC2"/>
            <w:rPr>
              <w:rFonts w:asciiTheme="minorHAnsi" w:eastAsiaTheme="minorEastAsia" w:hAnsiTheme="minorHAnsi" w:cstheme="minorBidi"/>
              <w:b w:val="0"/>
              <w:noProof/>
              <w:sz w:val="22"/>
              <w:lang w:eastAsia="en-AU"/>
            </w:rPr>
          </w:pPr>
          <w:hyperlink w:anchor="_Toc102045184" w:history="1">
            <w:r w:rsidRPr="009832BD">
              <w:rPr>
                <w:rStyle w:val="Hyperlink"/>
                <w:noProof/>
                <w:lang w:eastAsia="en-AU"/>
              </w:rPr>
              <w:t>Submission details</w:t>
            </w:r>
            <w:r>
              <w:rPr>
                <w:noProof/>
                <w:webHidden/>
              </w:rPr>
              <w:tab/>
            </w:r>
            <w:r>
              <w:rPr>
                <w:noProof/>
                <w:webHidden/>
              </w:rPr>
              <w:fldChar w:fldCharType="begin"/>
            </w:r>
            <w:r>
              <w:rPr>
                <w:noProof/>
                <w:webHidden/>
              </w:rPr>
              <w:instrText xml:space="preserve"> PAGEREF _Toc102045184 \h </w:instrText>
            </w:r>
            <w:r>
              <w:rPr>
                <w:noProof/>
                <w:webHidden/>
              </w:rPr>
            </w:r>
            <w:r>
              <w:rPr>
                <w:noProof/>
                <w:webHidden/>
              </w:rPr>
              <w:fldChar w:fldCharType="separate"/>
            </w:r>
            <w:r>
              <w:rPr>
                <w:noProof/>
                <w:webHidden/>
              </w:rPr>
              <w:t>8</w:t>
            </w:r>
            <w:r>
              <w:rPr>
                <w:noProof/>
                <w:webHidden/>
              </w:rPr>
              <w:fldChar w:fldCharType="end"/>
            </w:r>
          </w:hyperlink>
        </w:p>
        <w:p w14:paraId="05FDABF2" w14:textId="67E27F02" w:rsidR="00645B58" w:rsidRDefault="00645B58">
          <w:pPr>
            <w:pStyle w:val="TOC2"/>
            <w:rPr>
              <w:rFonts w:asciiTheme="minorHAnsi" w:eastAsiaTheme="minorEastAsia" w:hAnsiTheme="minorHAnsi" w:cstheme="minorBidi"/>
              <w:b w:val="0"/>
              <w:noProof/>
              <w:sz w:val="22"/>
              <w:lang w:eastAsia="en-AU"/>
            </w:rPr>
          </w:pPr>
          <w:hyperlink w:anchor="_Toc102045185" w:history="1">
            <w:r w:rsidRPr="009832BD">
              <w:rPr>
                <w:rStyle w:val="Hyperlink"/>
                <w:noProof/>
              </w:rPr>
              <w:t>Product background</w:t>
            </w:r>
            <w:r>
              <w:rPr>
                <w:noProof/>
                <w:webHidden/>
              </w:rPr>
              <w:tab/>
            </w:r>
            <w:r>
              <w:rPr>
                <w:noProof/>
                <w:webHidden/>
              </w:rPr>
              <w:fldChar w:fldCharType="begin"/>
            </w:r>
            <w:r>
              <w:rPr>
                <w:noProof/>
                <w:webHidden/>
              </w:rPr>
              <w:instrText xml:space="preserve"> PAGEREF _Toc102045185 \h </w:instrText>
            </w:r>
            <w:r>
              <w:rPr>
                <w:noProof/>
                <w:webHidden/>
              </w:rPr>
            </w:r>
            <w:r>
              <w:rPr>
                <w:noProof/>
                <w:webHidden/>
              </w:rPr>
              <w:fldChar w:fldCharType="separate"/>
            </w:r>
            <w:r>
              <w:rPr>
                <w:noProof/>
                <w:webHidden/>
              </w:rPr>
              <w:t>9</w:t>
            </w:r>
            <w:r>
              <w:rPr>
                <w:noProof/>
                <w:webHidden/>
              </w:rPr>
              <w:fldChar w:fldCharType="end"/>
            </w:r>
          </w:hyperlink>
        </w:p>
        <w:p w14:paraId="6FBA0634" w14:textId="095F8E09" w:rsidR="00645B58" w:rsidRDefault="00645B58">
          <w:pPr>
            <w:pStyle w:val="TOC2"/>
            <w:rPr>
              <w:rFonts w:asciiTheme="minorHAnsi" w:eastAsiaTheme="minorEastAsia" w:hAnsiTheme="minorHAnsi" w:cstheme="minorBidi"/>
              <w:b w:val="0"/>
              <w:noProof/>
              <w:sz w:val="22"/>
              <w:lang w:eastAsia="en-AU"/>
            </w:rPr>
          </w:pPr>
          <w:hyperlink w:anchor="_Toc102045186" w:history="1">
            <w:r w:rsidRPr="009832BD">
              <w:rPr>
                <w:rStyle w:val="Hyperlink"/>
                <w:noProof/>
              </w:rPr>
              <w:t>Regulatory status</w:t>
            </w:r>
            <w:r>
              <w:rPr>
                <w:noProof/>
                <w:webHidden/>
              </w:rPr>
              <w:tab/>
            </w:r>
            <w:r>
              <w:rPr>
                <w:noProof/>
                <w:webHidden/>
              </w:rPr>
              <w:fldChar w:fldCharType="begin"/>
            </w:r>
            <w:r>
              <w:rPr>
                <w:noProof/>
                <w:webHidden/>
              </w:rPr>
              <w:instrText xml:space="preserve"> PAGEREF _Toc102045186 \h </w:instrText>
            </w:r>
            <w:r>
              <w:rPr>
                <w:noProof/>
                <w:webHidden/>
              </w:rPr>
            </w:r>
            <w:r>
              <w:rPr>
                <w:noProof/>
                <w:webHidden/>
              </w:rPr>
              <w:fldChar w:fldCharType="separate"/>
            </w:r>
            <w:r>
              <w:rPr>
                <w:noProof/>
                <w:webHidden/>
              </w:rPr>
              <w:t>15</w:t>
            </w:r>
            <w:r>
              <w:rPr>
                <w:noProof/>
                <w:webHidden/>
              </w:rPr>
              <w:fldChar w:fldCharType="end"/>
            </w:r>
          </w:hyperlink>
        </w:p>
        <w:p w14:paraId="4E8CE7EF" w14:textId="7556FD67" w:rsidR="00645B58" w:rsidRDefault="00645B58">
          <w:pPr>
            <w:pStyle w:val="TOC2"/>
            <w:rPr>
              <w:rFonts w:asciiTheme="minorHAnsi" w:eastAsiaTheme="minorEastAsia" w:hAnsiTheme="minorHAnsi" w:cstheme="minorBidi"/>
              <w:b w:val="0"/>
              <w:noProof/>
              <w:sz w:val="22"/>
              <w:lang w:eastAsia="en-AU"/>
            </w:rPr>
          </w:pPr>
          <w:hyperlink w:anchor="_Toc102045187" w:history="1">
            <w:r w:rsidRPr="009832BD">
              <w:rPr>
                <w:rStyle w:val="Hyperlink"/>
                <w:noProof/>
              </w:rPr>
              <w:t>Product Information</w:t>
            </w:r>
            <w:r>
              <w:rPr>
                <w:noProof/>
                <w:webHidden/>
              </w:rPr>
              <w:tab/>
            </w:r>
            <w:r>
              <w:rPr>
                <w:noProof/>
                <w:webHidden/>
              </w:rPr>
              <w:fldChar w:fldCharType="begin"/>
            </w:r>
            <w:r>
              <w:rPr>
                <w:noProof/>
                <w:webHidden/>
              </w:rPr>
              <w:instrText xml:space="preserve"> PAGEREF _Toc102045187 \h </w:instrText>
            </w:r>
            <w:r>
              <w:rPr>
                <w:noProof/>
                <w:webHidden/>
              </w:rPr>
            </w:r>
            <w:r>
              <w:rPr>
                <w:noProof/>
                <w:webHidden/>
              </w:rPr>
              <w:fldChar w:fldCharType="separate"/>
            </w:r>
            <w:r>
              <w:rPr>
                <w:noProof/>
                <w:webHidden/>
              </w:rPr>
              <w:t>16</w:t>
            </w:r>
            <w:r>
              <w:rPr>
                <w:noProof/>
                <w:webHidden/>
              </w:rPr>
              <w:fldChar w:fldCharType="end"/>
            </w:r>
          </w:hyperlink>
        </w:p>
        <w:p w14:paraId="0EAA9D29" w14:textId="3CD18C55" w:rsidR="00645B58" w:rsidRDefault="00645B58">
          <w:pPr>
            <w:pStyle w:val="TOC1"/>
            <w:rPr>
              <w:rFonts w:asciiTheme="minorHAnsi" w:eastAsiaTheme="minorEastAsia" w:hAnsiTheme="minorHAnsi" w:cstheme="minorBidi"/>
              <w:b w:val="0"/>
              <w:noProof/>
              <w:sz w:val="22"/>
              <w:lang w:eastAsia="en-AU"/>
            </w:rPr>
          </w:pPr>
          <w:hyperlink w:anchor="_Toc102045188" w:history="1">
            <w:r w:rsidRPr="009832BD">
              <w:rPr>
                <w:rStyle w:val="Hyperlink"/>
                <w:noProof/>
              </w:rPr>
              <w:t>II. Registration timeline</w:t>
            </w:r>
            <w:r>
              <w:rPr>
                <w:noProof/>
                <w:webHidden/>
              </w:rPr>
              <w:tab/>
            </w:r>
            <w:r>
              <w:rPr>
                <w:noProof/>
                <w:webHidden/>
              </w:rPr>
              <w:fldChar w:fldCharType="begin"/>
            </w:r>
            <w:r>
              <w:rPr>
                <w:noProof/>
                <w:webHidden/>
              </w:rPr>
              <w:instrText xml:space="preserve"> PAGEREF _Toc102045188 \h </w:instrText>
            </w:r>
            <w:r>
              <w:rPr>
                <w:noProof/>
                <w:webHidden/>
              </w:rPr>
            </w:r>
            <w:r>
              <w:rPr>
                <w:noProof/>
                <w:webHidden/>
              </w:rPr>
              <w:fldChar w:fldCharType="separate"/>
            </w:r>
            <w:r>
              <w:rPr>
                <w:noProof/>
                <w:webHidden/>
              </w:rPr>
              <w:t>16</w:t>
            </w:r>
            <w:r>
              <w:rPr>
                <w:noProof/>
                <w:webHidden/>
              </w:rPr>
              <w:fldChar w:fldCharType="end"/>
            </w:r>
          </w:hyperlink>
        </w:p>
        <w:p w14:paraId="425BDF7F" w14:textId="4625532E" w:rsidR="00645B58" w:rsidRDefault="00645B58">
          <w:pPr>
            <w:pStyle w:val="TOC1"/>
            <w:rPr>
              <w:rFonts w:asciiTheme="minorHAnsi" w:eastAsiaTheme="minorEastAsia" w:hAnsiTheme="minorHAnsi" w:cstheme="minorBidi"/>
              <w:b w:val="0"/>
              <w:noProof/>
              <w:sz w:val="22"/>
              <w:lang w:eastAsia="en-AU"/>
            </w:rPr>
          </w:pPr>
          <w:hyperlink w:anchor="_Toc102045189" w:history="1">
            <w:r w:rsidRPr="009832BD">
              <w:rPr>
                <w:rStyle w:val="Hyperlink"/>
                <w:noProof/>
              </w:rPr>
              <w:t>III. Submission overview and risk/benefit assessment</w:t>
            </w:r>
            <w:r>
              <w:rPr>
                <w:noProof/>
                <w:webHidden/>
              </w:rPr>
              <w:tab/>
            </w:r>
            <w:r>
              <w:rPr>
                <w:noProof/>
                <w:webHidden/>
              </w:rPr>
              <w:fldChar w:fldCharType="begin"/>
            </w:r>
            <w:r>
              <w:rPr>
                <w:noProof/>
                <w:webHidden/>
              </w:rPr>
              <w:instrText xml:space="preserve"> PAGEREF _Toc102045189 \h </w:instrText>
            </w:r>
            <w:r>
              <w:rPr>
                <w:noProof/>
                <w:webHidden/>
              </w:rPr>
            </w:r>
            <w:r>
              <w:rPr>
                <w:noProof/>
                <w:webHidden/>
              </w:rPr>
              <w:fldChar w:fldCharType="separate"/>
            </w:r>
            <w:r>
              <w:rPr>
                <w:noProof/>
                <w:webHidden/>
              </w:rPr>
              <w:t>17</w:t>
            </w:r>
            <w:r>
              <w:rPr>
                <w:noProof/>
                <w:webHidden/>
              </w:rPr>
              <w:fldChar w:fldCharType="end"/>
            </w:r>
          </w:hyperlink>
        </w:p>
        <w:p w14:paraId="5999EE6A" w14:textId="53766AAD" w:rsidR="00645B58" w:rsidRDefault="00645B58">
          <w:pPr>
            <w:pStyle w:val="TOC2"/>
            <w:rPr>
              <w:rFonts w:asciiTheme="minorHAnsi" w:eastAsiaTheme="minorEastAsia" w:hAnsiTheme="minorHAnsi" w:cstheme="minorBidi"/>
              <w:b w:val="0"/>
              <w:noProof/>
              <w:sz w:val="22"/>
              <w:lang w:eastAsia="en-AU"/>
            </w:rPr>
          </w:pPr>
          <w:hyperlink w:anchor="_Toc102045190" w:history="1">
            <w:r w:rsidRPr="009832BD">
              <w:rPr>
                <w:rStyle w:val="Hyperlink"/>
                <w:noProof/>
              </w:rPr>
              <w:t>Quality</w:t>
            </w:r>
            <w:r>
              <w:rPr>
                <w:noProof/>
                <w:webHidden/>
              </w:rPr>
              <w:tab/>
            </w:r>
            <w:r>
              <w:rPr>
                <w:noProof/>
                <w:webHidden/>
              </w:rPr>
              <w:fldChar w:fldCharType="begin"/>
            </w:r>
            <w:r>
              <w:rPr>
                <w:noProof/>
                <w:webHidden/>
              </w:rPr>
              <w:instrText xml:space="preserve"> PAGEREF _Toc102045190 \h </w:instrText>
            </w:r>
            <w:r>
              <w:rPr>
                <w:noProof/>
                <w:webHidden/>
              </w:rPr>
            </w:r>
            <w:r>
              <w:rPr>
                <w:noProof/>
                <w:webHidden/>
              </w:rPr>
              <w:fldChar w:fldCharType="separate"/>
            </w:r>
            <w:r>
              <w:rPr>
                <w:noProof/>
                <w:webHidden/>
              </w:rPr>
              <w:t>17</w:t>
            </w:r>
            <w:r>
              <w:rPr>
                <w:noProof/>
                <w:webHidden/>
              </w:rPr>
              <w:fldChar w:fldCharType="end"/>
            </w:r>
          </w:hyperlink>
        </w:p>
        <w:p w14:paraId="015C4C34" w14:textId="337C2B68" w:rsidR="00645B58" w:rsidRDefault="00645B58">
          <w:pPr>
            <w:pStyle w:val="TOC2"/>
            <w:rPr>
              <w:rFonts w:asciiTheme="minorHAnsi" w:eastAsiaTheme="minorEastAsia" w:hAnsiTheme="minorHAnsi" w:cstheme="minorBidi"/>
              <w:b w:val="0"/>
              <w:noProof/>
              <w:sz w:val="22"/>
              <w:lang w:eastAsia="en-AU"/>
            </w:rPr>
          </w:pPr>
          <w:hyperlink w:anchor="_Toc102045191" w:history="1">
            <w:r w:rsidRPr="009832BD">
              <w:rPr>
                <w:rStyle w:val="Hyperlink"/>
                <w:noProof/>
              </w:rPr>
              <w:t>Nonclinical</w:t>
            </w:r>
            <w:r>
              <w:rPr>
                <w:noProof/>
                <w:webHidden/>
              </w:rPr>
              <w:tab/>
            </w:r>
            <w:r>
              <w:rPr>
                <w:noProof/>
                <w:webHidden/>
              </w:rPr>
              <w:fldChar w:fldCharType="begin"/>
            </w:r>
            <w:r>
              <w:rPr>
                <w:noProof/>
                <w:webHidden/>
              </w:rPr>
              <w:instrText xml:space="preserve"> PAGEREF _Toc102045191 \h </w:instrText>
            </w:r>
            <w:r>
              <w:rPr>
                <w:noProof/>
                <w:webHidden/>
              </w:rPr>
            </w:r>
            <w:r>
              <w:rPr>
                <w:noProof/>
                <w:webHidden/>
              </w:rPr>
              <w:fldChar w:fldCharType="separate"/>
            </w:r>
            <w:r>
              <w:rPr>
                <w:noProof/>
                <w:webHidden/>
              </w:rPr>
              <w:t>17</w:t>
            </w:r>
            <w:r>
              <w:rPr>
                <w:noProof/>
                <w:webHidden/>
              </w:rPr>
              <w:fldChar w:fldCharType="end"/>
            </w:r>
          </w:hyperlink>
        </w:p>
        <w:p w14:paraId="4CE40563" w14:textId="46532E4B" w:rsidR="00645B58" w:rsidRDefault="00645B58">
          <w:pPr>
            <w:pStyle w:val="TOC2"/>
            <w:rPr>
              <w:rFonts w:asciiTheme="minorHAnsi" w:eastAsiaTheme="minorEastAsia" w:hAnsiTheme="minorHAnsi" w:cstheme="minorBidi"/>
              <w:b w:val="0"/>
              <w:noProof/>
              <w:sz w:val="22"/>
              <w:lang w:eastAsia="en-AU"/>
            </w:rPr>
          </w:pPr>
          <w:hyperlink w:anchor="_Toc102045192" w:history="1">
            <w:r w:rsidRPr="009832BD">
              <w:rPr>
                <w:rStyle w:val="Hyperlink"/>
                <w:noProof/>
              </w:rPr>
              <w:t>Clinical</w:t>
            </w:r>
            <w:r>
              <w:rPr>
                <w:noProof/>
                <w:webHidden/>
              </w:rPr>
              <w:tab/>
            </w:r>
            <w:r>
              <w:rPr>
                <w:noProof/>
                <w:webHidden/>
              </w:rPr>
              <w:fldChar w:fldCharType="begin"/>
            </w:r>
            <w:r>
              <w:rPr>
                <w:noProof/>
                <w:webHidden/>
              </w:rPr>
              <w:instrText xml:space="preserve"> PAGEREF _Toc102045192 \h </w:instrText>
            </w:r>
            <w:r>
              <w:rPr>
                <w:noProof/>
                <w:webHidden/>
              </w:rPr>
            </w:r>
            <w:r>
              <w:rPr>
                <w:noProof/>
                <w:webHidden/>
              </w:rPr>
              <w:fldChar w:fldCharType="separate"/>
            </w:r>
            <w:r>
              <w:rPr>
                <w:noProof/>
                <w:webHidden/>
              </w:rPr>
              <w:t>19</w:t>
            </w:r>
            <w:r>
              <w:rPr>
                <w:noProof/>
                <w:webHidden/>
              </w:rPr>
              <w:fldChar w:fldCharType="end"/>
            </w:r>
          </w:hyperlink>
        </w:p>
        <w:p w14:paraId="62AF7E08" w14:textId="6F7167AA" w:rsidR="00645B58" w:rsidRDefault="00645B58">
          <w:pPr>
            <w:pStyle w:val="TOC2"/>
            <w:rPr>
              <w:rFonts w:asciiTheme="minorHAnsi" w:eastAsiaTheme="minorEastAsia" w:hAnsiTheme="minorHAnsi" w:cstheme="minorBidi"/>
              <w:b w:val="0"/>
              <w:noProof/>
              <w:sz w:val="22"/>
              <w:lang w:eastAsia="en-AU"/>
            </w:rPr>
          </w:pPr>
          <w:hyperlink w:anchor="_Toc102045193" w:history="1">
            <w:r w:rsidRPr="009832BD">
              <w:rPr>
                <w:rStyle w:val="Hyperlink"/>
                <w:noProof/>
                <w:lang w:eastAsia="en-AU"/>
              </w:rPr>
              <w:t>Risk management plan</w:t>
            </w:r>
            <w:r>
              <w:rPr>
                <w:noProof/>
                <w:webHidden/>
              </w:rPr>
              <w:tab/>
            </w:r>
            <w:r>
              <w:rPr>
                <w:noProof/>
                <w:webHidden/>
              </w:rPr>
              <w:fldChar w:fldCharType="begin"/>
            </w:r>
            <w:r>
              <w:rPr>
                <w:noProof/>
                <w:webHidden/>
              </w:rPr>
              <w:instrText xml:space="preserve"> PAGEREF _Toc102045193 \h </w:instrText>
            </w:r>
            <w:r>
              <w:rPr>
                <w:noProof/>
                <w:webHidden/>
              </w:rPr>
            </w:r>
            <w:r>
              <w:rPr>
                <w:noProof/>
                <w:webHidden/>
              </w:rPr>
              <w:fldChar w:fldCharType="separate"/>
            </w:r>
            <w:r>
              <w:rPr>
                <w:noProof/>
                <w:webHidden/>
              </w:rPr>
              <w:t>48</w:t>
            </w:r>
            <w:r>
              <w:rPr>
                <w:noProof/>
                <w:webHidden/>
              </w:rPr>
              <w:fldChar w:fldCharType="end"/>
            </w:r>
          </w:hyperlink>
        </w:p>
        <w:p w14:paraId="0182E0C3" w14:textId="78DC594C" w:rsidR="00645B58" w:rsidRDefault="00645B58">
          <w:pPr>
            <w:pStyle w:val="TOC2"/>
            <w:rPr>
              <w:rFonts w:asciiTheme="minorHAnsi" w:eastAsiaTheme="minorEastAsia" w:hAnsiTheme="minorHAnsi" w:cstheme="minorBidi"/>
              <w:b w:val="0"/>
              <w:noProof/>
              <w:sz w:val="22"/>
              <w:lang w:eastAsia="en-AU"/>
            </w:rPr>
          </w:pPr>
          <w:hyperlink w:anchor="_Toc102045194" w:history="1">
            <w:r w:rsidRPr="009832BD">
              <w:rPr>
                <w:rStyle w:val="Hyperlink"/>
                <w:noProof/>
              </w:rPr>
              <w:t>Risk-benefit analysis</w:t>
            </w:r>
            <w:r>
              <w:rPr>
                <w:noProof/>
                <w:webHidden/>
              </w:rPr>
              <w:tab/>
            </w:r>
            <w:r>
              <w:rPr>
                <w:noProof/>
                <w:webHidden/>
              </w:rPr>
              <w:fldChar w:fldCharType="begin"/>
            </w:r>
            <w:r>
              <w:rPr>
                <w:noProof/>
                <w:webHidden/>
              </w:rPr>
              <w:instrText xml:space="preserve"> PAGEREF _Toc102045194 \h </w:instrText>
            </w:r>
            <w:r>
              <w:rPr>
                <w:noProof/>
                <w:webHidden/>
              </w:rPr>
            </w:r>
            <w:r>
              <w:rPr>
                <w:noProof/>
                <w:webHidden/>
              </w:rPr>
              <w:fldChar w:fldCharType="separate"/>
            </w:r>
            <w:r>
              <w:rPr>
                <w:noProof/>
                <w:webHidden/>
              </w:rPr>
              <w:t>49</w:t>
            </w:r>
            <w:r>
              <w:rPr>
                <w:noProof/>
                <w:webHidden/>
              </w:rPr>
              <w:fldChar w:fldCharType="end"/>
            </w:r>
          </w:hyperlink>
        </w:p>
        <w:p w14:paraId="14F542E1" w14:textId="31557BE0" w:rsidR="00645B58" w:rsidRDefault="00645B58">
          <w:pPr>
            <w:pStyle w:val="TOC2"/>
            <w:rPr>
              <w:rFonts w:asciiTheme="minorHAnsi" w:eastAsiaTheme="minorEastAsia" w:hAnsiTheme="minorHAnsi" w:cstheme="minorBidi"/>
              <w:b w:val="0"/>
              <w:noProof/>
              <w:sz w:val="22"/>
              <w:lang w:eastAsia="en-AU"/>
            </w:rPr>
          </w:pPr>
          <w:hyperlink w:anchor="_Toc102045195" w:history="1">
            <w:r w:rsidRPr="009832BD">
              <w:rPr>
                <w:rStyle w:val="Hyperlink"/>
                <w:noProof/>
              </w:rPr>
              <w:t>Outcome</w:t>
            </w:r>
            <w:r>
              <w:rPr>
                <w:noProof/>
                <w:webHidden/>
              </w:rPr>
              <w:tab/>
            </w:r>
            <w:r>
              <w:rPr>
                <w:noProof/>
                <w:webHidden/>
              </w:rPr>
              <w:fldChar w:fldCharType="begin"/>
            </w:r>
            <w:r>
              <w:rPr>
                <w:noProof/>
                <w:webHidden/>
              </w:rPr>
              <w:instrText xml:space="preserve"> PAGEREF _Toc102045195 \h </w:instrText>
            </w:r>
            <w:r>
              <w:rPr>
                <w:noProof/>
                <w:webHidden/>
              </w:rPr>
            </w:r>
            <w:r>
              <w:rPr>
                <w:noProof/>
                <w:webHidden/>
              </w:rPr>
              <w:fldChar w:fldCharType="separate"/>
            </w:r>
            <w:r>
              <w:rPr>
                <w:noProof/>
                <w:webHidden/>
              </w:rPr>
              <w:t>61</w:t>
            </w:r>
            <w:r>
              <w:rPr>
                <w:noProof/>
                <w:webHidden/>
              </w:rPr>
              <w:fldChar w:fldCharType="end"/>
            </w:r>
          </w:hyperlink>
        </w:p>
        <w:p w14:paraId="20136165" w14:textId="68097869" w:rsidR="00645B58" w:rsidRDefault="00645B58">
          <w:pPr>
            <w:pStyle w:val="TOC1"/>
            <w:rPr>
              <w:rFonts w:asciiTheme="minorHAnsi" w:eastAsiaTheme="minorEastAsia" w:hAnsiTheme="minorHAnsi" w:cstheme="minorBidi"/>
              <w:b w:val="0"/>
              <w:noProof/>
              <w:sz w:val="22"/>
              <w:lang w:eastAsia="en-AU"/>
            </w:rPr>
          </w:pPr>
          <w:hyperlink w:anchor="_Toc102045196" w:history="1">
            <w:r w:rsidRPr="009832BD">
              <w:rPr>
                <w:rStyle w:val="Hyperlink"/>
                <w:noProof/>
              </w:rPr>
              <w:t>Attachment 1. Product Information</w:t>
            </w:r>
            <w:r>
              <w:rPr>
                <w:noProof/>
                <w:webHidden/>
              </w:rPr>
              <w:tab/>
            </w:r>
            <w:r>
              <w:rPr>
                <w:noProof/>
                <w:webHidden/>
              </w:rPr>
              <w:fldChar w:fldCharType="begin"/>
            </w:r>
            <w:r>
              <w:rPr>
                <w:noProof/>
                <w:webHidden/>
              </w:rPr>
              <w:instrText xml:space="preserve"> PAGEREF _Toc102045196 \h </w:instrText>
            </w:r>
            <w:r>
              <w:rPr>
                <w:noProof/>
                <w:webHidden/>
              </w:rPr>
            </w:r>
            <w:r>
              <w:rPr>
                <w:noProof/>
                <w:webHidden/>
              </w:rPr>
              <w:fldChar w:fldCharType="separate"/>
            </w:r>
            <w:r>
              <w:rPr>
                <w:noProof/>
                <w:webHidden/>
              </w:rPr>
              <w:t>62</w:t>
            </w:r>
            <w:r>
              <w:rPr>
                <w:noProof/>
                <w:webHidden/>
              </w:rPr>
              <w:fldChar w:fldCharType="end"/>
            </w:r>
          </w:hyperlink>
        </w:p>
        <w:p w14:paraId="1591C91F" w14:textId="76348214" w:rsidR="003A7F6C" w:rsidRPr="00B811C6" w:rsidRDefault="00C525A2" w:rsidP="00B811C6">
          <w:pPr>
            <w:pStyle w:val="TOC2"/>
          </w:pPr>
          <w:r>
            <w:fldChar w:fldCharType="end"/>
          </w:r>
        </w:p>
      </w:sdtContent>
    </w:sdt>
    <w:bookmarkStart w:id="2" w:name="_Toc314842482" w:displacedByCustomXml="prev"/>
    <w:p w14:paraId="14DD6ED3" w14:textId="77777777" w:rsidR="00FD119B" w:rsidRDefault="00FD119B">
      <w:pPr>
        <w:spacing w:before="0" w:after="200" w:line="0" w:lineRule="auto"/>
      </w:pPr>
      <w:r>
        <w:br w:type="page"/>
      </w:r>
    </w:p>
    <w:p w14:paraId="0DF14FD9" w14:textId="77777777" w:rsidR="00FD119B" w:rsidRDefault="00324E45" w:rsidP="004F0C4A">
      <w:pPr>
        <w:pStyle w:val="Heading2"/>
      </w:pPr>
      <w:bookmarkStart w:id="3" w:name="_Toc351716269"/>
      <w:bookmarkStart w:id="4" w:name="_Toc351718881"/>
      <w:bookmarkStart w:id="5" w:name="_Toc355338616"/>
      <w:bookmarkStart w:id="6" w:name="_Toc356306144"/>
      <w:bookmarkStart w:id="7" w:name="_Toc102045182"/>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1B64D5" w14:paraId="6DAC1FA5" w14:textId="77777777" w:rsidTr="00144438">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3E7A2686" w14:textId="77777777" w:rsidR="00FD119B" w:rsidRPr="001B64D5" w:rsidRDefault="00FD119B" w:rsidP="001B64D5">
            <w:r w:rsidRPr="001B64D5">
              <w:t>Abbreviation</w:t>
            </w:r>
          </w:p>
        </w:tc>
        <w:tc>
          <w:tcPr>
            <w:tcW w:w="6604" w:type="dxa"/>
            <w:tcBorders>
              <w:top w:val="single" w:sz="4" w:space="0" w:color="auto"/>
              <w:left w:val="single" w:sz="4" w:space="0" w:color="auto"/>
              <w:bottom w:val="single" w:sz="4" w:space="0" w:color="auto"/>
              <w:right w:val="single" w:sz="4" w:space="0" w:color="auto"/>
            </w:tcBorders>
          </w:tcPr>
          <w:p w14:paraId="6F24B121" w14:textId="77777777" w:rsidR="00FD119B" w:rsidRPr="001B64D5" w:rsidRDefault="00FD119B" w:rsidP="001B64D5">
            <w:r w:rsidRPr="001B64D5">
              <w:t>Meaning</w:t>
            </w:r>
          </w:p>
        </w:tc>
      </w:tr>
      <w:tr w:rsidR="003C77BD" w:rsidRPr="001B64D5" w14:paraId="5D5B8DEB" w14:textId="77777777" w:rsidTr="00144438">
        <w:tc>
          <w:tcPr>
            <w:tcW w:w="1890" w:type="dxa"/>
            <w:tcBorders>
              <w:top w:val="single" w:sz="4" w:space="0" w:color="auto"/>
            </w:tcBorders>
          </w:tcPr>
          <w:p w14:paraId="7F46E311" w14:textId="42BE4D35" w:rsidR="003C77BD" w:rsidRPr="001B64D5" w:rsidRDefault="003C77BD" w:rsidP="001B64D5">
            <w:r w:rsidRPr="001B64D5">
              <w:t>ACM</w:t>
            </w:r>
          </w:p>
        </w:tc>
        <w:tc>
          <w:tcPr>
            <w:tcW w:w="6604" w:type="dxa"/>
            <w:tcBorders>
              <w:top w:val="single" w:sz="4" w:space="0" w:color="auto"/>
            </w:tcBorders>
          </w:tcPr>
          <w:p w14:paraId="5D81F331" w14:textId="62738DD6" w:rsidR="003C77BD" w:rsidRPr="001B64D5" w:rsidRDefault="003C77BD" w:rsidP="001B64D5">
            <w:r w:rsidRPr="001B64D5">
              <w:t>Advisory Committee on Medicines</w:t>
            </w:r>
          </w:p>
        </w:tc>
      </w:tr>
      <w:tr w:rsidR="00966AEE" w:rsidRPr="001B64D5" w14:paraId="748E296D" w14:textId="77777777" w:rsidTr="00144438">
        <w:tc>
          <w:tcPr>
            <w:tcW w:w="1890" w:type="dxa"/>
            <w:tcBorders>
              <w:top w:val="single" w:sz="4" w:space="0" w:color="auto"/>
            </w:tcBorders>
          </w:tcPr>
          <w:p w14:paraId="32CF8A02" w14:textId="7218CF3A" w:rsidR="00966AEE" w:rsidRPr="001B64D5" w:rsidRDefault="00966AEE" w:rsidP="001B64D5">
            <w:proofErr w:type="spellStart"/>
            <w:r w:rsidRPr="001B64D5">
              <w:t>ActRIIB</w:t>
            </w:r>
            <w:proofErr w:type="spellEnd"/>
          </w:p>
        </w:tc>
        <w:tc>
          <w:tcPr>
            <w:tcW w:w="6604" w:type="dxa"/>
            <w:tcBorders>
              <w:top w:val="single" w:sz="4" w:space="0" w:color="auto"/>
            </w:tcBorders>
          </w:tcPr>
          <w:p w14:paraId="5EEE3C5A" w14:textId="0739173B" w:rsidR="00966AEE" w:rsidRPr="001B64D5" w:rsidRDefault="00966AEE" w:rsidP="001B64D5">
            <w:r w:rsidRPr="001B64D5">
              <w:t xml:space="preserve">Activin </w:t>
            </w:r>
            <w:r w:rsidR="00F87A91" w:rsidRPr="001B64D5">
              <w:t>r</w:t>
            </w:r>
            <w:r w:rsidRPr="001B64D5">
              <w:t>eceptor type-2B</w:t>
            </w:r>
          </w:p>
        </w:tc>
      </w:tr>
      <w:tr w:rsidR="00326A64" w:rsidRPr="001B64D5" w14:paraId="145B80BA" w14:textId="77777777" w:rsidTr="00144438">
        <w:tc>
          <w:tcPr>
            <w:tcW w:w="1890" w:type="dxa"/>
            <w:tcBorders>
              <w:top w:val="single" w:sz="4" w:space="0" w:color="auto"/>
            </w:tcBorders>
          </w:tcPr>
          <w:p w14:paraId="5A1E42AD" w14:textId="4CB097A5" w:rsidR="00326A64" w:rsidRPr="001B64D5" w:rsidRDefault="00326A64" w:rsidP="001B64D5">
            <w:r w:rsidRPr="001B64D5">
              <w:t>ARGPM</w:t>
            </w:r>
          </w:p>
        </w:tc>
        <w:tc>
          <w:tcPr>
            <w:tcW w:w="6604" w:type="dxa"/>
            <w:tcBorders>
              <w:top w:val="single" w:sz="4" w:space="0" w:color="auto"/>
            </w:tcBorders>
          </w:tcPr>
          <w:p w14:paraId="55F0DD02" w14:textId="07E3E40E" w:rsidR="00326A64" w:rsidRPr="001B64D5" w:rsidRDefault="00326A64" w:rsidP="001B64D5">
            <w:r w:rsidRPr="001B64D5">
              <w:t>Australian Regulatory Guidelines for Prescription Medicines</w:t>
            </w:r>
          </w:p>
        </w:tc>
      </w:tr>
      <w:tr w:rsidR="003C77BD" w:rsidRPr="001B64D5" w14:paraId="670BB063" w14:textId="77777777" w:rsidTr="00144438">
        <w:tc>
          <w:tcPr>
            <w:tcW w:w="1890" w:type="dxa"/>
          </w:tcPr>
          <w:p w14:paraId="1C605886" w14:textId="7587EA05" w:rsidR="003C77BD" w:rsidRPr="001B64D5" w:rsidRDefault="003C77BD" w:rsidP="001B64D5">
            <w:r w:rsidRPr="001B64D5">
              <w:t>ARTG</w:t>
            </w:r>
          </w:p>
        </w:tc>
        <w:tc>
          <w:tcPr>
            <w:tcW w:w="6604" w:type="dxa"/>
          </w:tcPr>
          <w:p w14:paraId="3730D297" w14:textId="2E589353" w:rsidR="003C77BD" w:rsidRPr="001B64D5" w:rsidRDefault="003C77BD" w:rsidP="001B64D5">
            <w:r w:rsidRPr="001B64D5">
              <w:t>Australian Register of Therapeutic Goods</w:t>
            </w:r>
          </w:p>
        </w:tc>
      </w:tr>
      <w:tr w:rsidR="00793BA2" w:rsidRPr="001B64D5" w14:paraId="69B3C66A" w14:textId="77777777" w:rsidTr="001B64D5">
        <w:tc>
          <w:tcPr>
            <w:tcW w:w="1890" w:type="dxa"/>
          </w:tcPr>
          <w:p w14:paraId="2AE54976" w14:textId="0567156F" w:rsidR="00793BA2" w:rsidRPr="001B64D5" w:rsidRDefault="00793BA2" w:rsidP="001B64D5">
            <w:r>
              <w:t>AUC</w:t>
            </w:r>
            <w:r w:rsidRPr="00A40B30">
              <w:rPr>
                <w:vertAlign w:val="subscript"/>
              </w:rPr>
              <w:t>avg</w:t>
            </w:r>
            <w:r>
              <w:rPr>
                <w:vertAlign w:val="subscript"/>
              </w:rPr>
              <w:t>,0-</w:t>
            </w:r>
            <w:r w:rsidRPr="00A40B30">
              <w:rPr>
                <w:vertAlign w:val="subscript"/>
              </w:rPr>
              <w:t>15</w:t>
            </w:r>
            <w:r>
              <w:rPr>
                <w:vertAlign w:val="subscript"/>
              </w:rPr>
              <w:t>wk</w:t>
            </w:r>
          </w:p>
        </w:tc>
        <w:tc>
          <w:tcPr>
            <w:tcW w:w="6604" w:type="dxa"/>
          </w:tcPr>
          <w:p w14:paraId="39401008" w14:textId="76584926" w:rsidR="00793BA2" w:rsidRPr="001B64D5" w:rsidRDefault="00793BA2" w:rsidP="001B64D5">
            <w:r>
              <w:t>Average area under the concentration-time curve from 0 to 15 weeks</w:t>
            </w:r>
          </w:p>
        </w:tc>
      </w:tr>
      <w:tr w:rsidR="003C77BD" w:rsidRPr="001B64D5" w14:paraId="01294E37" w14:textId="77777777" w:rsidTr="00144438">
        <w:tc>
          <w:tcPr>
            <w:tcW w:w="1890" w:type="dxa"/>
          </w:tcPr>
          <w:p w14:paraId="1F3FE0D8" w14:textId="6B44D7F6" w:rsidR="003C77BD" w:rsidRPr="001B64D5" w:rsidRDefault="003C77BD" w:rsidP="001B64D5">
            <w:proofErr w:type="spellStart"/>
            <w:r w:rsidRPr="001B64D5">
              <w:t>AUC</w:t>
            </w:r>
            <w:r w:rsidRPr="00144438">
              <w:rPr>
                <w:vertAlign w:val="subscript"/>
              </w:rPr>
              <w:t>ss</w:t>
            </w:r>
            <w:proofErr w:type="spellEnd"/>
          </w:p>
        </w:tc>
        <w:tc>
          <w:tcPr>
            <w:tcW w:w="6604" w:type="dxa"/>
          </w:tcPr>
          <w:p w14:paraId="70A1904A" w14:textId="6316CBB0" w:rsidR="003C77BD" w:rsidRPr="001B64D5" w:rsidRDefault="003C77BD" w:rsidP="001B64D5">
            <w:r w:rsidRPr="001B64D5">
              <w:t>Area under the concentration-time curve at steady state</w:t>
            </w:r>
          </w:p>
        </w:tc>
      </w:tr>
      <w:tr w:rsidR="003C77BD" w:rsidRPr="001B64D5" w14:paraId="64443A07" w14:textId="77777777" w:rsidTr="00144438">
        <w:tc>
          <w:tcPr>
            <w:tcW w:w="1890" w:type="dxa"/>
          </w:tcPr>
          <w:p w14:paraId="04A52D98" w14:textId="501EF310" w:rsidR="003C77BD" w:rsidRPr="001B64D5" w:rsidRDefault="003C77BD" w:rsidP="001B64D5">
            <w:r w:rsidRPr="001B64D5">
              <w:t>CI</w:t>
            </w:r>
          </w:p>
        </w:tc>
        <w:tc>
          <w:tcPr>
            <w:tcW w:w="6604" w:type="dxa"/>
          </w:tcPr>
          <w:p w14:paraId="4FD2C7B5" w14:textId="4E5F97E2" w:rsidR="003C77BD" w:rsidRPr="001B64D5" w:rsidRDefault="003C77BD" w:rsidP="001B64D5">
            <w:r w:rsidRPr="001B64D5">
              <w:t>Confidence Interval</w:t>
            </w:r>
          </w:p>
        </w:tc>
      </w:tr>
      <w:tr w:rsidR="003C77BD" w:rsidRPr="001B64D5" w14:paraId="7A5AD771" w14:textId="77777777" w:rsidTr="00144438">
        <w:tc>
          <w:tcPr>
            <w:tcW w:w="1890" w:type="dxa"/>
          </w:tcPr>
          <w:p w14:paraId="56E18E6D" w14:textId="4452A898" w:rsidR="003C77BD" w:rsidRPr="001B64D5" w:rsidRDefault="003C77BD" w:rsidP="001B64D5">
            <w:r w:rsidRPr="001B64D5">
              <w:t>CL/F</w:t>
            </w:r>
          </w:p>
        </w:tc>
        <w:tc>
          <w:tcPr>
            <w:tcW w:w="6604" w:type="dxa"/>
          </w:tcPr>
          <w:p w14:paraId="2621D0FA" w14:textId="047A9C4E" w:rsidR="003C77BD" w:rsidRPr="001B64D5" w:rsidRDefault="003C77BD" w:rsidP="001B64D5">
            <w:r w:rsidRPr="001B64D5">
              <w:t>Apparent clearance</w:t>
            </w:r>
          </w:p>
        </w:tc>
      </w:tr>
      <w:tr w:rsidR="008F0E74" w:rsidRPr="001B64D5" w14:paraId="0AC408AF" w14:textId="77777777" w:rsidTr="00144438">
        <w:tc>
          <w:tcPr>
            <w:tcW w:w="1890" w:type="dxa"/>
          </w:tcPr>
          <w:p w14:paraId="764E0E63" w14:textId="6D8FD23C" w:rsidR="008F0E74" w:rsidRPr="001B64D5" w:rsidRDefault="008F0E74" w:rsidP="001B64D5">
            <w:r w:rsidRPr="001B64D5">
              <w:t>CMI</w:t>
            </w:r>
          </w:p>
        </w:tc>
        <w:tc>
          <w:tcPr>
            <w:tcW w:w="6604" w:type="dxa"/>
          </w:tcPr>
          <w:p w14:paraId="2B8AE6C6" w14:textId="48D4711C" w:rsidR="008F0E74" w:rsidRPr="001B64D5" w:rsidRDefault="008F0E74" w:rsidP="001B64D5">
            <w:r w:rsidRPr="001B64D5">
              <w:t>Consumer Medicines Information</w:t>
            </w:r>
          </w:p>
        </w:tc>
      </w:tr>
      <w:tr w:rsidR="00684919" w:rsidRPr="001B64D5" w14:paraId="3C265A46" w14:textId="77777777" w:rsidTr="00144438">
        <w:tc>
          <w:tcPr>
            <w:tcW w:w="1890" w:type="dxa"/>
          </w:tcPr>
          <w:p w14:paraId="46E0762C" w14:textId="725042C9" w:rsidR="00684919" w:rsidRPr="001B64D5" w:rsidRDefault="00684919" w:rsidP="001B64D5">
            <w:r w:rsidRPr="001B64D5">
              <w:t>CPD</w:t>
            </w:r>
          </w:p>
        </w:tc>
        <w:tc>
          <w:tcPr>
            <w:tcW w:w="6604" w:type="dxa"/>
          </w:tcPr>
          <w:p w14:paraId="2C225512" w14:textId="08589DDD" w:rsidR="00684919" w:rsidRPr="001B64D5" w:rsidRDefault="00684919" w:rsidP="001B64D5">
            <w:r w:rsidRPr="001B64D5">
              <w:t xml:space="preserve">Certified Product Details </w:t>
            </w:r>
          </w:p>
        </w:tc>
      </w:tr>
      <w:tr w:rsidR="003C77BD" w:rsidRPr="001B64D5" w14:paraId="0F35C302" w14:textId="77777777" w:rsidTr="00144438">
        <w:tc>
          <w:tcPr>
            <w:tcW w:w="1890" w:type="dxa"/>
          </w:tcPr>
          <w:p w14:paraId="3A7963C1" w14:textId="34ED1BE1" w:rsidR="003C77BD" w:rsidRPr="001B64D5" w:rsidRDefault="003C77BD" w:rsidP="001B64D5">
            <w:r w:rsidRPr="001B64D5">
              <w:t>ECOG</w:t>
            </w:r>
          </w:p>
        </w:tc>
        <w:tc>
          <w:tcPr>
            <w:tcW w:w="6604" w:type="dxa"/>
          </w:tcPr>
          <w:p w14:paraId="5DF4B0F6" w14:textId="07534CA6" w:rsidR="003C77BD" w:rsidRPr="001B64D5" w:rsidRDefault="003C77BD" w:rsidP="001B64D5">
            <w:r w:rsidRPr="001B64D5">
              <w:t>Eastern Cooperative Oncology Group</w:t>
            </w:r>
          </w:p>
        </w:tc>
      </w:tr>
      <w:tr w:rsidR="003C77BD" w:rsidRPr="001B64D5" w14:paraId="5603E7A5" w14:textId="77777777" w:rsidTr="00144438">
        <w:tc>
          <w:tcPr>
            <w:tcW w:w="1890" w:type="dxa"/>
          </w:tcPr>
          <w:p w14:paraId="28024261" w14:textId="0EFDCDB1" w:rsidR="003C77BD" w:rsidRPr="001B64D5" w:rsidRDefault="003C77BD" w:rsidP="001B64D5">
            <w:r w:rsidRPr="001B64D5">
              <w:t>ESA</w:t>
            </w:r>
          </w:p>
        </w:tc>
        <w:tc>
          <w:tcPr>
            <w:tcW w:w="6604" w:type="dxa"/>
          </w:tcPr>
          <w:p w14:paraId="79B95522" w14:textId="613FF4FB" w:rsidR="003C77BD" w:rsidRPr="001B64D5" w:rsidRDefault="003C77BD" w:rsidP="001B64D5">
            <w:bookmarkStart w:id="8" w:name="_Hlk90372602"/>
            <w:r w:rsidRPr="001B64D5">
              <w:t xml:space="preserve">Erythropoiesis </w:t>
            </w:r>
            <w:r w:rsidR="00793BA2">
              <w:t>s</w:t>
            </w:r>
            <w:r w:rsidRPr="001B64D5">
              <w:t xml:space="preserve">timulating </w:t>
            </w:r>
            <w:r w:rsidR="00793BA2">
              <w:t>a</w:t>
            </w:r>
            <w:r w:rsidRPr="001B64D5">
              <w:t>gent</w:t>
            </w:r>
            <w:bookmarkEnd w:id="8"/>
          </w:p>
        </w:tc>
      </w:tr>
      <w:tr w:rsidR="00EB563A" w:rsidRPr="001B64D5" w14:paraId="6A9F5061" w14:textId="77777777" w:rsidTr="00144438">
        <w:tc>
          <w:tcPr>
            <w:tcW w:w="1890" w:type="dxa"/>
          </w:tcPr>
          <w:p w14:paraId="0B544665" w14:textId="0E9D611B" w:rsidR="00EB563A" w:rsidRPr="001B64D5" w:rsidRDefault="00EB563A" w:rsidP="001B64D5">
            <w:r w:rsidRPr="001B64D5">
              <w:t>EU</w:t>
            </w:r>
          </w:p>
        </w:tc>
        <w:tc>
          <w:tcPr>
            <w:tcW w:w="6604" w:type="dxa"/>
          </w:tcPr>
          <w:p w14:paraId="3B1D35A2" w14:textId="0F9979D7" w:rsidR="00EB563A" w:rsidRPr="001B64D5" w:rsidRDefault="00EB563A" w:rsidP="001B64D5">
            <w:r w:rsidRPr="001B64D5">
              <w:t>European Union</w:t>
            </w:r>
          </w:p>
        </w:tc>
      </w:tr>
      <w:tr w:rsidR="000A17D8" w:rsidRPr="001B64D5" w14:paraId="4981661F" w14:textId="77777777" w:rsidTr="00144438">
        <w:tc>
          <w:tcPr>
            <w:tcW w:w="1890" w:type="dxa"/>
          </w:tcPr>
          <w:p w14:paraId="70C33E6F" w14:textId="165B843B" w:rsidR="000A17D8" w:rsidRPr="001B64D5" w:rsidRDefault="000A17D8" w:rsidP="001B64D5">
            <w:r w:rsidRPr="001B64D5">
              <w:t>G-CSF</w:t>
            </w:r>
          </w:p>
        </w:tc>
        <w:tc>
          <w:tcPr>
            <w:tcW w:w="6604" w:type="dxa"/>
          </w:tcPr>
          <w:p w14:paraId="0D3F1E7D" w14:textId="5E284965" w:rsidR="000A17D8" w:rsidRPr="001B64D5" w:rsidRDefault="000A17D8" w:rsidP="001B64D5">
            <w:r w:rsidRPr="001B64D5">
              <w:t xml:space="preserve">Granulocyte </w:t>
            </w:r>
            <w:r w:rsidR="00793BA2">
              <w:t>c</w:t>
            </w:r>
            <w:r w:rsidRPr="001B64D5">
              <w:t xml:space="preserve">olony </w:t>
            </w:r>
            <w:r w:rsidR="00793BA2">
              <w:t>s</w:t>
            </w:r>
            <w:r w:rsidRPr="001B64D5">
              <w:t xml:space="preserve">timulating </w:t>
            </w:r>
            <w:r w:rsidR="00793BA2">
              <w:t>f</w:t>
            </w:r>
            <w:r w:rsidRPr="001B64D5">
              <w:t>actor</w:t>
            </w:r>
          </w:p>
        </w:tc>
      </w:tr>
      <w:tr w:rsidR="00DE7438" w:rsidRPr="001B64D5" w14:paraId="560232EB" w14:textId="77777777" w:rsidTr="00144438">
        <w:tc>
          <w:tcPr>
            <w:tcW w:w="1890" w:type="dxa"/>
          </w:tcPr>
          <w:p w14:paraId="48DED01A" w14:textId="5FF5C4C4" w:rsidR="00DE7438" w:rsidRPr="001B64D5" w:rsidRDefault="00DE7438" w:rsidP="001B64D5">
            <w:r w:rsidRPr="001B64D5">
              <w:t>GM-CSF</w:t>
            </w:r>
          </w:p>
        </w:tc>
        <w:tc>
          <w:tcPr>
            <w:tcW w:w="6604" w:type="dxa"/>
          </w:tcPr>
          <w:p w14:paraId="26E26324" w14:textId="3E428EB0" w:rsidR="00DE7438" w:rsidRPr="001B64D5" w:rsidRDefault="00DE7438" w:rsidP="001B64D5">
            <w:r w:rsidRPr="001B64D5">
              <w:t>Granulocyte-</w:t>
            </w:r>
            <w:r w:rsidR="00793BA2">
              <w:t>m</w:t>
            </w:r>
            <w:r w:rsidRPr="001B64D5">
              <w:t xml:space="preserve">acrophage </w:t>
            </w:r>
            <w:r w:rsidR="00793BA2">
              <w:t>c</w:t>
            </w:r>
            <w:r w:rsidRPr="001B64D5">
              <w:t>olony</w:t>
            </w:r>
            <w:r w:rsidR="00793BA2">
              <w:t xml:space="preserve"> s</w:t>
            </w:r>
            <w:r w:rsidRPr="001B64D5">
              <w:t xml:space="preserve">timulating </w:t>
            </w:r>
            <w:r w:rsidR="00793BA2">
              <w:t>f</w:t>
            </w:r>
            <w:r w:rsidRPr="001B64D5">
              <w:t>actor</w:t>
            </w:r>
          </w:p>
        </w:tc>
      </w:tr>
      <w:tr w:rsidR="00331243" w:rsidRPr="001B64D5" w14:paraId="7C2C3A88" w14:textId="77777777" w:rsidTr="00144438">
        <w:tc>
          <w:tcPr>
            <w:tcW w:w="1890" w:type="dxa"/>
          </w:tcPr>
          <w:p w14:paraId="44C12B41" w14:textId="42B8BDB1" w:rsidR="00331243" w:rsidRPr="001B64D5" w:rsidRDefault="00331243" w:rsidP="001B64D5">
            <w:r w:rsidRPr="001B64D5">
              <w:t>GDF</w:t>
            </w:r>
          </w:p>
        </w:tc>
        <w:tc>
          <w:tcPr>
            <w:tcW w:w="6604" w:type="dxa"/>
          </w:tcPr>
          <w:p w14:paraId="41A543F1" w14:textId="3F00F91B" w:rsidR="00331243" w:rsidRPr="001B64D5" w:rsidRDefault="00331243" w:rsidP="00793BA2">
            <w:r w:rsidRPr="001B64D5">
              <w:t xml:space="preserve">Growth </w:t>
            </w:r>
            <w:r w:rsidR="00793BA2">
              <w:t>d</w:t>
            </w:r>
            <w:r w:rsidR="00793BA2" w:rsidRPr="001B64D5">
              <w:t xml:space="preserve">ifferentiation </w:t>
            </w:r>
            <w:r w:rsidR="00793BA2">
              <w:t>f</w:t>
            </w:r>
            <w:r w:rsidRPr="001B64D5">
              <w:t>actor</w:t>
            </w:r>
          </w:p>
        </w:tc>
      </w:tr>
      <w:tr w:rsidR="00ED45EC" w:rsidRPr="001B64D5" w14:paraId="5B6BA4F5" w14:textId="77777777" w:rsidTr="00144438">
        <w:tc>
          <w:tcPr>
            <w:tcW w:w="1890" w:type="dxa"/>
          </w:tcPr>
          <w:p w14:paraId="55859E0F" w14:textId="0F4D603B" w:rsidR="00ED45EC" w:rsidRPr="001B64D5" w:rsidRDefault="00ED45EC" w:rsidP="001B64D5">
            <w:r w:rsidRPr="001B64D5">
              <w:t>GLP</w:t>
            </w:r>
          </w:p>
        </w:tc>
        <w:tc>
          <w:tcPr>
            <w:tcW w:w="6604" w:type="dxa"/>
          </w:tcPr>
          <w:p w14:paraId="020D831D" w14:textId="1019757F" w:rsidR="00ED45EC" w:rsidRPr="001B64D5" w:rsidRDefault="00ED45EC" w:rsidP="001B64D5">
            <w:r w:rsidRPr="001B64D5">
              <w:t>Good Laboratory Practices</w:t>
            </w:r>
          </w:p>
        </w:tc>
      </w:tr>
      <w:tr w:rsidR="003C77BD" w:rsidRPr="001B64D5" w14:paraId="28D48E91" w14:textId="77777777" w:rsidTr="00144438">
        <w:tc>
          <w:tcPr>
            <w:tcW w:w="1890" w:type="dxa"/>
          </w:tcPr>
          <w:p w14:paraId="7D5222AE" w14:textId="5ECF9FE9" w:rsidR="003C77BD" w:rsidRPr="001B64D5" w:rsidRDefault="003C77BD" w:rsidP="001B64D5">
            <w:r w:rsidRPr="001B64D5">
              <w:t>GVP</w:t>
            </w:r>
          </w:p>
        </w:tc>
        <w:tc>
          <w:tcPr>
            <w:tcW w:w="6604" w:type="dxa"/>
          </w:tcPr>
          <w:p w14:paraId="53095A28" w14:textId="5E3685E9" w:rsidR="003C77BD" w:rsidRPr="001B64D5" w:rsidRDefault="003C77BD" w:rsidP="001B64D5">
            <w:r w:rsidRPr="001B64D5">
              <w:t>Good Pharmacovigilance Practices</w:t>
            </w:r>
          </w:p>
        </w:tc>
      </w:tr>
      <w:tr w:rsidR="003C77BD" w:rsidRPr="001B64D5" w14:paraId="1F2CA4A5" w14:textId="77777777" w:rsidTr="00144438">
        <w:tc>
          <w:tcPr>
            <w:tcW w:w="1890" w:type="dxa"/>
          </w:tcPr>
          <w:p w14:paraId="5201CF5E" w14:textId="6CBC1FE5" w:rsidR="003C77BD" w:rsidRPr="001B64D5" w:rsidRDefault="003C77BD" w:rsidP="001B64D5">
            <w:r w:rsidRPr="001B64D5">
              <w:t>Hb</w:t>
            </w:r>
          </w:p>
        </w:tc>
        <w:tc>
          <w:tcPr>
            <w:tcW w:w="6604" w:type="dxa"/>
          </w:tcPr>
          <w:p w14:paraId="2A7D2CCE" w14:textId="082095BF" w:rsidR="003C77BD" w:rsidRPr="001B64D5" w:rsidRDefault="003C77BD" w:rsidP="001B64D5">
            <w:r w:rsidRPr="001B64D5">
              <w:t xml:space="preserve">Haemoglobin </w:t>
            </w:r>
          </w:p>
        </w:tc>
      </w:tr>
      <w:tr w:rsidR="00A52BC1" w:rsidRPr="001B64D5" w14:paraId="41CFEAE0" w14:textId="77777777" w:rsidTr="00144438">
        <w:tc>
          <w:tcPr>
            <w:tcW w:w="1890" w:type="dxa"/>
          </w:tcPr>
          <w:p w14:paraId="4C3DD6FF" w14:textId="50DE1BB5" w:rsidR="00A52BC1" w:rsidRPr="001B64D5" w:rsidRDefault="00A52BC1" w:rsidP="001B64D5">
            <w:r w:rsidRPr="001B64D5">
              <w:t>HSCT</w:t>
            </w:r>
          </w:p>
        </w:tc>
        <w:tc>
          <w:tcPr>
            <w:tcW w:w="6604" w:type="dxa"/>
          </w:tcPr>
          <w:p w14:paraId="7B6DE3FA" w14:textId="059DB923" w:rsidR="00A52BC1" w:rsidRPr="001B64D5" w:rsidRDefault="00A52BC1" w:rsidP="001B64D5">
            <w:r w:rsidRPr="001B64D5">
              <w:t>Haematopoietic stem cell transplantation</w:t>
            </w:r>
          </w:p>
        </w:tc>
      </w:tr>
      <w:tr w:rsidR="003915B7" w:rsidRPr="001B64D5" w14:paraId="1DBC0CB2" w14:textId="77777777" w:rsidTr="00144438">
        <w:tc>
          <w:tcPr>
            <w:tcW w:w="1890" w:type="dxa"/>
          </w:tcPr>
          <w:p w14:paraId="55EA89C6" w14:textId="64AC3752" w:rsidR="003915B7" w:rsidRPr="001B64D5" w:rsidRDefault="003915B7" w:rsidP="001B64D5">
            <w:r w:rsidRPr="001B64D5">
              <w:t>ICH</w:t>
            </w:r>
          </w:p>
        </w:tc>
        <w:tc>
          <w:tcPr>
            <w:tcW w:w="6604" w:type="dxa"/>
          </w:tcPr>
          <w:p w14:paraId="21B4520A" w14:textId="78CF0872" w:rsidR="003915B7" w:rsidRPr="001B64D5" w:rsidRDefault="003915B7" w:rsidP="00793BA2">
            <w:r w:rsidRPr="001B64D5">
              <w:t>International Council for Harmonisation</w:t>
            </w:r>
          </w:p>
        </w:tc>
      </w:tr>
      <w:tr w:rsidR="003C77BD" w:rsidRPr="001B64D5" w14:paraId="227C7818" w14:textId="77777777" w:rsidTr="00144438">
        <w:tc>
          <w:tcPr>
            <w:tcW w:w="1890" w:type="dxa"/>
          </w:tcPr>
          <w:p w14:paraId="6F044C4D" w14:textId="6FF70E31" w:rsidR="003C77BD" w:rsidRPr="001B64D5" w:rsidRDefault="003C77BD" w:rsidP="001B64D5">
            <w:r w:rsidRPr="001B64D5">
              <w:t>IgG1</w:t>
            </w:r>
          </w:p>
        </w:tc>
        <w:tc>
          <w:tcPr>
            <w:tcW w:w="6604" w:type="dxa"/>
          </w:tcPr>
          <w:p w14:paraId="12F029B3" w14:textId="73E85BCB" w:rsidR="003C77BD" w:rsidRPr="001B64D5" w:rsidRDefault="003C77BD" w:rsidP="001B64D5">
            <w:r w:rsidRPr="001B64D5">
              <w:t xml:space="preserve">Immunoglobin G1 </w:t>
            </w:r>
          </w:p>
        </w:tc>
      </w:tr>
      <w:tr w:rsidR="003C77BD" w:rsidRPr="001B64D5" w14:paraId="6D1997B6" w14:textId="77777777" w:rsidTr="00144438">
        <w:tc>
          <w:tcPr>
            <w:tcW w:w="1890" w:type="dxa"/>
          </w:tcPr>
          <w:p w14:paraId="1E2EED6C" w14:textId="450DE838" w:rsidR="003C77BD" w:rsidRPr="001B64D5" w:rsidRDefault="003C77BD" w:rsidP="001B64D5">
            <w:r w:rsidRPr="001B64D5">
              <w:t>IPSS-R</w:t>
            </w:r>
          </w:p>
        </w:tc>
        <w:tc>
          <w:tcPr>
            <w:tcW w:w="6604" w:type="dxa"/>
          </w:tcPr>
          <w:p w14:paraId="095716FD" w14:textId="41927FBD" w:rsidR="003C77BD" w:rsidRPr="001B64D5" w:rsidRDefault="003C77BD" w:rsidP="001B64D5">
            <w:r w:rsidRPr="001B64D5">
              <w:t>Revised International Prognostic Scoring System</w:t>
            </w:r>
          </w:p>
        </w:tc>
      </w:tr>
      <w:tr w:rsidR="00A07D53" w:rsidRPr="001B64D5" w14:paraId="1B836828" w14:textId="77777777" w:rsidTr="00144438">
        <w:tc>
          <w:tcPr>
            <w:tcW w:w="1890" w:type="dxa"/>
          </w:tcPr>
          <w:p w14:paraId="522A8627" w14:textId="054D31CD" w:rsidR="00A07D53" w:rsidRPr="001B64D5" w:rsidRDefault="00A07D53" w:rsidP="001B64D5">
            <w:r w:rsidRPr="001B64D5">
              <w:t>IWG</w:t>
            </w:r>
          </w:p>
        </w:tc>
        <w:tc>
          <w:tcPr>
            <w:tcW w:w="6604" w:type="dxa"/>
          </w:tcPr>
          <w:p w14:paraId="44696CE5" w14:textId="2C066E4E" w:rsidR="00A07D53" w:rsidRPr="001B64D5" w:rsidRDefault="00A07D53" w:rsidP="001B64D5">
            <w:r w:rsidRPr="001B64D5">
              <w:t>International Working Group</w:t>
            </w:r>
          </w:p>
        </w:tc>
      </w:tr>
      <w:tr w:rsidR="003C77BD" w:rsidRPr="001B64D5" w14:paraId="12732920" w14:textId="77777777" w:rsidTr="00144438">
        <w:tc>
          <w:tcPr>
            <w:tcW w:w="1890" w:type="dxa"/>
          </w:tcPr>
          <w:p w14:paraId="081FE358" w14:textId="2C3B55DF" w:rsidR="003C77BD" w:rsidRPr="001B64D5" w:rsidRDefault="003C77BD" w:rsidP="001B64D5">
            <w:r w:rsidRPr="001B64D5">
              <w:lastRenderedPageBreak/>
              <w:t>K</w:t>
            </w:r>
            <w:r w:rsidRPr="00144438">
              <w:rPr>
                <w:vertAlign w:val="subscript"/>
              </w:rPr>
              <w:t>a</w:t>
            </w:r>
          </w:p>
        </w:tc>
        <w:tc>
          <w:tcPr>
            <w:tcW w:w="6604" w:type="dxa"/>
          </w:tcPr>
          <w:p w14:paraId="4A615127" w14:textId="7B5A082D" w:rsidR="003C77BD" w:rsidRPr="001B64D5" w:rsidRDefault="003C77BD" w:rsidP="001B64D5">
            <w:r w:rsidRPr="001B64D5">
              <w:t>Absorption rate constant</w:t>
            </w:r>
          </w:p>
        </w:tc>
      </w:tr>
      <w:tr w:rsidR="003C77BD" w:rsidRPr="001B64D5" w14:paraId="03010B46" w14:textId="77777777" w:rsidTr="00144438">
        <w:tc>
          <w:tcPr>
            <w:tcW w:w="1890" w:type="dxa"/>
          </w:tcPr>
          <w:p w14:paraId="62DCED5E" w14:textId="47F8A114" w:rsidR="003C77BD" w:rsidRPr="001B64D5" w:rsidRDefault="003C77BD" w:rsidP="001B64D5">
            <w:r w:rsidRPr="001B64D5">
              <w:t>MDS</w:t>
            </w:r>
          </w:p>
        </w:tc>
        <w:tc>
          <w:tcPr>
            <w:tcW w:w="6604" w:type="dxa"/>
          </w:tcPr>
          <w:p w14:paraId="508B1713" w14:textId="5FC77502" w:rsidR="003C77BD" w:rsidRPr="001B64D5" w:rsidRDefault="003C77BD" w:rsidP="001B64D5">
            <w:r w:rsidRPr="001B64D5">
              <w:t xml:space="preserve">Myelodysplastic </w:t>
            </w:r>
            <w:r w:rsidR="00793BA2">
              <w:t>s</w:t>
            </w:r>
            <w:r w:rsidRPr="001B64D5">
              <w:t>yndrome</w:t>
            </w:r>
            <w:r w:rsidR="00793BA2">
              <w:t>(</w:t>
            </w:r>
            <w:r w:rsidRPr="001B64D5">
              <w:t>s</w:t>
            </w:r>
            <w:r w:rsidR="00793BA2">
              <w:t>)</w:t>
            </w:r>
          </w:p>
        </w:tc>
      </w:tr>
      <w:tr w:rsidR="003C77BD" w:rsidRPr="001B64D5" w14:paraId="1B9A6575" w14:textId="77777777" w:rsidTr="00144438">
        <w:tc>
          <w:tcPr>
            <w:tcW w:w="1890" w:type="dxa"/>
          </w:tcPr>
          <w:p w14:paraId="3BEB63B6" w14:textId="7D29F84D" w:rsidR="003C77BD" w:rsidRPr="001B64D5" w:rsidRDefault="003C77BD" w:rsidP="001B64D5">
            <w:r w:rsidRPr="001B64D5">
              <w:t>MDS-RS</w:t>
            </w:r>
          </w:p>
        </w:tc>
        <w:tc>
          <w:tcPr>
            <w:tcW w:w="6604" w:type="dxa"/>
          </w:tcPr>
          <w:p w14:paraId="505D051F" w14:textId="31F3AE28" w:rsidR="003C77BD" w:rsidRPr="001B64D5" w:rsidRDefault="003C77BD" w:rsidP="001B64D5">
            <w:r w:rsidRPr="001B64D5">
              <w:t xml:space="preserve">Myelodysplastic </w:t>
            </w:r>
            <w:r w:rsidR="00793BA2">
              <w:t>s</w:t>
            </w:r>
            <w:r w:rsidRPr="001B64D5">
              <w:t xml:space="preserve">yndromes with </w:t>
            </w:r>
            <w:r w:rsidR="00793BA2">
              <w:t>r</w:t>
            </w:r>
            <w:r w:rsidRPr="001B64D5">
              <w:t xml:space="preserve">ing </w:t>
            </w:r>
            <w:proofErr w:type="spellStart"/>
            <w:r w:rsidR="00793BA2">
              <w:t>s</w:t>
            </w:r>
            <w:r w:rsidRPr="001B64D5">
              <w:t>ideroblasts</w:t>
            </w:r>
            <w:proofErr w:type="spellEnd"/>
          </w:p>
        </w:tc>
      </w:tr>
      <w:tr w:rsidR="003C77BD" w:rsidRPr="001B64D5" w14:paraId="68311AE4" w14:textId="77777777" w:rsidTr="00144438">
        <w:tc>
          <w:tcPr>
            <w:tcW w:w="1890" w:type="dxa"/>
          </w:tcPr>
          <w:p w14:paraId="4FADEC44" w14:textId="03D70073" w:rsidR="003C77BD" w:rsidRPr="001B64D5" w:rsidRDefault="003C77BD" w:rsidP="001B64D5">
            <w:r w:rsidRPr="001B64D5">
              <w:t>PBS</w:t>
            </w:r>
          </w:p>
        </w:tc>
        <w:tc>
          <w:tcPr>
            <w:tcW w:w="6604" w:type="dxa"/>
          </w:tcPr>
          <w:p w14:paraId="5E4DC2A5" w14:textId="6A38DB19" w:rsidR="003C77BD" w:rsidRPr="001B64D5" w:rsidRDefault="003C77BD" w:rsidP="001B64D5">
            <w:bookmarkStart w:id="9" w:name="_Hlk90456893"/>
            <w:r w:rsidRPr="001B64D5">
              <w:t>Pharmaceutical Benefits Scheme</w:t>
            </w:r>
            <w:bookmarkEnd w:id="9"/>
          </w:p>
        </w:tc>
      </w:tr>
      <w:tr w:rsidR="003C77BD" w:rsidRPr="001B64D5" w14:paraId="787DF999" w14:textId="77777777" w:rsidTr="00144438">
        <w:tc>
          <w:tcPr>
            <w:tcW w:w="1890" w:type="dxa"/>
          </w:tcPr>
          <w:p w14:paraId="7AFBB3D0" w14:textId="223A3C12" w:rsidR="003C77BD" w:rsidRPr="001B64D5" w:rsidRDefault="003C77BD" w:rsidP="001B64D5">
            <w:r w:rsidRPr="001B64D5">
              <w:t>PD</w:t>
            </w:r>
          </w:p>
        </w:tc>
        <w:tc>
          <w:tcPr>
            <w:tcW w:w="6604" w:type="dxa"/>
          </w:tcPr>
          <w:p w14:paraId="252E3397" w14:textId="23761521" w:rsidR="003C77BD" w:rsidRPr="001B64D5" w:rsidRDefault="003C77BD" w:rsidP="001B64D5">
            <w:r w:rsidRPr="001B64D5">
              <w:t>Pharmacodynamic</w:t>
            </w:r>
            <w:r w:rsidR="003F0110" w:rsidRPr="001B64D5">
              <w:t>(</w:t>
            </w:r>
            <w:r w:rsidRPr="001B64D5">
              <w:t>s</w:t>
            </w:r>
            <w:r w:rsidR="003F0110" w:rsidRPr="001B64D5">
              <w:t>)</w:t>
            </w:r>
          </w:p>
        </w:tc>
      </w:tr>
      <w:tr w:rsidR="00B57FA0" w:rsidRPr="001B64D5" w14:paraId="0D3D4E90" w14:textId="77777777" w:rsidTr="00144438">
        <w:tc>
          <w:tcPr>
            <w:tcW w:w="1890" w:type="dxa"/>
          </w:tcPr>
          <w:p w14:paraId="36647F03" w14:textId="676839F9" w:rsidR="00B57FA0" w:rsidRPr="001B64D5" w:rsidRDefault="00B57FA0" w:rsidP="001B64D5">
            <w:r w:rsidRPr="001B64D5">
              <w:t>PI</w:t>
            </w:r>
          </w:p>
        </w:tc>
        <w:tc>
          <w:tcPr>
            <w:tcW w:w="6604" w:type="dxa"/>
          </w:tcPr>
          <w:p w14:paraId="48695DB9" w14:textId="1403A99C" w:rsidR="00B57FA0" w:rsidRPr="001B64D5" w:rsidRDefault="00B57FA0" w:rsidP="001B64D5">
            <w:r w:rsidRPr="001B64D5">
              <w:t>Product Information</w:t>
            </w:r>
          </w:p>
        </w:tc>
      </w:tr>
      <w:tr w:rsidR="003C77BD" w:rsidRPr="001B64D5" w14:paraId="1AF2D386" w14:textId="77777777" w:rsidTr="00144438">
        <w:tc>
          <w:tcPr>
            <w:tcW w:w="1890" w:type="dxa"/>
          </w:tcPr>
          <w:p w14:paraId="0630C061" w14:textId="30506FA2" w:rsidR="003C77BD" w:rsidRPr="001B64D5" w:rsidRDefault="003C77BD" w:rsidP="001B64D5">
            <w:r w:rsidRPr="001B64D5">
              <w:t>PK</w:t>
            </w:r>
          </w:p>
        </w:tc>
        <w:tc>
          <w:tcPr>
            <w:tcW w:w="6604" w:type="dxa"/>
          </w:tcPr>
          <w:p w14:paraId="175109D4" w14:textId="6C44ACEC" w:rsidR="003C77BD" w:rsidRPr="001B64D5" w:rsidRDefault="003C77BD" w:rsidP="001B64D5">
            <w:r w:rsidRPr="001B64D5">
              <w:t>Pharmacokinetic</w:t>
            </w:r>
            <w:r w:rsidR="003F0110" w:rsidRPr="001B64D5">
              <w:t>(</w:t>
            </w:r>
            <w:r w:rsidRPr="001B64D5">
              <w:t>s</w:t>
            </w:r>
            <w:r w:rsidR="003F0110" w:rsidRPr="001B64D5">
              <w:t>)</w:t>
            </w:r>
          </w:p>
        </w:tc>
      </w:tr>
      <w:tr w:rsidR="003C77BD" w:rsidRPr="001B64D5" w14:paraId="1B4DC2B3" w14:textId="77777777" w:rsidTr="00144438">
        <w:tc>
          <w:tcPr>
            <w:tcW w:w="1890" w:type="dxa"/>
          </w:tcPr>
          <w:p w14:paraId="6882D7E7" w14:textId="672B43AC" w:rsidR="003C77BD" w:rsidRPr="001B64D5" w:rsidRDefault="003F0110" w:rsidP="001B64D5">
            <w:proofErr w:type="spellStart"/>
            <w:r w:rsidRPr="001B64D5">
              <w:t>P</w:t>
            </w:r>
            <w:r w:rsidR="003C77BD" w:rsidRPr="001B64D5">
              <w:t>opPK</w:t>
            </w:r>
            <w:proofErr w:type="spellEnd"/>
          </w:p>
        </w:tc>
        <w:tc>
          <w:tcPr>
            <w:tcW w:w="6604" w:type="dxa"/>
          </w:tcPr>
          <w:p w14:paraId="7EA1ABEE" w14:textId="5F2E3632" w:rsidR="003C77BD" w:rsidRPr="001B64D5" w:rsidRDefault="003C77BD" w:rsidP="001B64D5">
            <w:r w:rsidRPr="001B64D5">
              <w:t>Population Pharmacokinetic</w:t>
            </w:r>
            <w:r w:rsidR="003F0110" w:rsidRPr="001B64D5">
              <w:t>(</w:t>
            </w:r>
            <w:r w:rsidRPr="001B64D5">
              <w:t>s</w:t>
            </w:r>
            <w:r w:rsidR="003F0110" w:rsidRPr="001B64D5">
              <w:t>)</w:t>
            </w:r>
          </w:p>
        </w:tc>
      </w:tr>
      <w:tr w:rsidR="003C77BD" w:rsidRPr="001B64D5" w14:paraId="578CEDCA" w14:textId="77777777" w:rsidTr="00144438">
        <w:tc>
          <w:tcPr>
            <w:tcW w:w="1890" w:type="dxa"/>
          </w:tcPr>
          <w:p w14:paraId="46F960CA" w14:textId="01785DCE" w:rsidR="003C77BD" w:rsidRPr="001B64D5" w:rsidRDefault="003C77BD" w:rsidP="001B64D5">
            <w:r w:rsidRPr="001B64D5">
              <w:t>RBC</w:t>
            </w:r>
          </w:p>
        </w:tc>
        <w:tc>
          <w:tcPr>
            <w:tcW w:w="6604" w:type="dxa"/>
          </w:tcPr>
          <w:p w14:paraId="68030969" w14:textId="01B34776" w:rsidR="003C77BD" w:rsidRPr="001B64D5" w:rsidRDefault="003C77BD" w:rsidP="001B64D5">
            <w:r w:rsidRPr="001B64D5">
              <w:t>Red Blood Cell Count</w:t>
            </w:r>
          </w:p>
        </w:tc>
      </w:tr>
      <w:tr w:rsidR="00EB563A" w:rsidRPr="001B64D5" w14:paraId="1033AC98" w14:textId="77777777" w:rsidTr="00144438">
        <w:tc>
          <w:tcPr>
            <w:tcW w:w="1890" w:type="dxa"/>
          </w:tcPr>
          <w:p w14:paraId="39801E31" w14:textId="6ADFEFF8" w:rsidR="00EB563A" w:rsidRPr="001B64D5" w:rsidRDefault="00EB563A" w:rsidP="001B64D5">
            <w:r w:rsidRPr="001B64D5">
              <w:t>RMP</w:t>
            </w:r>
          </w:p>
        </w:tc>
        <w:tc>
          <w:tcPr>
            <w:tcW w:w="6604" w:type="dxa"/>
          </w:tcPr>
          <w:p w14:paraId="03132308" w14:textId="195621A0" w:rsidR="00EB563A" w:rsidRPr="001B64D5" w:rsidRDefault="00EB563A" w:rsidP="001B64D5">
            <w:r w:rsidRPr="001B64D5">
              <w:t>Risk Management Plan</w:t>
            </w:r>
          </w:p>
        </w:tc>
      </w:tr>
      <w:tr w:rsidR="003C77BD" w:rsidRPr="001B64D5" w14:paraId="180865CE" w14:textId="77777777" w:rsidTr="00144438">
        <w:tc>
          <w:tcPr>
            <w:tcW w:w="1890" w:type="dxa"/>
          </w:tcPr>
          <w:p w14:paraId="44D3C1F0" w14:textId="48EF4B7F" w:rsidR="003C77BD" w:rsidRPr="001B64D5" w:rsidRDefault="003C77BD" w:rsidP="001B64D5">
            <w:r w:rsidRPr="001B64D5">
              <w:t>SC</w:t>
            </w:r>
          </w:p>
        </w:tc>
        <w:tc>
          <w:tcPr>
            <w:tcW w:w="6604" w:type="dxa"/>
          </w:tcPr>
          <w:p w14:paraId="0AC3E3D7" w14:textId="1F302746" w:rsidR="003C77BD" w:rsidRPr="001B64D5" w:rsidRDefault="003C77BD" w:rsidP="001B64D5">
            <w:r w:rsidRPr="001B64D5">
              <w:t xml:space="preserve">Subcutaneous </w:t>
            </w:r>
          </w:p>
        </w:tc>
      </w:tr>
      <w:tr w:rsidR="003C77BD" w:rsidRPr="001B64D5" w14:paraId="64F01129" w14:textId="77777777" w:rsidTr="00144438">
        <w:tc>
          <w:tcPr>
            <w:tcW w:w="1890" w:type="dxa"/>
          </w:tcPr>
          <w:p w14:paraId="6A330AB3" w14:textId="155F5DA2" w:rsidR="003C77BD" w:rsidRPr="001B64D5" w:rsidRDefault="003C77BD" w:rsidP="001B64D5">
            <w:r w:rsidRPr="001B64D5">
              <w:t>SD</w:t>
            </w:r>
          </w:p>
        </w:tc>
        <w:tc>
          <w:tcPr>
            <w:tcW w:w="6604" w:type="dxa"/>
          </w:tcPr>
          <w:p w14:paraId="432E5E9A" w14:textId="6C6D01B4" w:rsidR="003C77BD" w:rsidRPr="001B64D5" w:rsidRDefault="003C77BD" w:rsidP="001B64D5">
            <w:r w:rsidRPr="001B64D5">
              <w:t xml:space="preserve">Standard </w:t>
            </w:r>
            <w:r w:rsidR="008F26A5">
              <w:t>d</w:t>
            </w:r>
            <w:r w:rsidRPr="001B64D5">
              <w:t>eviation</w:t>
            </w:r>
          </w:p>
        </w:tc>
      </w:tr>
      <w:tr w:rsidR="003C77BD" w:rsidRPr="001B64D5" w14:paraId="2082EE8F" w14:textId="77777777" w:rsidTr="00144438">
        <w:tc>
          <w:tcPr>
            <w:tcW w:w="1890" w:type="dxa"/>
          </w:tcPr>
          <w:p w14:paraId="5BEB32FC" w14:textId="31B4184A" w:rsidR="003C77BD" w:rsidRPr="001B64D5" w:rsidRDefault="003C77BD" w:rsidP="001B64D5">
            <w:r w:rsidRPr="001B64D5">
              <w:t>TGF-</w:t>
            </w:r>
            <w:r w:rsidR="00226235" w:rsidRPr="001B64D5">
              <w:t>β</w:t>
            </w:r>
          </w:p>
        </w:tc>
        <w:tc>
          <w:tcPr>
            <w:tcW w:w="6604" w:type="dxa"/>
          </w:tcPr>
          <w:p w14:paraId="690FDC4A" w14:textId="779D7FC9" w:rsidR="003C77BD" w:rsidRPr="001B64D5" w:rsidRDefault="003C77BD" w:rsidP="008F26A5">
            <w:r w:rsidRPr="001B64D5">
              <w:t xml:space="preserve">Transforming </w:t>
            </w:r>
            <w:r w:rsidR="008F26A5">
              <w:t>g</w:t>
            </w:r>
            <w:r w:rsidRPr="001B64D5">
              <w:t xml:space="preserve">rowth </w:t>
            </w:r>
            <w:r w:rsidR="008F26A5">
              <w:t>f</w:t>
            </w:r>
            <w:r w:rsidRPr="001B64D5">
              <w:t xml:space="preserve">actor </w:t>
            </w:r>
            <w:r w:rsidR="008F26A5">
              <w:t>b</w:t>
            </w:r>
            <w:r w:rsidRPr="001B64D5">
              <w:t>eta</w:t>
            </w:r>
          </w:p>
        </w:tc>
      </w:tr>
      <w:tr w:rsidR="00FA2C03" w:rsidRPr="001B64D5" w14:paraId="5C599700" w14:textId="77777777" w:rsidTr="00144438">
        <w:tc>
          <w:tcPr>
            <w:tcW w:w="1890" w:type="dxa"/>
          </w:tcPr>
          <w:p w14:paraId="75B0CFCE" w14:textId="7931CC64" w:rsidR="00FA2C03" w:rsidRPr="001B64D5" w:rsidRDefault="00FA2C03" w:rsidP="001B64D5">
            <w:r w:rsidRPr="001B64D5">
              <w:t>TIF</w:t>
            </w:r>
          </w:p>
        </w:tc>
        <w:tc>
          <w:tcPr>
            <w:tcW w:w="6604" w:type="dxa"/>
          </w:tcPr>
          <w:p w14:paraId="1B210215" w14:textId="75632FE8" w:rsidR="00FA2C03" w:rsidRPr="001B64D5" w:rsidRDefault="00FA2C03" w:rsidP="001B64D5">
            <w:r w:rsidRPr="001B64D5">
              <w:t>Thalassaemia International Federation</w:t>
            </w:r>
          </w:p>
        </w:tc>
      </w:tr>
      <w:tr w:rsidR="002C2C38" w:rsidRPr="001B64D5" w14:paraId="48807153" w14:textId="77777777" w:rsidTr="00144438">
        <w:tc>
          <w:tcPr>
            <w:tcW w:w="1890" w:type="dxa"/>
          </w:tcPr>
          <w:p w14:paraId="4A8422F6" w14:textId="29067AD7" w:rsidR="002C2C38" w:rsidRPr="001B64D5" w:rsidRDefault="002C2C38" w:rsidP="001B64D5">
            <w:proofErr w:type="spellStart"/>
            <w:r w:rsidRPr="001B64D5">
              <w:t>T</w:t>
            </w:r>
            <w:r w:rsidRPr="00144438">
              <w:rPr>
                <w:vertAlign w:val="subscript"/>
              </w:rPr>
              <w:t>max</w:t>
            </w:r>
            <w:proofErr w:type="spellEnd"/>
          </w:p>
        </w:tc>
        <w:tc>
          <w:tcPr>
            <w:tcW w:w="6604" w:type="dxa"/>
          </w:tcPr>
          <w:p w14:paraId="4A3E0631" w14:textId="6518B624" w:rsidR="002C2C38" w:rsidRPr="001B64D5" w:rsidRDefault="008F26A5" w:rsidP="008F26A5">
            <w:r>
              <w:t>Time of</w:t>
            </w:r>
            <w:r w:rsidR="002C2C38" w:rsidRPr="001B64D5">
              <w:t xml:space="preserve"> maximum concentration</w:t>
            </w:r>
          </w:p>
        </w:tc>
      </w:tr>
      <w:tr w:rsidR="003C77BD" w:rsidRPr="001B64D5" w14:paraId="6FFFE133" w14:textId="77777777" w:rsidTr="00144438">
        <w:tc>
          <w:tcPr>
            <w:tcW w:w="1890" w:type="dxa"/>
          </w:tcPr>
          <w:p w14:paraId="5040B25A" w14:textId="02A09E07" w:rsidR="003C77BD" w:rsidRPr="001B64D5" w:rsidRDefault="003C77BD" w:rsidP="001B64D5">
            <w:r w:rsidRPr="001B64D5">
              <w:t>V/F</w:t>
            </w:r>
          </w:p>
        </w:tc>
        <w:tc>
          <w:tcPr>
            <w:tcW w:w="6604" w:type="dxa"/>
          </w:tcPr>
          <w:p w14:paraId="5D06FC0A" w14:textId="136F7F81" w:rsidR="003C77BD" w:rsidRPr="001B64D5" w:rsidRDefault="003C77BD" w:rsidP="001B64D5">
            <w:r w:rsidRPr="001B64D5">
              <w:t xml:space="preserve">Apparent </w:t>
            </w:r>
            <w:r w:rsidR="008F26A5">
              <w:t>v</w:t>
            </w:r>
            <w:r w:rsidRPr="001B64D5">
              <w:t xml:space="preserve">olume of </w:t>
            </w:r>
            <w:r w:rsidR="008F26A5">
              <w:t>d</w:t>
            </w:r>
            <w:r w:rsidRPr="001B64D5">
              <w:t>istribution</w:t>
            </w:r>
          </w:p>
        </w:tc>
      </w:tr>
      <w:tr w:rsidR="003C77BD" w:rsidRPr="001B64D5" w14:paraId="5E4F38AA" w14:textId="77777777" w:rsidTr="00144438">
        <w:tc>
          <w:tcPr>
            <w:tcW w:w="1890" w:type="dxa"/>
          </w:tcPr>
          <w:p w14:paraId="506AA9F7" w14:textId="022B8A07" w:rsidR="003C77BD" w:rsidRPr="001B64D5" w:rsidRDefault="003C77BD" w:rsidP="001B64D5">
            <w:r w:rsidRPr="001B64D5">
              <w:t>V1/F</w:t>
            </w:r>
          </w:p>
        </w:tc>
        <w:tc>
          <w:tcPr>
            <w:tcW w:w="6604" w:type="dxa"/>
          </w:tcPr>
          <w:p w14:paraId="27074E2F" w14:textId="181AE2BB" w:rsidR="003C77BD" w:rsidRPr="001B64D5" w:rsidRDefault="003C77BD" w:rsidP="001B64D5">
            <w:r w:rsidRPr="001B64D5">
              <w:t xml:space="preserve">Apparent </w:t>
            </w:r>
            <w:r w:rsidR="008F26A5">
              <w:t>c</w:t>
            </w:r>
            <w:r w:rsidRPr="001B64D5">
              <w:t xml:space="preserve">entral </w:t>
            </w:r>
            <w:r w:rsidR="008F26A5">
              <w:t>v</w:t>
            </w:r>
            <w:r w:rsidRPr="001B64D5">
              <w:t xml:space="preserve">olume of </w:t>
            </w:r>
            <w:r w:rsidR="008F26A5">
              <w:t>d</w:t>
            </w:r>
            <w:r w:rsidRPr="001B64D5">
              <w:t>istribution</w:t>
            </w:r>
          </w:p>
        </w:tc>
      </w:tr>
      <w:tr w:rsidR="004B217A" w:rsidRPr="001B64D5" w14:paraId="2ED5F614" w14:textId="77777777" w:rsidTr="00144438">
        <w:tc>
          <w:tcPr>
            <w:tcW w:w="1890" w:type="dxa"/>
          </w:tcPr>
          <w:p w14:paraId="1E6EB06C" w14:textId="235C1415" w:rsidR="004B217A" w:rsidRPr="001B64D5" w:rsidRDefault="004B217A" w:rsidP="001B64D5">
            <w:r w:rsidRPr="001B64D5">
              <w:t>VCR</w:t>
            </w:r>
          </w:p>
        </w:tc>
        <w:tc>
          <w:tcPr>
            <w:tcW w:w="6604" w:type="dxa"/>
          </w:tcPr>
          <w:p w14:paraId="1772EC0A" w14:textId="54C4F79D" w:rsidR="004B217A" w:rsidRPr="001B64D5" w:rsidRDefault="004B217A" w:rsidP="001B64D5">
            <w:r w:rsidRPr="001B64D5">
              <w:t>Victorian Cancer Registry</w:t>
            </w:r>
          </w:p>
        </w:tc>
      </w:tr>
    </w:tbl>
    <w:p w14:paraId="56933CA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C22491E" w14:textId="77777777" w:rsidR="008E7846" w:rsidRDefault="00F53C07" w:rsidP="008E7846">
      <w:pPr>
        <w:pStyle w:val="Heading2"/>
      </w:pPr>
      <w:bookmarkStart w:id="10" w:name="_Toc102045183"/>
      <w:r>
        <w:lastRenderedPageBreak/>
        <w:t>I.</w:t>
      </w:r>
      <w:r w:rsidR="008E7846">
        <w:t xml:space="preserve"> Introduction to product submission</w:t>
      </w:r>
      <w:bookmarkEnd w:id="2"/>
      <w:bookmarkEnd w:id="0"/>
      <w:bookmarkEnd w:id="10"/>
    </w:p>
    <w:p w14:paraId="3A5BCF6D" w14:textId="77777777" w:rsidR="008E7846" w:rsidRDefault="008E7846" w:rsidP="008E7846">
      <w:pPr>
        <w:pStyle w:val="Heading3"/>
        <w:rPr>
          <w:lang w:eastAsia="en-AU"/>
        </w:rPr>
      </w:pPr>
      <w:bookmarkStart w:id="11" w:name="_Toc247691502"/>
      <w:bookmarkStart w:id="12" w:name="_Toc314842483"/>
      <w:bookmarkStart w:id="13" w:name="_Toc102045184"/>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14:paraId="680B61B6" w14:textId="77777777" w:rsidTr="003735BC">
        <w:tc>
          <w:tcPr>
            <w:tcW w:w="2907" w:type="dxa"/>
          </w:tcPr>
          <w:p w14:paraId="6F31660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5242E27" w14:textId="430BDBE7" w:rsidR="008E7846" w:rsidRPr="003D1E62" w:rsidRDefault="008E7846" w:rsidP="001B5C90">
            <w:bookmarkStart w:id="14" w:name="_Hlk102036705"/>
            <w:r w:rsidRPr="003D1E62">
              <w:t xml:space="preserve">New </w:t>
            </w:r>
            <w:r w:rsidR="00E14E5E">
              <w:t>biological</w:t>
            </w:r>
            <w:r w:rsidRPr="003D1E62">
              <w:t xml:space="preserve"> </w:t>
            </w:r>
            <w:r w:rsidR="001B5C90">
              <w:t>e</w:t>
            </w:r>
            <w:r w:rsidRPr="003D1E62">
              <w:t>ntity</w:t>
            </w:r>
            <w:bookmarkEnd w:id="14"/>
          </w:p>
        </w:tc>
      </w:tr>
      <w:tr w:rsidR="00460036" w:rsidRPr="003D1E62" w14:paraId="0443829C" w14:textId="77777777" w:rsidTr="003735BC">
        <w:tc>
          <w:tcPr>
            <w:tcW w:w="2907" w:type="dxa"/>
          </w:tcPr>
          <w:p w14:paraId="17B07144" w14:textId="2743A3CB" w:rsidR="00460036" w:rsidRPr="003D1E62" w:rsidRDefault="00460036" w:rsidP="003D1E62">
            <w:pPr>
              <w:rPr>
                <w:i/>
              </w:rPr>
            </w:pPr>
            <w:r w:rsidRPr="00460036">
              <w:rPr>
                <w:i/>
              </w:rPr>
              <w:t>Product name:</w:t>
            </w:r>
          </w:p>
        </w:tc>
        <w:tc>
          <w:tcPr>
            <w:tcW w:w="6307" w:type="dxa"/>
          </w:tcPr>
          <w:p w14:paraId="66F5F1A0" w14:textId="4C43B656" w:rsidR="00460036" w:rsidRPr="003D1E62" w:rsidRDefault="00253899" w:rsidP="001B5C90">
            <w:proofErr w:type="spellStart"/>
            <w:r w:rsidRPr="00253899">
              <w:t>Reblozyl</w:t>
            </w:r>
            <w:proofErr w:type="spellEnd"/>
            <w:r>
              <w:t xml:space="preserve"> </w:t>
            </w:r>
          </w:p>
        </w:tc>
      </w:tr>
      <w:tr w:rsidR="00460036" w:rsidRPr="003D1E62" w14:paraId="57ACC377" w14:textId="77777777" w:rsidTr="003735BC">
        <w:tc>
          <w:tcPr>
            <w:tcW w:w="2907" w:type="dxa"/>
          </w:tcPr>
          <w:p w14:paraId="2CF65B56" w14:textId="68EF6DD3" w:rsidR="00460036" w:rsidRPr="003D1E62" w:rsidRDefault="00460036" w:rsidP="003D1E62">
            <w:pPr>
              <w:rPr>
                <w:i/>
              </w:rPr>
            </w:pPr>
            <w:r w:rsidRPr="00460036">
              <w:rPr>
                <w:i/>
              </w:rPr>
              <w:t>Active ingredient:</w:t>
            </w:r>
          </w:p>
        </w:tc>
        <w:tc>
          <w:tcPr>
            <w:tcW w:w="6307" w:type="dxa"/>
          </w:tcPr>
          <w:p w14:paraId="021AC2B8" w14:textId="100213AE" w:rsidR="00460036" w:rsidRPr="003D1E62" w:rsidRDefault="0065253D" w:rsidP="001B5C90">
            <w:proofErr w:type="spellStart"/>
            <w:r w:rsidRPr="0065253D">
              <w:t>Luspatercept</w:t>
            </w:r>
            <w:proofErr w:type="spellEnd"/>
          </w:p>
        </w:tc>
      </w:tr>
      <w:tr w:rsidR="008E7846" w:rsidRPr="003D1E62" w14:paraId="6C5AAE03" w14:textId="77777777" w:rsidTr="003735BC">
        <w:tc>
          <w:tcPr>
            <w:tcW w:w="2907" w:type="dxa"/>
          </w:tcPr>
          <w:p w14:paraId="19D39609" w14:textId="77777777" w:rsidR="008E7846" w:rsidRPr="003D1E62" w:rsidRDefault="008E7846" w:rsidP="003D1E62">
            <w:r w:rsidRPr="003D1E62">
              <w:rPr>
                <w:i/>
              </w:rPr>
              <w:t>Decision</w:t>
            </w:r>
            <w:r w:rsidRPr="003D1E62">
              <w:t>:</w:t>
            </w:r>
          </w:p>
        </w:tc>
        <w:tc>
          <w:tcPr>
            <w:tcW w:w="6307" w:type="dxa"/>
          </w:tcPr>
          <w:p w14:paraId="652F8DAA" w14:textId="42414BDC" w:rsidR="008E7846" w:rsidRPr="003D1E62" w:rsidRDefault="00460036" w:rsidP="001B5C90">
            <w:r w:rsidRPr="00460036">
              <w:t>Approved</w:t>
            </w:r>
          </w:p>
        </w:tc>
      </w:tr>
      <w:tr w:rsidR="008E7846" w:rsidRPr="003D1E62" w14:paraId="7ED83D18" w14:textId="77777777" w:rsidTr="003735BC">
        <w:tc>
          <w:tcPr>
            <w:tcW w:w="2907" w:type="dxa"/>
          </w:tcPr>
          <w:p w14:paraId="6DD2A19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48D613D" w14:textId="5EDA339E" w:rsidR="008E7846" w:rsidRPr="003D1E62" w:rsidRDefault="00F12B31" w:rsidP="001B5C90">
            <w:r w:rsidRPr="00F12B31">
              <w:t>27 August 2021</w:t>
            </w:r>
          </w:p>
        </w:tc>
      </w:tr>
      <w:tr w:rsidR="00ED2922" w:rsidRPr="003D1E62" w14:paraId="3BDCE805" w14:textId="77777777" w:rsidTr="003735BC">
        <w:tc>
          <w:tcPr>
            <w:tcW w:w="2907" w:type="dxa"/>
          </w:tcPr>
          <w:p w14:paraId="48ACBD0D" w14:textId="77777777" w:rsidR="00ED2922" w:rsidRPr="00441C3F" w:rsidRDefault="00ED2922" w:rsidP="001B5C90">
            <w:pPr>
              <w:rPr>
                <w:i/>
              </w:rPr>
            </w:pPr>
            <w:r w:rsidRPr="00441C3F">
              <w:rPr>
                <w:i/>
              </w:rPr>
              <w:t>Date of entry onto ARTG</w:t>
            </w:r>
            <w:r w:rsidR="00500337">
              <w:rPr>
                <w:i/>
              </w:rPr>
              <w:t>:</w:t>
            </w:r>
          </w:p>
        </w:tc>
        <w:tc>
          <w:tcPr>
            <w:tcW w:w="6307" w:type="dxa"/>
          </w:tcPr>
          <w:p w14:paraId="25DD74F7" w14:textId="0F5E6605" w:rsidR="00ED2922" w:rsidRPr="00441C3F" w:rsidRDefault="002E059E" w:rsidP="00D153D8">
            <w:pPr>
              <w:rPr>
                <w:i/>
              </w:rPr>
            </w:pPr>
            <w:r>
              <w:t>30</w:t>
            </w:r>
            <w:r w:rsidRPr="00F12B31">
              <w:t xml:space="preserve"> August 2021</w:t>
            </w:r>
          </w:p>
        </w:tc>
      </w:tr>
      <w:tr w:rsidR="00500337" w:rsidRPr="003D1E62" w14:paraId="69677E4E" w14:textId="77777777" w:rsidTr="003735BC">
        <w:tc>
          <w:tcPr>
            <w:tcW w:w="2907" w:type="dxa"/>
          </w:tcPr>
          <w:p w14:paraId="24BDDBD0" w14:textId="445528A5" w:rsidR="00500337" w:rsidRPr="00441C3F" w:rsidRDefault="00500337" w:rsidP="001B5C90">
            <w:pPr>
              <w:rPr>
                <w:i/>
              </w:rPr>
            </w:pPr>
            <w:r>
              <w:rPr>
                <w:i/>
              </w:rPr>
              <w:t>ARTG number:</w:t>
            </w:r>
          </w:p>
        </w:tc>
        <w:tc>
          <w:tcPr>
            <w:tcW w:w="6307" w:type="dxa"/>
          </w:tcPr>
          <w:p w14:paraId="22A685CB" w14:textId="78F6C3A1" w:rsidR="00500337" w:rsidRPr="00441C3F" w:rsidRDefault="008B23EF" w:rsidP="00EC463D">
            <w:r>
              <w:t>334510,</w:t>
            </w:r>
            <w:r w:rsidR="00F03961">
              <w:t xml:space="preserve"> and</w:t>
            </w:r>
            <w:r>
              <w:t xml:space="preserve"> </w:t>
            </w:r>
            <w:r w:rsidR="002E059E" w:rsidRPr="002E059E">
              <w:t>334511</w:t>
            </w:r>
          </w:p>
        </w:tc>
      </w:tr>
      <w:tr w:rsidR="003735BC" w:rsidRPr="003D1E62" w14:paraId="1EF56ADA" w14:textId="77777777" w:rsidTr="003735BC">
        <w:tc>
          <w:tcPr>
            <w:tcW w:w="2907" w:type="dxa"/>
          </w:tcPr>
          <w:p w14:paraId="42657411" w14:textId="1E07AF35"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49228212" w14:textId="72149733" w:rsidR="003735BC" w:rsidRDefault="003735BC" w:rsidP="003735BC">
            <w:r>
              <w:t>Yes</w:t>
            </w:r>
          </w:p>
          <w:p w14:paraId="535FD82F" w14:textId="0299CA59" w:rsidR="003735BC" w:rsidRPr="00487162" w:rsidRDefault="003735BC" w:rsidP="003735BC">
            <w:r>
              <w:t xml:space="preserve">This product will remain in the scheme for 5 years, starting on the date the product is first supplied in </w:t>
            </w:r>
            <w:r w:rsidRPr="00D453FA">
              <w:t xml:space="preserve">Australia </w:t>
            </w:r>
          </w:p>
        </w:tc>
      </w:tr>
      <w:tr w:rsidR="008E7846" w:rsidRPr="00487162" w14:paraId="7223CA5E" w14:textId="77777777" w:rsidTr="00BF1190">
        <w:tc>
          <w:tcPr>
            <w:tcW w:w="2907" w:type="dxa"/>
          </w:tcPr>
          <w:p w14:paraId="4DD2324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1A5C052" w14:textId="58D6AEC5" w:rsidR="00A141A0" w:rsidRDefault="00A141A0" w:rsidP="00A141A0">
            <w:r>
              <w:t xml:space="preserve">Celgene Pty </w:t>
            </w:r>
            <w:r w:rsidR="00CD1DA5">
              <w:t>Lt</w:t>
            </w:r>
            <w:r>
              <w:t>d</w:t>
            </w:r>
          </w:p>
          <w:p w14:paraId="122D6091" w14:textId="77777777" w:rsidR="000B1F47" w:rsidRDefault="000B1F47" w:rsidP="000B1F47">
            <w:r>
              <w:t>Level 2/4 Nexus Court</w:t>
            </w:r>
          </w:p>
          <w:p w14:paraId="13DF21E3" w14:textId="71DE6527" w:rsidR="00986548" w:rsidRPr="00487162" w:rsidRDefault="000B1F47" w:rsidP="000B1F47">
            <w:r>
              <w:t>Mulgrave VIC 3170</w:t>
            </w:r>
          </w:p>
        </w:tc>
      </w:tr>
      <w:tr w:rsidR="008E7846" w:rsidRPr="00487162" w14:paraId="1420A64D" w14:textId="77777777" w:rsidTr="00BF1190">
        <w:tc>
          <w:tcPr>
            <w:tcW w:w="2907" w:type="dxa"/>
          </w:tcPr>
          <w:p w14:paraId="62176E3C" w14:textId="78140E1F" w:rsidR="008E7846" w:rsidRPr="00487162" w:rsidRDefault="001B5C90" w:rsidP="00E45619">
            <w:pPr>
              <w:rPr>
                <w:i/>
              </w:rPr>
            </w:pPr>
            <w:r>
              <w:rPr>
                <w:i/>
              </w:rPr>
              <w:t>Dose fo</w:t>
            </w:r>
            <w:r w:rsidR="00F03961">
              <w:rPr>
                <w:i/>
              </w:rPr>
              <w:t>rm</w:t>
            </w:r>
            <w:r>
              <w:rPr>
                <w:i/>
              </w:rPr>
              <w:t>:</w:t>
            </w:r>
          </w:p>
        </w:tc>
        <w:tc>
          <w:tcPr>
            <w:tcW w:w="6307" w:type="dxa"/>
          </w:tcPr>
          <w:p w14:paraId="37ECD7D4" w14:textId="354A5F58" w:rsidR="008E7846" w:rsidRPr="00487162" w:rsidRDefault="007D39B6" w:rsidP="00E45619">
            <w:r>
              <w:t>P</w:t>
            </w:r>
            <w:r w:rsidRPr="007D39B6">
              <w:t>owder for injection</w:t>
            </w:r>
          </w:p>
        </w:tc>
      </w:tr>
      <w:tr w:rsidR="008E7846" w:rsidRPr="00487162" w14:paraId="62B72FF4" w14:textId="77777777" w:rsidTr="00BF1190">
        <w:tc>
          <w:tcPr>
            <w:tcW w:w="2907" w:type="dxa"/>
          </w:tcPr>
          <w:p w14:paraId="439899FC" w14:textId="230DE310" w:rsidR="008E7846" w:rsidRPr="00487162" w:rsidRDefault="00F03961" w:rsidP="00E45619">
            <w:pPr>
              <w:rPr>
                <w:i/>
              </w:rPr>
            </w:pPr>
            <w:r>
              <w:rPr>
                <w:i/>
              </w:rPr>
              <w:t>Strengths</w:t>
            </w:r>
            <w:r w:rsidR="00324E45">
              <w:rPr>
                <w:i/>
              </w:rPr>
              <w:t>:</w:t>
            </w:r>
          </w:p>
        </w:tc>
        <w:tc>
          <w:tcPr>
            <w:tcW w:w="6307" w:type="dxa"/>
          </w:tcPr>
          <w:p w14:paraId="5058335C" w14:textId="3F02D49F" w:rsidR="008E7846" w:rsidRPr="00487162" w:rsidRDefault="002A6906" w:rsidP="00E45619">
            <w:r>
              <w:t>25</w:t>
            </w:r>
            <w:r w:rsidR="00963EDC">
              <w:t> </w:t>
            </w:r>
            <w:r>
              <w:t>mg</w:t>
            </w:r>
            <w:r w:rsidR="008E7846" w:rsidRPr="00487162">
              <w:t xml:space="preserve"> and </w:t>
            </w:r>
            <w:r>
              <w:t>75</w:t>
            </w:r>
            <w:r w:rsidR="00963EDC">
              <w:t> </w:t>
            </w:r>
            <w:r>
              <w:t>mg</w:t>
            </w:r>
          </w:p>
        </w:tc>
      </w:tr>
      <w:tr w:rsidR="008E7846" w:rsidRPr="00487162" w14:paraId="50A63651" w14:textId="77777777" w:rsidTr="00BF1190">
        <w:tc>
          <w:tcPr>
            <w:tcW w:w="2907" w:type="dxa"/>
          </w:tcPr>
          <w:p w14:paraId="28B7942F" w14:textId="6F23B997" w:rsidR="008E7846" w:rsidRPr="00487162" w:rsidRDefault="00F03961" w:rsidP="00E45619">
            <w:pPr>
              <w:rPr>
                <w:i/>
              </w:rPr>
            </w:pPr>
            <w:r>
              <w:rPr>
                <w:i/>
              </w:rPr>
              <w:t>Container</w:t>
            </w:r>
            <w:r w:rsidR="008E7846" w:rsidRPr="00487162">
              <w:rPr>
                <w:i/>
              </w:rPr>
              <w:t>:</w:t>
            </w:r>
          </w:p>
        </w:tc>
        <w:tc>
          <w:tcPr>
            <w:tcW w:w="6307" w:type="dxa"/>
          </w:tcPr>
          <w:p w14:paraId="25BCA22C" w14:textId="249F1598" w:rsidR="008E7846" w:rsidRPr="00487162" w:rsidRDefault="002A6906" w:rsidP="00E45619">
            <w:r w:rsidRPr="002A6906">
              <w:t>Type</w:t>
            </w:r>
            <w:r w:rsidR="00963EDC">
              <w:t> </w:t>
            </w:r>
            <w:r w:rsidRPr="002A6906">
              <w:t>I glass vial</w:t>
            </w:r>
          </w:p>
        </w:tc>
      </w:tr>
      <w:tr w:rsidR="008E7846" w:rsidRPr="00487162" w14:paraId="0504A488" w14:textId="77777777" w:rsidTr="00BF1190">
        <w:tc>
          <w:tcPr>
            <w:tcW w:w="2907" w:type="dxa"/>
          </w:tcPr>
          <w:p w14:paraId="137EB472" w14:textId="7F7C32F9" w:rsidR="008E7846" w:rsidRPr="00487162" w:rsidRDefault="00F03961" w:rsidP="00E45619">
            <w:pPr>
              <w:rPr>
                <w:i/>
              </w:rPr>
            </w:pPr>
            <w:r>
              <w:rPr>
                <w:i/>
              </w:rPr>
              <w:t>Pack size:</w:t>
            </w:r>
          </w:p>
        </w:tc>
        <w:tc>
          <w:tcPr>
            <w:tcW w:w="6307" w:type="dxa"/>
          </w:tcPr>
          <w:p w14:paraId="7EDD25EB" w14:textId="6F77D1B7" w:rsidR="008E7846" w:rsidRPr="00487162" w:rsidRDefault="008B23EF" w:rsidP="00E45619">
            <w:r>
              <w:t>O</w:t>
            </w:r>
            <w:r w:rsidR="00963EDC">
              <w:t>ne</w:t>
            </w:r>
            <w:r w:rsidR="006E7AA0" w:rsidRPr="006E7AA0">
              <w:t xml:space="preserve"> vial</w:t>
            </w:r>
          </w:p>
        </w:tc>
      </w:tr>
      <w:tr w:rsidR="008E7846" w:rsidRPr="00487162" w14:paraId="244DDD6A" w14:textId="77777777" w:rsidTr="00BF1190">
        <w:tc>
          <w:tcPr>
            <w:tcW w:w="2907" w:type="dxa"/>
          </w:tcPr>
          <w:p w14:paraId="1E28A82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D9CB101" w14:textId="77777777" w:rsidR="008E7846" w:rsidRDefault="006E7AA0" w:rsidP="006E7AA0">
            <w:pPr>
              <w:rPr>
                <w:i/>
                <w:iCs/>
              </w:rPr>
            </w:pPr>
            <w:proofErr w:type="spellStart"/>
            <w:r w:rsidRPr="002E6029">
              <w:rPr>
                <w:i/>
                <w:iCs/>
              </w:rPr>
              <w:t>Reblozyl</w:t>
            </w:r>
            <w:proofErr w:type="spellEnd"/>
            <w:r w:rsidRPr="002E6029">
              <w:rPr>
                <w:i/>
                <w:iCs/>
              </w:rPr>
              <w:t xml:space="preserve"> is indicated for the treatment of adult patients with transfusion-dependent anaemia</w:t>
            </w:r>
            <w:r w:rsidR="00B44F31" w:rsidRPr="002E6029">
              <w:rPr>
                <w:i/>
                <w:iCs/>
              </w:rPr>
              <w:t xml:space="preserve"> </w:t>
            </w:r>
            <w:r w:rsidRPr="002E6029">
              <w:rPr>
                <w:i/>
                <w:iCs/>
              </w:rPr>
              <w:t>(requiring 2 or more RBC units over 8 weeks) due to very low, low and intermediate-risk</w:t>
            </w:r>
            <w:r w:rsidR="00B44F31" w:rsidRPr="002E6029">
              <w:rPr>
                <w:i/>
                <w:iCs/>
              </w:rPr>
              <w:t xml:space="preserve"> </w:t>
            </w:r>
            <w:r w:rsidRPr="002E6029">
              <w:rPr>
                <w:i/>
                <w:iCs/>
              </w:rPr>
              <w:t xml:space="preserve">myelodysplastic syndromes with ring </w:t>
            </w:r>
            <w:proofErr w:type="spellStart"/>
            <w:r w:rsidRPr="002E6029">
              <w:rPr>
                <w:i/>
                <w:iCs/>
              </w:rPr>
              <w:t>sideroblasts</w:t>
            </w:r>
            <w:proofErr w:type="spellEnd"/>
            <w:r w:rsidRPr="002E6029">
              <w:rPr>
                <w:i/>
                <w:iCs/>
              </w:rPr>
              <w:t xml:space="preserve"> (MDS-RS)</w:t>
            </w:r>
          </w:p>
          <w:p w14:paraId="18C6F912" w14:textId="07907F3F" w:rsidR="000B1F47" w:rsidRPr="002E6029" w:rsidRDefault="000B1F47" w:rsidP="000B1F47">
            <w:pPr>
              <w:rPr>
                <w:i/>
                <w:iCs/>
              </w:rPr>
            </w:pPr>
            <w:proofErr w:type="spellStart"/>
            <w:r w:rsidRPr="000B1F47">
              <w:rPr>
                <w:i/>
                <w:iCs/>
              </w:rPr>
              <w:t>R</w:t>
            </w:r>
            <w:r w:rsidR="009D4CEE">
              <w:rPr>
                <w:i/>
                <w:iCs/>
              </w:rPr>
              <w:t>eblozyl</w:t>
            </w:r>
            <w:proofErr w:type="spellEnd"/>
            <w:r w:rsidRPr="000B1F47">
              <w:rPr>
                <w:i/>
                <w:iCs/>
              </w:rPr>
              <w:t xml:space="preserve"> is indicated for the treatment of adult patients with transfusion-dependent anaemia associated</w:t>
            </w:r>
            <w:r>
              <w:rPr>
                <w:i/>
                <w:iCs/>
              </w:rPr>
              <w:t xml:space="preserve"> </w:t>
            </w:r>
            <w:r w:rsidRPr="000B1F47">
              <w:rPr>
                <w:i/>
                <w:iCs/>
              </w:rPr>
              <w:t>with beta thalassaemia.</w:t>
            </w:r>
          </w:p>
        </w:tc>
      </w:tr>
      <w:tr w:rsidR="008E7846" w:rsidRPr="00487162" w14:paraId="7CA3A92A" w14:textId="77777777" w:rsidTr="00BF1190">
        <w:tc>
          <w:tcPr>
            <w:tcW w:w="2907" w:type="dxa"/>
          </w:tcPr>
          <w:p w14:paraId="5A33F5FC" w14:textId="1806E292" w:rsidR="008E7846" w:rsidRPr="00487162" w:rsidRDefault="00F03961" w:rsidP="00E45619">
            <w:pPr>
              <w:rPr>
                <w:i/>
              </w:rPr>
            </w:pPr>
            <w:r>
              <w:rPr>
                <w:i/>
              </w:rPr>
              <w:t>Route</w:t>
            </w:r>
            <w:r w:rsidR="008E7846" w:rsidRPr="00487162">
              <w:rPr>
                <w:i/>
              </w:rPr>
              <w:t xml:space="preserve"> of administration:</w:t>
            </w:r>
          </w:p>
        </w:tc>
        <w:tc>
          <w:tcPr>
            <w:tcW w:w="6307" w:type="dxa"/>
          </w:tcPr>
          <w:p w14:paraId="1670B385" w14:textId="1CBC6211" w:rsidR="008E7846" w:rsidRPr="00487162" w:rsidRDefault="00B44F31" w:rsidP="00E45619">
            <w:r>
              <w:t>S</w:t>
            </w:r>
            <w:r w:rsidRPr="00B44F31">
              <w:t>ubcutaneous</w:t>
            </w:r>
          </w:p>
        </w:tc>
      </w:tr>
      <w:tr w:rsidR="008E7846" w:rsidRPr="00487162" w14:paraId="5125682A" w14:textId="77777777" w:rsidTr="00BF1190">
        <w:tc>
          <w:tcPr>
            <w:tcW w:w="2907" w:type="dxa"/>
          </w:tcPr>
          <w:p w14:paraId="2D9DA4C6" w14:textId="77777777" w:rsidR="008E7846" w:rsidRPr="00487162" w:rsidRDefault="008E7846" w:rsidP="00E45619">
            <w:pPr>
              <w:rPr>
                <w:i/>
              </w:rPr>
            </w:pPr>
            <w:r w:rsidRPr="00487162">
              <w:rPr>
                <w:i/>
              </w:rPr>
              <w:t>Dosage:</w:t>
            </w:r>
          </w:p>
        </w:tc>
        <w:tc>
          <w:tcPr>
            <w:tcW w:w="6307" w:type="dxa"/>
          </w:tcPr>
          <w:p w14:paraId="32DE0A14" w14:textId="03038774" w:rsidR="00460036" w:rsidRDefault="00A65717" w:rsidP="00A65717">
            <w:r>
              <w:t xml:space="preserve">The recommended starting dose of </w:t>
            </w:r>
            <w:proofErr w:type="spellStart"/>
            <w:r>
              <w:t>Reblozyl</w:t>
            </w:r>
            <w:proofErr w:type="spellEnd"/>
            <w:r>
              <w:t xml:space="preserve"> is 1</w:t>
            </w:r>
            <w:r w:rsidR="00361EFA">
              <w:t> </w:t>
            </w:r>
            <w:r>
              <w:t>mg/kg once e</w:t>
            </w:r>
            <w:r w:rsidR="006E7798">
              <w:t xml:space="preserve">very 3 weeks by subcutaneous </w:t>
            </w:r>
            <w:r>
              <w:t>injection.</w:t>
            </w:r>
          </w:p>
          <w:p w14:paraId="0886F563" w14:textId="541C7A4B" w:rsidR="009B7931" w:rsidRDefault="009B7931" w:rsidP="009B7931">
            <w:proofErr w:type="spellStart"/>
            <w:r>
              <w:lastRenderedPageBreak/>
              <w:t>Reblozyl</w:t>
            </w:r>
            <w:proofErr w:type="spellEnd"/>
            <w:r>
              <w:t xml:space="preserve"> treatment should be initiated and monitored under the supervision of a physician experienced in the treatment of haematological diseases.</w:t>
            </w:r>
          </w:p>
          <w:p w14:paraId="280A1CB8" w14:textId="04D7BB38" w:rsidR="009B7931" w:rsidRDefault="009B7931" w:rsidP="009B7931">
            <w:r>
              <w:t xml:space="preserve">Treatment with </w:t>
            </w:r>
            <w:proofErr w:type="spellStart"/>
            <w:r>
              <w:t>Reblozyl</w:t>
            </w:r>
            <w:proofErr w:type="spellEnd"/>
            <w:r>
              <w:t xml:space="preserve"> should be continued or modified based upon clinical and laboratory findings.</w:t>
            </w:r>
            <w:r w:rsidR="00550B34">
              <w:t xml:space="preserve"> </w:t>
            </w:r>
            <w:r>
              <w:t xml:space="preserve">Treatment should be continued </w:t>
            </w:r>
            <w:proofErr w:type="gramStart"/>
            <w:r>
              <w:t>as long as</w:t>
            </w:r>
            <w:proofErr w:type="gramEnd"/>
            <w:r>
              <w:t xml:space="preserve"> the patient is deriving clinical benefit from treatment.</w:t>
            </w:r>
          </w:p>
          <w:p w14:paraId="41103F0D" w14:textId="23824AD7" w:rsidR="009B7931" w:rsidRDefault="009B7931" w:rsidP="009B7931">
            <w:r>
              <w:t xml:space="preserve">Patients </w:t>
            </w:r>
            <w:r w:rsidR="006E7798">
              <w:t>must have their haemoglobin</w:t>
            </w:r>
            <w:r>
              <w:t xml:space="preserve"> assessed and have results available prior to each administration. If</w:t>
            </w:r>
            <w:r w:rsidR="00550B34">
              <w:t xml:space="preserve"> </w:t>
            </w:r>
            <w:proofErr w:type="gramStart"/>
            <w:r>
              <w:t>an</w:t>
            </w:r>
            <w:proofErr w:type="gramEnd"/>
            <w:r>
              <w:t xml:space="preserve"> </w:t>
            </w:r>
            <w:r w:rsidR="006E7798">
              <w:t>red blood cell</w:t>
            </w:r>
            <w:r>
              <w:t xml:space="preserve"> transfusion occurred prior to dosing, the pre-transfusion </w:t>
            </w:r>
            <w:r w:rsidR="006E7798">
              <w:t>haemoglobin</w:t>
            </w:r>
            <w:r>
              <w:t xml:space="preserve"> must be considered for dosing purposes.</w:t>
            </w:r>
          </w:p>
          <w:p w14:paraId="5F40E09E" w14:textId="06CC1359" w:rsidR="009B7931" w:rsidRDefault="009B7931" w:rsidP="009B7931">
            <w:r>
              <w:t xml:space="preserve">If the </w:t>
            </w:r>
            <w:proofErr w:type="spellStart"/>
            <w:r>
              <w:t>predose</w:t>
            </w:r>
            <w:proofErr w:type="spellEnd"/>
            <w:r>
              <w:t xml:space="preserve"> </w:t>
            </w:r>
            <w:r w:rsidR="006E7798">
              <w:t>haemoglobin</w:t>
            </w:r>
            <w:r>
              <w:t xml:space="preserve"> is ≥</w:t>
            </w:r>
            <w:r w:rsidR="004C5C18">
              <w:t> </w:t>
            </w:r>
            <w:r>
              <w:t>115</w:t>
            </w:r>
            <w:r w:rsidR="004C5C18">
              <w:t> </w:t>
            </w:r>
            <w:r>
              <w:t xml:space="preserve">g/L in the absence of transfusion for at least 3 weeks, delay dosing until the </w:t>
            </w:r>
            <w:r w:rsidR="006E7798">
              <w:t>haemoglobin</w:t>
            </w:r>
            <w:r>
              <w:t xml:space="preserve"> is</w:t>
            </w:r>
            <w:r w:rsidR="0009684F">
              <w:t xml:space="preserve"> </w:t>
            </w:r>
            <w:r>
              <w:t>≤</w:t>
            </w:r>
            <w:r w:rsidR="004C5C18">
              <w:t> </w:t>
            </w:r>
            <w:r>
              <w:t>110</w:t>
            </w:r>
            <w:r w:rsidR="004C5C18">
              <w:t> </w:t>
            </w:r>
            <w:r>
              <w:t>g/L.</w:t>
            </w:r>
          </w:p>
          <w:p w14:paraId="550F9073" w14:textId="453C67C1" w:rsidR="00263FD6" w:rsidRPr="00487162" w:rsidRDefault="00263FD6" w:rsidP="00263FD6">
            <w:r>
              <w:t>For further information regarding dosing, refer to the Product</w:t>
            </w:r>
            <w:r w:rsidR="003C40E1">
              <w:t xml:space="preserve"> </w:t>
            </w:r>
            <w:r>
              <w:t>Information.</w:t>
            </w:r>
          </w:p>
        </w:tc>
      </w:tr>
      <w:tr w:rsidR="00460036" w:rsidRPr="00487162" w14:paraId="21723CC1" w14:textId="77777777" w:rsidTr="00BF1190">
        <w:tc>
          <w:tcPr>
            <w:tcW w:w="2907" w:type="dxa"/>
          </w:tcPr>
          <w:p w14:paraId="2319EBAD" w14:textId="77777777" w:rsidR="00460036" w:rsidRPr="00487162" w:rsidRDefault="00460036" w:rsidP="00E45619">
            <w:pPr>
              <w:rPr>
                <w:i/>
              </w:rPr>
            </w:pPr>
            <w:r w:rsidRPr="00460036">
              <w:rPr>
                <w:i/>
              </w:rPr>
              <w:lastRenderedPageBreak/>
              <w:t>Pregnancy category</w:t>
            </w:r>
            <w:r>
              <w:rPr>
                <w:i/>
              </w:rPr>
              <w:t>:</w:t>
            </w:r>
          </w:p>
        </w:tc>
        <w:tc>
          <w:tcPr>
            <w:tcW w:w="6307" w:type="dxa"/>
          </w:tcPr>
          <w:p w14:paraId="34730C36" w14:textId="083F3FE0" w:rsidR="00460036" w:rsidRPr="006B7126" w:rsidRDefault="00263FD6" w:rsidP="00460036">
            <w:pPr>
              <w:pStyle w:val="Instructions"/>
              <w:rPr>
                <w:i w:val="0"/>
                <w:iCs/>
                <w:color w:val="auto"/>
              </w:rPr>
            </w:pPr>
            <w:r w:rsidRPr="006B7126">
              <w:rPr>
                <w:i w:val="0"/>
                <w:iCs/>
                <w:color w:val="auto"/>
              </w:rPr>
              <w:t>D</w:t>
            </w:r>
          </w:p>
          <w:p w14:paraId="07A6CC32" w14:textId="11601D18" w:rsidR="00263FD6" w:rsidRDefault="00263FD6" w:rsidP="00460036">
            <w:r w:rsidRPr="00263FD6">
              <w:t xml:space="preserve">Drugs which have caused, are suspected to have caused or may be expected to cause, an increased incidence of human </w:t>
            </w:r>
            <w:proofErr w:type="spellStart"/>
            <w:r w:rsidR="00E45FE5" w:rsidRPr="00263FD6">
              <w:t>fetal</w:t>
            </w:r>
            <w:proofErr w:type="spellEnd"/>
            <w:r w:rsidRPr="00263FD6">
              <w:t xml:space="preserve"> malformations or irreversible damage. These drugs may also have adverse pharmacological effects. Accompanying texts should be consulted for further details.</w:t>
            </w:r>
          </w:p>
          <w:p w14:paraId="06E1D9EE" w14:textId="779E06C6"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69181EB" w14:textId="77777777" w:rsidR="008E7846" w:rsidRDefault="008E7846" w:rsidP="008E7846">
      <w:pPr>
        <w:pStyle w:val="Heading3"/>
      </w:pPr>
      <w:bookmarkStart w:id="15" w:name="_Toc247691503"/>
      <w:bookmarkStart w:id="16" w:name="_Toc314842484"/>
      <w:bookmarkStart w:id="17" w:name="_Toc102045185"/>
      <w:r>
        <w:t>Product background</w:t>
      </w:r>
      <w:bookmarkEnd w:id="15"/>
      <w:bookmarkEnd w:id="16"/>
      <w:bookmarkEnd w:id="17"/>
    </w:p>
    <w:p w14:paraId="0731EAFE" w14:textId="143B7A34" w:rsidR="008E7846" w:rsidRDefault="00250271" w:rsidP="00940A89">
      <w:r w:rsidRPr="00250271">
        <w:t xml:space="preserve">This </w:t>
      </w:r>
      <w:proofErr w:type="spellStart"/>
      <w:r w:rsidRPr="00250271">
        <w:t>AusPAR</w:t>
      </w:r>
      <w:proofErr w:type="spellEnd"/>
      <w:r w:rsidRPr="00250271">
        <w:t xml:space="preserve"> describes the application by </w:t>
      </w:r>
      <w:r w:rsidR="003C40E1" w:rsidRPr="003C40E1">
        <w:t xml:space="preserve">Celgene Pty Ltd </w:t>
      </w:r>
      <w:r w:rsidRPr="00250271">
        <w:t xml:space="preserve">(the sponsor) to register </w:t>
      </w:r>
      <w:proofErr w:type="spellStart"/>
      <w:r w:rsidR="00FA2CF6" w:rsidRPr="00FA2CF6">
        <w:t>Reblozyl</w:t>
      </w:r>
      <w:proofErr w:type="spellEnd"/>
      <w:r w:rsidR="00FA2CF6" w:rsidRPr="00FA2CF6">
        <w:t xml:space="preserve"> </w:t>
      </w:r>
      <w:r w:rsidRPr="00250271">
        <w:t>(</w:t>
      </w:r>
      <w:proofErr w:type="spellStart"/>
      <w:r w:rsidR="007A5AE5">
        <w:t>l</w:t>
      </w:r>
      <w:r w:rsidR="00FA2CF6" w:rsidRPr="00FA2CF6">
        <w:t>uspatercept</w:t>
      </w:r>
      <w:proofErr w:type="spellEnd"/>
      <w:r w:rsidRPr="00250271">
        <w:t xml:space="preserve">) </w:t>
      </w:r>
      <w:r w:rsidR="00B7247B" w:rsidRPr="00B7247B">
        <w:t>25</w:t>
      </w:r>
      <w:r w:rsidR="007A5AE5">
        <w:t> </w:t>
      </w:r>
      <w:r w:rsidR="00B7247B" w:rsidRPr="00B7247B">
        <w:t>mg and 75</w:t>
      </w:r>
      <w:r w:rsidR="007A5AE5">
        <w:t> </w:t>
      </w:r>
      <w:r w:rsidR="00B7247B" w:rsidRPr="00B7247B">
        <w:t>mg</w:t>
      </w:r>
      <w:r w:rsidRPr="00250271">
        <w:t xml:space="preserve">, </w:t>
      </w:r>
      <w:r w:rsidR="00B7247B">
        <w:t>powder for injection</w:t>
      </w:r>
      <w:r w:rsidR="002C7410">
        <w:t xml:space="preserve"> (vials)</w:t>
      </w:r>
      <w:r w:rsidRPr="00250271">
        <w:t xml:space="preserve"> for the following proposed indication</w:t>
      </w:r>
      <w:r w:rsidR="00CF5DAD">
        <w:t>:</w:t>
      </w:r>
    </w:p>
    <w:p w14:paraId="590C29EB" w14:textId="7C475253" w:rsidR="00E40D7B" w:rsidRPr="00E40D7B" w:rsidRDefault="00E40D7B" w:rsidP="00E40D7B">
      <w:pPr>
        <w:pStyle w:val="Instructions"/>
        <w:ind w:left="720"/>
        <w:rPr>
          <w:color w:val="auto"/>
        </w:rPr>
      </w:pPr>
      <w:proofErr w:type="spellStart"/>
      <w:r w:rsidRPr="00E40D7B">
        <w:rPr>
          <w:color w:val="auto"/>
        </w:rPr>
        <w:t>Reblozyl</w:t>
      </w:r>
      <w:proofErr w:type="spellEnd"/>
      <w:r w:rsidRPr="00E40D7B">
        <w:rPr>
          <w:color w:val="auto"/>
        </w:rPr>
        <w:t xml:space="preserve"> is indicated for the treatment of adult patients with transfusion-dependent anaemia (requiring 2 or more RBC units over 8 weeks) due to very low, low and intermediate-risk myelodysplastic syndromes with ring </w:t>
      </w:r>
      <w:proofErr w:type="spellStart"/>
      <w:r w:rsidRPr="00E40D7B">
        <w:rPr>
          <w:color w:val="auto"/>
        </w:rPr>
        <w:t>sideroblasts</w:t>
      </w:r>
      <w:proofErr w:type="spellEnd"/>
      <w:r w:rsidRPr="00E40D7B">
        <w:rPr>
          <w:color w:val="auto"/>
        </w:rPr>
        <w:t xml:space="preserve"> (MDS-RS) who had an unsatisfactory response to or are ineligible for erythropoietin-based therapy.</w:t>
      </w:r>
    </w:p>
    <w:p w14:paraId="3636E3FB" w14:textId="4A8E9E8A" w:rsidR="00E40D7B" w:rsidRDefault="00E40D7B" w:rsidP="00E40D7B">
      <w:pPr>
        <w:pStyle w:val="Instructions"/>
        <w:ind w:left="720"/>
        <w:rPr>
          <w:color w:val="auto"/>
        </w:rPr>
      </w:pPr>
      <w:proofErr w:type="spellStart"/>
      <w:r w:rsidRPr="00E40D7B">
        <w:rPr>
          <w:color w:val="auto"/>
        </w:rPr>
        <w:t>Reblozyl</w:t>
      </w:r>
      <w:proofErr w:type="spellEnd"/>
      <w:r w:rsidRPr="00E40D7B">
        <w:rPr>
          <w:color w:val="auto"/>
        </w:rPr>
        <w:t xml:space="preserve"> is indicated for the treatment of adult patients with transfusion-dependent anaemia associated with beta thalassaemia.</w:t>
      </w:r>
    </w:p>
    <w:p w14:paraId="14F21EBA" w14:textId="77777777" w:rsidR="00F03961" w:rsidRDefault="00F03961" w:rsidP="00F03961">
      <w:pPr>
        <w:pStyle w:val="Heading4"/>
      </w:pPr>
      <w:r w:rsidRPr="00E45FE5">
        <w:t>Myelodysplastic syndromes</w:t>
      </w:r>
    </w:p>
    <w:p w14:paraId="279187E2" w14:textId="7ED2351D" w:rsidR="00F03961" w:rsidRPr="00EC4398" w:rsidRDefault="00F03961" w:rsidP="00F03961">
      <w:pPr>
        <w:rPr>
          <w:lang w:val="en-GB"/>
        </w:rPr>
      </w:pPr>
      <w:r w:rsidRPr="00EC4398">
        <w:rPr>
          <w:lang w:val="en-GB"/>
        </w:rPr>
        <w:t xml:space="preserve">Myelodysplastic syndromes include a group of clonal myeloid neoplasms characterised by </w:t>
      </w:r>
      <w:proofErr w:type="spellStart"/>
      <w:r w:rsidRPr="00EC4398">
        <w:rPr>
          <w:lang w:val="en-GB"/>
        </w:rPr>
        <w:t>cytopenias</w:t>
      </w:r>
      <w:proofErr w:type="spellEnd"/>
      <w:r w:rsidRPr="00EC4398">
        <w:rPr>
          <w:lang w:val="en-GB"/>
        </w:rPr>
        <w:t xml:space="preserve"> due to ineffective haematopoiesis, abnormal </w:t>
      </w:r>
      <w:proofErr w:type="gramStart"/>
      <w:r w:rsidRPr="00EC4398">
        <w:rPr>
          <w:lang w:val="en-GB"/>
        </w:rPr>
        <w:t>blood</w:t>
      </w:r>
      <w:proofErr w:type="gramEnd"/>
      <w:r w:rsidRPr="00EC4398">
        <w:rPr>
          <w:lang w:val="en-GB"/>
        </w:rPr>
        <w:t xml:space="preserve"> and marrow cell morphology. In app</w:t>
      </w:r>
      <w:r>
        <w:rPr>
          <w:lang w:val="en-GB"/>
        </w:rPr>
        <w:t>roximately 30% of patients with myelodysplastic syndrome</w:t>
      </w:r>
      <w:r w:rsidRPr="00EC4398">
        <w:rPr>
          <w:lang w:val="en-GB"/>
        </w:rPr>
        <w:t xml:space="preserve"> abnormal </w:t>
      </w:r>
      <w:r w:rsidRPr="00EC4398">
        <w:rPr>
          <w:lang w:val="en-GB"/>
        </w:rPr>
        <w:lastRenderedPageBreak/>
        <w:t>cell morphology results in the potential for clonal evolution and the development of acute myeloid leuk</w:t>
      </w:r>
      <w:r>
        <w:rPr>
          <w:lang w:val="en-GB"/>
        </w:rPr>
        <w:t>aemia.</w:t>
      </w:r>
      <w:bookmarkStart w:id="18" w:name="_Ref94535704"/>
      <w:r>
        <w:rPr>
          <w:rStyle w:val="FootnoteReference"/>
          <w:lang w:val="en-GB"/>
        </w:rPr>
        <w:footnoteReference w:id="2"/>
      </w:r>
      <w:bookmarkEnd w:id="18"/>
      <w:r w:rsidRPr="00DD50BD">
        <w:rPr>
          <w:vertAlign w:val="superscript"/>
          <w:lang w:val="en-GB"/>
        </w:rPr>
        <w:t>,</w:t>
      </w:r>
      <w:r>
        <w:rPr>
          <w:vertAlign w:val="superscript"/>
          <w:lang w:val="en-GB"/>
        </w:rPr>
        <w:t xml:space="preserve"> </w:t>
      </w:r>
      <w:r>
        <w:rPr>
          <w:rStyle w:val="FootnoteReference"/>
          <w:lang w:val="en-GB"/>
        </w:rPr>
        <w:footnoteReference w:id="3"/>
      </w:r>
      <w:r w:rsidRPr="00EC4398">
        <w:rPr>
          <w:lang w:val="en-GB"/>
        </w:rPr>
        <w:t xml:space="preserve"> </w:t>
      </w:r>
    </w:p>
    <w:p w14:paraId="1516B96D" w14:textId="6F7E3800" w:rsidR="00F03961" w:rsidRPr="00EC4398" w:rsidRDefault="00F03961" w:rsidP="00F03961">
      <w:pPr>
        <w:autoSpaceDE w:val="0"/>
        <w:autoSpaceDN w:val="0"/>
        <w:adjustRightInd w:val="0"/>
        <w:spacing w:before="0" w:after="0" w:line="240" w:lineRule="auto"/>
        <w:rPr>
          <w:rFonts w:eastAsiaTheme="minorHAnsi" w:cs="Cambria"/>
          <w:color w:val="000000"/>
          <w:lang w:val="en-GB"/>
        </w:rPr>
      </w:pPr>
      <w:r w:rsidRPr="00EC4398">
        <w:rPr>
          <w:rFonts w:eastAsiaTheme="minorHAnsi" w:cs="Cambria"/>
          <w:color w:val="000000"/>
          <w:lang w:val="en-GB"/>
        </w:rPr>
        <w:t xml:space="preserve">In the </w:t>
      </w:r>
      <w:r>
        <w:rPr>
          <w:rFonts w:eastAsiaTheme="minorHAnsi" w:cs="Cambria"/>
          <w:color w:val="000000"/>
          <w:lang w:val="en-GB"/>
        </w:rPr>
        <w:t>United States of America (</w:t>
      </w:r>
      <w:r w:rsidRPr="00EC4398">
        <w:rPr>
          <w:rFonts w:eastAsiaTheme="minorHAnsi" w:cs="Cambria"/>
          <w:color w:val="000000"/>
          <w:lang w:val="en-GB"/>
        </w:rPr>
        <w:t>US</w:t>
      </w:r>
      <w:r>
        <w:rPr>
          <w:rFonts w:eastAsiaTheme="minorHAnsi" w:cs="Cambria"/>
          <w:color w:val="000000"/>
          <w:lang w:val="en-GB"/>
        </w:rPr>
        <w:t>A)</w:t>
      </w:r>
      <w:r w:rsidRPr="00EC4398">
        <w:rPr>
          <w:rFonts w:eastAsiaTheme="minorHAnsi" w:cs="Cambria"/>
          <w:color w:val="000000"/>
          <w:lang w:val="en-GB"/>
        </w:rPr>
        <w:t>, estimates of age-adjusted incidence was 4.9 per 100,000 individuals during 2007–2011</w:t>
      </w:r>
      <w:r>
        <w:rPr>
          <w:rFonts w:eastAsiaTheme="minorHAnsi" w:cs="Cambria"/>
          <w:color w:val="000000"/>
          <w:lang w:val="en-GB"/>
        </w:rPr>
        <w:t>.</w:t>
      </w:r>
      <w:r>
        <w:rPr>
          <w:rStyle w:val="FootnoteReference"/>
          <w:rFonts w:eastAsiaTheme="minorHAnsi" w:cs="Cambria"/>
          <w:color w:val="000000"/>
          <w:lang w:val="en-GB"/>
        </w:rPr>
        <w:footnoteReference w:id="4"/>
      </w:r>
      <w:r w:rsidRPr="00EC4398">
        <w:rPr>
          <w:rFonts w:eastAsiaTheme="minorHAnsi" w:cs="Cambria"/>
          <w:color w:val="000000"/>
          <w:lang w:val="en-GB"/>
        </w:rPr>
        <w:t xml:space="preserve"> An analysis of 64 cancer registries from European countries indicates that the incidence of </w:t>
      </w:r>
      <w:r>
        <w:rPr>
          <w:lang w:val="en-GB"/>
        </w:rPr>
        <w:t xml:space="preserve">myelodysplastic syndrome </w:t>
      </w:r>
      <w:r w:rsidRPr="00EC4398">
        <w:rPr>
          <w:rFonts w:eastAsiaTheme="minorHAnsi" w:cs="Cambria"/>
          <w:color w:val="000000"/>
          <w:lang w:val="en-GB"/>
        </w:rPr>
        <w:t>was 1.5 per 100,000 individuals per year in 1995–2002</w:t>
      </w:r>
      <w:r>
        <w:rPr>
          <w:rFonts w:eastAsiaTheme="minorHAnsi" w:cs="Cambria"/>
          <w:color w:val="000000"/>
          <w:lang w:val="en-GB"/>
        </w:rPr>
        <w:t>.</w:t>
      </w:r>
      <w:r>
        <w:rPr>
          <w:rStyle w:val="FootnoteReference"/>
          <w:rFonts w:eastAsiaTheme="minorHAnsi" w:cs="Cambria"/>
          <w:color w:val="000000"/>
          <w:lang w:val="en-GB"/>
        </w:rPr>
        <w:footnoteReference w:id="5"/>
      </w:r>
      <w:r w:rsidRPr="00EC4398">
        <w:rPr>
          <w:rFonts w:eastAsiaTheme="minorHAnsi" w:cs="Cambria"/>
          <w:color w:val="000000"/>
          <w:lang w:val="en-GB"/>
        </w:rPr>
        <w:t xml:space="preserve"> The annual incidence of </w:t>
      </w:r>
      <w:r>
        <w:rPr>
          <w:lang w:val="en-GB"/>
        </w:rPr>
        <w:t>myelodysplastic syndrome</w:t>
      </w:r>
      <w:r w:rsidRPr="00EC4398">
        <w:rPr>
          <w:rFonts w:eastAsiaTheme="minorHAnsi" w:cs="Cambria"/>
          <w:color w:val="000000"/>
          <w:lang w:val="en-GB"/>
        </w:rPr>
        <w:t xml:space="preserve"> reported by the Haematological Malignancy Research Network (HMRN) in the </w:t>
      </w:r>
      <w:r>
        <w:rPr>
          <w:rFonts w:eastAsiaTheme="minorHAnsi" w:cs="Cambria"/>
          <w:color w:val="000000"/>
          <w:lang w:val="en-GB"/>
        </w:rPr>
        <w:t>United Kingdom (</w:t>
      </w:r>
      <w:r w:rsidRPr="00EC4398">
        <w:rPr>
          <w:rFonts w:eastAsiaTheme="minorHAnsi" w:cs="Cambria"/>
          <w:color w:val="000000"/>
          <w:lang w:val="en-GB"/>
        </w:rPr>
        <w:t>UK</w:t>
      </w:r>
      <w:r>
        <w:rPr>
          <w:rFonts w:eastAsiaTheme="minorHAnsi" w:cs="Cambria"/>
          <w:color w:val="000000"/>
          <w:lang w:val="en-GB"/>
        </w:rPr>
        <w:t>)</w:t>
      </w:r>
      <w:r w:rsidRPr="00EC4398">
        <w:rPr>
          <w:rFonts w:eastAsiaTheme="minorHAnsi" w:cs="Cambria"/>
          <w:color w:val="000000"/>
          <w:lang w:val="en-GB"/>
        </w:rPr>
        <w:t xml:space="preserve"> between 2010 and 2016 is 3.5 per 100,000</w:t>
      </w:r>
      <w:r>
        <w:rPr>
          <w:rFonts w:eastAsiaTheme="minorHAnsi" w:cs="Cambria"/>
          <w:color w:val="000000"/>
          <w:lang w:val="en-GB"/>
        </w:rPr>
        <w:t>.</w:t>
      </w:r>
      <w:r>
        <w:rPr>
          <w:rStyle w:val="FootnoteReference"/>
          <w:rFonts w:eastAsiaTheme="minorHAnsi" w:cs="Cambria"/>
          <w:color w:val="000000"/>
          <w:lang w:val="en-GB"/>
        </w:rPr>
        <w:footnoteReference w:id="6"/>
      </w:r>
      <w:r w:rsidRPr="00EC4398">
        <w:rPr>
          <w:rFonts w:eastAsiaTheme="minorHAnsi" w:cs="Cambria"/>
          <w:color w:val="000000"/>
          <w:lang w:val="en-GB"/>
        </w:rPr>
        <w:t xml:space="preserve"> In Australia, the incidence of </w:t>
      </w:r>
      <w:r>
        <w:rPr>
          <w:lang w:val="en-GB"/>
        </w:rPr>
        <w:t>myelodysplastic syndrome</w:t>
      </w:r>
      <w:r w:rsidRPr="00EC4398">
        <w:rPr>
          <w:rFonts w:eastAsiaTheme="minorHAnsi" w:cs="Cambria"/>
          <w:color w:val="000000"/>
          <w:lang w:val="en-GB"/>
        </w:rPr>
        <w:t xml:space="preserve"> in 2015 was estimated to be 5.5 per 100,000</w:t>
      </w:r>
      <w:r>
        <w:rPr>
          <w:rFonts w:eastAsiaTheme="minorHAnsi" w:cs="Cambria"/>
          <w:color w:val="000000"/>
          <w:lang w:val="en-GB"/>
        </w:rPr>
        <w:t>.</w:t>
      </w:r>
      <w:bookmarkStart w:id="19" w:name="_Ref94532370"/>
      <w:r>
        <w:rPr>
          <w:rStyle w:val="FootnoteReference"/>
          <w:rFonts w:eastAsiaTheme="minorHAnsi" w:cs="Cambria"/>
          <w:color w:val="000000"/>
          <w:lang w:val="en-GB"/>
        </w:rPr>
        <w:footnoteReference w:id="7"/>
      </w:r>
      <w:bookmarkEnd w:id="19"/>
      <w:r w:rsidRPr="00EC4398">
        <w:rPr>
          <w:rFonts w:eastAsiaTheme="minorHAnsi" w:cs="Cambria"/>
          <w:color w:val="000000"/>
          <w:lang w:val="en-GB"/>
        </w:rPr>
        <w:t xml:space="preserve"> </w:t>
      </w:r>
      <w:r>
        <w:rPr>
          <w:lang w:val="en-GB"/>
        </w:rPr>
        <w:t>Myelodysplastic syndrome</w:t>
      </w:r>
      <w:r w:rsidRPr="00EC4398">
        <w:rPr>
          <w:rFonts w:eastAsiaTheme="minorHAnsi" w:cs="Cambria"/>
          <w:color w:val="000000"/>
          <w:lang w:val="en-GB"/>
        </w:rPr>
        <w:t xml:space="preserve"> is most commonly diagnosed </w:t>
      </w:r>
      <w:r>
        <w:rPr>
          <w:rFonts w:eastAsiaTheme="minorHAnsi" w:cs="Cambria"/>
          <w:color w:val="000000"/>
          <w:lang w:val="en-GB"/>
        </w:rPr>
        <w:t>in patients with a median age &gt; </w:t>
      </w:r>
      <w:r w:rsidRPr="00EC4398">
        <w:rPr>
          <w:rFonts w:eastAsiaTheme="minorHAnsi" w:cs="Cambria"/>
          <w:color w:val="000000"/>
          <w:lang w:val="en-GB"/>
        </w:rPr>
        <w:t>70 years at diagnosis and is reported more frequently in men versus women</w:t>
      </w:r>
      <w:r>
        <w:rPr>
          <w:rFonts w:eastAsiaTheme="minorHAnsi" w:cs="Cambria"/>
          <w:color w:val="000000"/>
          <w:lang w:val="en-GB"/>
        </w:rPr>
        <w:t>.</w:t>
      </w:r>
      <w:r>
        <w:rPr>
          <w:rStyle w:val="FootnoteReference"/>
          <w:rFonts w:eastAsiaTheme="minorHAnsi" w:cs="Cambria"/>
          <w:color w:val="000000"/>
          <w:lang w:val="en-GB"/>
        </w:rPr>
        <w:footnoteReference w:id="8"/>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Style w:val="FootnoteReference"/>
          <w:rFonts w:eastAsiaTheme="minorHAnsi" w:cs="Cambria"/>
          <w:color w:val="000000"/>
          <w:lang w:val="en-GB"/>
        </w:rPr>
        <w:footnoteReference w:id="9"/>
      </w:r>
      <w:r w:rsidRPr="00EC4398">
        <w:rPr>
          <w:rFonts w:eastAsiaTheme="minorHAnsi" w:cs="Cambria"/>
          <w:color w:val="000000"/>
          <w:lang w:val="en-GB"/>
        </w:rPr>
        <w:t xml:space="preserve"> </w:t>
      </w:r>
    </w:p>
    <w:p w14:paraId="23D459A6" w14:textId="7A3CA76A" w:rsidR="00F03961" w:rsidRDefault="00F03961" w:rsidP="00F03961">
      <w:pPr>
        <w:rPr>
          <w:rFonts w:eastAsiaTheme="minorHAnsi" w:cs="Cambria"/>
          <w:color w:val="000000"/>
          <w:lang w:val="en-GB"/>
        </w:rPr>
      </w:pPr>
      <w:r>
        <w:rPr>
          <w:lang w:val="en-GB"/>
        </w:rPr>
        <w:t>Myelodysplastic syndrome</w:t>
      </w:r>
      <w:r w:rsidRPr="00EC4398">
        <w:rPr>
          <w:rFonts w:eastAsiaTheme="minorHAnsi" w:cs="Cambria"/>
          <w:color w:val="000000"/>
          <w:lang w:val="en-GB"/>
        </w:rPr>
        <w:t xml:space="preserve"> </w:t>
      </w:r>
      <w:r w:rsidR="00290DBB">
        <w:rPr>
          <w:rFonts w:eastAsiaTheme="minorHAnsi" w:cs="Cambria"/>
          <w:color w:val="000000"/>
          <w:lang w:val="en-GB"/>
        </w:rPr>
        <w:t>is</w:t>
      </w:r>
      <w:r w:rsidRPr="00EC4398">
        <w:rPr>
          <w:rFonts w:eastAsiaTheme="minorHAnsi" w:cs="Cambria"/>
          <w:color w:val="000000"/>
          <w:lang w:val="en-GB"/>
        </w:rPr>
        <w:t xml:space="preserve"> associated with high mortality with median time o</w:t>
      </w:r>
      <w:r>
        <w:rPr>
          <w:rFonts w:eastAsiaTheme="minorHAnsi" w:cs="Cambria"/>
          <w:color w:val="000000"/>
          <w:lang w:val="en-GB"/>
        </w:rPr>
        <w:t>f survival from diagnosis of 75 </w:t>
      </w:r>
      <w:r w:rsidRPr="00EC4398">
        <w:rPr>
          <w:rFonts w:eastAsiaTheme="minorHAnsi" w:cs="Cambria"/>
          <w:color w:val="000000"/>
          <w:lang w:val="en-GB"/>
        </w:rPr>
        <w:t>months (range, 1.7 to 350 months) with 2- and 5-year survival probabilities of 86% and 61%, respectively</w:t>
      </w:r>
      <w:r>
        <w:rPr>
          <w:rFonts w:eastAsiaTheme="minorHAnsi" w:cs="Cambria"/>
          <w:color w:val="000000"/>
          <w:lang w:val="en-GB"/>
        </w:rPr>
        <w:t xml:space="preserve">. Median survival was lower in transfusion-dependent </w:t>
      </w:r>
      <w:r w:rsidRPr="00EC4398">
        <w:rPr>
          <w:rFonts w:eastAsiaTheme="minorHAnsi" w:cs="Cambria"/>
          <w:color w:val="000000"/>
          <w:lang w:val="en-GB"/>
        </w:rPr>
        <w:t>compared with transfusion-independent patients (44 v</w:t>
      </w:r>
      <w:r>
        <w:rPr>
          <w:rFonts w:eastAsiaTheme="minorHAnsi" w:cs="Cambria"/>
          <w:color w:val="000000"/>
          <w:lang w:val="en-GB"/>
        </w:rPr>
        <w:t>ersu</w:t>
      </w:r>
      <w:r w:rsidRPr="00EC4398">
        <w:rPr>
          <w:rFonts w:eastAsiaTheme="minorHAnsi" w:cs="Cambria"/>
          <w:color w:val="000000"/>
          <w:lang w:val="en-GB"/>
        </w:rPr>
        <w:t>s 97 months)</w:t>
      </w:r>
      <w:r>
        <w:rPr>
          <w:rFonts w:eastAsiaTheme="minorHAnsi" w:cs="Cambria"/>
          <w:color w:val="000000"/>
          <w:lang w:val="en-GB"/>
        </w:rPr>
        <w:t>.</w:t>
      </w:r>
      <w:r>
        <w:rPr>
          <w:rStyle w:val="FootnoteReference"/>
          <w:rFonts w:eastAsiaTheme="minorHAnsi" w:cs="Cambria"/>
          <w:color w:val="000000"/>
          <w:lang w:val="en-GB"/>
        </w:rPr>
        <w:footnoteReference w:id="10"/>
      </w:r>
      <w:r w:rsidRPr="00EC4398">
        <w:rPr>
          <w:rFonts w:eastAsiaTheme="minorHAnsi" w:cs="Cambria"/>
          <w:color w:val="000000"/>
          <w:lang w:val="en-GB"/>
        </w:rPr>
        <w:t xml:space="preserve"> In Australia the 5-year survival rate for </w:t>
      </w:r>
      <w:r>
        <w:rPr>
          <w:lang w:val="en-GB"/>
        </w:rPr>
        <w:t>myelodysplastic syndrome</w:t>
      </w:r>
      <w:r w:rsidRPr="00EC4398">
        <w:rPr>
          <w:rFonts w:eastAsiaTheme="minorHAnsi" w:cs="Cambria"/>
          <w:color w:val="000000"/>
          <w:lang w:val="en-GB"/>
        </w:rPr>
        <w:t xml:space="preserve"> was reported to be 37.3% during the period between 2011 to 2015</w:t>
      </w:r>
      <w:r>
        <w:rPr>
          <w:rFonts w:eastAsiaTheme="minorHAnsi" w:cs="Cambria"/>
          <w:color w:val="000000"/>
          <w:lang w:val="en-GB"/>
        </w:rPr>
        <w:t>.</w:t>
      </w:r>
      <w:r w:rsidRPr="00DD50BD">
        <w:rPr>
          <w:rFonts w:eastAsiaTheme="minorHAnsi" w:cs="Cambria"/>
          <w:color w:val="000000"/>
          <w:vertAlign w:val="superscript"/>
          <w:lang w:val="en-GB"/>
        </w:rPr>
        <w:fldChar w:fldCharType="begin"/>
      </w:r>
      <w:r w:rsidRPr="00DD50BD">
        <w:rPr>
          <w:rFonts w:eastAsiaTheme="minorHAnsi" w:cs="Cambria"/>
          <w:color w:val="000000"/>
          <w:vertAlign w:val="superscript"/>
          <w:lang w:val="en-GB"/>
        </w:rPr>
        <w:instrText xml:space="preserve"> NOTEREF _Ref94532370 \h </w:instrText>
      </w:r>
      <w:r>
        <w:rPr>
          <w:rFonts w:eastAsiaTheme="minorHAnsi" w:cs="Cambria"/>
          <w:color w:val="000000"/>
          <w:vertAlign w:val="superscript"/>
          <w:lang w:val="en-GB"/>
        </w:rPr>
        <w:instrText xml:space="preserve"> \* MERGEFORMAT </w:instrText>
      </w:r>
      <w:r w:rsidRPr="00DD50BD">
        <w:rPr>
          <w:rFonts w:eastAsiaTheme="minorHAnsi" w:cs="Cambria"/>
          <w:color w:val="000000"/>
          <w:vertAlign w:val="superscript"/>
          <w:lang w:val="en-GB"/>
        </w:rPr>
      </w:r>
      <w:r w:rsidRPr="00DD50BD">
        <w:rPr>
          <w:rFonts w:eastAsiaTheme="minorHAnsi" w:cs="Cambria"/>
          <w:color w:val="000000"/>
          <w:vertAlign w:val="superscript"/>
          <w:lang w:val="en-GB"/>
        </w:rPr>
        <w:fldChar w:fldCharType="separate"/>
      </w:r>
      <w:r w:rsidRPr="00DD50BD">
        <w:rPr>
          <w:rFonts w:eastAsiaTheme="minorHAnsi" w:cs="Cambria"/>
          <w:color w:val="000000"/>
          <w:vertAlign w:val="superscript"/>
          <w:lang w:val="en-GB"/>
        </w:rPr>
        <w:t>7</w:t>
      </w:r>
      <w:r w:rsidRPr="00DD50BD">
        <w:rPr>
          <w:rFonts w:eastAsiaTheme="minorHAnsi" w:cs="Cambria"/>
          <w:color w:val="000000"/>
          <w:vertAlign w:val="superscript"/>
          <w:lang w:val="en-GB"/>
        </w:rPr>
        <w:fldChar w:fldCharType="end"/>
      </w:r>
    </w:p>
    <w:p w14:paraId="248000FC" w14:textId="0F214495" w:rsidR="00F03961" w:rsidRPr="00EC4398" w:rsidRDefault="00F03961" w:rsidP="00F03961">
      <w:pPr>
        <w:autoSpaceDE w:val="0"/>
        <w:autoSpaceDN w:val="0"/>
        <w:adjustRightInd w:val="0"/>
        <w:spacing w:before="0" w:after="0" w:line="240" w:lineRule="auto"/>
        <w:rPr>
          <w:rFonts w:eastAsiaTheme="minorHAnsi" w:cs="Cambria"/>
          <w:color w:val="000000"/>
          <w:lang w:val="en-GB"/>
        </w:rPr>
      </w:pPr>
      <w:r w:rsidRPr="00EC4398">
        <w:rPr>
          <w:rFonts w:eastAsiaTheme="minorHAnsi" w:cs="Cambria"/>
          <w:color w:val="000000"/>
          <w:lang w:val="en-GB"/>
        </w:rPr>
        <w:t xml:space="preserve">Myelodysplastic syndromes can be classified as primary </w:t>
      </w:r>
      <w:r>
        <w:rPr>
          <w:lang w:val="en-GB"/>
        </w:rPr>
        <w:t>myelodysplastic syndrome</w:t>
      </w:r>
      <w:r w:rsidRPr="00EC4398">
        <w:rPr>
          <w:rFonts w:eastAsiaTheme="minorHAnsi" w:cs="Cambria"/>
          <w:color w:val="000000"/>
          <w:lang w:val="en-GB"/>
        </w:rPr>
        <w:t xml:space="preserve"> (if no cause can be found) and secondary </w:t>
      </w:r>
      <w:r>
        <w:rPr>
          <w:lang w:val="en-GB"/>
        </w:rPr>
        <w:t>myelodysplastic syndrome</w:t>
      </w:r>
      <w:r w:rsidRPr="00EC4398">
        <w:rPr>
          <w:rFonts w:eastAsiaTheme="minorHAnsi" w:cs="Cambria"/>
          <w:color w:val="000000"/>
          <w:lang w:val="en-GB"/>
        </w:rPr>
        <w:t xml:space="preserve"> </w:t>
      </w:r>
      <w:r>
        <w:rPr>
          <w:rFonts w:eastAsiaTheme="minorHAnsi" w:cs="Cambria"/>
          <w:color w:val="000000"/>
          <w:lang w:val="en-GB"/>
        </w:rPr>
        <w:t xml:space="preserve">(cause can be identified, for example </w:t>
      </w:r>
      <w:r w:rsidRPr="00EC4398">
        <w:rPr>
          <w:rFonts w:eastAsiaTheme="minorHAnsi" w:cs="Cambria"/>
          <w:color w:val="000000"/>
          <w:lang w:val="en-GB"/>
        </w:rPr>
        <w:t>prior cancer treatment)</w:t>
      </w:r>
      <w:bookmarkStart w:id="20" w:name="_Ref94534467"/>
      <w:r>
        <w:rPr>
          <w:rFonts w:eastAsiaTheme="minorHAnsi" w:cs="Cambria"/>
          <w:color w:val="000000"/>
          <w:lang w:val="en-GB"/>
        </w:rPr>
        <w:t>;</w:t>
      </w:r>
      <w:r>
        <w:rPr>
          <w:rStyle w:val="FootnoteReference"/>
          <w:rFonts w:eastAsiaTheme="minorHAnsi" w:cs="Cambria"/>
          <w:color w:val="000000"/>
          <w:lang w:val="en-GB"/>
        </w:rPr>
        <w:footnoteReference w:id="11"/>
      </w:r>
      <w:bookmarkEnd w:id="20"/>
      <w:r w:rsidRPr="00EC4398">
        <w:rPr>
          <w:rFonts w:eastAsiaTheme="minorHAnsi" w:cs="Cambria"/>
          <w:color w:val="000000"/>
          <w:lang w:val="en-GB"/>
        </w:rPr>
        <w:t xml:space="preserve"> although cause of </w:t>
      </w:r>
      <w:r>
        <w:rPr>
          <w:lang w:val="en-GB"/>
        </w:rPr>
        <w:t>myelodysplastic syndrome</w:t>
      </w:r>
      <w:r w:rsidRPr="00EC4398">
        <w:rPr>
          <w:rFonts w:eastAsiaTheme="minorHAnsi" w:cs="Cambria"/>
          <w:color w:val="000000"/>
          <w:lang w:val="en-GB"/>
        </w:rPr>
        <w:t xml:space="preserve"> is known only in 15% of cases</w:t>
      </w:r>
      <w:r>
        <w:rPr>
          <w:rFonts w:eastAsiaTheme="minorHAnsi" w:cs="Cambria"/>
          <w:color w:val="000000"/>
          <w:lang w:val="en-GB"/>
        </w:rPr>
        <w:t>.</w:t>
      </w:r>
      <w:r w:rsidRPr="00DD50BD">
        <w:rPr>
          <w:rFonts w:eastAsiaTheme="minorHAnsi" w:cs="Cambria"/>
          <w:color w:val="000000"/>
          <w:vertAlign w:val="superscript"/>
          <w:lang w:val="en-GB"/>
        </w:rPr>
        <w:fldChar w:fldCharType="begin"/>
      </w:r>
      <w:r w:rsidRPr="00DD50BD">
        <w:rPr>
          <w:rFonts w:eastAsiaTheme="minorHAnsi" w:cs="Cambria"/>
          <w:color w:val="000000"/>
          <w:vertAlign w:val="superscript"/>
          <w:lang w:val="en-GB"/>
        </w:rPr>
        <w:instrText xml:space="preserve"> NOTEREF _Ref94534467 \h </w:instrText>
      </w:r>
      <w:r>
        <w:rPr>
          <w:rFonts w:eastAsiaTheme="minorHAnsi" w:cs="Cambria"/>
          <w:color w:val="000000"/>
          <w:vertAlign w:val="superscript"/>
          <w:lang w:val="en-GB"/>
        </w:rPr>
        <w:instrText xml:space="preserve"> \* MERGEFORMAT </w:instrText>
      </w:r>
      <w:r w:rsidRPr="00DD50BD">
        <w:rPr>
          <w:rFonts w:eastAsiaTheme="minorHAnsi" w:cs="Cambria"/>
          <w:color w:val="000000"/>
          <w:vertAlign w:val="superscript"/>
          <w:lang w:val="en-GB"/>
        </w:rPr>
      </w:r>
      <w:r w:rsidRPr="00DD50BD">
        <w:rPr>
          <w:rFonts w:eastAsiaTheme="minorHAnsi" w:cs="Cambria"/>
          <w:color w:val="000000"/>
          <w:vertAlign w:val="superscript"/>
          <w:lang w:val="en-GB"/>
        </w:rPr>
        <w:fldChar w:fldCharType="separate"/>
      </w:r>
      <w:r w:rsidRPr="00DD50BD">
        <w:rPr>
          <w:rFonts w:eastAsiaTheme="minorHAnsi" w:cs="Cambria"/>
          <w:color w:val="000000"/>
          <w:vertAlign w:val="superscript"/>
          <w:lang w:val="en-GB"/>
        </w:rPr>
        <w:t>11</w:t>
      </w:r>
      <w:r w:rsidRPr="00DD50BD">
        <w:rPr>
          <w:rFonts w:eastAsiaTheme="minorHAnsi" w:cs="Cambria"/>
          <w:color w:val="000000"/>
          <w:vertAlign w:val="superscript"/>
          <w:lang w:val="en-GB"/>
        </w:rPr>
        <w:fldChar w:fldCharType="end"/>
      </w:r>
      <w:r w:rsidRPr="00DD50BD">
        <w:rPr>
          <w:rFonts w:eastAsiaTheme="minorHAnsi" w:cs="Cambria"/>
          <w:color w:val="000000"/>
          <w:vertAlign w:val="superscript"/>
          <w:lang w:val="en-GB"/>
        </w:rPr>
        <w:t>,</w:t>
      </w:r>
      <w:bookmarkStart w:id="21" w:name="_Ref94534549"/>
      <w:r>
        <w:rPr>
          <w:rFonts w:eastAsiaTheme="minorHAnsi" w:cs="Cambria"/>
          <w:color w:val="000000"/>
          <w:vertAlign w:val="superscript"/>
          <w:lang w:val="en-GB"/>
        </w:rPr>
        <w:t xml:space="preserve"> </w:t>
      </w:r>
      <w:r>
        <w:rPr>
          <w:rStyle w:val="FootnoteReference"/>
          <w:rFonts w:eastAsiaTheme="minorHAnsi" w:cs="Cambria"/>
          <w:color w:val="000000"/>
          <w:lang w:val="en-GB"/>
        </w:rPr>
        <w:footnoteReference w:id="12"/>
      </w:r>
      <w:bookmarkEnd w:id="21"/>
      <w:r w:rsidRPr="00EC4398">
        <w:rPr>
          <w:rFonts w:eastAsiaTheme="minorHAnsi" w:cs="Cambria"/>
          <w:color w:val="000000"/>
          <w:lang w:val="en-GB"/>
        </w:rPr>
        <w:t xml:space="preserve"> In approximately 30% of paediatric patients with </w:t>
      </w:r>
      <w:r>
        <w:rPr>
          <w:lang w:val="en-GB"/>
        </w:rPr>
        <w:t>myelodysplastic syndrome</w:t>
      </w:r>
      <w:r w:rsidRPr="00EC4398">
        <w:rPr>
          <w:rFonts w:eastAsiaTheme="minorHAnsi" w:cs="Cambria"/>
          <w:color w:val="000000"/>
          <w:lang w:val="en-GB"/>
        </w:rPr>
        <w:t>, the disease is due to an inherited predisposition, such as Down’s syndrome, Fanconi anaemia, and neurofibromatosis</w:t>
      </w:r>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_Ref94534467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11</w:t>
      </w:r>
      <w:r>
        <w:rPr>
          <w:rFonts w:eastAsiaTheme="minorHAnsi" w:cs="Cambria"/>
          <w:color w:val="000000"/>
          <w:lang w:val="en-GB"/>
        </w:rPr>
        <w:fldChar w:fldCharType="end"/>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Fonts w:eastAsiaTheme="minorHAnsi" w:cs="Cambria"/>
          <w:color w:val="000000"/>
          <w:lang w:val="en-GB"/>
        </w:rPr>
        <w:fldChar w:fldCharType="begin"/>
      </w:r>
      <w:r>
        <w:rPr>
          <w:rFonts w:eastAsiaTheme="minorHAnsi" w:cs="Cambria"/>
          <w:color w:val="000000"/>
          <w:lang w:val="en-GB"/>
        </w:rPr>
        <w:instrText xml:space="preserve"> NOTEREF _Ref94534549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12</w:t>
      </w:r>
      <w:r>
        <w:rPr>
          <w:rFonts w:eastAsiaTheme="minorHAnsi" w:cs="Cambria"/>
          <w:color w:val="000000"/>
          <w:lang w:val="en-GB"/>
        </w:rPr>
        <w:fldChar w:fldCharType="end"/>
      </w:r>
      <w:r w:rsidRPr="00EC4398">
        <w:rPr>
          <w:rFonts w:eastAsiaTheme="minorHAnsi" w:cs="Cambria"/>
          <w:color w:val="000000"/>
          <w:lang w:val="en-GB"/>
        </w:rPr>
        <w:t xml:space="preserve"> In adult patients without inherited predisposition, </w:t>
      </w:r>
      <w:r>
        <w:rPr>
          <w:lang w:val="en-GB"/>
        </w:rPr>
        <w:t>myelodysplastic syndrome</w:t>
      </w:r>
      <w:r w:rsidRPr="00EC4398">
        <w:rPr>
          <w:rFonts w:eastAsiaTheme="minorHAnsi" w:cs="Cambria"/>
          <w:color w:val="000000"/>
          <w:lang w:val="en-GB"/>
        </w:rPr>
        <w:t xml:space="preserve"> may be attributed to a number of factors, including older age, prior treatment with chemotherapy agents or radiotherapy, and exposure to environmental irritants</w:t>
      </w:r>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_Ref94534467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11</w:t>
      </w:r>
      <w:r>
        <w:rPr>
          <w:rFonts w:eastAsiaTheme="minorHAnsi" w:cs="Cambria"/>
          <w:color w:val="000000"/>
          <w:lang w:val="en-GB"/>
        </w:rPr>
        <w:fldChar w:fldCharType="end"/>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Fonts w:eastAsiaTheme="minorHAnsi" w:cs="Cambria"/>
          <w:color w:val="000000"/>
          <w:lang w:val="en-GB"/>
        </w:rPr>
        <w:fldChar w:fldCharType="begin"/>
      </w:r>
      <w:r>
        <w:rPr>
          <w:rFonts w:eastAsiaTheme="minorHAnsi" w:cs="Cambria"/>
          <w:color w:val="000000"/>
          <w:lang w:val="en-GB"/>
        </w:rPr>
        <w:instrText xml:space="preserve"> NOTEREF _Ref94534549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12</w:t>
      </w:r>
      <w:r>
        <w:rPr>
          <w:rFonts w:eastAsiaTheme="minorHAnsi" w:cs="Cambria"/>
          <w:color w:val="000000"/>
          <w:lang w:val="en-GB"/>
        </w:rPr>
        <w:fldChar w:fldCharType="end"/>
      </w:r>
      <w:r w:rsidRPr="00DD50BD">
        <w:rPr>
          <w:rFonts w:eastAsiaTheme="minorHAnsi" w:cs="Cambria"/>
          <w:color w:val="000000"/>
          <w:vertAlign w:val="superscript"/>
          <w:lang w:val="en-GB"/>
        </w:rPr>
        <w:t>,</w:t>
      </w:r>
      <w:bookmarkStart w:id="22" w:name="_Ref94535577"/>
      <w:r>
        <w:rPr>
          <w:rFonts w:eastAsiaTheme="minorHAnsi" w:cs="Cambria"/>
          <w:color w:val="000000"/>
          <w:vertAlign w:val="superscript"/>
          <w:lang w:val="en-GB"/>
        </w:rPr>
        <w:t xml:space="preserve"> </w:t>
      </w:r>
      <w:r>
        <w:rPr>
          <w:rStyle w:val="FootnoteReference"/>
          <w:rFonts w:eastAsiaTheme="minorHAnsi" w:cs="Cambria"/>
          <w:color w:val="000000"/>
          <w:lang w:val="en-GB"/>
        </w:rPr>
        <w:footnoteReference w:id="13"/>
      </w:r>
      <w:bookmarkEnd w:id="22"/>
    </w:p>
    <w:p w14:paraId="5DB2888E" w14:textId="7B834F67" w:rsidR="00F03961" w:rsidRPr="00EC4398" w:rsidRDefault="00F03961" w:rsidP="00F03961">
      <w:pPr>
        <w:rPr>
          <w:lang w:val="en-GB"/>
        </w:rPr>
      </w:pPr>
      <w:r w:rsidRPr="00EC4398">
        <w:rPr>
          <w:lang w:val="en-GB"/>
        </w:rPr>
        <w:t xml:space="preserve">Myelodysplastic syndromes may be further classified using the </w:t>
      </w:r>
      <w:r>
        <w:rPr>
          <w:lang w:val="en-GB"/>
        </w:rPr>
        <w:t>World Health Organization (</w:t>
      </w:r>
      <w:r w:rsidRPr="00EC4398">
        <w:rPr>
          <w:lang w:val="en-GB"/>
        </w:rPr>
        <w:t>WHO</w:t>
      </w:r>
      <w:r>
        <w:rPr>
          <w:lang w:val="en-GB"/>
        </w:rPr>
        <w:t>)</w:t>
      </w:r>
      <w:r w:rsidRPr="00EC4398">
        <w:rPr>
          <w:lang w:val="en-GB"/>
        </w:rPr>
        <w:t xml:space="preserve"> classification system (2016) which incorporates the following diagnostic parameters: cell morphology, </w:t>
      </w:r>
      <w:proofErr w:type="spellStart"/>
      <w:r w:rsidRPr="00EC4398">
        <w:rPr>
          <w:lang w:val="en-GB"/>
        </w:rPr>
        <w:t>cytopenias</w:t>
      </w:r>
      <w:proofErr w:type="spellEnd"/>
      <w:r w:rsidRPr="00EC4398">
        <w:rPr>
          <w:lang w:val="en-GB"/>
        </w:rPr>
        <w:t xml:space="preserve">, myeloblast percentage, ring </w:t>
      </w:r>
      <w:proofErr w:type="spellStart"/>
      <w:r w:rsidRPr="00EC4398">
        <w:rPr>
          <w:lang w:val="en-GB"/>
        </w:rPr>
        <w:t>sideroblasts</w:t>
      </w:r>
      <w:proofErr w:type="spellEnd"/>
      <w:r w:rsidRPr="00EC4398">
        <w:rPr>
          <w:sz w:val="14"/>
          <w:szCs w:val="14"/>
          <w:lang w:val="en-GB"/>
        </w:rPr>
        <w:t xml:space="preserve"> </w:t>
      </w:r>
      <w:r>
        <w:rPr>
          <w:lang w:val="en-GB"/>
        </w:rPr>
        <w:t xml:space="preserve">as a </w:t>
      </w:r>
      <w:r>
        <w:rPr>
          <w:lang w:val="en-GB"/>
        </w:rPr>
        <w:lastRenderedPageBreak/>
        <w:t>percentage of bone marrow</w:t>
      </w:r>
      <w:r w:rsidRPr="00EC4398">
        <w:rPr>
          <w:lang w:val="en-GB"/>
        </w:rPr>
        <w:t xml:space="preserve"> erythroid elements,</w:t>
      </w:r>
      <w:r>
        <w:rPr>
          <w:rStyle w:val="FootnoteReference"/>
          <w:lang w:val="en-GB"/>
        </w:rPr>
        <w:footnoteReference w:id="14"/>
      </w:r>
      <w:r w:rsidRPr="00EC4398">
        <w:rPr>
          <w:lang w:val="en-GB"/>
        </w:rPr>
        <w:t xml:space="preserve"> and molecular genetic information</w:t>
      </w:r>
      <w:r>
        <w:rPr>
          <w:lang w:val="en-GB"/>
        </w:rPr>
        <w:t>.</w:t>
      </w:r>
      <w:r>
        <w:rPr>
          <w:rStyle w:val="FootnoteReference"/>
          <w:lang w:val="en-GB"/>
        </w:rPr>
        <w:footnoteReference w:id="15"/>
      </w:r>
      <w:r w:rsidRPr="00EC4398">
        <w:rPr>
          <w:lang w:val="en-GB"/>
        </w:rPr>
        <w:t xml:space="preserve"> According to</w:t>
      </w:r>
      <w:r>
        <w:rPr>
          <w:lang w:val="en-GB"/>
        </w:rPr>
        <w:t xml:space="preserve"> this classification system, myelodysplastic syndrome</w:t>
      </w:r>
      <w:r w:rsidRPr="00EC4398">
        <w:rPr>
          <w:lang w:val="en-GB"/>
        </w:rPr>
        <w:t xml:space="preserve"> can be categorised as </w:t>
      </w:r>
      <w:r>
        <w:rPr>
          <w:lang w:val="en-GB"/>
        </w:rPr>
        <w:t>myelodysplastic syndrome</w:t>
      </w:r>
      <w:r w:rsidRPr="00EC4398">
        <w:rPr>
          <w:rFonts w:eastAsiaTheme="minorHAnsi" w:cs="Cambria"/>
          <w:color w:val="000000"/>
          <w:lang w:val="en-GB"/>
        </w:rPr>
        <w:t xml:space="preserve"> </w:t>
      </w:r>
      <w:r>
        <w:rPr>
          <w:lang w:val="en-GB"/>
        </w:rPr>
        <w:t>with single l</w:t>
      </w:r>
      <w:r w:rsidRPr="00EC4398">
        <w:rPr>
          <w:lang w:val="en-GB"/>
        </w:rPr>
        <w:t xml:space="preserve">ineage dysplasia, </w:t>
      </w:r>
      <w:r>
        <w:rPr>
          <w:lang w:val="en-GB"/>
        </w:rPr>
        <w:t>myelodysplastic syndrome</w:t>
      </w:r>
      <w:r w:rsidRPr="00EC4398">
        <w:rPr>
          <w:rFonts w:eastAsiaTheme="minorHAnsi" w:cs="Cambria"/>
          <w:color w:val="000000"/>
          <w:lang w:val="en-GB"/>
        </w:rPr>
        <w:t xml:space="preserve"> </w:t>
      </w:r>
      <w:r w:rsidRPr="00EC4398">
        <w:rPr>
          <w:lang w:val="en-GB"/>
        </w:rPr>
        <w:t>with multi</w:t>
      </w:r>
      <w:r>
        <w:rPr>
          <w:lang w:val="en-GB"/>
        </w:rPr>
        <w:t>-</w:t>
      </w:r>
      <w:r w:rsidRPr="00EC4398">
        <w:rPr>
          <w:lang w:val="en-GB"/>
        </w:rPr>
        <w:t xml:space="preserve">lineage dysplasia, </w:t>
      </w:r>
      <w:r>
        <w:rPr>
          <w:lang w:val="en-GB"/>
        </w:rPr>
        <w:t>myelodysplastic syndrome</w:t>
      </w:r>
      <w:r w:rsidRPr="00EC4398">
        <w:rPr>
          <w:rFonts w:eastAsiaTheme="minorHAnsi" w:cs="Cambria"/>
          <w:color w:val="000000"/>
          <w:lang w:val="en-GB"/>
        </w:rPr>
        <w:t xml:space="preserve"> </w:t>
      </w:r>
      <w:r w:rsidRPr="00EC4398">
        <w:rPr>
          <w:lang w:val="en-GB"/>
        </w:rPr>
        <w:t xml:space="preserve">with ring </w:t>
      </w:r>
      <w:proofErr w:type="spellStart"/>
      <w:r w:rsidRPr="00EC4398">
        <w:rPr>
          <w:lang w:val="en-GB"/>
        </w:rPr>
        <w:t>sideroblasts</w:t>
      </w:r>
      <w:proofErr w:type="spellEnd"/>
      <w:r w:rsidRPr="00EC4398">
        <w:rPr>
          <w:lang w:val="en-GB"/>
        </w:rPr>
        <w:t xml:space="preserve"> (MDS-RS),</w:t>
      </w:r>
      <w:r>
        <w:rPr>
          <w:rStyle w:val="FootnoteReference"/>
          <w:lang w:val="en-GB"/>
        </w:rPr>
        <w:footnoteReference w:id="16"/>
      </w:r>
      <w:r w:rsidRPr="00EC4398">
        <w:rPr>
          <w:lang w:val="en-GB"/>
        </w:rPr>
        <w:t xml:space="preserve"> </w:t>
      </w:r>
      <w:r>
        <w:rPr>
          <w:lang w:val="en-GB"/>
        </w:rPr>
        <w:t>myelodysplastic syndrome</w:t>
      </w:r>
      <w:r w:rsidRPr="00EC4398">
        <w:rPr>
          <w:rFonts w:eastAsiaTheme="minorHAnsi" w:cs="Cambria"/>
          <w:color w:val="000000"/>
          <w:lang w:val="en-GB"/>
        </w:rPr>
        <w:t xml:space="preserve"> </w:t>
      </w:r>
      <w:r w:rsidRPr="00EC4398">
        <w:rPr>
          <w:lang w:val="en-GB"/>
        </w:rPr>
        <w:t xml:space="preserve">with excess blasts (MDS-EB), </w:t>
      </w:r>
      <w:r>
        <w:rPr>
          <w:lang w:val="en-GB"/>
        </w:rPr>
        <w:t>myelodysplastic syndrome</w:t>
      </w:r>
      <w:r w:rsidRPr="00EC4398">
        <w:rPr>
          <w:rFonts w:eastAsiaTheme="minorHAnsi" w:cs="Cambria"/>
          <w:color w:val="000000"/>
          <w:lang w:val="en-GB"/>
        </w:rPr>
        <w:t xml:space="preserve"> </w:t>
      </w:r>
      <w:r w:rsidRPr="00EC4398">
        <w:rPr>
          <w:lang w:val="en-GB"/>
        </w:rPr>
        <w:t xml:space="preserve">with isolated del(5q), or </w:t>
      </w:r>
      <w:r>
        <w:rPr>
          <w:lang w:val="en-GB"/>
        </w:rPr>
        <w:t>myelodysplastic syndrome</w:t>
      </w:r>
      <w:r w:rsidRPr="00EC4398">
        <w:rPr>
          <w:rFonts w:eastAsiaTheme="minorHAnsi" w:cs="Cambria"/>
          <w:color w:val="000000"/>
          <w:lang w:val="en-GB"/>
        </w:rPr>
        <w:t xml:space="preserve"> </w:t>
      </w:r>
      <w:r w:rsidRPr="00EC4398">
        <w:rPr>
          <w:lang w:val="en-GB"/>
        </w:rPr>
        <w:t xml:space="preserve">unclassifiable (MDS-U). However, there are prognostic limitations to above classification system due to highly variable outcomes of different WHO-classified </w:t>
      </w:r>
      <w:r>
        <w:rPr>
          <w:lang w:val="en-GB"/>
        </w:rPr>
        <w:t>myelodysplastic syndrome</w:t>
      </w:r>
      <w:r w:rsidRPr="00EC4398">
        <w:rPr>
          <w:rFonts w:eastAsiaTheme="minorHAnsi" w:cs="Cambria"/>
          <w:color w:val="000000"/>
          <w:lang w:val="en-GB"/>
        </w:rPr>
        <w:t xml:space="preserve"> </w:t>
      </w:r>
      <w:r w:rsidRPr="00EC4398">
        <w:rPr>
          <w:lang w:val="en-GB"/>
        </w:rPr>
        <w:t>groups and additional risk-based stratification systems have been devised with the</w:t>
      </w:r>
      <w:r>
        <w:rPr>
          <w:lang w:val="en-GB"/>
        </w:rPr>
        <w:t xml:space="preserve"> International Prognostic Scoring System (</w:t>
      </w:r>
      <w:r w:rsidRPr="00EC4398">
        <w:rPr>
          <w:lang w:val="en-GB"/>
        </w:rPr>
        <w:t>IPSS-R</w:t>
      </w:r>
      <w:r>
        <w:rPr>
          <w:lang w:val="en-GB"/>
        </w:rPr>
        <w:t>)</w:t>
      </w:r>
      <w:bookmarkStart w:id="23" w:name="_Ref94535386"/>
      <w:r w:rsidR="00FD01C5">
        <w:rPr>
          <w:lang w:val="en-GB"/>
        </w:rPr>
        <w:t>;</w:t>
      </w:r>
      <w:r>
        <w:rPr>
          <w:rStyle w:val="FootnoteReference"/>
          <w:lang w:val="en-GB"/>
        </w:rPr>
        <w:footnoteReference w:id="17"/>
      </w:r>
      <w:bookmarkEnd w:id="23"/>
      <w:r w:rsidRPr="00EC4398">
        <w:rPr>
          <w:lang w:val="en-GB"/>
        </w:rPr>
        <w:t xml:space="preserve">and WHO-classification based Prognostic Scoring System (WPSS) </w:t>
      </w:r>
      <w:proofErr w:type="gramStart"/>
      <w:r w:rsidRPr="00EC4398">
        <w:rPr>
          <w:lang w:val="en-GB"/>
        </w:rPr>
        <w:t>used most commonly</w:t>
      </w:r>
      <w:proofErr w:type="gramEnd"/>
      <w:r w:rsidRPr="00EC4398">
        <w:rPr>
          <w:lang w:val="en-GB"/>
        </w:rPr>
        <w:t xml:space="preserve">. The IPSS-R provides discriminatory risk factor assessment for evaluating clinical outcomes (survival duration and time to progression to </w:t>
      </w:r>
      <w:r w:rsidR="00FD01C5">
        <w:rPr>
          <w:lang w:val="en-GB"/>
        </w:rPr>
        <w:t>acute myeloid leukaemia</w:t>
      </w:r>
      <w:r w:rsidRPr="00EC4398">
        <w:rPr>
          <w:lang w:val="en-GB"/>
        </w:rPr>
        <w:t xml:space="preserve">) among patients with </w:t>
      </w:r>
      <w:r w:rsidR="00FD01C5">
        <w:rPr>
          <w:lang w:val="en-GB"/>
        </w:rPr>
        <w:t>myelodysplastic syndromes</w:t>
      </w:r>
      <w:r>
        <w:rPr>
          <w:lang w:val="en-GB"/>
        </w:rPr>
        <w:t>,</w:t>
      </w:r>
      <w:r>
        <w:rPr>
          <w:lang w:val="en-GB"/>
        </w:rPr>
        <w:fldChar w:fldCharType="begin"/>
      </w:r>
      <w:r>
        <w:rPr>
          <w:lang w:val="en-GB"/>
        </w:rPr>
        <w:instrText xml:space="preserve"> NOTEREF _Ref94535386 \f \h </w:instrText>
      </w:r>
      <w:r>
        <w:rPr>
          <w:lang w:val="en-GB"/>
        </w:rPr>
      </w:r>
      <w:r>
        <w:rPr>
          <w:lang w:val="en-GB"/>
        </w:rPr>
        <w:fldChar w:fldCharType="separate"/>
      </w:r>
      <w:r w:rsidRPr="00DD50BD">
        <w:rPr>
          <w:rStyle w:val="FootnoteReference"/>
        </w:rPr>
        <w:t>17</w:t>
      </w:r>
      <w:r>
        <w:rPr>
          <w:lang w:val="en-GB"/>
        </w:rPr>
        <w:fldChar w:fldCharType="end"/>
      </w:r>
      <w:r w:rsidRPr="00EC4398">
        <w:rPr>
          <w:lang w:val="en-GB"/>
        </w:rPr>
        <w:t xml:space="preserve"> and is used in the initial planning of therapeutic options</w:t>
      </w:r>
      <w:r>
        <w:rPr>
          <w:lang w:val="en-GB"/>
        </w:rPr>
        <w:t>.</w:t>
      </w:r>
      <w:r>
        <w:rPr>
          <w:rStyle w:val="FootnoteReference"/>
          <w:lang w:val="en-GB"/>
        </w:rPr>
        <w:footnoteReference w:id="18"/>
      </w:r>
      <w:r>
        <w:rPr>
          <w:lang w:val="en-GB"/>
        </w:rPr>
        <w:t xml:space="preserve"> Bone marrow cytogenetics, bone marrow</w:t>
      </w:r>
      <w:r w:rsidRPr="00EC4398">
        <w:rPr>
          <w:lang w:val="en-GB"/>
        </w:rPr>
        <w:t xml:space="preserve"> blast percentage, and </w:t>
      </w:r>
      <w:proofErr w:type="spellStart"/>
      <w:r w:rsidRPr="00EC4398">
        <w:rPr>
          <w:lang w:val="en-GB"/>
        </w:rPr>
        <w:t>cytopeni</w:t>
      </w:r>
      <w:r>
        <w:rPr>
          <w:lang w:val="en-GB"/>
        </w:rPr>
        <w:t>as</w:t>
      </w:r>
      <w:proofErr w:type="spellEnd"/>
      <w:r>
        <w:rPr>
          <w:lang w:val="en-GB"/>
        </w:rPr>
        <w:t xml:space="preserve"> remain the basis of the IPSS</w:t>
      </w:r>
      <w:r>
        <w:rPr>
          <w:lang w:val="en-GB"/>
        </w:rPr>
        <w:noBreakHyphen/>
      </w:r>
      <w:r w:rsidRPr="00EC4398">
        <w:rPr>
          <w:lang w:val="en-GB"/>
        </w:rPr>
        <w:t xml:space="preserve">R with further refinement of these categories to provide more meaningful classifications on which to assess clinical outcome in </w:t>
      </w:r>
      <w:r w:rsidR="00FD01C5">
        <w:rPr>
          <w:lang w:val="en-GB"/>
        </w:rPr>
        <w:t>myelodysplastic syndrome</w:t>
      </w:r>
      <w:r w:rsidRPr="00EC4398">
        <w:rPr>
          <w:lang w:val="en-GB"/>
        </w:rPr>
        <w:t>. The IPSS-R defines 5 risk groups: very low, low, intermediate, high, and very high. Lower-risk groups (very low, low, and intermediate categories) account for &gt; 75% of patients with MDS</w:t>
      </w:r>
      <w:r>
        <w:rPr>
          <w:lang w:val="en-GB"/>
        </w:rPr>
        <w:t>.</w:t>
      </w:r>
      <w:r>
        <w:rPr>
          <w:lang w:val="en-GB"/>
        </w:rPr>
        <w:fldChar w:fldCharType="begin"/>
      </w:r>
      <w:r>
        <w:rPr>
          <w:lang w:val="en-GB"/>
        </w:rPr>
        <w:instrText xml:space="preserve"> NOTEREF _Ref94535386 \f \h </w:instrText>
      </w:r>
      <w:r>
        <w:rPr>
          <w:lang w:val="en-GB"/>
        </w:rPr>
      </w:r>
      <w:r>
        <w:rPr>
          <w:lang w:val="en-GB"/>
        </w:rPr>
        <w:fldChar w:fldCharType="separate"/>
      </w:r>
      <w:r w:rsidRPr="00DD50BD">
        <w:rPr>
          <w:rStyle w:val="FootnoteReference"/>
        </w:rPr>
        <w:t>17</w:t>
      </w:r>
      <w:r>
        <w:rPr>
          <w:lang w:val="en-GB"/>
        </w:rPr>
        <w:fldChar w:fldCharType="end"/>
      </w:r>
      <w:r w:rsidRPr="00EC4398">
        <w:rPr>
          <w:lang w:val="en-GB"/>
        </w:rPr>
        <w:t xml:space="preserve"> </w:t>
      </w:r>
    </w:p>
    <w:p w14:paraId="252D9497" w14:textId="718AF354" w:rsidR="00F03961" w:rsidRPr="00EC4398" w:rsidRDefault="00F03961" w:rsidP="00F03961">
      <w:pPr>
        <w:autoSpaceDE w:val="0"/>
        <w:autoSpaceDN w:val="0"/>
        <w:adjustRightInd w:val="0"/>
        <w:spacing w:before="0" w:after="0" w:line="240" w:lineRule="auto"/>
        <w:rPr>
          <w:rFonts w:eastAsiaTheme="minorHAnsi" w:cs="Cambria"/>
          <w:color w:val="000000"/>
          <w:lang w:val="en-GB"/>
        </w:rPr>
      </w:pPr>
      <w:r w:rsidRPr="00EC4398">
        <w:rPr>
          <w:rFonts w:eastAsiaTheme="minorHAnsi" w:cs="Cambria"/>
          <w:color w:val="000000"/>
          <w:lang w:val="en-GB"/>
        </w:rPr>
        <w:t>Many patients with MDS are asymptomatic and a lack of specific symptoms among patients with lower-risk MDS is a major diagnostic challenge</w:t>
      </w:r>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_Ref94535577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13</w:t>
      </w:r>
      <w:r>
        <w:rPr>
          <w:rFonts w:eastAsiaTheme="minorHAnsi" w:cs="Cambria"/>
          <w:color w:val="000000"/>
          <w:lang w:val="en-GB"/>
        </w:rPr>
        <w:fldChar w:fldCharType="end"/>
      </w:r>
      <w:r w:rsidRPr="00EC4398">
        <w:rPr>
          <w:rFonts w:eastAsiaTheme="minorHAnsi" w:cs="Cambria"/>
          <w:color w:val="000000"/>
          <w:lang w:val="en-GB"/>
        </w:rPr>
        <w:t xml:space="preserve"> Diagnosis is often made during the assessment of comorbidities, when peripheral blood or </w:t>
      </w:r>
      <w:r>
        <w:rPr>
          <w:rFonts w:eastAsiaTheme="minorHAnsi" w:cs="Cambria"/>
          <w:color w:val="000000"/>
          <w:lang w:val="en-GB"/>
        </w:rPr>
        <w:t>bone marrow</w:t>
      </w:r>
      <w:r w:rsidRPr="00EC4398">
        <w:rPr>
          <w:rFonts w:eastAsiaTheme="minorHAnsi" w:cs="Cambria"/>
          <w:color w:val="000000"/>
          <w:lang w:val="en-GB"/>
        </w:rPr>
        <w:t xml:space="preserve"> features associated with MDS are revealed. Differential diagnosis is informed by an assessment of the patient’s medication history (ingestion of alcohol or drugs) and exclusion of diseases (including autoimmune disorders, renal failure, malignancies, chronic infections or inflammations, aplastic anaemia, and paroxysmal nocturnal haemoglobinuria)</w:t>
      </w:r>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_Ref94534467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11</w:t>
      </w:r>
      <w:r>
        <w:rPr>
          <w:rFonts w:eastAsiaTheme="minorHAnsi" w:cs="Cambria"/>
          <w:color w:val="000000"/>
          <w:lang w:val="en-GB"/>
        </w:rPr>
        <w:fldChar w:fldCharType="end"/>
      </w:r>
      <w:r w:rsidRPr="00EC4398">
        <w:rPr>
          <w:rFonts w:eastAsiaTheme="minorHAnsi" w:cs="Cambria"/>
          <w:color w:val="000000"/>
          <w:lang w:val="en-GB"/>
        </w:rPr>
        <w:t xml:space="preserve"> Analysis of </w:t>
      </w:r>
      <w:r>
        <w:rPr>
          <w:rFonts w:eastAsiaTheme="minorHAnsi" w:cs="Cambria"/>
          <w:color w:val="000000"/>
          <w:lang w:val="en-GB"/>
        </w:rPr>
        <w:t>bone marrow</w:t>
      </w:r>
      <w:r w:rsidRPr="00EC4398">
        <w:rPr>
          <w:rFonts w:eastAsiaTheme="minorHAnsi" w:cs="Cambria"/>
          <w:color w:val="000000"/>
          <w:lang w:val="en-GB"/>
        </w:rPr>
        <w:t xml:space="preserve"> and blood samples is central to the diagnosis</w:t>
      </w:r>
      <w:r>
        <w:rPr>
          <w:rFonts w:eastAsiaTheme="minorHAnsi" w:cs="Cambria"/>
          <w:color w:val="000000"/>
          <w:lang w:val="en-GB"/>
        </w:rPr>
        <w:fldChar w:fldCharType="begin"/>
      </w:r>
      <w:r>
        <w:rPr>
          <w:rFonts w:eastAsiaTheme="minorHAnsi" w:cs="Cambria"/>
          <w:color w:val="000000"/>
          <w:lang w:val="en-GB"/>
        </w:rPr>
        <w:instrText xml:space="preserve"> NOTEREF _Ref94534467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11</w:t>
      </w:r>
      <w:r>
        <w:rPr>
          <w:rFonts w:eastAsiaTheme="minorHAnsi" w:cs="Cambria"/>
          <w:color w:val="000000"/>
          <w:lang w:val="en-GB"/>
        </w:rPr>
        <w:fldChar w:fldCharType="end"/>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Fonts w:eastAsiaTheme="minorHAnsi" w:cs="Cambria"/>
          <w:color w:val="000000"/>
          <w:lang w:val="en-GB"/>
        </w:rPr>
        <w:fldChar w:fldCharType="begin"/>
      </w:r>
      <w:r>
        <w:rPr>
          <w:rFonts w:eastAsiaTheme="minorHAnsi" w:cs="Cambria"/>
          <w:color w:val="000000"/>
          <w:lang w:val="en-GB"/>
        </w:rPr>
        <w:instrText xml:space="preserve"> NOTEREF _Ref94534549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12</w:t>
      </w:r>
      <w:r>
        <w:rPr>
          <w:rFonts w:eastAsiaTheme="minorHAnsi" w:cs="Cambria"/>
          <w:color w:val="000000"/>
          <w:lang w:val="en-GB"/>
        </w:rPr>
        <w:fldChar w:fldCharType="end"/>
      </w:r>
      <w:r w:rsidRPr="00EC4398">
        <w:rPr>
          <w:rFonts w:eastAsiaTheme="minorHAnsi" w:cs="Cambria"/>
          <w:color w:val="000000"/>
          <w:lang w:val="en-GB"/>
        </w:rPr>
        <w:t xml:space="preserve"> and facilitates the exclusion of non-</w:t>
      </w:r>
      <w:r w:rsidR="00FD01C5">
        <w:rPr>
          <w:lang w:val="en-GB"/>
        </w:rPr>
        <w:t>myelodysplastic syndrome</w:t>
      </w:r>
      <w:r w:rsidRPr="00EC4398">
        <w:rPr>
          <w:rFonts w:eastAsiaTheme="minorHAnsi" w:cs="Cambria"/>
          <w:color w:val="000000"/>
          <w:lang w:val="en-GB"/>
        </w:rPr>
        <w:t xml:space="preserve"> causes of </w:t>
      </w:r>
      <w:proofErr w:type="spellStart"/>
      <w:r w:rsidRPr="00EC4398">
        <w:rPr>
          <w:rFonts w:eastAsiaTheme="minorHAnsi" w:cs="Cambria"/>
          <w:color w:val="000000"/>
          <w:lang w:val="en-GB"/>
        </w:rPr>
        <w:t>cytopenias</w:t>
      </w:r>
      <w:proofErr w:type="spellEnd"/>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_Ref94535704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2</w:t>
      </w:r>
      <w:r>
        <w:rPr>
          <w:rFonts w:eastAsiaTheme="minorHAnsi" w:cs="Cambria"/>
          <w:color w:val="000000"/>
          <w:lang w:val="en-GB"/>
        </w:rPr>
        <w:fldChar w:fldCharType="end"/>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Fonts w:eastAsiaTheme="minorHAnsi" w:cs="Cambria"/>
          <w:color w:val="000000"/>
          <w:lang w:val="en-GB"/>
        </w:rPr>
        <w:fldChar w:fldCharType="begin"/>
      </w:r>
      <w:r>
        <w:rPr>
          <w:rFonts w:eastAsiaTheme="minorHAnsi" w:cs="Cambria"/>
          <w:color w:val="000000"/>
          <w:lang w:val="en-GB"/>
        </w:rPr>
        <w:instrText xml:space="preserve"> NOTEREF _Ref94534549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12</w:t>
      </w:r>
      <w:r>
        <w:rPr>
          <w:rFonts w:eastAsiaTheme="minorHAnsi" w:cs="Cambria"/>
          <w:color w:val="000000"/>
          <w:lang w:val="en-GB"/>
        </w:rPr>
        <w:fldChar w:fldCharType="end"/>
      </w:r>
      <w:r w:rsidRPr="00DD50BD">
        <w:rPr>
          <w:rFonts w:eastAsiaTheme="minorHAnsi" w:cs="Cambria"/>
          <w:color w:val="000000"/>
          <w:vertAlign w:val="superscript"/>
          <w:lang w:val="en-GB"/>
        </w:rPr>
        <w:t>,</w:t>
      </w:r>
      <w:r>
        <w:rPr>
          <w:rFonts w:eastAsiaTheme="minorHAnsi" w:cs="Cambria"/>
          <w:color w:val="000000"/>
          <w:vertAlign w:val="superscript"/>
          <w:lang w:val="en-GB"/>
        </w:rPr>
        <w:t xml:space="preserve"> </w:t>
      </w:r>
      <w:r>
        <w:rPr>
          <w:rStyle w:val="FootnoteReference"/>
          <w:rFonts w:eastAsiaTheme="minorHAnsi" w:cs="Cambria"/>
          <w:color w:val="000000"/>
          <w:lang w:val="en-GB"/>
        </w:rPr>
        <w:footnoteReference w:id="19"/>
      </w:r>
      <w:r w:rsidRPr="00EC4398">
        <w:rPr>
          <w:rFonts w:eastAsiaTheme="minorHAnsi" w:cs="Cambria"/>
          <w:color w:val="000000"/>
          <w:lang w:val="en-GB"/>
        </w:rPr>
        <w:t xml:space="preserve"> Analysis of somatic mutations and flow cytometry analysis of </w:t>
      </w:r>
      <w:r>
        <w:rPr>
          <w:rFonts w:eastAsiaTheme="minorHAnsi" w:cs="Cambria"/>
          <w:color w:val="000000"/>
          <w:lang w:val="en-GB"/>
        </w:rPr>
        <w:t>bone marrow</w:t>
      </w:r>
      <w:r w:rsidRPr="00EC4398">
        <w:rPr>
          <w:rFonts w:eastAsiaTheme="minorHAnsi" w:cs="Cambria"/>
          <w:color w:val="000000"/>
          <w:lang w:val="en-GB"/>
        </w:rPr>
        <w:t xml:space="preserve"> cells can be useful when a diagnosis of </w:t>
      </w:r>
      <w:r w:rsidR="00FD01C5">
        <w:rPr>
          <w:lang w:val="en-GB"/>
        </w:rPr>
        <w:t>myelodysplastic syndrome</w:t>
      </w:r>
      <w:r w:rsidR="00FD01C5" w:rsidRPr="00EC4398">
        <w:rPr>
          <w:rFonts w:eastAsiaTheme="minorHAnsi" w:cs="Cambria"/>
          <w:color w:val="000000"/>
          <w:lang w:val="en-GB"/>
        </w:rPr>
        <w:t xml:space="preserve"> </w:t>
      </w:r>
      <w:r w:rsidRPr="00EC4398">
        <w:rPr>
          <w:rFonts w:eastAsiaTheme="minorHAnsi" w:cs="Cambria"/>
          <w:color w:val="000000"/>
          <w:lang w:val="en-GB"/>
        </w:rPr>
        <w:t>is uncertain</w:t>
      </w:r>
      <w:r>
        <w:rPr>
          <w:rFonts w:eastAsiaTheme="minorHAnsi" w:cs="Cambria"/>
          <w:color w:val="000000"/>
          <w:lang w:val="en-GB"/>
        </w:rPr>
        <w:t>.</w:t>
      </w:r>
      <w:r>
        <w:rPr>
          <w:rFonts w:eastAsiaTheme="minorHAnsi" w:cs="Cambria"/>
          <w:color w:val="000000"/>
          <w:lang w:val="en-GB"/>
        </w:rPr>
        <w:fldChar w:fldCharType="begin"/>
      </w:r>
      <w:r>
        <w:rPr>
          <w:rFonts w:eastAsiaTheme="minorHAnsi" w:cs="Cambria"/>
          <w:color w:val="000000"/>
          <w:lang w:val="en-GB"/>
        </w:rPr>
        <w:instrText xml:space="preserve"> NOTEREF _Ref94534467 \f \h </w:instrText>
      </w:r>
      <w:r>
        <w:rPr>
          <w:rFonts w:eastAsiaTheme="minorHAnsi" w:cs="Cambria"/>
          <w:color w:val="000000"/>
          <w:lang w:val="en-GB"/>
        </w:rPr>
      </w:r>
      <w:r>
        <w:rPr>
          <w:rFonts w:eastAsiaTheme="minorHAnsi" w:cs="Cambria"/>
          <w:color w:val="000000"/>
          <w:lang w:val="en-GB"/>
        </w:rPr>
        <w:fldChar w:fldCharType="separate"/>
      </w:r>
      <w:r w:rsidRPr="00DD50BD">
        <w:rPr>
          <w:rStyle w:val="FootnoteReference"/>
        </w:rPr>
        <w:t>11</w:t>
      </w:r>
      <w:r>
        <w:rPr>
          <w:rFonts w:eastAsiaTheme="minorHAnsi" w:cs="Cambria"/>
          <w:color w:val="000000"/>
          <w:lang w:val="en-GB"/>
        </w:rPr>
        <w:fldChar w:fldCharType="end"/>
      </w:r>
      <w:r w:rsidRPr="00EC4398">
        <w:rPr>
          <w:rFonts w:eastAsiaTheme="minorHAnsi" w:cs="Cambria"/>
          <w:color w:val="000000"/>
          <w:lang w:val="en-GB"/>
        </w:rPr>
        <w:t xml:space="preserve"> </w:t>
      </w:r>
    </w:p>
    <w:p w14:paraId="60AA3900" w14:textId="35C46923" w:rsidR="00F03961" w:rsidRDefault="00FD01C5" w:rsidP="00F03961">
      <w:pPr>
        <w:pStyle w:val="Heading4"/>
        <w:rPr>
          <w:lang w:val="en-GB"/>
        </w:rPr>
      </w:pPr>
      <w:r>
        <w:rPr>
          <w:lang w:val="en-GB"/>
        </w:rPr>
        <w:t>Beta</w:t>
      </w:r>
      <w:r>
        <w:rPr>
          <w:lang w:val="en-GB"/>
        </w:rPr>
        <w:noBreakHyphen/>
      </w:r>
      <w:r w:rsidR="00F03961">
        <w:rPr>
          <w:lang w:val="en-GB"/>
        </w:rPr>
        <w:t>thalassemia</w:t>
      </w:r>
    </w:p>
    <w:p w14:paraId="7D598E29" w14:textId="720305E1" w:rsidR="00F03961" w:rsidRPr="00C02B3E" w:rsidRDefault="00F03961" w:rsidP="00F03961">
      <w:pPr>
        <w:rPr>
          <w:lang w:val="en-GB"/>
        </w:rPr>
      </w:pPr>
      <w:r w:rsidRPr="00EC4398">
        <w:rPr>
          <w:lang w:val="en-GB"/>
        </w:rPr>
        <w:t xml:space="preserve">The </w:t>
      </w:r>
      <w:r>
        <w:rPr>
          <w:lang w:val="en-GB"/>
        </w:rPr>
        <w:t>beta-</w:t>
      </w:r>
      <w:proofErr w:type="spellStart"/>
      <w:r w:rsidRPr="00EC4398">
        <w:rPr>
          <w:lang w:val="en-GB"/>
        </w:rPr>
        <w:t>thalass</w:t>
      </w:r>
      <w:r>
        <w:rPr>
          <w:lang w:val="en-GB"/>
        </w:rPr>
        <w:t>a</w:t>
      </w:r>
      <w:r w:rsidRPr="00EC4398">
        <w:rPr>
          <w:lang w:val="en-GB"/>
        </w:rPr>
        <w:t>emias</w:t>
      </w:r>
      <w:proofErr w:type="spellEnd"/>
      <w:r>
        <w:rPr>
          <w:lang w:val="en-GB"/>
        </w:rPr>
        <w:t xml:space="preserve"> (or </w:t>
      </w:r>
      <w:r w:rsidRPr="00DD50BD">
        <w:rPr>
          <w:i/>
          <w:iCs/>
          <w:lang w:val="en-GB"/>
        </w:rPr>
        <w:t>β</w:t>
      </w:r>
      <w:r>
        <w:rPr>
          <w:lang w:val="en-GB"/>
        </w:rPr>
        <w:t>-</w:t>
      </w:r>
      <w:proofErr w:type="spellStart"/>
      <w:r>
        <w:rPr>
          <w:lang w:val="en-GB"/>
        </w:rPr>
        <w:t>thalassaemias</w:t>
      </w:r>
      <w:proofErr w:type="spellEnd"/>
      <w:r>
        <w:rPr>
          <w:lang w:val="en-GB"/>
        </w:rPr>
        <w:t>)</w:t>
      </w:r>
      <w:r w:rsidRPr="00EC4398">
        <w:rPr>
          <w:lang w:val="en-GB"/>
        </w:rPr>
        <w:t xml:space="preserve"> are a group of inherited disorders characterised by absent or reduced production of the </w:t>
      </w:r>
      <w:r>
        <w:rPr>
          <w:lang w:val="en-GB"/>
        </w:rPr>
        <w:t>beta-</w:t>
      </w:r>
      <w:r w:rsidRPr="00EC4398">
        <w:rPr>
          <w:lang w:val="en-GB"/>
        </w:rPr>
        <w:t>globin</w:t>
      </w:r>
      <w:r>
        <w:rPr>
          <w:lang w:val="en-GB"/>
        </w:rPr>
        <w:t xml:space="preserve"> (or </w:t>
      </w:r>
      <w:r w:rsidRPr="00DD50BD">
        <w:rPr>
          <w:i/>
          <w:iCs/>
          <w:lang w:val="en-GB"/>
        </w:rPr>
        <w:t>β</w:t>
      </w:r>
      <w:r>
        <w:rPr>
          <w:lang w:val="en-GB"/>
        </w:rPr>
        <w:t>-globulin)</w:t>
      </w:r>
      <w:r w:rsidRPr="00EC4398">
        <w:rPr>
          <w:lang w:val="en-GB"/>
        </w:rPr>
        <w:t xml:space="preserve"> chains of</w:t>
      </w:r>
      <w:r>
        <w:rPr>
          <w:lang w:val="en-GB"/>
        </w:rPr>
        <w:t xml:space="preserve"> haemoglobin</w:t>
      </w:r>
      <w:r w:rsidRPr="00EC4398">
        <w:rPr>
          <w:lang w:val="en-GB"/>
        </w:rPr>
        <w:t xml:space="preserve">, the oxygen carrying molecule in human </w:t>
      </w:r>
      <w:r>
        <w:rPr>
          <w:lang w:val="en-GB"/>
        </w:rPr>
        <w:t xml:space="preserve">red blood cells. Mutations in the </w:t>
      </w:r>
      <w:r w:rsidRPr="00DD50BD">
        <w:rPr>
          <w:i/>
          <w:iCs/>
          <w:lang w:val="en-GB"/>
        </w:rPr>
        <w:t>β</w:t>
      </w:r>
      <w:r>
        <w:rPr>
          <w:lang w:val="en-GB"/>
        </w:rPr>
        <w:noBreakHyphen/>
      </w:r>
      <w:r w:rsidRPr="00EC4398">
        <w:rPr>
          <w:lang w:val="en-GB"/>
        </w:rPr>
        <w:t xml:space="preserve">globin gene can be passed on from each of the 2 carrier parents to affected offspring in a recessive Mendelian manner. As the adult human </w:t>
      </w:r>
      <w:r>
        <w:rPr>
          <w:lang w:val="en-GB"/>
        </w:rPr>
        <w:t>haemoglobin</w:t>
      </w:r>
      <w:r w:rsidR="00FD01C5">
        <w:rPr>
          <w:lang w:val="en-GB"/>
        </w:rPr>
        <w:t xml:space="preserve"> molecule is made up of 2 </w:t>
      </w:r>
      <w:r>
        <w:rPr>
          <w:lang w:val="en-GB"/>
        </w:rPr>
        <w:t>alpha</w:t>
      </w:r>
      <w:r w:rsidRPr="00EC4398">
        <w:rPr>
          <w:lang w:val="en-GB"/>
        </w:rPr>
        <w:t>-</w:t>
      </w:r>
      <w:r>
        <w:rPr>
          <w:lang w:val="en-GB"/>
        </w:rPr>
        <w:t xml:space="preserve">globulin (or </w:t>
      </w:r>
      <w:r w:rsidRPr="00DD50BD">
        <w:rPr>
          <w:i/>
          <w:iCs/>
          <w:lang w:val="en-GB"/>
        </w:rPr>
        <w:t>α</w:t>
      </w:r>
      <w:r>
        <w:rPr>
          <w:lang w:val="en-GB"/>
        </w:rPr>
        <w:t>-globulin)</w:t>
      </w:r>
      <w:r w:rsidRPr="00EC4398">
        <w:rPr>
          <w:lang w:val="en-GB"/>
        </w:rPr>
        <w:t xml:space="preserve"> and 2 </w:t>
      </w:r>
      <w:r w:rsidRPr="00DD50BD">
        <w:rPr>
          <w:i/>
          <w:iCs/>
          <w:lang w:val="en-GB"/>
        </w:rPr>
        <w:t>β</w:t>
      </w:r>
      <w:r w:rsidRPr="00EC4398">
        <w:rPr>
          <w:lang w:val="en-GB"/>
        </w:rPr>
        <w:t>-globin chains, the reduced synthesi</w:t>
      </w:r>
      <w:r>
        <w:rPr>
          <w:lang w:val="en-GB"/>
        </w:rPr>
        <w:t xml:space="preserve">s of </w:t>
      </w:r>
      <w:r w:rsidRPr="00DD50BD">
        <w:rPr>
          <w:i/>
          <w:iCs/>
          <w:lang w:val="en-GB"/>
        </w:rPr>
        <w:t>β</w:t>
      </w:r>
      <w:r>
        <w:rPr>
          <w:lang w:val="en-GB"/>
        </w:rPr>
        <w:t>-globin in patients with beta</w:t>
      </w:r>
      <w:r w:rsidRPr="00EC4398">
        <w:rPr>
          <w:lang w:val="en-GB"/>
        </w:rPr>
        <w:t>-thalass</w:t>
      </w:r>
      <w:r>
        <w:rPr>
          <w:lang w:val="en-GB"/>
        </w:rPr>
        <w:t>a</w:t>
      </w:r>
      <w:r w:rsidRPr="00EC4398">
        <w:rPr>
          <w:lang w:val="en-GB"/>
        </w:rPr>
        <w:t xml:space="preserve">emia leads to an imbalance in the </w:t>
      </w:r>
      <w:r w:rsidRPr="00DD50BD">
        <w:rPr>
          <w:i/>
          <w:iCs/>
          <w:lang w:val="en-GB"/>
        </w:rPr>
        <w:t>α</w:t>
      </w:r>
      <w:r w:rsidRPr="00EC4398">
        <w:rPr>
          <w:lang w:val="en-GB"/>
        </w:rPr>
        <w:t>/</w:t>
      </w:r>
      <w:r w:rsidRPr="00DD50BD">
        <w:rPr>
          <w:i/>
          <w:iCs/>
          <w:lang w:val="en-GB"/>
        </w:rPr>
        <w:t>β</w:t>
      </w:r>
      <w:r w:rsidRPr="00EC4398">
        <w:rPr>
          <w:lang w:val="en-GB"/>
        </w:rPr>
        <w:t xml:space="preserve">-globin chain ratio, accumulation of excess unpaired </w:t>
      </w:r>
      <w:r w:rsidRPr="00DD50BD">
        <w:rPr>
          <w:i/>
          <w:iCs/>
          <w:lang w:val="en-GB"/>
        </w:rPr>
        <w:t>α</w:t>
      </w:r>
      <w:r w:rsidRPr="00EC4398">
        <w:rPr>
          <w:lang w:val="en-GB"/>
        </w:rPr>
        <w:t xml:space="preserve">-globin chains that form </w:t>
      </w:r>
      <w:proofErr w:type="spellStart"/>
      <w:r w:rsidRPr="00EC4398">
        <w:rPr>
          <w:lang w:val="en-GB"/>
        </w:rPr>
        <w:t>haemichromes</w:t>
      </w:r>
      <w:proofErr w:type="spellEnd"/>
      <w:r w:rsidRPr="00EC4398">
        <w:rPr>
          <w:lang w:val="en-GB"/>
        </w:rPr>
        <w:t xml:space="preserve"> and inclusion bodies, and premature death of </w:t>
      </w:r>
      <w:r>
        <w:rPr>
          <w:lang w:val="en-GB"/>
        </w:rPr>
        <w:t>red blood cells</w:t>
      </w:r>
      <w:r w:rsidRPr="00EC4398">
        <w:rPr>
          <w:lang w:val="en-GB"/>
        </w:rPr>
        <w:t xml:space="preserve"> or their precursors in the bone marrow and </w:t>
      </w:r>
      <w:r w:rsidRPr="00EC4398">
        <w:rPr>
          <w:lang w:val="en-GB"/>
        </w:rPr>
        <w:lastRenderedPageBreak/>
        <w:t>perip</w:t>
      </w:r>
      <w:r>
        <w:rPr>
          <w:lang w:val="en-GB"/>
        </w:rPr>
        <w:t>heral circulation. Anaemia in beta-</w:t>
      </w:r>
      <w:r w:rsidRPr="00C02B3E">
        <w:rPr>
          <w:lang w:val="en-GB"/>
        </w:rPr>
        <w:t>thalassemia arises mainly due to: (</w:t>
      </w:r>
      <w:proofErr w:type="spellStart"/>
      <w:r w:rsidRPr="00C02B3E">
        <w:rPr>
          <w:lang w:val="en-GB"/>
        </w:rPr>
        <w:t>i</w:t>
      </w:r>
      <w:proofErr w:type="spellEnd"/>
      <w:r w:rsidRPr="00C02B3E">
        <w:rPr>
          <w:lang w:val="en-GB"/>
        </w:rPr>
        <w:t>) ineffective erythropoiesis, (ii) red cell haemolysis, and (iii) abnormal red cell morphology. Ineffective erythropoiesis can lead to erythroid expansion in the bone marrow which in turn can lead to bony deformities and oste</w:t>
      </w:r>
      <w:r>
        <w:rPr>
          <w:lang w:val="en-GB"/>
        </w:rPr>
        <w:t>oporosis, making patients with beta</w:t>
      </w:r>
      <w:r w:rsidRPr="00C02B3E">
        <w:rPr>
          <w:lang w:val="en-GB"/>
        </w:rPr>
        <w:t xml:space="preserve">-thalassemia more susceptible to </w:t>
      </w:r>
      <w:r>
        <w:rPr>
          <w:lang w:val="en-GB"/>
        </w:rPr>
        <w:t>fractures. The acceleration of red blood cell</w:t>
      </w:r>
      <w:r w:rsidRPr="00C02B3E">
        <w:rPr>
          <w:lang w:val="en-GB"/>
        </w:rPr>
        <w:t xml:space="preserve"> destruction can also result in </w:t>
      </w:r>
      <w:proofErr w:type="gramStart"/>
      <w:r w:rsidRPr="00C02B3E">
        <w:rPr>
          <w:lang w:val="en-GB"/>
        </w:rPr>
        <w:t>splenomegaly</w:t>
      </w:r>
      <w:proofErr w:type="gramEnd"/>
      <w:r w:rsidRPr="00C02B3E">
        <w:rPr>
          <w:lang w:val="en-GB"/>
        </w:rPr>
        <w:t xml:space="preserve"> which is due to extra medullary haematopoiesis, which occurs because of increased </w:t>
      </w:r>
      <w:r>
        <w:rPr>
          <w:lang w:val="en-GB"/>
        </w:rPr>
        <w:t>red blood cell</w:t>
      </w:r>
      <w:r w:rsidRPr="00C02B3E">
        <w:rPr>
          <w:lang w:val="en-GB"/>
        </w:rPr>
        <w:t xml:space="preserve"> destruction in the bone marrow</w:t>
      </w:r>
      <w:r>
        <w:rPr>
          <w:lang w:val="en-GB"/>
        </w:rPr>
        <w:t>.</w:t>
      </w:r>
      <w:r>
        <w:rPr>
          <w:rStyle w:val="FootnoteReference"/>
          <w:lang w:val="en-GB"/>
        </w:rPr>
        <w:footnoteReference w:id="20"/>
      </w:r>
      <w:r>
        <w:rPr>
          <w:lang w:val="en-GB"/>
        </w:rPr>
        <w:t xml:space="preserve"> Onset of anaemia in beta-</w:t>
      </w:r>
      <w:r w:rsidRPr="00C02B3E">
        <w:rPr>
          <w:lang w:val="en-GB"/>
        </w:rPr>
        <w:t xml:space="preserve">thalassemia generally occurs between 6 and 24 months of age, corresponding to the switch from the </w:t>
      </w:r>
      <w:r>
        <w:rPr>
          <w:lang w:val="en-GB"/>
        </w:rPr>
        <w:t>gamma (</w:t>
      </w:r>
      <w:r w:rsidRPr="00DD50BD">
        <w:rPr>
          <w:i/>
          <w:iCs/>
          <w:lang w:val="en-GB"/>
        </w:rPr>
        <w:t>γ</w:t>
      </w:r>
      <w:r w:rsidRPr="00C02B3E">
        <w:rPr>
          <w:lang w:val="en-GB"/>
        </w:rPr>
        <w:t>-</w:t>
      </w:r>
      <w:r>
        <w:rPr>
          <w:lang w:val="en-GB"/>
        </w:rPr>
        <w:t xml:space="preserve">)chain of </w:t>
      </w:r>
      <w:proofErr w:type="spellStart"/>
      <w:r>
        <w:rPr>
          <w:lang w:val="en-GB"/>
        </w:rPr>
        <w:t>fetal</w:t>
      </w:r>
      <w:proofErr w:type="spellEnd"/>
      <w:r>
        <w:rPr>
          <w:lang w:val="en-GB"/>
        </w:rPr>
        <w:t xml:space="preserve"> haemoglobin G</w:t>
      </w:r>
      <w:r w:rsidRPr="00C02B3E">
        <w:rPr>
          <w:lang w:val="en-GB"/>
        </w:rPr>
        <w:t xml:space="preserve"> to the </w:t>
      </w:r>
      <w:r w:rsidRPr="00DD50BD">
        <w:rPr>
          <w:i/>
          <w:iCs/>
          <w:lang w:val="en-GB"/>
        </w:rPr>
        <w:t>β</w:t>
      </w:r>
      <w:r w:rsidRPr="00C02B3E">
        <w:rPr>
          <w:lang w:val="en-GB"/>
        </w:rPr>
        <w:t xml:space="preserve">-chains of adult </w:t>
      </w:r>
      <w:r>
        <w:rPr>
          <w:lang w:val="en-GB"/>
        </w:rPr>
        <w:t>haemoglobin G</w:t>
      </w:r>
      <w:r w:rsidRPr="00C02B3E">
        <w:rPr>
          <w:lang w:val="en-GB"/>
        </w:rPr>
        <w:t>.</w:t>
      </w:r>
    </w:p>
    <w:p w14:paraId="6FAFC0F0" w14:textId="77777777" w:rsidR="00F03961" w:rsidRPr="00C02B3E" w:rsidRDefault="00F03961" w:rsidP="00F03961">
      <w:pPr>
        <w:rPr>
          <w:lang w:val="en-GB"/>
        </w:rPr>
      </w:pPr>
      <w:r>
        <w:rPr>
          <w:lang w:val="en-GB"/>
        </w:rPr>
        <w:t xml:space="preserve">About 80 to 90 million people (around </w:t>
      </w:r>
      <w:r w:rsidRPr="00C02B3E">
        <w:rPr>
          <w:lang w:val="en-GB"/>
        </w:rPr>
        <w:t>1.5 % of the global</w:t>
      </w:r>
      <w:r>
        <w:rPr>
          <w:lang w:val="en-GB"/>
        </w:rPr>
        <w:t xml:space="preserve"> population) are carriers of the beta-</w:t>
      </w:r>
      <w:r w:rsidRPr="00C02B3E">
        <w:rPr>
          <w:lang w:val="en-GB"/>
        </w:rPr>
        <w:t>thalass</w:t>
      </w:r>
      <w:r>
        <w:rPr>
          <w:lang w:val="en-GB"/>
        </w:rPr>
        <w:t>a</w:t>
      </w:r>
      <w:r w:rsidRPr="00C02B3E">
        <w:rPr>
          <w:lang w:val="en-GB"/>
        </w:rPr>
        <w:t xml:space="preserve">emia </w:t>
      </w:r>
      <w:r>
        <w:rPr>
          <w:lang w:val="en-GB"/>
        </w:rPr>
        <w:t xml:space="preserve">gene (also known as beta-thalassaemia minor, or beta-thalassaemia trait) </w:t>
      </w:r>
      <w:r w:rsidRPr="00C02B3E">
        <w:rPr>
          <w:lang w:val="en-GB"/>
        </w:rPr>
        <w:t>with approximately 60,000 symptomatic individuals born annually</w:t>
      </w:r>
      <w:r>
        <w:rPr>
          <w:lang w:val="en-GB"/>
        </w:rPr>
        <w:t>.</w:t>
      </w:r>
      <w:r>
        <w:rPr>
          <w:rStyle w:val="FootnoteReference"/>
          <w:lang w:val="en-GB"/>
        </w:rPr>
        <w:footnoteReference w:id="21"/>
      </w:r>
      <w:r w:rsidRPr="00C02B3E">
        <w:rPr>
          <w:lang w:val="en-GB"/>
        </w:rPr>
        <w:t xml:space="preserve"> The annual incidence of symptomatic individuals is estimated at 1 in 100,000 worldwide and 1 in 10,000 in the European Union (EU)</w:t>
      </w:r>
      <w:r>
        <w:rPr>
          <w:lang w:val="en-GB"/>
        </w:rPr>
        <w:t>.</w:t>
      </w:r>
      <w:r>
        <w:rPr>
          <w:rStyle w:val="FootnoteReference"/>
          <w:lang w:val="en-GB"/>
        </w:rPr>
        <w:footnoteReference w:id="22"/>
      </w:r>
      <w:r w:rsidRPr="00C02B3E">
        <w:rPr>
          <w:lang w:val="en-GB"/>
        </w:rPr>
        <w:t xml:space="preserve"> Incidence is highest in the Mediterranean region, the Middle East, North America and South East Asia (particularly India, China, Thailand and Indonesia; this region accounts for approximately 50% of affected births). I</w:t>
      </w:r>
      <w:r>
        <w:rPr>
          <w:lang w:val="en-GB"/>
        </w:rPr>
        <w:t>n Australia, the frequency of beta-</w:t>
      </w:r>
      <w:r w:rsidRPr="00C02B3E">
        <w:rPr>
          <w:lang w:val="en-GB"/>
        </w:rPr>
        <w:t>thalass</w:t>
      </w:r>
      <w:r>
        <w:rPr>
          <w:lang w:val="en-GB"/>
        </w:rPr>
        <w:t>a</w:t>
      </w:r>
      <w:r w:rsidRPr="00C02B3E">
        <w:rPr>
          <w:lang w:val="en-GB"/>
        </w:rPr>
        <w:t xml:space="preserve">emia is not well </w:t>
      </w:r>
      <w:proofErr w:type="gramStart"/>
      <w:r w:rsidRPr="00C02B3E">
        <w:rPr>
          <w:lang w:val="en-GB"/>
        </w:rPr>
        <w:t>described</w:t>
      </w:r>
      <w:proofErr w:type="gramEnd"/>
      <w:r w:rsidRPr="00C02B3E">
        <w:rPr>
          <w:lang w:val="en-GB"/>
        </w:rPr>
        <w:t xml:space="preserve"> and the number of affected individuals is unclear.</w:t>
      </w:r>
    </w:p>
    <w:p w14:paraId="4489B5BE" w14:textId="21795B0E" w:rsidR="00F03961" w:rsidRDefault="00F03961" w:rsidP="00F03961">
      <w:pPr>
        <w:rPr>
          <w:lang w:val="en-GB"/>
        </w:rPr>
      </w:pPr>
      <w:r w:rsidRPr="00C02B3E">
        <w:rPr>
          <w:lang w:val="en-GB"/>
        </w:rPr>
        <w:t>Pat</w:t>
      </w:r>
      <w:r>
        <w:rPr>
          <w:lang w:val="en-GB"/>
        </w:rPr>
        <w:t>ients are classified as having beta</w:t>
      </w:r>
      <w:r w:rsidRPr="00C02B3E">
        <w:rPr>
          <w:lang w:val="en-GB"/>
        </w:rPr>
        <w:t>-thalass</w:t>
      </w:r>
      <w:r>
        <w:rPr>
          <w:lang w:val="en-GB"/>
        </w:rPr>
        <w:t>aemia major or beta</w:t>
      </w:r>
      <w:r w:rsidRPr="00C02B3E">
        <w:rPr>
          <w:lang w:val="en-GB"/>
        </w:rPr>
        <w:t>-thalass</w:t>
      </w:r>
      <w:r>
        <w:rPr>
          <w:lang w:val="en-GB"/>
        </w:rPr>
        <w:t>aemia intermedia (including haemoglobin E/beta</w:t>
      </w:r>
      <w:r w:rsidRPr="00C02B3E">
        <w:rPr>
          <w:lang w:val="en-GB"/>
        </w:rPr>
        <w:t>-thalass</w:t>
      </w:r>
      <w:r>
        <w:rPr>
          <w:lang w:val="en-GB"/>
        </w:rPr>
        <w:t>a</w:t>
      </w:r>
      <w:r w:rsidRPr="00C02B3E">
        <w:rPr>
          <w:lang w:val="en-GB"/>
        </w:rPr>
        <w:t>emia</w:t>
      </w:r>
      <w:r>
        <w:rPr>
          <w:lang w:val="en-GB"/>
        </w:rPr>
        <w:t xml:space="preserve"> (</w:t>
      </w:r>
      <w:proofErr w:type="spellStart"/>
      <w:r>
        <w:rPr>
          <w:lang w:val="en-GB"/>
        </w:rPr>
        <w:t>HbE</w:t>
      </w:r>
      <w:proofErr w:type="spellEnd"/>
      <w:r>
        <w:rPr>
          <w:lang w:val="en-GB"/>
        </w:rPr>
        <w:t>/</w:t>
      </w:r>
      <w:r w:rsidRPr="00DD50BD">
        <w:rPr>
          <w:i/>
          <w:iCs/>
          <w:lang w:val="en-GB"/>
        </w:rPr>
        <w:t>β</w:t>
      </w:r>
      <w:r>
        <w:rPr>
          <w:lang w:val="en-GB"/>
        </w:rPr>
        <w:t>-thalassaemia</w:t>
      </w:r>
      <w:r w:rsidRPr="00C02B3E">
        <w:rPr>
          <w:lang w:val="en-GB"/>
        </w:rPr>
        <w:t>)</w:t>
      </w:r>
      <w:r>
        <w:rPr>
          <w:lang w:val="en-GB"/>
        </w:rPr>
        <w:t>)</w:t>
      </w:r>
      <w:r w:rsidRPr="00C02B3E">
        <w:rPr>
          <w:lang w:val="en-GB"/>
        </w:rPr>
        <w:t>, primarily based on the severity of genetic background, anaemia, and clinical presentation at diagnosis. However, no systematic classification criteria exist</w:t>
      </w:r>
      <w:r>
        <w:rPr>
          <w:rStyle w:val="FootnoteReference"/>
          <w:lang w:val="en-GB"/>
        </w:rPr>
        <w:footnoteReference w:id="23"/>
      </w:r>
      <w:r w:rsidRPr="00C02B3E">
        <w:rPr>
          <w:lang w:val="en-GB"/>
        </w:rPr>
        <w:t xml:space="preserve"> and in more recent years, there has been increasing acknowledgment of the role of </w:t>
      </w:r>
      <w:r>
        <w:rPr>
          <w:lang w:val="en-GB"/>
        </w:rPr>
        <w:t>red blood cell</w:t>
      </w:r>
      <w:r w:rsidRPr="00C02B3E">
        <w:rPr>
          <w:lang w:val="en-GB"/>
        </w:rPr>
        <w:t xml:space="preserve"> transfusion therapy in determining the severity and course of disease; patients are now categorised as havi</w:t>
      </w:r>
      <w:r>
        <w:rPr>
          <w:lang w:val="en-GB"/>
        </w:rPr>
        <w:t>ng transfusion-dependent beta</w:t>
      </w:r>
      <w:r w:rsidRPr="00C02B3E">
        <w:rPr>
          <w:lang w:val="en-GB"/>
        </w:rPr>
        <w:t xml:space="preserve">-thalassemia or </w:t>
      </w:r>
      <w:proofErr w:type="spellStart"/>
      <w:r w:rsidRPr="00C02B3E">
        <w:rPr>
          <w:lang w:val="en-GB"/>
        </w:rPr>
        <w:t>n</w:t>
      </w:r>
      <w:r>
        <w:rPr>
          <w:lang w:val="en-GB"/>
        </w:rPr>
        <w:t>ontransfusion</w:t>
      </w:r>
      <w:proofErr w:type="spellEnd"/>
      <w:r w:rsidR="008447B3">
        <w:rPr>
          <w:lang w:val="en-GB"/>
        </w:rPr>
        <w:t xml:space="preserve"> </w:t>
      </w:r>
      <w:r>
        <w:rPr>
          <w:lang w:val="en-GB"/>
        </w:rPr>
        <w:t>dependent beta-</w:t>
      </w:r>
      <w:r w:rsidRPr="00C02B3E">
        <w:rPr>
          <w:lang w:val="en-GB"/>
        </w:rPr>
        <w:t xml:space="preserve">thalassemia. Patients with </w:t>
      </w:r>
      <w:r>
        <w:rPr>
          <w:lang w:val="en-GB"/>
        </w:rPr>
        <w:t>transfusion-dependent beta</w:t>
      </w:r>
      <w:r w:rsidRPr="00C02B3E">
        <w:rPr>
          <w:lang w:val="en-GB"/>
        </w:rPr>
        <w:t>-thalass</w:t>
      </w:r>
      <w:r>
        <w:rPr>
          <w:lang w:val="en-GB"/>
        </w:rPr>
        <w:t>a</w:t>
      </w:r>
      <w:r w:rsidRPr="00C02B3E">
        <w:rPr>
          <w:lang w:val="en-GB"/>
        </w:rPr>
        <w:t>emia (which includes conventional</w:t>
      </w:r>
      <w:r>
        <w:rPr>
          <w:lang w:val="en-GB"/>
        </w:rPr>
        <w:t xml:space="preserve"> beta-</w:t>
      </w:r>
      <w:r w:rsidRPr="00C02B3E">
        <w:rPr>
          <w:lang w:val="en-GB"/>
        </w:rPr>
        <w:t>thalass</w:t>
      </w:r>
      <w:r>
        <w:rPr>
          <w:lang w:val="en-GB"/>
        </w:rPr>
        <w:t>a</w:t>
      </w:r>
      <w:r w:rsidRPr="00C02B3E">
        <w:rPr>
          <w:lang w:val="en-GB"/>
        </w:rPr>
        <w:t>em</w:t>
      </w:r>
      <w:r>
        <w:rPr>
          <w:lang w:val="en-GB"/>
        </w:rPr>
        <w:t xml:space="preserve">ia major and severe forms of </w:t>
      </w:r>
      <w:r w:rsidR="00FD01C5">
        <w:rPr>
          <w:lang w:val="en-GB"/>
        </w:rPr>
        <w:t>haemoglobin E</w:t>
      </w:r>
      <w:r>
        <w:rPr>
          <w:lang w:val="en-GB"/>
        </w:rPr>
        <w:t>/beta-</w:t>
      </w:r>
      <w:r w:rsidRPr="00C02B3E">
        <w:rPr>
          <w:lang w:val="en-GB"/>
        </w:rPr>
        <w:t>thalass</w:t>
      </w:r>
      <w:r>
        <w:rPr>
          <w:lang w:val="en-GB"/>
        </w:rPr>
        <w:t>a</w:t>
      </w:r>
      <w:r w:rsidRPr="00C02B3E">
        <w:rPr>
          <w:lang w:val="en-GB"/>
        </w:rPr>
        <w:t xml:space="preserve">emia) commonly present to clinical attention in early childhood (before </w:t>
      </w:r>
      <w:r>
        <w:rPr>
          <w:lang w:val="en-GB"/>
        </w:rPr>
        <w:t>two</w:t>
      </w:r>
      <w:r w:rsidRPr="00C02B3E">
        <w:rPr>
          <w:lang w:val="en-GB"/>
        </w:rPr>
        <w:t xml:space="preserve"> years of age) with severe anaemia (</w:t>
      </w:r>
      <w:r>
        <w:rPr>
          <w:lang w:val="en-GB"/>
        </w:rPr>
        <w:t xml:space="preserve">haemoglobin </w:t>
      </w:r>
      <w:r w:rsidRPr="00C02B3E">
        <w:rPr>
          <w:lang w:val="en-GB"/>
        </w:rPr>
        <w:t>&lt; 7</w:t>
      </w:r>
      <w:r>
        <w:rPr>
          <w:lang w:val="en-GB"/>
        </w:rPr>
        <w:t> </w:t>
      </w:r>
      <w:r w:rsidRPr="00C02B3E">
        <w:rPr>
          <w:lang w:val="en-GB"/>
        </w:rPr>
        <w:t>g/dL). These patients require life-long, regular blood transf</w:t>
      </w:r>
      <w:r>
        <w:rPr>
          <w:lang w:val="en-GB"/>
        </w:rPr>
        <w:t xml:space="preserve">usion therapy. Patients with </w:t>
      </w:r>
      <w:proofErr w:type="spellStart"/>
      <w:r>
        <w:rPr>
          <w:lang w:val="en-GB"/>
        </w:rPr>
        <w:t>nontransfusion</w:t>
      </w:r>
      <w:proofErr w:type="spellEnd"/>
      <w:r w:rsidR="008447B3">
        <w:rPr>
          <w:lang w:val="en-GB"/>
        </w:rPr>
        <w:t xml:space="preserve"> </w:t>
      </w:r>
      <w:r>
        <w:rPr>
          <w:lang w:val="en-GB"/>
        </w:rPr>
        <w:t>dependent beta-th</w:t>
      </w:r>
      <w:r w:rsidRPr="00C02B3E">
        <w:rPr>
          <w:lang w:val="en-GB"/>
        </w:rPr>
        <w:t>alass</w:t>
      </w:r>
      <w:r>
        <w:rPr>
          <w:lang w:val="en-GB"/>
        </w:rPr>
        <w:t>a</w:t>
      </w:r>
      <w:r w:rsidRPr="00C02B3E">
        <w:rPr>
          <w:lang w:val="en-GB"/>
        </w:rPr>
        <w:t>emia</w:t>
      </w:r>
      <w:r>
        <w:rPr>
          <w:lang w:val="en-GB"/>
        </w:rPr>
        <w:t xml:space="preserve"> (which includes conventional beta-</w:t>
      </w:r>
      <w:r w:rsidRPr="00C02B3E">
        <w:rPr>
          <w:lang w:val="en-GB"/>
        </w:rPr>
        <w:t>thalass</w:t>
      </w:r>
      <w:r>
        <w:rPr>
          <w:lang w:val="en-GB"/>
        </w:rPr>
        <w:t>a</w:t>
      </w:r>
      <w:r w:rsidRPr="00C02B3E">
        <w:rPr>
          <w:lang w:val="en-GB"/>
        </w:rPr>
        <w:t xml:space="preserve">emia intermedia and mild to moderate forms of </w:t>
      </w:r>
      <w:r w:rsidR="00FD01C5">
        <w:rPr>
          <w:lang w:val="en-GB"/>
        </w:rPr>
        <w:t>haemoglobin E</w:t>
      </w:r>
      <w:r>
        <w:rPr>
          <w:lang w:val="en-GB"/>
        </w:rPr>
        <w:t>/beta-</w:t>
      </w:r>
      <w:r w:rsidRPr="00C02B3E">
        <w:rPr>
          <w:lang w:val="en-GB"/>
        </w:rPr>
        <w:t>thalass</w:t>
      </w:r>
      <w:r>
        <w:rPr>
          <w:lang w:val="en-GB"/>
        </w:rPr>
        <w:t>a</w:t>
      </w:r>
      <w:r w:rsidRPr="00C02B3E">
        <w:rPr>
          <w:lang w:val="en-GB"/>
        </w:rPr>
        <w:t>emia) present later in childhood or adolescence with mild to moderate anaemia and require no or only occasional transfusions in instances of blood loss or worsening anaemia due to periods</w:t>
      </w:r>
      <w:r>
        <w:rPr>
          <w:lang w:val="en-GB"/>
        </w:rPr>
        <w:t xml:space="preserve"> of physiological stress (for example, </w:t>
      </w:r>
      <w:r w:rsidRPr="00C02B3E">
        <w:rPr>
          <w:lang w:val="en-GB"/>
        </w:rPr>
        <w:t>during infections, surgery, or pregnancy).</w:t>
      </w:r>
    </w:p>
    <w:p w14:paraId="720E0BEB" w14:textId="77777777" w:rsidR="00F03961" w:rsidRDefault="00F03961" w:rsidP="00F03961">
      <w:pPr>
        <w:pStyle w:val="Heading4"/>
      </w:pPr>
      <w:r>
        <w:t>Current treatment options</w:t>
      </w:r>
    </w:p>
    <w:p w14:paraId="1FEC24AB" w14:textId="77777777" w:rsidR="00F03961" w:rsidRPr="00D229C6" w:rsidRDefault="00F03961" w:rsidP="00F03961">
      <w:pPr>
        <w:pStyle w:val="Heading5"/>
      </w:pPr>
      <w:r>
        <w:t>Myelodysplastic syndromes</w:t>
      </w:r>
    </w:p>
    <w:p w14:paraId="414775FC" w14:textId="6A40985A" w:rsidR="00F03961" w:rsidRDefault="00F03961" w:rsidP="00F03961">
      <w:r>
        <w:t xml:space="preserve">As outcomes for patients with </w:t>
      </w:r>
      <w:r w:rsidR="00FD01C5">
        <w:rPr>
          <w:lang w:val="en-GB"/>
        </w:rPr>
        <w:t>myelodysplastic syndromes</w:t>
      </w:r>
      <w:r w:rsidR="00FD01C5" w:rsidRPr="00EC4398">
        <w:rPr>
          <w:rFonts w:eastAsiaTheme="minorHAnsi" w:cs="Cambria"/>
          <w:color w:val="000000"/>
          <w:lang w:val="en-GB"/>
        </w:rPr>
        <w:t xml:space="preserve"> </w:t>
      </w:r>
      <w:r>
        <w:t>are heterogeneous, individual risk stratification using tools such as the revised International Prognostic Scoring System (IPSS-R) is important in managing patients—including selecting candidates for allogeneic haematopoietic stem cell transplantation (ASCT), the only potentially curative therapy for MDS.</w:t>
      </w:r>
      <w:r>
        <w:rPr>
          <w:rStyle w:val="FootnoteReference"/>
        </w:rPr>
        <w:footnoteReference w:id="24"/>
      </w:r>
      <w:r>
        <w:t xml:space="preserve"> The IPSS-R can be supplemented by molecular genetic testing, since certain gene </w:t>
      </w:r>
      <w:r>
        <w:lastRenderedPageBreak/>
        <w:t xml:space="preserve">mutations such as </w:t>
      </w:r>
      <w:r>
        <w:rPr>
          <w:i/>
          <w:iCs/>
        </w:rPr>
        <w:t xml:space="preserve">TP53 </w:t>
      </w:r>
      <w:r>
        <w:t>influence risk independent of established clinicopathological variables.</w:t>
      </w:r>
    </w:p>
    <w:p w14:paraId="6D86116C" w14:textId="3F41DAE7" w:rsidR="00F03961" w:rsidRDefault="00F03961" w:rsidP="00F03961">
      <w:r>
        <w:t xml:space="preserve">The </w:t>
      </w:r>
      <w:proofErr w:type="gramStart"/>
      <w:r>
        <w:t>main focus</w:t>
      </w:r>
      <w:proofErr w:type="gramEnd"/>
      <w:r>
        <w:t xml:space="preserve"> of management in patients with IPSS-R lower-risk </w:t>
      </w:r>
      <w:r w:rsidR="00FD01C5">
        <w:rPr>
          <w:lang w:val="en-GB"/>
        </w:rPr>
        <w:t>myelodysplastic syndrome</w:t>
      </w:r>
      <w:r w:rsidR="00FD01C5" w:rsidRPr="00EC4398">
        <w:rPr>
          <w:rFonts w:eastAsiaTheme="minorHAnsi" w:cs="Cambria"/>
          <w:color w:val="000000"/>
          <w:lang w:val="en-GB"/>
        </w:rPr>
        <w:t xml:space="preserve"> </w:t>
      </w:r>
      <w:r>
        <w:t xml:space="preserve">is the treatment of </w:t>
      </w:r>
      <w:proofErr w:type="spellStart"/>
      <w:r>
        <w:t>cytopenias</w:t>
      </w:r>
      <w:proofErr w:type="spellEnd"/>
      <w:r>
        <w:t xml:space="preserve"> (predominantly anaemia) and the improvement of quality of life.</w:t>
      </w:r>
      <w:r>
        <w:fldChar w:fldCharType="begin"/>
      </w:r>
      <w:r>
        <w:instrText xml:space="preserve"> NOTEREF _Ref94534467 \f \h </w:instrText>
      </w:r>
      <w:r>
        <w:fldChar w:fldCharType="separate"/>
      </w:r>
      <w:r w:rsidRPr="00DD50BD">
        <w:rPr>
          <w:rStyle w:val="FootnoteReference"/>
        </w:rPr>
        <w:t>11</w:t>
      </w:r>
      <w:r>
        <w:fldChar w:fldCharType="end"/>
      </w:r>
      <w:r>
        <w:t xml:space="preserve"> For lower risk patients with symptomatic anaemia, treatment with erythropoiesis-stimulating agents (ESAs) or lenalidomide</w:t>
      </w:r>
      <w:r>
        <w:rPr>
          <w:rStyle w:val="FootnoteReference"/>
        </w:rPr>
        <w:footnoteReference w:id="25"/>
      </w:r>
      <w:r>
        <w:rPr>
          <w:sz w:val="14"/>
          <w:szCs w:val="14"/>
        </w:rPr>
        <w:t xml:space="preserve"> </w:t>
      </w:r>
      <w:r>
        <w:t xml:space="preserve">(for those with deletion of chromosome 5q) can ameliorate symptoms. Some lower risk patients may be candidates for immunosuppressive therapy, thrombopoiesis-stimulating agents, or a DNA hypomethylating agent (HMA; </w:t>
      </w:r>
      <w:proofErr w:type="spellStart"/>
      <w:r>
        <w:t>azacitidine</w:t>
      </w:r>
      <w:proofErr w:type="spellEnd"/>
      <w:r>
        <w:t xml:space="preserve"> or decitabine).</w:t>
      </w:r>
    </w:p>
    <w:p w14:paraId="4B574402" w14:textId="448CF78B" w:rsidR="00F03961" w:rsidRDefault="00F03961" w:rsidP="00F03961">
      <w:r>
        <w:t xml:space="preserve">Many patients with MDS who develop anaemia, particularly those with IPSS-R lower-risk </w:t>
      </w:r>
      <w:r w:rsidR="00FD01C5">
        <w:rPr>
          <w:lang w:val="en-GB"/>
        </w:rPr>
        <w:t>myelodysplastic syndrome</w:t>
      </w:r>
      <w:r w:rsidR="00FD01C5" w:rsidRPr="00EC4398">
        <w:rPr>
          <w:rFonts w:eastAsiaTheme="minorHAnsi" w:cs="Cambria"/>
          <w:color w:val="000000"/>
          <w:lang w:val="en-GB"/>
        </w:rPr>
        <w:t xml:space="preserve"> </w:t>
      </w:r>
      <w:r>
        <w:t>(40%), become transfusion dependent.</w:t>
      </w:r>
      <w:r>
        <w:fldChar w:fldCharType="begin"/>
      </w:r>
      <w:r>
        <w:instrText xml:space="preserve"> NOTEREF _Ref94534549 \f \h </w:instrText>
      </w:r>
      <w:r>
        <w:fldChar w:fldCharType="separate"/>
      </w:r>
      <w:r w:rsidRPr="00DD50BD">
        <w:rPr>
          <w:rStyle w:val="FootnoteReference"/>
        </w:rPr>
        <w:t>12</w:t>
      </w:r>
      <w:r>
        <w:fldChar w:fldCharType="end"/>
      </w:r>
      <w:r w:rsidRPr="00DD50BD">
        <w:rPr>
          <w:vertAlign w:val="superscript"/>
        </w:rPr>
        <w:t>,</w:t>
      </w:r>
      <w:r>
        <w:rPr>
          <w:vertAlign w:val="superscript"/>
        </w:rPr>
        <w:t xml:space="preserve"> </w:t>
      </w:r>
      <w:r>
        <w:rPr>
          <w:rStyle w:val="FootnoteReference"/>
        </w:rPr>
        <w:footnoteReference w:id="26"/>
      </w:r>
      <w:r>
        <w:t xml:space="preserve"> Red blood cell-transfusion dependence and lower haemoglobin levels have been associated with a deleterious impact on outcomes and increased mortality in patients with </w:t>
      </w:r>
      <w:r w:rsidR="00FD01C5">
        <w:rPr>
          <w:lang w:val="en-GB"/>
        </w:rPr>
        <w:t>myelodysplastic syndrome</w:t>
      </w:r>
      <w:r>
        <w:t>.</w:t>
      </w:r>
      <w:bookmarkStart w:id="24" w:name="_Ref94539451"/>
      <w:r>
        <w:rPr>
          <w:rStyle w:val="FootnoteReference"/>
        </w:rPr>
        <w:footnoteReference w:id="27"/>
      </w:r>
      <w:bookmarkEnd w:id="24"/>
      <w:r>
        <w:rPr>
          <w:vertAlign w:val="superscript"/>
        </w:rPr>
        <w:t xml:space="preserve">, </w:t>
      </w:r>
      <w:bookmarkStart w:id="25" w:name="_Ref94539457"/>
      <w:r>
        <w:rPr>
          <w:rStyle w:val="FootnoteReference"/>
        </w:rPr>
        <w:footnoteReference w:id="28"/>
      </w:r>
      <w:bookmarkEnd w:id="25"/>
      <w:r>
        <w:rPr>
          <w:vertAlign w:val="superscript"/>
        </w:rPr>
        <w:t xml:space="preserve">, </w:t>
      </w:r>
      <w:bookmarkStart w:id="26" w:name="_Ref94539462"/>
      <w:r>
        <w:rPr>
          <w:rStyle w:val="FootnoteReference"/>
        </w:rPr>
        <w:footnoteReference w:id="29"/>
      </w:r>
      <w:bookmarkEnd w:id="26"/>
      <w:r>
        <w:t xml:space="preserve">  Other clinical consequences of long-term red blood cell-transfusion dependence include a potentially negative impact on quality of life, the development of iron overload and its associated complications, and the development of immune-related disorders and increased risk of infection.</w:t>
      </w:r>
      <w:r>
        <w:fldChar w:fldCharType="begin"/>
      </w:r>
      <w:r>
        <w:instrText xml:space="preserve"> NOTEREF _Ref94539451 \f \h </w:instrText>
      </w:r>
      <w:r>
        <w:fldChar w:fldCharType="separate"/>
      </w:r>
      <w:r w:rsidRPr="00DD50BD">
        <w:rPr>
          <w:rStyle w:val="FootnoteReference"/>
        </w:rPr>
        <w:t>27</w:t>
      </w:r>
      <w:r>
        <w:fldChar w:fldCharType="end"/>
      </w:r>
      <w:r w:rsidRPr="00DD50BD">
        <w:rPr>
          <w:vertAlign w:val="superscript"/>
        </w:rPr>
        <w:t>,</w:t>
      </w:r>
      <w:r>
        <w:t xml:space="preserve"> </w:t>
      </w:r>
      <w:r>
        <w:rPr>
          <w:rStyle w:val="FootnoteReference"/>
        </w:rPr>
        <w:footnoteReference w:id="30"/>
      </w:r>
      <w:r w:rsidRPr="00DD50BD">
        <w:rPr>
          <w:vertAlign w:val="superscript"/>
        </w:rPr>
        <w:t>,</w:t>
      </w:r>
      <w:r>
        <w:t xml:space="preserve"> </w:t>
      </w:r>
      <w:r>
        <w:rPr>
          <w:rStyle w:val="FootnoteReference"/>
        </w:rPr>
        <w:footnoteReference w:id="31"/>
      </w:r>
      <w:r>
        <w:t xml:space="preserve">  Three drugs have been approved by the US Food and Drug Administration (FDA) for use in </w:t>
      </w:r>
      <w:r w:rsidR="00FD01C5">
        <w:rPr>
          <w:lang w:val="en-GB"/>
        </w:rPr>
        <w:t>myelodysplastic syndrome</w:t>
      </w:r>
      <w:r>
        <w:t xml:space="preserve">-related indications: the orally administered immunomodulatory drug lenalidomide, and two parenterally administered nucleoside </w:t>
      </w:r>
      <w:r w:rsidR="00222038">
        <w:t>analogues</w:t>
      </w:r>
      <w:r>
        <w:t xml:space="preserve"> that are DNA hypomethylating agents (HMA), </w:t>
      </w:r>
      <w:proofErr w:type="spellStart"/>
      <w:r>
        <w:t>azacitidine</w:t>
      </w:r>
      <w:proofErr w:type="spellEnd"/>
      <w:r>
        <w:t xml:space="preserve"> and decitabine. In addition to these agents, there is extensive off-label use of the erythropoiesis-stimulating agents (ESA) epoetin and darbepoetin in </w:t>
      </w:r>
      <w:r w:rsidR="00FD01C5">
        <w:rPr>
          <w:lang w:val="en-GB"/>
        </w:rPr>
        <w:t>myelodysplastic syndrome</w:t>
      </w:r>
      <w:r>
        <w:t xml:space="preserve">, which is supported by US National Comprehensive Cancer Network (NCCN) guidelines. In Australia, </w:t>
      </w:r>
      <w:proofErr w:type="spellStart"/>
      <w:r>
        <w:t>azacitidine</w:t>
      </w:r>
      <w:proofErr w:type="spellEnd"/>
      <w:r>
        <w:t xml:space="preserve"> may be given for people with intermediate II or </w:t>
      </w:r>
      <w:proofErr w:type="gramStart"/>
      <w:r>
        <w:t>high grade</w:t>
      </w:r>
      <w:proofErr w:type="gramEnd"/>
      <w:r>
        <w:t xml:space="preserve"> </w:t>
      </w:r>
      <w:r w:rsidR="00FD01C5">
        <w:rPr>
          <w:lang w:val="en-GB"/>
        </w:rPr>
        <w:t>myelodysplastic syndrome</w:t>
      </w:r>
      <w:r w:rsidR="00FD01C5" w:rsidRPr="00EC4398">
        <w:rPr>
          <w:rFonts w:eastAsiaTheme="minorHAnsi" w:cs="Cambria"/>
          <w:color w:val="000000"/>
          <w:lang w:val="en-GB"/>
        </w:rPr>
        <w:t xml:space="preserve"> </w:t>
      </w:r>
      <w:r>
        <w:t>while lenalidomide is used for treatment of low risk MDS with deletion of chromosome 5q abnormality. There are currently no approved agents for the treatment of anaemia in lower-risk MDS patients without deletion of chromosome 5q in Australia and red blood cell transfusions remain the mainstay of treatment.</w:t>
      </w:r>
      <w:r>
        <w:rPr>
          <w:rStyle w:val="FootnoteReference"/>
        </w:rPr>
        <w:footnoteReference w:id="32"/>
      </w:r>
    </w:p>
    <w:p w14:paraId="6DD8F098" w14:textId="1E22D452" w:rsidR="00F03961" w:rsidRDefault="00FD01C5" w:rsidP="00F03961">
      <w:pPr>
        <w:pStyle w:val="Heading5"/>
      </w:pPr>
      <w:r>
        <w:t>Beta-</w:t>
      </w:r>
      <w:r w:rsidR="00F03961">
        <w:t>thalassaemia</w:t>
      </w:r>
    </w:p>
    <w:p w14:paraId="3692D854" w14:textId="77777777" w:rsidR="00F03961" w:rsidRDefault="00F03961" w:rsidP="00F03961">
      <w:r>
        <w:t xml:space="preserve">General care for patients with beta-thalassaemia requires substantial supplemental paediatric care, including careful attention to nutrition and monitoring for signs of infection, red blood cell transfusions to prevent the damage of chronic anaemia, and iron chelation to prevent the damage of iron overload due to ineffective erythropoiesis and regular blood transfusion. In older patients with signs of iron overload, supportive care is typically required to address endocrine insufficiencies, metabolic bone disease and cardiac </w:t>
      </w:r>
      <w:r>
        <w:lastRenderedPageBreak/>
        <w:t>failure. Iron-related cardiotoxicity is the most common cause of mortality in patients with beta-thalassaemia.</w:t>
      </w:r>
      <w:r>
        <w:rPr>
          <w:rStyle w:val="FootnoteReference"/>
        </w:rPr>
        <w:footnoteReference w:id="33"/>
      </w:r>
    </w:p>
    <w:p w14:paraId="3A81D194" w14:textId="77777777" w:rsidR="00F03961" w:rsidRDefault="00F03961" w:rsidP="00F03961">
      <w:r>
        <w:t>The clinical guidelines in Australia advise that transfusions given at haemoglobin concentration &lt; 70 g/L are appropriate and may be associated with reduced mortality. The goal is to maintain a pre-transfusion haemoglobin concentration of 90 to 100 g/L, with transfusions at monthly intervals.</w:t>
      </w:r>
      <w:r>
        <w:rPr>
          <w:rStyle w:val="FootnoteReference"/>
        </w:rPr>
        <w:footnoteReference w:id="34"/>
      </w:r>
    </w:p>
    <w:p w14:paraId="5DA66C8F" w14:textId="69E36E33" w:rsidR="00F03961" w:rsidRDefault="00F03961" w:rsidP="00F03961">
      <w:r>
        <w:t>In patients with transfusion</w:t>
      </w:r>
      <w:r w:rsidR="008447B3">
        <w:t xml:space="preserve"> </w:t>
      </w:r>
      <w:r>
        <w:t>dependent beta-thalassaemia, transfusion and iron chelation therapy have served patients for decades with a clear patient survival benefit. However, availability and administration of regular and chronic transfusion therapy continue to not only pose challenges for patients’ quality of life, but also present a public health burden. The efficacy and safety of current iron chelators are established but not ideal, with persisting challenges in adherence, access, and affordability. Haematopoietic stem cell transplantation is now an established option in patients with transfusion-dependent beta-thalassemia, but its use is limited to small groups of younger patients with available matched donors who can tolerate and afford the procedure. Splenectomy is primarily restricted to patients with splenomegaly or hypersplenism because of the high risk of infections and vascular disease following the procedure. There is no therapy that is approved or widely used to address the underlying ineffective erythropoiesis and anaemia of beta-thalassemia.</w:t>
      </w:r>
    </w:p>
    <w:p w14:paraId="549F9FBC" w14:textId="77777777" w:rsidR="00F03961" w:rsidRDefault="00F03961" w:rsidP="00F03961">
      <w:pPr>
        <w:pStyle w:val="Heading4"/>
      </w:pPr>
      <w:r w:rsidRPr="00E45FE5">
        <w:t xml:space="preserve">Unmet </w:t>
      </w:r>
      <w:r>
        <w:t>m</w:t>
      </w:r>
      <w:r w:rsidRPr="00E45FE5">
        <w:t xml:space="preserve">edical </w:t>
      </w:r>
      <w:r>
        <w:t>n</w:t>
      </w:r>
      <w:r w:rsidRPr="00E45FE5">
        <w:t>eed</w:t>
      </w:r>
    </w:p>
    <w:p w14:paraId="0ABFDDD2" w14:textId="0D2D520E" w:rsidR="00F03961" w:rsidRPr="004C7B1C" w:rsidRDefault="006E7798" w:rsidP="00F03961">
      <w:pPr>
        <w:pStyle w:val="Heading5"/>
      </w:pPr>
      <w:r>
        <w:t>Myelodysplastic</w:t>
      </w:r>
      <w:r w:rsidR="00F03961">
        <w:t xml:space="preserve"> syndromes</w:t>
      </w:r>
    </w:p>
    <w:p w14:paraId="7DAD71B0" w14:textId="6E3D16F0" w:rsidR="00F03961" w:rsidRDefault="00F03961" w:rsidP="00F03961">
      <w:r>
        <w:t xml:space="preserve">The majority (80% to 85%) of patients with </w:t>
      </w:r>
      <w:r w:rsidR="00FD01C5">
        <w:rPr>
          <w:lang w:val="en-GB"/>
        </w:rPr>
        <w:t>myelodysplastic syndrome</w:t>
      </w:r>
      <w:r w:rsidR="00FD01C5" w:rsidRPr="00EC4398">
        <w:rPr>
          <w:rFonts w:eastAsiaTheme="minorHAnsi" w:cs="Cambria"/>
          <w:color w:val="000000"/>
          <w:lang w:val="en-GB"/>
        </w:rPr>
        <w:t xml:space="preserve"> </w:t>
      </w:r>
      <w:r>
        <w:t>develop anaemia.</w:t>
      </w:r>
      <w:r>
        <w:rPr>
          <w:rStyle w:val="FootnoteReference"/>
        </w:rPr>
        <w:footnoteReference w:id="35"/>
      </w:r>
      <w:r>
        <w:t xml:space="preserve"> Erythropoiesis-stimulating agents are the first-line treatment option for anaemia in lower-risk patients with </w:t>
      </w:r>
      <w:r w:rsidR="006E7798">
        <w:t>myelodysplastic syndromes</w:t>
      </w:r>
      <w:r>
        <w:t xml:space="preserve"> without del(5q); lenalidomide is the recommended treatment for patients with del(5q).</w:t>
      </w:r>
      <w:r>
        <w:rPr>
          <w:rStyle w:val="FootnoteReference"/>
        </w:rPr>
        <w:footnoteReference w:id="36"/>
      </w:r>
      <w:r>
        <w:rPr>
          <w:vertAlign w:val="superscript"/>
        </w:rPr>
        <w:t>,</w:t>
      </w:r>
      <w:r>
        <w:rPr>
          <w:rStyle w:val="FootnoteReference"/>
        </w:rPr>
        <w:footnoteReference w:id="37"/>
      </w:r>
      <w:r>
        <w:t xml:space="preserve"> Despite an initial response to e</w:t>
      </w:r>
      <w:r w:rsidRPr="00A16FB3">
        <w:t xml:space="preserve">rythropoiesis </w:t>
      </w:r>
      <w:r>
        <w:t>s</w:t>
      </w:r>
      <w:r w:rsidRPr="00A16FB3">
        <w:t xml:space="preserve">timulating </w:t>
      </w:r>
      <w:r>
        <w:t>a</w:t>
      </w:r>
      <w:r w:rsidRPr="00A16FB3">
        <w:t xml:space="preserve">gent </w:t>
      </w:r>
      <w:r>
        <w:t xml:space="preserve">(ESA) treatment, approximately 70% of patients will become unresponsive to ESAs. In addition, ESAs are less effective in patients with either endogenous </w:t>
      </w:r>
      <w:r w:rsidR="00FD01C5">
        <w:t>epoetin</w:t>
      </w:r>
      <w:r>
        <w:t xml:space="preserve"> level ≥ 200 U/L or those requiring </w:t>
      </w:r>
      <w:r w:rsidR="00FD01C5">
        <w:t>red blood cell</w:t>
      </w:r>
      <w:r>
        <w:t xml:space="preserve"> tr</w:t>
      </w:r>
      <w:r w:rsidR="00FD01C5">
        <w:t>ansfusion of ≥ 2 </w:t>
      </w:r>
      <w:r>
        <w:t>units/month.</w:t>
      </w:r>
    </w:p>
    <w:p w14:paraId="01EF7A2E" w14:textId="69BE5BE3" w:rsidR="00F03961" w:rsidRPr="000D43E7" w:rsidRDefault="00F03961" w:rsidP="00F03961">
      <w:pPr>
        <w:rPr>
          <w:vertAlign w:val="superscript"/>
        </w:rPr>
      </w:pPr>
      <w:r>
        <w:t xml:space="preserve">Treatment options remain suboptimal in the lower-risk </w:t>
      </w:r>
      <w:r w:rsidR="00FD01C5">
        <w:rPr>
          <w:lang w:val="en-GB"/>
        </w:rPr>
        <w:t>myelodysplastic syndrome</w:t>
      </w:r>
      <w:r w:rsidR="00FD01C5" w:rsidRPr="00EC4398">
        <w:rPr>
          <w:rFonts w:eastAsiaTheme="minorHAnsi" w:cs="Cambria"/>
          <w:color w:val="000000"/>
          <w:lang w:val="en-GB"/>
        </w:rPr>
        <w:t xml:space="preserve"> </w:t>
      </w:r>
      <w:r>
        <w:t xml:space="preserve">patients who are not eligible or no longer respond to ESAs, and many patients will ultimately require long-term </w:t>
      </w:r>
      <w:r w:rsidR="00FD01C5">
        <w:t>red blood cell</w:t>
      </w:r>
      <w:r>
        <w:t xml:space="preserve"> transfusions.</w:t>
      </w:r>
      <w:r>
        <w:fldChar w:fldCharType="begin"/>
      </w:r>
      <w:r>
        <w:instrText xml:space="preserve"> NOTEREF _Ref90281850 \f \h </w:instrText>
      </w:r>
      <w:r>
        <w:fldChar w:fldCharType="separate"/>
      </w:r>
      <w:r w:rsidRPr="002B2F7E">
        <w:rPr>
          <w:rStyle w:val="FootnoteReference"/>
        </w:rPr>
        <w:t>10</w:t>
      </w:r>
      <w:r>
        <w:fldChar w:fldCharType="end"/>
      </w:r>
      <w:r>
        <w:rPr>
          <w:vertAlign w:val="superscript"/>
        </w:rPr>
        <w:t>,</w:t>
      </w:r>
      <w:r>
        <w:rPr>
          <w:vertAlign w:val="superscript"/>
        </w:rPr>
        <w:fldChar w:fldCharType="begin"/>
      </w:r>
      <w:r>
        <w:rPr>
          <w:vertAlign w:val="superscript"/>
        </w:rPr>
        <w:instrText xml:space="preserve"> NOTEREF _Ref90282064 \f \h </w:instrText>
      </w:r>
      <w:r>
        <w:rPr>
          <w:vertAlign w:val="superscript"/>
        </w:rPr>
      </w:r>
      <w:r>
        <w:rPr>
          <w:vertAlign w:val="superscript"/>
        </w:rPr>
        <w:fldChar w:fldCharType="separate"/>
      </w:r>
      <w:r w:rsidRPr="00A66CA7">
        <w:rPr>
          <w:rStyle w:val="FootnoteReference"/>
        </w:rPr>
        <w:t>11</w:t>
      </w:r>
      <w:r>
        <w:rPr>
          <w:vertAlign w:val="superscript"/>
        </w:rPr>
        <w:fldChar w:fldCharType="end"/>
      </w:r>
      <w:r>
        <w:t xml:space="preserve"> Red blood cell-transfusion dependence and lower haemoglobin levels have been associated with a deleterious impact on outcomes and increased mortality in patients with </w:t>
      </w:r>
      <w:r w:rsidR="00FD01C5">
        <w:rPr>
          <w:lang w:val="en-GB"/>
        </w:rPr>
        <w:t>myelodysplastic syndrome</w:t>
      </w:r>
      <w:r>
        <w:t>.</w:t>
      </w:r>
      <w:r>
        <w:rPr>
          <w:vertAlign w:val="superscript"/>
        </w:rPr>
        <w:fldChar w:fldCharType="begin"/>
      </w:r>
      <w:r>
        <w:rPr>
          <w:vertAlign w:val="superscript"/>
        </w:rPr>
        <w:instrText xml:space="preserve"> NOTEREF _Ref94539451 \f \h </w:instrText>
      </w:r>
      <w:r>
        <w:rPr>
          <w:vertAlign w:val="superscript"/>
        </w:rPr>
      </w:r>
      <w:r>
        <w:rPr>
          <w:vertAlign w:val="superscript"/>
        </w:rPr>
        <w:fldChar w:fldCharType="separate"/>
      </w:r>
      <w:r w:rsidRPr="00DD50BD">
        <w:rPr>
          <w:rStyle w:val="FootnoteReference"/>
        </w:rPr>
        <w:t>27</w:t>
      </w:r>
      <w:r>
        <w:rPr>
          <w:vertAlign w:val="superscript"/>
        </w:rPr>
        <w:fldChar w:fldCharType="end"/>
      </w:r>
      <w:r>
        <w:rPr>
          <w:vertAlign w:val="superscript"/>
        </w:rPr>
        <w:t xml:space="preserve">, </w:t>
      </w:r>
      <w:r>
        <w:rPr>
          <w:vertAlign w:val="superscript"/>
        </w:rPr>
        <w:fldChar w:fldCharType="begin"/>
      </w:r>
      <w:r>
        <w:rPr>
          <w:vertAlign w:val="superscript"/>
        </w:rPr>
        <w:instrText xml:space="preserve"> NOTEREF _Ref94539457 \f \h </w:instrText>
      </w:r>
      <w:r>
        <w:rPr>
          <w:vertAlign w:val="superscript"/>
        </w:rPr>
      </w:r>
      <w:r>
        <w:rPr>
          <w:vertAlign w:val="superscript"/>
        </w:rPr>
        <w:fldChar w:fldCharType="separate"/>
      </w:r>
      <w:r w:rsidRPr="00DD50BD">
        <w:rPr>
          <w:rStyle w:val="FootnoteReference"/>
        </w:rPr>
        <w:t>28</w:t>
      </w:r>
      <w:r>
        <w:rPr>
          <w:vertAlign w:val="superscript"/>
        </w:rPr>
        <w:fldChar w:fldCharType="end"/>
      </w:r>
      <w:r>
        <w:rPr>
          <w:vertAlign w:val="superscript"/>
        </w:rPr>
        <w:t xml:space="preserve">, </w:t>
      </w:r>
      <w:r>
        <w:rPr>
          <w:vertAlign w:val="superscript"/>
        </w:rPr>
        <w:fldChar w:fldCharType="begin"/>
      </w:r>
      <w:r>
        <w:rPr>
          <w:vertAlign w:val="superscript"/>
        </w:rPr>
        <w:instrText xml:space="preserve"> NOTEREF _Ref94539462 \f \h </w:instrText>
      </w:r>
      <w:r>
        <w:rPr>
          <w:vertAlign w:val="superscript"/>
        </w:rPr>
      </w:r>
      <w:r>
        <w:rPr>
          <w:vertAlign w:val="superscript"/>
        </w:rPr>
        <w:fldChar w:fldCharType="separate"/>
      </w:r>
      <w:r w:rsidRPr="00DD50BD">
        <w:rPr>
          <w:rStyle w:val="FootnoteReference"/>
        </w:rPr>
        <w:t>29</w:t>
      </w:r>
      <w:r>
        <w:rPr>
          <w:vertAlign w:val="superscript"/>
        </w:rPr>
        <w:fldChar w:fldCharType="end"/>
      </w:r>
    </w:p>
    <w:p w14:paraId="5B2EF952" w14:textId="5D6C2EF4" w:rsidR="00F03961" w:rsidRPr="004C7B1C" w:rsidRDefault="00F03961" w:rsidP="00F03961">
      <w:pPr>
        <w:pStyle w:val="Heading5"/>
      </w:pPr>
      <w:r>
        <w:t>B</w:t>
      </w:r>
      <w:r w:rsidR="00FD01C5">
        <w:t>eta-</w:t>
      </w:r>
      <w:r>
        <w:t>thalassaemia</w:t>
      </w:r>
    </w:p>
    <w:p w14:paraId="341FAAFD" w14:textId="7CA8B93E" w:rsidR="00F03961" w:rsidRPr="00B166FC" w:rsidRDefault="00F03961" w:rsidP="00F03961">
      <w:r w:rsidRPr="00B166FC">
        <w:t xml:space="preserve">There is no available therapy approved or widely used to address the underlying ineffective erythropoiesis and anaemia of </w:t>
      </w:r>
      <w:r w:rsidR="00361823">
        <w:t>beta-</w:t>
      </w:r>
      <w:r w:rsidRPr="00B166FC">
        <w:t>thalassaemia, the source of clinical morbidity and diminished qual</w:t>
      </w:r>
      <w:r w:rsidR="00361823">
        <w:t>ity of life. In patients with transfusion-dependent beta</w:t>
      </w:r>
      <w:r w:rsidR="00361823">
        <w:noBreakHyphen/>
      </w:r>
      <w:r w:rsidRPr="00B166FC">
        <w:t xml:space="preserve">thalassaemia, transfusion and </w:t>
      </w:r>
      <w:r w:rsidR="00361823">
        <w:t>iron chelation therapy</w:t>
      </w:r>
      <w:r w:rsidRPr="00B166FC">
        <w:t xml:space="preserve"> </w:t>
      </w:r>
      <w:proofErr w:type="gramStart"/>
      <w:r w:rsidRPr="00B166FC">
        <w:t>have</w:t>
      </w:r>
      <w:proofErr w:type="gramEnd"/>
      <w:r w:rsidRPr="00B166FC">
        <w:t xml:space="preserve"> shown a clear survival benefit. However, administration of regular and chronic transfusion therapy continues to pose challenges for patients’ quality of life, also presenting a public health burden. </w:t>
      </w:r>
      <w:r w:rsidRPr="00B166FC">
        <w:lastRenderedPageBreak/>
        <w:t xml:space="preserve">Challenges with access and affordability of transfusion exist especially in resource-constrained countries. Moreover, </w:t>
      </w:r>
      <w:proofErr w:type="spellStart"/>
      <w:r w:rsidRPr="00B166FC">
        <w:t>transfusional</w:t>
      </w:r>
      <w:proofErr w:type="spellEnd"/>
      <w:r w:rsidRPr="00B166FC">
        <w:t xml:space="preserve"> iron overload necessitates iron overload monitoring and </w:t>
      </w:r>
      <w:r w:rsidR="00361823">
        <w:t>iron chelation therapy</w:t>
      </w:r>
      <w:r w:rsidRPr="00B166FC">
        <w:t>. The efficacy and safety of current iron chelators are not ideal, with persisting challenges in adherence, access, and affordability.</w:t>
      </w:r>
    </w:p>
    <w:p w14:paraId="3DEF817B" w14:textId="7E0C28B1" w:rsidR="00F03961" w:rsidRPr="00B166FC" w:rsidRDefault="00F03961" w:rsidP="00F03961">
      <w:r w:rsidRPr="00B166FC">
        <w:t xml:space="preserve">Haematopoietic stem cell transplantation is an established option in patients with </w:t>
      </w:r>
      <w:r w:rsidR="00361823">
        <w:t>transfusion-dependent beta-</w:t>
      </w:r>
      <w:r w:rsidRPr="00B166FC">
        <w:t>thalassaemia, but its use is limited to small groups of younger patients with available matched donors who can tolerate the procedure. Splenectomy is primarily restricted to patients with splenomegaly or hypersplenism because of the high risk of infections and vascular disease following the procedure.</w:t>
      </w:r>
    </w:p>
    <w:p w14:paraId="28470FCC" w14:textId="700980F7" w:rsidR="00F03961" w:rsidRDefault="00F03961" w:rsidP="00F03961">
      <w:r w:rsidRPr="00B166FC">
        <w:t>Clearly, there is an unmet need for the development of novel therapies that can ameliorate the ineffectiv</w:t>
      </w:r>
      <w:r w:rsidR="00361823">
        <w:t>e erythropoiesis and anaemia of beta-</w:t>
      </w:r>
      <w:r w:rsidRPr="00B166FC">
        <w:t>thalassaemia, and subsequently prevent the development of morbidity and poor quality of life.</w:t>
      </w:r>
    </w:p>
    <w:p w14:paraId="4935BCDB" w14:textId="77777777" w:rsidR="00F03961" w:rsidRDefault="00F03961" w:rsidP="00F03961">
      <w:pPr>
        <w:pStyle w:val="Heading4"/>
      </w:pPr>
      <w:proofErr w:type="spellStart"/>
      <w:r>
        <w:t>Luspatercept</w:t>
      </w:r>
      <w:proofErr w:type="spellEnd"/>
    </w:p>
    <w:p w14:paraId="2D9AFCCB" w14:textId="66088DA3" w:rsidR="00F03961" w:rsidRPr="000045BA" w:rsidRDefault="00F03961" w:rsidP="00F03961">
      <w:pPr>
        <w:pStyle w:val="Instructions"/>
        <w:rPr>
          <w:i w:val="0"/>
          <w:color w:val="auto"/>
        </w:rPr>
      </w:pPr>
      <w:proofErr w:type="spellStart"/>
      <w:r w:rsidRPr="00A73C6D">
        <w:rPr>
          <w:i w:val="0"/>
          <w:color w:val="auto"/>
        </w:rPr>
        <w:t>Luspatercept</w:t>
      </w:r>
      <w:proofErr w:type="spellEnd"/>
      <w:r w:rsidRPr="00A73C6D">
        <w:rPr>
          <w:i w:val="0"/>
          <w:color w:val="auto"/>
        </w:rPr>
        <w:t xml:space="preserve"> is a recombinant fusion protein consisting of a modified form of the extracellular domain of the human activin receptor type IIB (</w:t>
      </w:r>
      <w:proofErr w:type="spellStart"/>
      <w:r w:rsidRPr="00A73C6D">
        <w:rPr>
          <w:i w:val="0"/>
          <w:color w:val="auto"/>
        </w:rPr>
        <w:t>ActRIIB</w:t>
      </w:r>
      <w:proofErr w:type="spellEnd"/>
      <w:r w:rsidRPr="00A73C6D">
        <w:rPr>
          <w:i w:val="0"/>
          <w:color w:val="auto"/>
        </w:rPr>
        <w:t>) linked to the human immunoglobin G1 (IgG1) Fc domain. It acts as a ligand trap for select TGF-</w:t>
      </w:r>
      <w:r w:rsidRPr="00226235">
        <w:rPr>
          <w:iCs/>
          <w:color w:val="auto"/>
        </w:rPr>
        <w:t>β</w:t>
      </w:r>
      <w:r w:rsidRPr="00A73C6D">
        <w:rPr>
          <w:i w:val="0"/>
          <w:color w:val="auto"/>
        </w:rPr>
        <w:t xml:space="preserve"> superfamily ligands. By binding to certain endogenous ligands that act as negative regulators of erythropoiesis, </w:t>
      </w:r>
      <w:proofErr w:type="spellStart"/>
      <w:r w:rsidRPr="00A73C6D">
        <w:rPr>
          <w:i w:val="0"/>
          <w:color w:val="auto"/>
        </w:rPr>
        <w:t>luspatercept</w:t>
      </w:r>
      <w:proofErr w:type="spellEnd"/>
      <w:r w:rsidRPr="00A73C6D">
        <w:rPr>
          <w:i w:val="0"/>
          <w:color w:val="auto"/>
        </w:rPr>
        <w:t xml:space="preserve"> inhibits downstream Smad2/3 signalling, resulting in erythroid maturation through differentiation of </w:t>
      </w:r>
      <w:proofErr w:type="gramStart"/>
      <w:r w:rsidRPr="00A73C6D">
        <w:rPr>
          <w:i w:val="0"/>
          <w:color w:val="auto"/>
        </w:rPr>
        <w:t>late stage</w:t>
      </w:r>
      <w:proofErr w:type="gramEnd"/>
      <w:r w:rsidRPr="00A73C6D">
        <w:rPr>
          <w:i w:val="0"/>
          <w:color w:val="auto"/>
        </w:rPr>
        <w:t xml:space="preserve"> erythroid precursors (normoblasts) in the bone marrow. TGF-</w:t>
      </w:r>
      <w:r w:rsidRPr="00226235">
        <w:rPr>
          <w:iCs/>
          <w:color w:val="auto"/>
        </w:rPr>
        <w:t>β</w:t>
      </w:r>
      <w:r w:rsidRPr="00A73C6D">
        <w:rPr>
          <w:i w:val="0"/>
          <w:color w:val="auto"/>
        </w:rPr>
        <w:t xml:space="preserve"> superfamily signalling through Smad2/3 is abnormally high in disease models characterised by ineffective erythropoiesis, </w:t>
      </w:r>
      <w:r>
        <w:rPr>
          <w:i w:val="0"/>
          <w:color w:val="auto"/>
        </w:rPr>
        <w:t>that is</w:t>
      </w:r>
      <w:r w:rsidRPr="00A73C6D">
        <w:rPr>
          <w:i w:val="0"/>
          <w:color w:val="auto"/>
        </w:rPr>
        <w:t xml:space="preserve">, </w:t>
      </w:r>
      <w:r w:rsidR="00361823" w:rsidRPr="00361823">
        <w:rPr>
          <w:i w:val="0"/>
          <w:color w:val="auto"/>
        </w:rPr>
        <w:t xml:space="preserve">myelodysplastic syndrome </w:t>
      </w:r>
      <w:r w:rsidRPr="00A73C6D">
        <w:rPr>
          <w:i w:val="0"/>
          <w:color w:val="auto"/>
        </w:rPr>
        <w:t xml:space="preserve">and </w:t>
      </w:r>
      <w:r w:rsidR="00361823">
        <w:rPr>
          <w:i w:val="0"/>
          <w:color w:val="auto"/>
        </w:rPr>
        <w:t>beta</w:t>
      </w:r>
      <w:r w:rsidRPr="00A73C6D">
        <w:rPr>
          <w:i w:val="0"/>
          <w:color w:val="auto"/>
        </w:rPr>
        <w:t xml:space="preserve">-thalassaemia, and in the bone marrow of </w:t>
      </w:r>
      <w:r w:rsidR="00361823" w:rsidRPr="00361823">
        <w:rPr>
          <w:i w:val="0"/>
          <w:color w:val="auto"/>
        </w:rPr>
        <w:t xml:space="preserve">myelodysplastic syndrome </w:t>
      </w:r>
      <w:r w:rsidRPr="00A73C6D">
        <w:rPr>
          <w:i w:val="0"/>
          <w:color w:val="auto"/>
        </w:rPr>
        <w:t xml:space="preserve">patients. </w:t>
      </w:r>
    </w:p>
    <w:p w14:paraId="522549EF" w14:textId="77777777" w:rsidR="008E7846" w:rsidRPr="003F31A2" w:rsidRDefault="00386150" w:rsidP="008E7846">
      <w:pPr>
        <w:pStyle w:val="Heading3"/>
      </w:pPr>
      <w:bookmarkStart w:id="27" w:name="_Toc314842485"/>
      <w:bookmarkStart w:id="28" w:name="_Toc247691504"/>
      <w:bookmarkStart w:id="29" w:name="_Toc102045186"/>
      <w:r>
        <w:t>Regulatory s</w:t>
      </w:r>
      <w:r w:rsidR="008E7846">
        <w:t>tatus</w:t>
      </w:r>
      <w:bookmarkEnd w:id="27"/>
      <w:bookmarkEnd w:id="28"/>
      <w:bookmarkEnd w:id="29"/>
    </w:p>
    <w:p w14:paraId="7B924889" w14:textId="244ED91C" w:rsidR="00940A89" w:rsidRDefault="00006FAB" w:rsidP="00940A89">
      <w:bookmarkStart w:id="30" w:name="_Toc247691505"/>
      <w:bookmarkStart w:id="31" w:name="_Toc314842486"/>
      <w:r w:rsidRPr="00006FAB">
        <w:t xml:space="preserve">This product is considered a new </w:t>
      </w:r>
      <w:r w:rsidR="00E14E5E">
        <w:t>biological</w:t>
      </w:r>
      <w:r w:rsidRPr="00006FAB">
        <w:t xml:space="preserve"> for Australian regulatory purposes.</w:t>
      </w:r>
    </w:p>
    <w:p w14:paraId="6B5391BC" w14:textId="1F2754A3" w:rsidR="00324E45" w:rsidRPr="00F0146F" w:rsidRDefault="00835F54" w:rsidP="00F80DFC">
      <w:pPr>
        <w:pStyle w:val="TableTitle"/>
      </w:pPr>
      <w:r>
        <w:t xml:space="preserve">Table </w:t>
      </w:r>
      <w:fldSimple w:instr=" SEQ Table \* ARABIC ">
        <w:r w:rsidR="00E65704">
          <w:rPr>
            <w:noProof/>
          </w:rPr>
          <w:t>1</w:t>
        </w:r>
      </w:fldSimple>
      <w:r>
        <w:t>:</w:t>
      </w:r>
      <w:r w:rsidR="00324E45">
        <w:t xml:space="preserve"> International regulatory status</w:t>
      </w:r>
    </w:p>
    <w:tbl>
      <w:tblPr>
        <w:tblStyle w:val="TableTGAblue"/>
        <w:tblW w:w="8815" w:type="dxa"/>
        <w:tblLook w:val="04A0" w:firstRow="1" w:lastRow="0" w:firstColumn="1" w:lastColumn="0" w:noHBand="0" w:noVBand="1"/>
      </w:tblPr>
      <w:tblGrid>
        <w:gridCol w:w="1107"/>
        <w:gridCol w:w="1349"/>
        <w:gridCol w:w="2088"/>
        <w:gridCol w:w="4271"/>
      </w:tblGrid>
      <w:tr w:rsidR="00006FAB" w:rsidRPr="00F2066F" w14:paraId="20099283" w14:textId="77777777" w:rsidTr="00BA6815">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000AD588" w14:textId="77777777" w:rsidR="00006FAB" w:rsidRPr="00BA6815" w:rsidRDefault="00006FAB" w:rsidP="00006FAB">
            <w:pPr>
              <w:ind w:left="0" w:right="0"/>
              <w:rPr>
                <w:sz w:val="20"/>
              </w:rPr>
            </w:pPr>
            <w:r w:rsidRPr="00BA6815">
              <w:rPr>
                <w:sz w:val="20"/>
              </w:rPr>
              <w:t>Region</w:t>
            </w:r>
          </w:p>
        </w:tc>
        <w:tc>
          <w:tcPr>
            <w:tcW w:w="0" w:type="dxa"/>
            <w:tcBorders>
              <w:top w:val="single" w:sz="4" w:space="0" w:color="auto"/>
              <w:left w:val="single" w:sz="4" w:space="0" w:color="auto"/>
              <w:bottom w:val="single" w:sz="4" w:space="0" w:color="auto"/>
              <w:right w:val="single" w:sz="4" w:space="0" w:color="auto"/>
            </w:tcBorders>
          </w:tcPr>
          <w:p w14:paraId="3AAE7C2D" w14:textId="77777777" w:rsidR="00006FAB" w:rsidRPr="00BA6815" w:rsidRDefault="00006FAB" w:rsidP="00006FAB">
            <w:pPr>
              <w:ind w:left="0" w:right="0"/>
              <w:rPr>
                <w:sz w:val="20"/>
              </w:rPr>
            </w:pPr>
            <w:r w:rsidRPr="00BA6815">
              <w:rPr>
                <w:sz w:val="20"/>
              </w:rPr>
              <w:t>Submission date</w:t>
            </w:r>
          </w:p>
        </w:tc>
        <w:tc>
          <w:tcPr>
            <w:tcW w:w="1980" w:type="dxa"/>
            <w:tcBorders>
              <w:top w:val="single" w:sz="4" w:space="0" w:color="auto"/>
              <w:left w:val="single" w:sz="4" w:space="0" w:color="auto"/>
              <w:bottom w:val="single" w:sz="4" w:space="0" w:color="auto"/>
              <w:right w:val="single" w:sz="4" w:space="0" w:color="auto"/>
            </w:tcBorders>
          </w:tcPr>
          <w:p w14:paraId="52DEA5E9" w14:textId="77777777" w:rsidR="00006FAB" w:rsidRPr="00BA6815" w:rsidRDefault="00006FAB" w:rsidP="00006FAB">
            <w:pPr>
              <w:ind w:left="0" w:right="0"/>
              <w:rPr>
                <w:sz w:val="20"/>
              </w:rPr>
            </w:pPr>
            <w:r w:rsidRPr="00BA6815">
              <w:rPr>
                <w:sz w:val="20"/>
              </w:rPr>
              <w:t>Status</w:t>
            </w:r>
          </w:p>
        </w:tc>
        <w:tc>
          <w:tcPr>
            <w:tcW w:w="4050" w:type="dxa"/>
            <w:tcBorders>
              <w:top w:val="single" w:sz="4" w:space="0" w:color="auto"/>
              <w:left w:val="single" w:sz="4" w:space="0" w:color="auto"/>
              <w:bottom w:val="single" w:sz="4" w:space="0" w:color="auto"/>
              <w:right w:val="single" w:sz="4" w:space="0" w:color="auto"/>
            </w:tcBorders>
          </w:tcPr>
          <w:p w14:paraId="428FC1C6" w14:textId="77777777" w:rsidR="00006FAB" w:rsidRPr="00BA6815" w:rsidRDefault="00006FAB" w:rsidP="00006FAB">
            <w:pPr>
              <w:ind w:left="0" w:right="0"/>
              <w:rPr>
                <w:sz w:val="20"/>
              </w:rPr>
            </w:pPr>
            <w:r w:rsidRPr="00BA6815">
              <w:rPr>
                <w:sz w:val="20"/>
              </w:rPr>
              <w:t>Approved indications</w:t>
            </w:r>
          </w:p>
        </w:tc>
      </w:tr>
      <w:tr w:rsidR="00006FAB" w:rsidRPr="00F2066F" w14:paraId="620A7A8E" w14:textId="77777777" w:rsidTr="00BA6815">
        <w:tc>
          <w:tcPr>
            <w:tcW w:w="0" w:type="dxa"/>
            <w:tcBorders>
              <w:top w:val="single" w:sz="4" w:space="0" w:color="auto"/>
            </w:tcBorders>
          </w:tcPr>
          <w:p w14:paraId="2A466D4E" w14:textId="3738F08D" w:rsidR="00006FAB" w:rsidRPr="00BA6815" w:rsidRDefault="00361823" w:rsidP="00006FAB">
            <w:pPr>
              <w:ind w:left="0" w:right="0"/>
              <w:rPr>
                <w:sz w:val="20"/>
              </w:rPr>
            </w:pPr>
            <w:r w:rsidRPr="00BA6815">
              <w:rPr>
                <w:sz w:val="20"/>
              </w:rPr>
              <w:t>United States of America</w:t>
            </w:r>
          </w:p>
        </w:tc>
        <w:tc>
          <w:tcPr>
            <w:tcW w:w="0" w:type="dxa"/>
            <w:tcBorders>
              <w:top w:val="single" w:sz="4" w:space="0" w:color="auto"/>
            </w:tcBorders>
          </w:tcPr>
          <w:p w14:paraId="6ADC0846" w14:textId="77777777" w:rsidR="00006FAB" w:rsidRPr="00BA6815" w:rsidRDefault="00006FAB" w:rsidP="00006FAB">
            <w:pPr>
              <w:ind w:left="0" w:right="0"/>
              <w:rPr>
                <w:sz w:val="20"/>
              </w:rPr>
            </w:pPr>
          </w:p>
        </w:tc>
        <w:tc>
          <w:tcPr>
            <w:tcW w:w="1980" w:type="dxa"/>
            <w:tcBorders>
              <w:top w:val="single" w:sz="4" w:space="0" w:color="auto"/>
            </w:tcBorders>
          </w:tcPr>
          <w:p w14:paraId="35AD9AE4" w14:textId="74BF6D1E" w:rsidR="001E6C18" w:rsidRPr="00BA6815" w:rsidRDefault="001E6C18" w:rsidP="00006FAB">
            <w:pPr>
              <w:ind w:left="0" w:right="0"/>
              <w:rPr>
                <w:sz w:val="20"/>
              </w:rPr>
            </w:pPr>
            <w:r w:rsidRPr="00BA6815">
              <w:rPr>
                <w:sz w:val="20"/>
              </w:rPr>
              <w:t>8 November 2019</w:t>
            </w:r>
            <w:r w:rsidR="001E37FB" w:rsidRPr="00BA6815">
              <w:rPr>
                <w:sz w:val="20"/>
              </w:rPr>
              <w:t xml:space="preserve"> (for </w:t>
            </w:r>
            <w:r w:rsidR="00361823" w:rsidRPr="00BA6815">
              <w:rPr>
                <w:sz w:val="20"/>
              </w:rPr>
              <w:t>beta</w:t>
            </w:r>
            <w:r w:rsidR="00361823" w:rsidRPr="00BA6815">
              <w:rPr>
                <w:sz w:val="20"/>
              </w:rPr>
              <w:noBreakHyphen/>
            </w:r>
            <w:r w:rsidR="001E37FB" w:rsidRPr="00BA6815">
              <w:rPr>
                <w:sz w:val="20"/>
              </w:rPr>
              <w:t>thalass</w:t>
            </w:r>
            <w:r w:rsidR="00361823" w:rsidRPr="00BA6815">
              <w:rPr>
                <w:sz w:val="20"/>
              </w:rPr>
              <w:t>a</w:t>
            </w:r>
            <w:r w:rsidR="001E37FB" w:rsidRPr="00BA6815">
              <w:rPr>
                <w:sz w:val="20"/>
              </w:rPr>
              <w:t>emia)</w:t>
            </w:r>
          </w:p>
          <w:p w14:paraId="16365573" w14:textId="3E8FED7F" w:rsidR="00006FAB" w:rsidRPr="00BA6815" w:rsidRDefault="001E37FB" w:rsidP="00006FAB">
            <w:pPr>
              <w:ind w:left="0" w:right="0"/>
              <w:rPr>
                <w:sz w:val="20"/>
              </w:rPr>
            </w:pPr>
            <w:r w:rsidRPr="00BA6815">
              <w:rPr>
                <w:sz w:val="20"/>
              </w:rPr>
              <w:t xml:space="preserve">3 </w:t>
            </w:r>
            <w:r w:rsidR="001E6C18" w:rsidRPr="00BA6815">
              <w:rPr>
                <w:sz w:val="20"/>
              </w:rPr>
              <w:t>April 2020</w:t>
            </w:r>
            <w:r w:rsidR="00361823" w:rsidRPr="00BA6815">
              <w:rPr>
                <w:sz w:val="20"/>
              </w:rPr>
              <w:t xml:space="preserve"> (f</w:t>
            </w:r>
            <w:r w:rsidRPr="00BA6815">
              <w:rPr>
                <w:sz w:val="20"/>
              </w:rPr>
              <w:t xml:space="preserve">or </w:t>
            </w:r>
            <w:r w:rsidR="00361823" w:rsidRPr="00BA6815">
              <w:rPr>
                <w:sz w:val="20"/>
                <w:lang w:val="en-GB"/>
              </w:rPr>
              <w:t>myelodysplastic syndrome</w:t>
            </w:r>
            <w:r w:rsidRPr="00BA6815">
              <w:rPr>
                <w:sz w:val="20"/>
              </w:rPr>
              <w:t>)</w:t>
            </w:r>
          </w:p>
        </w:tc>
        <w:tc>
          <w:tcPr>
            <w:tcW w:w="4050" w:type="dxa"/>
            <w:tcBorders>
              <w:top w:val="single" w:sz="4" w:space="0" w:color="auto"/>
            </w:tcBorders>
          </w:tcPr>
          <w:p w14:paraId="28568AFC" w14:textId="164D32EA" w:rsidR="002B5CA4" w:rsidRPr="00BA6815" w:rsidRDefault="002B5CA4" w:rsidP="00577BE0">
            <w:pPr>
              <w:ind w:left="0"/>
              <w:rPr>
                <w:i/>
                <w:iCs/>
                <w:sz w:val="20"/>
              </w:rPr>
            </w:pPr>
            <w:proofErr w:type="spellStart"/>
            <w:r w:rsidRPr="00BA6815">
              <w:rPr>
                <w:i/>
                <w:iCs/>
                <w:sz w:val="20"/>
              </w:rPr>
              <w:t>R</w:t>
            </w:r>
            <w:r w:rsidR="00A750BA" w:rsidRPr="00BA6815">
              <w:rPr>
                <w:i/>
                <w:iCs/>
                <w:sz w:val="20"/>
              </w:rPr>
              <w:t>eblozyl</w:t>
            </w:r>
            <w:proofErr w:type="spellEnd"/>
            <w:r w:rsidRPr="00BA6815">
              <w:rPr>
                <w:i/>
                <w:iCs/>
                <w:sz w:val="20"/>
              </w:rPr>
              <w:t xml:space="preserve"> is indicated for the treatment of </w:t>
            </w:r>
            <w:r w:rsidR="00A750BA" w:rsidRPr="00BA6815">
              <w:rPr>
                <w:i/>
                <w:iCs/>
                <w:sz w:val="20"/>
              </w:rPr>
              <w:t>anaemia</w:t>
            </w:r>
            <w:r w:rsidRPr="00BA6815">
              <w:rPr>
                <w:i/>
                <w:iCs/>
                <w:sz w:val="20"/>
              </w:rPr>
              <w:t xml:space="preserve"> in adult patients with beta thalassemia who require regular red blood cell (RBC) transfusions</w:t>
            </w:r>
          </w:p>
          <w:p w14:paraId="1B1EAEE7" w14:textId="184514DF" w:rsidR="002B5CA4" w:rsidRPr="00BA6815" w:rsidRDefault="00531343" w:rsidP="00577BE0">
            <w:pPr>
              <w:ind w:left="0"/>
              <w:rPr>
                <w:i/>
                <w:iCs/>
                <w:sz w:val="20"/>
              </w:rPr>
            </w:pPr>
            <w:proofErr w:type="spellStart"/>
            <w:r w:rsidRPr="00BA6815">
              <w:rPr>
                <w:i/>
                <w:iCs/>
                <w:sz w:val="20"/>
              </w:rPr>
              <w:t>Reblozyl</w:t>
            </w:r>
            <w:proofErr w:type="spellEnd"/>
            <w:r w:rsidRPr="00BA6815">
              <w:rPr>
                <w:i/>
                <w:iCs/>
                <w:sz w:val="20"/>
              </w:rPr>
              <w:t xml:space="preserve"> is indicated for </w:t>
            </w:r>
            <w:r w:rsidR="002B5CA4" w:rsidRPr="00BA6815">
              <w:rPr>
                <w:i/>
                <w:iCs/>
                <w:sz w:val="20"/>
              </w:rPr>
              <w:t xml:space="preserve">Myelodysplastic Syndromes with Ring </w:t>
            </w:r>
            <w:proofErr w:type="spellStart"/>
            <w:r w:rsidR="002B5CA4" w:rsidRPr="00BA6815">
              <w:rPr>
                <w:i/>
                <w:iCs/>
                <w:sz w:val="20"/>
              </w:rPr>
              <w:t>Sideroblasts</w:t>
            </w:r>
            <w:proofErr w:type="spellEnd"/>
            <w:r w:rsidR="002B5CA4" w:rsidRPr="00BA6815">
              <w:rPr>
                <w:i/>
                <w:iCs/>
                <w:sz w:val="20"/>
              </w:rPr>
              <w:t xml:space="preserve"> or</w:t>
            </w:r>
            <w:r w:rsidR="00D448C9" w:rsidRPr="00BA6815">
              <w:rPr>
                <w:i/>
                <w:iCs/>
                <w:sz w:val="20"/>
              </w:rPr>
              <w:t xml:space="preserve"> </w:t>
            </w:r>
            <w:r w:rsidR="002B5CA4" w:rsidRPr="00BA6815">
              <w:rPr>
                <w:i/>
                <w:iCs/>
                <w:sz w:val="20"/>
              </w:rPr>
              <w:t xml:space="preserve">Myelodysplastic/Myeloproliferative Neoplasm with Ring </w:t>
            </w:r>
            <w:proofErr w:type="spellStart"/>
            <w:r w:rsidR="002B5CA4" w:rsidRPr="00BA6815">
              <w:rPr>
                <w:i/>
                <w:iCs/>
                <w:sz w:val="20"/>
              </w:rPr>
              <w:t>Sideroblasts</w:t>
            </w:r>
            <w:proofErr w:type="spellEnd"/>
            <w:r w:rsidR="002B5CA4" w:rsidRPr="00BA6815">
              <w:rPr>
                <w:i/>
                <w:iCs/>
                <w:sz w:val="20"/>
              </w:rPr>
              <w:t xml:space="preserve"> and Thrombocytosis Associated </w:t>
            </w:r>
            <w:r w:rsidR="00D448C9" w:rsidRPr="00BA6815">
              <w:rPr>
                <w:i/>
                <w:iCs/>
                <w:sz w:val="20"/>
              </w:rPr>
              <w:t>Anaemia</w:t>
            </w:r>
          </w:p>
          <w:p w14:paraId="3D78E588" w14:textId="2D3E6915" w:rsidR="00006FAB" w:rsidRPr="00BA6815" w:rsidRDefault="00531343" w:rsidP="002B5CA4">
            <w:pPr>
              <w:ind w:left="0" w:right="0"/>
              <w:rPr>
                <w:sz w:val="20"/>
              </w:rPr>
            </w:pPr>
            <w:proofErr w:type="spellStart"/>
            <w:r w:rsidRPr="00BA6815">
              <w:rPr>
                <w:i/>
                <w:iCs/>
                <w:sz w:val="20"/>
              </w:rPr>
              <w:t>Reblozyl</w:t>
            </w:r>
            <w:proofErr w:type="spellEnd"/>
            <w:r w:rsidRPr="00BA6815">
              <w:rPr>
                <w:i/>
                <w:iCs/>
                <w:sz w:val="20"/>
              </w:rPr>
              <w:t xml:space="preserve"> </w:t>
            </w:r>
            <w:r w:rsidR="002B5CA4" w:rsidRPr="00BA6815">
              <w:rPr>
                <w:i/>
                <w:iCs/>
                <w:sz w:val="20"/>
              </w:rPr>
              <w:t xml:space="preserve">is indicated for the treatment of </w:t>
            </w:r>
            <w:r w:rsidR="00D448C9" w:rsidRPr="00BA6815">
              <w:rPr>
                <w:i/>
                <w:iCs/>
                <w:sz w:val="20"/>
              </w:rPr>
              <w:t>anaemia</w:t>
            </w:r>
            <w:r w:rsidR="002B5CA4" w:rsidRPr="00BA6815">
              <w:rPr>
                <w:i/>
                <w:iCs/>
                <w:sz w:val="20"/>
              </w:rPr>
              <w:t xml:space="preserve"> failing an erythropoiesis stimulating agent and requiring 2 or more red blood cell units over 8 weeks in adult patients with very low- to intermediate-risk myelodysplastic syndromes with ring </w:t>
            </w:r>
            <w:proofErr w:type="spellStart"/>
            <w:r w:rsidR="002B5CA4" w:rsidRPr="00BA6815">
              <w:rPr>
                <w:i/>
                <w:iCs/>
                <w:sz w:val="20"/>
              </w:rPr>
              <w:t>sideroblasts</w:t>
            </w:r>
            <w:proofErr w:type="spellEnd"/>
            <w:r w:rsidR="002B5CA4" w:rsidRPr="00BA6815">
              <w:rPr>
                <w:i/>
                <w:iCs/>
                <w:sz w:val="20"/>
              </w:rPr>
              <w:t xml:space="preserve"> (MDS-RS) or with myelodysplastic/myeloproliferative neoplasm with ring </w:t>
            </w:r>
            <w:proofErr w:type="spellStart"/>
            <w:r w:rsidR="002B5CA4" w:rsidRPr="00BA6815">
              <w:rPr>
                <w:i/>
                <w:iCs/>
                <w:sz w:val="20"/>
              </w:rPr>
              <w:t>sideroblasts</w:t>
            </w:r>
            <w:proofErr w:type="spellEnd"/>
            <w:r w:rsidR="002B5CA4" w:rsidRPr="00BA6815">
              <w:rPr>
                <w:i/>
                <w:iCs/>
                <w:sz w:val="20"/>
              </w:rPr>
              <w:t xml:space="preserve"> and thrombocytosis (MDS/MPN-RS-T)</w:t>
            </w:r>
          </w:p>
        </w:tc>
      </w:tr>
      <w:tr w:rsidR="00006FAB" w:rsidRPr="00F2066F" w14:paraId="5E9E5A75" w14:textId="77777777" w:rsidTr="00BA6815">
        <w:trPr>
          <w:cantSplit/>
        </w:trPr>
        <w:tc>
          <w:tcPr>
            <w:tcW w:w="0" w:type="dxa"/>
          </w:tcPr>
          <w:p w14:paraId="470C85DB" w14:textId="0B2629D8" w:rsidR="00006FAB" w:rsidRPr="00CE5828" w:rsidRDefault="00704E63" w:rsidP="00006FAB">
            <w:pPr>
              <w:ind w:left="0" w:right="0"/>
              <w:rPr>
                <w:sz w:val="20"/>
              </w:rPr>
            </w:pPr>
            <w:r w:rsidRPr="00CE5828">
              <w:rPr>
                <w:sz w:val="20"/>
              </w:rPr>
              <w:lastRenderedPageBreak/>
              <w:t>European Union</w:t>
            </w:r>
          </w:p>
        </w:tc>
        <w:tc>
          <w:tcPr>
            <w:tcW w:w="0" w:type="dxa"/>
          </w:tcPr>
          <w:p w14:paraId="46780E75" w14:textId="77777777" w:rsidR="00006FAB" w:rsidRPr="00CE5828" w:rsidRDefault="00006FAB" w:rsidP="00006FAB">
            <w:pPr>
              <w:ind w:left="0" w:right="0"/>
              <w:rPr>
                <w:sz w:val="20"/>
              </w:rPr>
            </w:pPr>
          </w:p>
        </w:tc>
        <w:tc>
          <w:tcPr>
            <w:tcW w:w="1980" w:type="dxa"/>
          </w:tcPr>
          <w:p w14:paraId="06CF6790" w14:textId="19DD6058" w:rsidR="00006FAB" w:rsidRPr="00CE5828" w:rsidRDefault="00577BE0" w:rsidP="00006FAB">
            <w:pPr>
              <w:ind w:left="0" w:right="0"/>
              <w:rPr>
                <w:sz w:val="20"/>
              </w:rPr>
            </w:pPr>
            <w:r w:rsidRPr="00CE5828">
              <w:rPr>
                <w:sz w:val="20"/>
              </w:rPr>
              <w:t>26 June 2020</w:t>
            </w:r>
            <w:r w:rsidR="00361823" w:rsidRPr="00CE5828">
              <w:rPr>
                <w:sz w:val="20"/>
              </w:rPr>
              <w:t xml:space="preserve"> </w:t>
            </w:r>
            <w:r w:rsidRPr="00CE5828">
              <w:rPr>
                <w:sz w:val="20"/>
              </w:rPr>
              <w:t xml:space="preserve">(for </w:t>
            </w:r>
            <w:r w:rsidR="00361823" w:rsidRPr="00CE5828">
              <w:rPr>
                <w:sz w:val="20"/>
              </w:rPr>
              <w:t>beta-</w:t>
            </w:r>
            <w:r w:rsidRPr="00CE5828">
              <w:rPr>
                <w:sz w:val="20"/>
              </w:rPr>
              <w:t xml:space="preserve">thalassemia and </w:t>
            </w:r>
            <w:r w:rsidR="00361823" w:rsidRPr="00CE5828">
              <w:rPr>
                <w:sz w:val="20"/>
                <w:lang w:val="en-GB"/>
              </w:rPr>
              <w:t>myelodysplastic syndromes</w:t>
            </w:r>
            <w:r w:rsidRPr="00CE5828">
              <w:rPr>
                <w:sz w:val="20"/>
              </w:rPr>
              <w:t xml:space="preserve">) </w:t>
            </w:r>
          </w:p>
        </w:tc>
        <w:tc>
          <w:tcPr>
            <w:tcW w:w="4050" w:type="dxa"/>
          </w:tcPr>
          <w:p w14:paraId="4BB3AFA0" w14:textId="77777777" w:rsidR="00074422" w:rsidRPr="00CE5828" w:rsidRDefault="00074422" w:rsidP="00074422">
            <w:pPr>
              <w:ind w:left="0"/>
              <w:rPr>
                <w:i/>
                <w:iCs/>
                <w:sz w:val="20"/>
              </w:rPr>
            </w:pPr>
            <w:proofErr w:type="spellStart"/>
            <w:r w:rsidRPr="00CE5828">
              <w:rPr>
                <w:i/>
                <w:iCs/>
                <w:sz w:val="20"/>
              </w:rPr>
              <w:t>Reblozyl</w:t>
            </w:r>
            <w:proofErr w:type="spellEnd"/>
            <w:r w:rsidRPr="00CE5828">
              <w:rPr>
                <w:i/>
                <w:iCs/>
                <w:sz w:val="20"/>
              </w:rPr>
              <w:t xml:space="preserve"> is indicated for the treatment of adult patients with transfusion-dependent anaemia due to very low, low and intermediate-risk myelodysplastic syndromes (MDS) with ring </w:t>
            </w:r>
            <w:proofErr w:type="spellStart"/>
            <w:r w:rsidRPr="00CE5828">
              <w:rPr>
                <w:i/>
                <w:iCs/>
                <w:sz w:val="20"/>
              </w:rPr>
              <w:t>sideroblasts</w:t>
            </w:r>
            <w:proofErr w:type="spellEnd"/>
            <w:r w:rsidRPr="00CE5828">
              <w:rPr>
                <w:i/>
                <w:iCs/>
                <w:sz w:val="20"/>
              </w:rPr>
              <w:t>, who had an unsatisfactory response to or are ineligible for erythropoietin-based therapy.</w:t>
            </w:r>
          </w:p>
          <w:p w14:paraId="5DC4B69C" w14:textId="1998F2FB" w:rsidR="00006FAB" w:rsidRPr="00CE5828" w:rsidRDefault="00074422" w:rsidP="00074422">
            <w:pPr>
              <w:ind w:left="0" w:right="0"/>
              <w:rPr>
                <w:sz w:val="20"/>
              </w:rPr>
            </w:pPr>
            <w:proofErr w:type="spellStart"/>
            <w:r w:rsidRPr="00CE5828">
              <w:rPr>
                <w:i/>
                <w:iCs/>
                <w:sz w:val="20"/>
              </w:rPr>
              <w:t>Reblozyl</w:t>
            </w:r>
            <w:proofErr w:type="spellEnd"/>
            <w:r w:rsidRPr="00CE5828">
              <w:rPr>
                <w:i/>
                <w:iCs/>
                <w:sz w:val="20"/>
              </w:rPr>
              <w:t xml:space="preserve"> is indicated for the treatment of adult patients with transfusion-dependent anaemia associated with beta-thalassaemia</w:t>
            </w:r>
          </w:p>
        </w:tc>
      </w:tr>
    </w:tbl>
    <w:p w14:paraId="7C0127E5" w14:textId="77777777" w:rsidR="008E7846" w:rsidRDefault="008E7846" w:rsidP="00940A89">
      <w:pPr>
        <w:pStyle w:val="Heading3"/>
      </w:pPr>
      <w:bookmarkStart w:id="32" w:name="_Toc102045187"/>
      <w:r>
        <w:t>Product Information</w:t>
      </w:r>
      <w:bookmarkEnd w:id="30"/>
      <w:bookmarkEnd w:id="31"/>
      <w:bookmarkEnd w:id="32"/>
    </w:p>
    <w:p w14:paraId="536483E3" w14:textId="77777777" w:rsidR="00940A89" w:rsidRDefault="006136D7" w:rsidP="00940A89">
      <w:bookmarkStart w:id="33" w:name="_Toc247691506"/>
      <w:bookmarkStart w:id="3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5B70061C" w14:textId="77777777" w:rsidR="00500337" w:rsidRDefault="00500337" w:rsidP="00500337">
      <w:pPr>
        <w:pStyle w:val="Heading2"/>
      </w:pPr>
      <w:bookmarkStart w:id="35" w:name="_Toc504480011"/>
      <w:bookmarkStart w:id="36" w:name="_Toc102045188"/>
      <w:r>
        <w:t>II. Registration timeline</w:t>
      </w:r>
      <w:bookmarkEnd w:id="35"/>
      <w:bookmarkEnd w:id="36"/>
    </w:p>
    <w:p w14:paraId="73A74FBD"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6EAF9089" w14:textId="1E5AAE28" w:rsidR="00500337" w:rsidRPr="00377BD4" w:rsidRDefault="00F80DFC" w:rsidP="00F80DFC">
      <w:pPr>
        <w:pStyle w:val="TableTitle"/>
      </w:pPr>
      <w:r>
        <w:t xml:space="preserve">Table </w:t>
      </w:r>
      <w:fldSimple w:instr=" SEQ Table \* ARABIC ">
        <w:r w:rsidR="00E65704">
          <w:rPr>
            <w:noProof/>
          </w:rPr>
          <w:t>2</w:t>
        </w:r>
      </w:fldSimple>
      <w:r>
        <w:t xml:space="preserve">: </w:t>
      </w:r>
      <w:r w:rsidR="006A58A8" w:rsidRPr="006A58A8">
        <w:t xml:space="preserve">Timeline for Submission </w:t>
      </w:r>
      <w:r w:rsidR="00715890" w:rsidRPr="00715890">
        <w:t>PM-2020-01706-1-6</w:t>
      </w:r>
    </w:p>
    <w:tbl>
      <w:tblPr>
        <w:tblStyle w:val="TableTGAblue"/>
        <w:tblW w:w="8815" w:type="dxa"/>
        <w:tblLook w:val="04A0" w:firstRow="1" w:lastRow="0" w:firstColumn="1" w:lastColumn="0" w:noHBand="0" w:noVBand="1"/>
      </w:tblPr>
      <w:tblGrid>
        <w:gridCol w:w="6091"/>
        <w:gridCol w:w="2724"/>
      </w:tblGrid>
      <w:tr w:rsidR="00500337" w14:paraId="4EACDF46" w14:textId="77777777" w:rsidTr="004F4A0F">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6048B906" w14:textId="77777777" w:rsidR="00500337" w:rsidRDefault="00500337" w:rsidP="00500337">
            <w:pPr>
              <w:ind w:left="0" w:right="0"/>
            </w:pPr>
            <w:r>
              <w:t>Description</w:t>
            </w:r>
          </w:p>
        </w:tc>
        <w:tc>
          <w:tcPr>
            <w:tcW w:w="2724" w:type="dxa"/>
            <w:tcBorders>
              <w:top w:val="single" w:sz="4" w:space="0" w:color="auto"/>
              <w:left w:val="single" w:sz="4" w:space="0" w:color="auto"/>
              <w:bottom w:val="single" w:sz="4" w:space="0" w:color="auto"/>
              <w:right w:val="single" w:sz="4" w:space="0" w:color="auto"/>
            </w:tcBorders>
          </w:tcPr>
          <w:p w14:paraId="60EF12B0" w14:textId="77777777" w:rsidR="00500337" w:rsidRDefault="00500337" w:rsidP="00500337">
            <w:pPr>
              <w:ind w:left="0" w:right="0"/>
            </w:pPr>
            <w:r>
              <w:t>Date</w:t>
            </w:r>
          </w:p>
        </w:tc>
      </w:tr>
      <w:tr w:rsidR="00500337" w14:paraId="43EC80E7" w14:textId="77777777" w:rsidTr="004F4A0F">
        <w:tc>
          <w:tcPr>
            <w:tcW w:w="6091" w:type="dxa"/>
            <w:tcBorders>
              <w:top w:val="single" w:sz="4" w:space="0" w:color="auto"/>
            </w:tcBorders>
          </w:tcPr>
          <w:p w14:paraId="58FE6B80" w14:textId="77777777" w:rsidR="00500337" w:rsidRDefault="00500337" w:rsidP="00500337">
            <w:pPr>
              <w:ind w:left="0" w:right="0"/>
            </w:pPr>
            <w:r>
              <w:t>Submission dossier accepted and first round evaluation commenced</w:t>
            </w:r>
          </w:p>
        </w:tc>
        <w:tc>
          <w:tcPr>
            <w:tcW w:w="2724" w:type="dxa"/>
            <w:tcBorders>
              <w:top w:val="single" w:sz="4" w:space="0" w:color="auto"/>
            </w:tcBorders>
          </w:tcPr>
          <w:p w14:paraId="336EFCFF" w14:textId="221E20D7" w:rsidR="00500337" w:rsidRDefault="00033463" w:rsidP="00500337">
            <w:pPr>
              <w:ind w:left="0" w:right="0"/>
            </w:pPr>
            <w:r>
              <w:t>2 June 2020</w:t>
            </w:r>
          </w:p>
        </w:tc>
      </w:tr>
      <w:tr w:rsidR="00500337" w14:paraId="76E64F5D" w14:textId="77777777" w:rsidTr="004F4A0F">
        <w:tc>
          <w:tcPr>
            <w:tcW w:w="6091" w:type="dxa"/>
          </w:tcPr>
          <w:p w14:paraId="6319F595" w14:textId="77777777" w:rsidR="00500337" w:rsidRDefault="00500337" w:rsidP="00500337">
            <w:pPr>
              <w:ind w:left="0" w:right="0"/>
            </w:pPr>
            <w:r>
              <w:t>First round evaluation completed</w:t>
            </w:r>
          </w:p>
        </w:tc>
        <w:tc>
          <w:tcPr>
            <w:tcW w:w="2724" w:type="dxa"/>
          </w:tcPr>
          <w:p w14:paraId="75EF42E5" w14:textId="28253B82" w:rsidR="00500337" w:rsidRDefault="00033463" w:rsidP="00500337">
            <w:pPr>
              <w:ind w:left="0" w:right="0"/>
            </w:pPr>
            <w:r>
              <w:t>2 November 2020</w:t>
            </w:r>
          </w:p>
        </w:tc>
      </w:tr>
      <w:tr w:rsidR="00500337" w14:paraId="22A21744" w14:textId="77777777" w:rsidTr="004F4A0F">
        <w:tc>
          <w:tcPr>
            <w:tcW w:w="6091" w:type="dxa"/>
          </w:tcPr>
          <w:p w14:paraId="7C7F8C81" w14:textId="77777777" w:rsidR="00500337" w:rsidRDefault="00500337" w:rsidP="00500337">
            <w:pPr>
              <w:ind w:left="0" w:right="0"/>
            </w:pPr>
            <w:r>
              <w:t>Sponsor provides responses on questions raised in first round evaluation</w:t>
            </w:r>
          </w:p>
        </w:tc>
        <w:tc>
          <w:tcPr>
            <w:tcW w:w="2724" w:type="dxa"/>
          </w:tcPr>
          <w:p w14:paraId="443E3C74" w14:textId="4472A25F" w:rsidR="00500337" w:rsidRDefault="00F41D72" w:rsidP="00500337">
            <w:pPr>
              <w:ind w:left="0" w:right="0"/>
            </w:pPr>
            <w:r>
              <w:t>4 January 2021</w:t>
            </w:r>
          </w:p>
        </w:tc>
      </w:tr>
      <w:tr w:rsidR="00500337" w14:paraId="124464DF" w14:textId="77777777" w:rsidTr="004F4A0F">
        <w:tc>
          <w:tcPr>
            <w:tcW w:w="6091" w:type="dxa"/>
          </w:tcPr>
          <w:p w14:paraId="3F635F79" w14:textId="77777777" w:rsidR="00500337" w:rsidRDefault="00500337" w:rsidP="00500337">
            <w:pPr>
              <w:ind w:left="0" w:right="0"/>
            </w:pPr>
            <w:r>
              <w:t>Second round evaluation completed</w:t>
            </w:r>
          </w:p>
        </w:tc>
        <w:tc>
          <w:tcPr>
            <w:tcW w:w="2724" w:type="dxa"/>
          </w:tcPr>
          <w:p w14:paraId="625281A4" w14:textId="6C8DFDC4" w:rsidR="00500337" w:rsidRDefault="00F41D72" w:rsidP="00500337">
            <w:pPr>
              <w:ind w:left="0" w:right="0"/>
            </w:pPr>
            <w:r>
              <w:t>17 March 2021</w:t>
            </w:r>
          </w:p>
        </w:tc>
      </w:tr>
      <w:tr w:rsidR="00500337" w14:paraId="7211DF44" w14:textId="77777777" w:rsidTr="004F4A0F">
        <w:tc>
          <w:tcPr>
            <w:tcW w:w="6091" w:type="dxa"/>
          </w:tcPr>
          <w:p w14:paraId="64DE6EE4" w14:textId="68846D12" w:rsidR="00500337" w:rsidRDefault="00324E45" w:rsidP="00500337">
            <w:pPr>
              <w:ind w:left="0" w:right="0"/>
            </w:pPr>
            <w:r>
              <w:t xml:space="preserve">Delegate’s Overall benefit-risk assessment </w:t>
            </w:r>
          </w:p>
        </w:tc>
        <w:tc>
          <w:tcPr>
            <w:tcW w:w="2724" w:type="dxa"/>
          </w:tcPr>
          <w:p w14:paraId="4450FD4A" w14:textId="6902AF38" w:rsidR="00500337" w:rsidRDefault="00FF303F" w:rsidP="00500337">
            <w:pPr>
              <w:ind w:left="0" w:right="0"/>
            </w:pPr>
            <w:r w:rsidRPr="00FF303F">
              <w:t>17 August 2021</w:t>
            </w:r>
          </w:p>
        </w:tc>
      </w:tr>
      <w:tr w:rsidR="00500337" w14:paraId="7DC9911E" w14:textId="77777777" w:rsidTr="004F4A0F">
        <w:tc>
          <w:tcPr>
            <w:tcW w:w="6091" w:type="dxa"/>
          </w:tcPr>
          <w:p w14:paraId="2610197A" w14:textId="77777777" w:rsidR="00500337" w:rsidRDefault="00500337" w:rsidP="00500337">
            <w:pPr>
              <w:ind w:left="0" w:right="0"/>
            </w:pPr>
            <w:r>
              <w:t>Registration decision (Outcome)</w:t>
            </w:r>
          </w:p>
        </w:tc>
        <w:tc>
          <w:tcPr>
            <w:tcW w:w="2724" w:type="dxa"/>
          </w:tcPr>
          <w:p w14:paraId="52AE24E0" w14:textId="3D27360B" w:rsidR="00500337" w:rsidRDefault="00DE3480" w:rsidP="00500337">
            <w:pPr>
              <w:ind w:left="0" w:right="0"/>
            </w:pPr>
            <w:r>
              <w:t>27 August 2021</w:t>
            </w:r>
          </w:p>
        </w:tc>
      </w:tr>
      <w:tr w:rsidR="00500337" w14:paraId="39167002" w14:textId="77777777" w:rsidTr="004F4A0F">
        <w:tc>
          <w:tcPr>
            <w:tcW w:w="6091" w:type="dxa"/>
          </w:tcPr>
          <w:p w14:paraId="38D133BF" w14:textId="77777777" w:rsidR="00500337" w:rsidRDefault="00500337" w:rsidP="00500337">
            <w:pPr>
              <w:ind w:left="0" w:right="0"/>
            </w:pPr>
            <w:r>
              <w:t xml:space="preserve">Completion of administrative activities and registration on </w:t>
            </w:r>
            <w:r w:rsidR="00006FAB">
              <w:t xml:space="preserve">the </w:t>
            </w:r>
            <w:r>
              <w:t>ARTG</w:t>
            </w:r>
          </w:p>
        </w:tc>
        <w:tc>
          <w:tcPr>
            <w:tcW w:w="2724" w:type="dxa"/>
          </w:tcPr>
          <w:p w14:paraId="4CBAE600" w14:textId="18BE9E4E" w:rsidR="00500337" w:rsidRDefault="00DE3480" w:rsidP="00500337">
            <w:pPr>
              <w:ind w:left="0" w:right="0"/>
            </w:pPr>
            <w:r>
              <w:t>30 August 2021</w:t>
            </w:r>
          </w:p>
        </w:tc>
      </w:tr>
      <w:tr w:rsidR="00500337" w14:paraId="067060E8" w14:textId="77777777" w:rsidTr="004F4A0F">
        <w:tc>
          <w:tcPr>
            <w:tcW w:w="6091" w:type="dxa"/>
          </w:tcPr>
          <w:p w14:paraId="2CD3C6AF" w14:textId="77777777" w:rsidR="00500337" w:rsidRDefault="00500337" w:rsidP="00500337">
            <w:pPr>
              <w:ind w:left="0" w:right="0"/>
            </w:pPr>
            <w:r>
              <w:t>Number of working days from submission dossier acceptance to registration decision*</w:t>
            </w:r>
          </w:p>
        </w:tc>
        <w:tc>
          <w:tcPr>
            <w:tcW w:w="2724" w:type="dxa"/>
          </w:tcPr>
          <w:p w14:paraId="5379E5C4" w14:textId="274BCA40" w:rsidR="00500337" w:rsidRDefault="00F41D72" w:rsidP="00500337">
            <w:pPr>
              <w:ind w:left="0" w:right="0"/>
            </w:pPr>
            <w:r>
              <w:t>250</w:t>
            </w:r>
          </w:p>
        </w:tc>
      </w:tr>
    </w:tbl>
    <w:p w14:paraId="20424973"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7A97BAAB" w14:textId="77777777" w:rsidR="008E7846" w:rsidRPr="00792A32" w:rsidRDefault="00456765" w:rsidP="008E7846">
      <w:pPr>
        <w:pStyle w:val="Heading2"/>
      </w:pPr>
      <w:bookmarkStart w:id="37" w:name="_Toc196046504"/>
      <w:bookmarkStart w:id="38" w:name="_Toc247691527"/>
      <w:bookmarkStart w:id="39" w:name="_Toc314842510"/>
      <w:bookmarkStart w:id="40" w:name="_Toc163441390"/>
      <w:bookmarkStart w:id="41" w:name="_Toc102045189"/>
      <w:bookmarkEnd w:id="33"/>
      <w:bookmarkEnd w:id="34"/>
      <w:bookmarkEnd w:id="1"/>
      <w:r>
        <w:lastRenderedPageBreak/>
        <w:t>I</w:t>
      </w:r>
      <w:r w:rsidR="00DA64CB">
        <w:t>I</w:t>
      </w:r>
      <w:r w:rsidR="008E7846">
        <w:t xml:space="preserve">I. </w:t>
      </w:r>
      <w:bookmarkStart w:id="42" w:name="_Hlk88836260"/>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7"/>
      <w:bookmarkEnd w:id="38"/>
      <w:bookmarkEnd w:id="39"/>
      <w:bookmarkEnd w:id="42"/>
      <w:bookmarkEnd w:id="41"/>
    </w:p>
    <w:p w14:paraId="410906A6" w14:textId="71199227" w:rsidR="008E7846" w:rsidRDefault="00006FAB" w:rsidP="004F4A0F">
      <w:pPr>
        <w:ind w:right="-285"/>
      </w:pPr>
      <w:bookmarkStart w:id="43" w:name="_Toc247691528"/>
      <w:r>
        <w:t>The submission was summarised in the following Delegate’s over</w:t>
      </w:r>
      <w:r w:rsidR="006D5B83">
        <w:t>view and recommendations</w:t>
      </w:r>
      <w:r>
        <w:t>.</w:t>
      </w:r>
    </w:p>
    <w:p w14:paraId="1250D75D" w14:textId="5CB8B96F" w:rsidR="008E7846" w:rsidRDefault="008E7846" w:rsidP="008E7846">
      <w:pPr>
        <w:pStyle w:val="Heading3"/>
      </w:pPr>
      <w:bookmarkStart w:id="44" w:name="_Toc314842511"/>
      <w:bookmarkStart w:id="45" w:name="_Toc102045190"/>
      <w:r>
        <w:t>Quality</w:t>
      </w:r>
      <w:bookmarkEnd w:id="43"/>
      <w:bookmarkEnd w:id="44"/>
      <w:bookmarkEnd w:id="45"/>
    </w:p>
    <w:p w14:paraId="0CF7D9A9" w14:textId="6F7B3CB4" w:rsidR="00E076B0" w:rsidRDefault="00E076B0" w:rsidP="00E076B0">
      <w:proofErr w:type="spellStart"/>
      <w:r>
        <w:t>Luspatercept</w:t>
      </w:r>
      <w:proofErr w:type="spellEnd"/>
      <w:r>
        <w:t xml:space="preserve"> is a recombinant fusion protein consisting of two identical chains, each consisting of the modified form o</w:t>
      </w:r>
      <w:r w:rsidR="00265A24">
        <w:t>f the extracellular domain</w:t>
      </w:r>
      <w:r>
        <w:t xml:space="preserve"> of human activin receptor type IIB (</w:t>
      </w:r>
      <w:proofErr w:type="spellStart"/>
      <w:r>
        <w:t>ActRIIB</w:t>
      </w:r>
      <w:proofErr w:type="spellEnd"/>
      <w:r>
        <w:t xml:space="preserve">) linked to the human </w:t>
      </w:r>
      <w:r w:rsidR="00265A24">
        <w:t>immunoglobulin G1 (</w:t>
      </w:r>
      <w:r>
        <w:t>IgG1</w:t>
      </w:r>
      <w:r w:rsidR="00265A24">
        <w:t>)</w:t>
      </w:r>
      <w:r>
        <w:t xml:space="preserve"> Fc domain (including the hinge, CH2 and CH3 domains) through a linker.</w:t>
      </w:r>
    </w:p>
    <w:p w14:paraId="35AEAE18" w14:textId="344B819E" w:rsidR="00E076B0" w:rsidRPr="001117BF" w:rsidRDefault="00E076B0" w:rsidP="00704E63">
      <w:proofErr w:type="spellStart"/>
      <w:r w:rsidRPr="008456EF">
        <w:t>Luspatercept</w:t>
      </w:r>
      <w:proofErr w:type="spellEnd"/>
      <w:r w:rsidRPr="008456EF">
        <w:t xml:space="preserve"> is produced in Chinese hamster ovary cells.</w:t>
      </w:r>
    </w:p>
    <w:p w14:paraId="470FCB22" w14:textId="1B3C1183" w:rsidR="00265A24" w:rsidRDefault="000839BD" w:rsidP="00006FAB">
      <w:proofErr w:type="spellStart"/>
      <w:r w:rsidRPr="000839BD">
        <w:t>Luspatercept</w:t>
      </w:r>
      <w:proofErr w:type="spellEnd"/>
      <w:r w:rsidRPr="000839BD">
        <w:t xml:space="preserve"> for injection is formulated as a single-use, sterile, preservative-free, lyophilized powder intended for subcutaneous administration after reconstitution with sterile water for injection</w:t>
      </w:r>
      <w:r w:rsidR="00265A24">
        <w:t xml:space="preserve">. </w:t>
      </w:r>
      <w:proofErr w:type="spellStart"/>
      <w:r w:rsidR="00265A24">
        <w:t>Luspatercept</w:t>
      </w:r>
      <w:proofErr w:type="spellEnd"/>
      <w:r w:rsidR="00265A24">
        <w:t xml:space="preserve"> for injection is formulated with the following excipients: citric acid monohydrate</w:t>
      </w:r>
      <w:r w:rsidR="006D5B83">
        <w:t>,</w:t>
      </w:r>
      <w:r w:rsidR="00265A24">
        <w:t xml:space="preserve"> hydrochloric acid</w:t>
      </w:r>
      <w:r w:rsidR="006D5B83">
        <w:t>,</w:t>
      </w:r>
      <w:r w:rsidR="00265A24">
        <w:t xml:space="preserve"> polysorbate 80</w:t>
      </w:r>
      <w:r w:rsidR="006D5B83">
        <w:t>,</w:t>
      </w:r>
      <w:r w:rsidR="00265A24">
        <w:t xml:space="preserve"> sodium citrate </w:t>
      </w:r>
      <w:r w:rsidR="009F6817">
        <w:t>dihydrate</w:t>
      </w:r>
      <w:r w:rsidR="006D5B83">
        <w:t xml:space="preserve">, </w:t>
      </w:r>
      <w:r w:rsidR="00CE5828">
        <w:t>sucrose, sodium</w:t>
      </w:r>
      <w:r w:rsidR="00265A24">
        <w:t xml:space="preserve"> hydroxide</w:t>
      </w:r>
      <w:r w:rsidR="009F6817">
        <w:t>, and water for injection</w:t>
      </w:r>
      <w:r w:rsidR="006D5B83">
        <w:t>.</w:t>
      </w:r>
    </w:p>
    <w:p w14:paraId="4F2254A3" w14:textId="43427E1A" w:rsidR="00265A24" w:rsidRDefault="00A12DE1" w:rsidP="00006FAB">
      <w:proofErr w:type="spellStart"/>
      <w:r>
        <w:t>Reblozyl</w:t>
      </w:r>
      <w:proofErr w:type="spellEnd"/>
      <w:r>
        <w:t xml:space="preserve"> (</w:t>
      </w:r>
      <w:proofErr w:type="spellStart"/>
      <w:r>
        <w:t>luspatercept</w:t>
      </w:r>
      <w:proofErr w:type="spellEnd"/>
      <w:r>
        <w:t xml:space="preserve">) for injection is a white to off-white lyophilized powder supplied in a single-dose vial. Each carton contains one vial. </w:t>
      </w:r>
      <w:proofErr w:type="spellStart"/>
      <w:r w:rsidR="00265A24">
        <w:t>Reblozyl</w:t>
      </w:r>
      <w:proofErr w:type="spellEnd"/>
      <w:r w:rsidR="00265A24">
        <w:t xml:space="preserve"> (</w:t>
      </w:r>
      <w:proofErr w:type="spellStart"/>
      <w:r w:rsidR="00265A24">
        <w:t>luspatercept</w:t>
      </w:r>
      <w:proofErr w:type="spellEnd"/>
      <w:r w:rsidR="00265A24">
        <w:t>)</w:t>
      </w:r>
      <w:r w:rsidR="000839BD" w:rsidRPr="000839BD">
        <w:t xml:space="preserve"> is available in two presentations</w:t>
      </w:r>
      <w:r w:rsidR="00265A24">
        <w:t xml:space="preserve">: </w:t>
      </w:r>
      <w:r w:rsidR="000839BD" w:rsidRPr="000839BD">
        <w:t>25 mg/vial and 75</w:t>
      </w:r>
      <w:r w:rsidR="00265A24">
        <w:t> </w:t>
      </w:r>
      <w:r w:rsidR="000839BD" w:rsidRPr="000839BD">
        <w:t>mg/vial</w:t>
      </w:r>
      <w:r w:rsidR="00265A24">
        <w:t>.</w:t>
      </w:r>
    </w:p>
    <w:p w14:paraId="16D77EE8" w14:textId="39423B93" w:rsidR="00E45619" w:rsidRDefault="000839BD" w:rsidP="00006FAB">
      <w:r w:rsidRPr="000839BD">
        <w:t xml:space="preserve">The container closure system for </w:t>
      </w:r>
      <w:proofErr w:type="spellStart"/>
      <w:r w:rsidR="00265A24">
        <w:t>Reblozyl</w:t>
      </w:r>
      <w:proofErr w:type="spellEnd"/>
      <w:r w:rsidR="00265A24">
        <w:t xml:space="preserve"> (</w:t>
      </w:r>
      <w:proofErr w:type="spellStart"/>
      <w:r w:rsidR="00265A24">
        <w:t>l</w:t>
      </w:r>
      <w:r w:rsidRPr="000839BD">
        <w:t>uspatercept</w:t>
      </w:r>
      <w:proofErr w:type="spellEnd"/>
      <w:r w:rsidR="00265A24">
        <w:t>)</w:t>
      </w:r>
      <w:r w:rsidRPr="000839BD">
        <w:t xml:space="preserve"> for </w:t>
      </w:r>
      <w:r w:rsidR="00265A24">
        <w:t>i</w:t>
      </w:r>
      <w:r w:rsidRPr="000839BD">
        <w:t xml:space="preserve">njection consists of a Type I, borosilicate glass vial with </w:t>
      </w:r>
      <w:proofErr w:type="spellStart"/>
      <w:r w:rsidRPr="000839BD">
        <w:t>TopLyo</w:t>
      </w:r>
      <w:proofErr w:type="spellEnd"/>
      <w:r w:rsidRPr="000839BD">
        <w:t xml:space="preserve"> film coating, sealed with a </w:t>
      </w:r>
      <w:proofErr w:type="spellStart"/>
      <w:r w:rsidRPr="000839BD">
        <w:t>bromobutyl</w:t>
      </w:r>
      <w:proofErr w:type="spellEnd"/>
      <w:r w:rsidRPr="000839BD">
        <w:t xml:space="preserve"> rubber stopper and capped with a flip-off seal.</w:t>
      </w:r>
    </w:p>
    <w:p w14:paraId="6A38E4AB" w14:textId="513867CF" w:rsidR="00A12DE1" w:rsidRDefault="00A12DE1">
      <w:r>
        <w:t>Vials should be stored refrigerated at 2°C to 8°C in original carton to protect from light. Do not freeze. Data supports a shelf life of up to 3 years.</w:t>
      </w:r>
    </w:p>
    <w:p w14:paraId="642C453F" w14:textId="77777777" w:rsidR="008E7846" w:rsidRDefault="008E7846" w:rsidP="008E7846">
      <w:pPr>
        <w:pStyle w:val="Heading3"/>
      </w:pPr>
      <w:bookmarkStart w:id="46" w:name="_Toc314842512"/>
      <w:bookmarkStart w:id="47" w:name="_Toc102045191"/>
      <w:r>
        <w:t>Nonclinical</w:t>
      </w:r>
      <w:bookmarkEnd w:id="46"/>
      <w:bookmarkEnd w:id="47"/>
    </w:p>
    <w:p w14:paraId="5DCFF671" w14:textId="08FB263E" w:rsidR="000A38CC" w:rsidRDefault="00A12DE1" w:rsidP="00704E63">
      <w:r>
        <w:t>The sponsor</w:t>
      </w:r>
      <w:r w:rsidR="000A38CC">
        <w:t xml:space="preserve"> has applied to register a new biological entity, </w:t>
      </w:r>
      <w:proofErr w:type="spellStart"/>
      <w:r w:rsidR="000A38CC">
        <w:t>luspatercept</w:t>
      </w:r>
      <w:proofErr w:type="spellEnd"/>
      <w:r w:rsidR="000A38CC">
        <w:t xml:space="preserve"> (</w:t>
      </w:r>
      <w:proofErr w:type="spellStart"/>
      <w:r w:rsidR="00B5106F">
        <w:t>Reblozyl</w:t>
      </w:r>
      <w:proofErr w:type="spellEnd"/>
      <w:r w:rsidR="000A38CC">
        <w:t xml:space="preserve">). The product is proposed to be used for the treatment of adult patients with transfusion-dependent anaemia associated with myelodysplastic syndromes with ring </w:t>
      </w:r>
      <w:proofErr w:type="spellStart"/>
      <w:r w:rsidR="000A38CC">
        <w:t>sideroblasts</w:t>
      </w:r>
      <w:proofErr w:type="spellEnd"/>
      <w:r w:rsidR="000A38CC">
        <w:t xml:space="preserve"> or associated with beta thalassaemia. Dosing is to involve </w:t>
      </w:r>
      <w:r>
        <w:t>subcutaneous</w:t>
      </w:r>
      <w:r w:rsidR="000A38CC">
        <w:t xml:space="preserve"> administration once every three weeks, at a starting dose of 1</w:t>
      </w:r>
      <w:r w:rsidR="00B5106F">
        <w:t> </w:t>
      </w:r>
      <w:r w:rsidR="000A38CC">
        <w:t>mg/kg, up to a maximum of 1.75</w:t>
      </w:r>
      <w:r w:rsidR="00B5106F">
        <w:t> </w:t>
      </w:r>
      <w:r w:rsidR="000A38CC">
        <w:t>mg/kg.</w:t>
      </w:r>
    </w:p>
    <w:p w14:paraId="0E2E3940" w14:textId="25F6D451" w:rsidR="000A38CC" w:rsidRDefault="000A38CC" w:rsidP="00704E63">
      <w:r>
        <w:t xml:space="preserve">The submitted </w:t>
      </w:r>
      <w:r w:rsidR="00552DC6">
        <w:t>nonclinical</w:t>
      </w:r>
      <w:r>
        <w:t xml:space="preserve"> dossier was of high quality with no major deficiencies. The scope of the nonclinical program was in accordance with the relevant TGA-adopted guideline on the nonclinical evaluation of biotech</w:t>
      </w:r>
      <w:r w:rsidR="00966723">
        <w:t>nology-derived pharmaceuticals</w:t>
      </w:r>
      <w:r>
        <w:t>.</w:t>
      </w:r>
      <w:r w:rsidR="00966723">
        <w:rPr>
          <w:rStyle w:val="FootnoteReference"/>
        </w:rPr>
        <w:footnoteReference w:id="38"/>
      </w:r>
      <w:r>
        <w:t xml:space="preserve"> All pivotal safety-related studies were </w:t>
      </w:r>
      <w:r w:rsidR="00ED45EC" w:rsidRPr="00ED45EC">
        <w:t xml:space="preserve">Good Laboratory Practices </w:t>
      </w:r>
      <w:r>
        <w:t>compliant.</w:t>
      </w:r>
    </w:p>
    <w:p w14:paraId="1E570AD1" w14:textId="3DC95333" w:rsidR="000A38CC" w:rsidRDefault="000A38CC" w:rsidP="00704E63">
      <w:proofErr w:type="spellStart"/>
      <w:r>
        <w:t>Luspatercept</w:t>
      </w:r>
      <w:proofErr w:type="spellEnd"/>
      <w:r>
        <w:t xml:space="preserve"> represents a novel pharmacological class. The molecule is a recombinant fusion protein consisting of a modified form of the extracellular domain of the human activin receptor type</w:t>
      </w:r>
      <w:r w:rsidR="00435D88">
        <w:t> </w:t>
      </w:r>
      <w:r>
        <w:t>IIB (</w:t>
      </w:r>
      <w:proofErr w:type="spellStart"/>
      <w:r>
        <w:t>ActRIIB</w:t>
      </w:r>
      <w:proofErr w:type="spellEnd"/>
      <w:r>
        <w:t>) linked to the human IgG1</w:t>
      </w:r>
      <w:r w:rsidR="00435D88">
        <w:t> </w:t>
      </w:r>
      <w:r>
        <w:t xml:space="preserve">Fc domain. It binds to certain endogenous ligands for </w:t>
      </w:r>
      <w:proofErr w:type="spellStart"/>
      <w:r>
        <w:t>ActRIIB</w:t>
      </w:r>
      <w:proofErr w:type="spellEnd"/>
      <w:r>
        <w:t xml:space="preserve"> (which are members of the TGF-</w:t>
      </w:r>
      <w:r w:rsidR="00226235" w:rsidRPr="00226235">
        <w:rPr>
          <w:i/>
          <w:iCs/>
        </w:rPr>
        <w:t>β</w:t>
      </w:r>
      <w:r w:rsidR="00966723">
        <w:rPr>
          <w:i/>
          <w:iCs/>
        </w:rPr>
        <w:t xml:space="preserve"> </w:t>
      </w:r>
      <w:r w:rsidR="00966723">
        <w:t xml:space="preserve">(transforming growth factor-beta) </w:t>
      </w:r>
      <w:r>
        <w:t>superfamily) to inhibit their activity as negative regulators of erythropoiesis.</w:t>
      </w:r>
    </w:p>
    <w:p w14:paraId="0C46C11B" w14:textId="2FB1CEDA" w:rsidR="000A38CC" w:rsidRDefault="000A38CC" w:rsidP="00A12DE1">
      <w:r w:rsidRPr="00435D88">
        <w:rPr>
          <w:i/>
          <w:iCs/>
        </w:rPr>
        <w:t>In vitro</w:t>
      </w:r>
      <w:r>
        <w:t xml:space="preserve">, </w:t>
      </w:r>
      <w:proofErr w:type="spellStart"/>
      <w:r>
        <w:t>luspatercept</w:t>
      </w:r>
      <w:proofErr w:type="spellEnd"/>
      <w:r>
        <w:t xml:space="preserve"> was shown to possess nanomolar or </w:t>
      </w:r>
      <w:proofErr w:type="spellStart"/>
      <w:r>
        <w:t>subnanomolar</w:t>
      </w:r>
      <w:proofErr w:type="spellEnd"/>
      <w:r>
        <w:t xml:space="preserve"> affinity for certain human TGF-</w:t>
      </w:r>
      <w:r w:rsidR="00226235" w:rsidRPr="00226235">
        <w:rPr>
          <w:i/>
          <w:iCs/>
        </w:rPr>
        <w:t>β</w:t>
      </w:r>
      <w:r>
        <w:t xml:space="preserve"> superfamily ligands (</w:t>
      </w:r>
      <w:r w:rsidR="00966723">
        <w:t>b</w:t>
      </w:r>
      <w:r w:rsidR="008D0E7C" w:rsidRPr="008D0E7C">
        <w:t xml:space="preserve">one morphogenetic protein 6 </w:t>
      </w:r>
      <w:r w:rsidR="008D0E7C">
        <w:t>(</w:t>
      </w:r>
      <w:r>
        <w:t>BMP6</w:t>
      </w:r>
      <w:r w:rsidR="008D0E7C">
        <w:t>)</w:t>
      </w:r>
      <w:r>
        <w:t xml:space="preserve">, </w:t>
      </w:r>
      <w:r w:rsidR="00F2066F">
        <w:t>activin</w:t>
      </w:r>
      <w:r w:rsidR="00793BA2">
        <w:t> </w:t>
      </w:r>
      <w:r>
        <w:t xml:space="preserve">B, </w:t>
      </w:r>
      <w:r w:rsidR="00331243">
        <w:t>g</w:t>
      </w:r>
      <w:r w:rsidR="00331243" w:rsidRPr="00331243">
        <w:t>rowth differentiation factor</w:t>
      </w:r>
      <w:r w:rsidR="00511A05">
        <w:t> 11</w:t>
      </w:r>
      <w:r w:rsidR="00966723">
        <w:t xml:space="preserve"> and 8</w:t>
      </w:r>
      <w:r w:rsidR="00511A05">
        <w:t xml:space="preserve"> </w:t>
      </w:r>
      <w:r w:rsidR="00331243">
        <w:t>(</w:t>
      </w:r>
      <w:r>
        <w:t>GDF11</w:t>
      </w:r>
      <w:r w:rsidR="00966723">
        <w:t xml:space="preserve">; </w:t>
      </w:r>
      <w:r>
        <w:t xml:space="preserve">GDF8) and to inhibit activation of the Smad2/3 signalling pathway (which is used by </w:t>
      </w:r>
      <w:proofErr w:type="spellStart"/>
      <w:r>
        <w:t>ActRIIB</w:t>
      </w:r>
      <w:proofErr w:type="spellEnd"/>
      <w:r>
        <w:t xml:space="preserve">, and overactivated in patients with ineffective erythropoiesis). </w:t>
      </w:r>
      <w:r w:rsidRPr="00704E63">
        <w:rPr>
          <w:i/>
          <w:iCs/>
        </w:rPr>
        <w:t>In vivo</w:t>
      </w:r>
      <w:r>
        <w:t xml:space="preserve">, </w:t>
      </w:r>
      <w:proofErr w:type="spellStart"/>
      <w:r>
        <w:t>luspatercept</w:t>
      </w:r>
      <w:proofErr w:type="spellEnd"/>
      <w:r>
        <w:t xml:space="preserve"> increased red blood cell count, haemoglobin and haematocrit in normal mice and monkeys, acting via promotion of the maturation of </w:t>
      </w:r>
      <w:proofErr w:type="gramStart"/>
      <w:r>
        <w:t>late stage</w:t>
      </w:r>
      <w:proofErr w:type="gramEnd"/>
      <w:r>
        <w:t xml:space="preserve"> erythroblasts. Positive effects on red blood cell parameters by </w:t>
      </w:r>
      <w:proofErr w:type="spellStart"/>
      <w:r>
        <w:t>luspatercept</w:t>
      </w:r>
      <w:proofErr w:type="spellEnd"/>
      <w:r>
        <w:t xml:space="preserve"> or its murine orthologue were also demonstrated in various rodent disease models (of anaemia, myelodysplastic syndrome, and </w:t>
      </w:r>
      <w:r w:rsidR="00966723">
        <w:t>beta-</w:t>
      </w:r>
      <w:r>
        <w:t xml:space="preserve">thalassaemia). The submitted primary pharmacology studies offer support for the utility of </w:t>
      </w:r>
      <w:proofErr w:type="spellStart"/>
      <w:r>
        <w:t>luspatercept</w:t>
      </w:r>
      <w:proofErr w:type="spellEnd"/>
      <w:r>
        <w:t xml:space="preserve"> in the proposed indications.</w:t>
      </w:r>
    </w:p>
    <w:p w14:paraId="116ADFBC" w14:textId="6FEBFE8E" w:rsidR="000A38CC" w:rsidRDefault="000A38CC" w:rsidP="00A12DE1">
      <w:r>
        <w:t xml:space="preserve">Safety pharmacology endpoints were examined in monkeys. No adverse effects on </w:t>
      </w:r>
      <w:r w:rsidR="003F0424">
        <w:t>central nervous system</w:t>
      </w:r>
      <w:r>
        <w:t>, cardiovascular or respiratory function are predicted in patients.</w:t>
      </w:r>
    </w:p>
    <w:p w14:paraId="4C15E83E" w14:textId="68672AD0" w:rsidR="000A38CC" w:rsidRDefault="000A38CC" w:rsidP="00A12DE1">
      <w:r>
        <w:t xml:space="preserve">The pharmacokinetic profile of </w:t>
      </w:r>
      <w:proofErr w:type="spellStart"/>
      <w:r>
        <w:t>luspatercept</w:t>
      </w:r>
      <w:proofErr w:type="spellEnd"/>
      <w:r>
        <w:t xml:space="preserve"> was as expected for a large protein drug, and similar in laboratory animal species and humans. This was characterised by slow SC absorption, a long serum half-life and a low volume of distribution. High bioavailability of </w:t>
      </w:r>
      <w:proofErr w:type="spellStart"/>
      <w:r>
        <w:t>luspatercept</w:t>
      </w:r>
      <w:proofErr w:type="spellEnd"/>
      <w:r>
        <w:t xml:space="preserve"> by the SC route was demonstrated in monkeys.</w:t>
      </w:r>
    </w:p>
    <w:p w14:paraId="7F7B6E28" w14:textId="2D11DC9C" w:rsidR="000A38CC" w:rsidRDefault="000A38CC" w:rsidP="00A12DE1">
      <w:proofErr w:type="spellStart"/>
      <w:r>
        <w:t>Luspatercept</w:t>
      </w:r>
      <w:proofErr w:type="spellEnd"/>
      <w:r>
        <w:t xml:space="preserve"> displayed a low order of acute toxicity by the SC route in rats and cynomolgus monkeys.</w:t>
      </w:r>
    </w:p>
    <w:p w14:paraId="3D3DFA5B" w14:textId="5BFDFFB2" w:rsidR="000A38CC" w:rsidRDefault="000A38CC" w:rsidP="00A12DE1">
      <w:r>
        <w:t xml:space="preserve">Repeat-dose toxicity studies, involving SC administration once every two weeks, were conducted with </w:t>
      </w:r>
      <w:proofErr w:type="spellStart"/>
      <w:r>
        <w:t>luspatercept</w:t>
      </w:r>
      <w:proofErr w:type="spellEnd"/>
      <w:r>
        <w:t xml:space="preserve"> in rats (up to </w:t>
      </w:r>
      <w:r w:rsidR="00B21C20">
        <w:t xml:space="preserve">three </w:t>
      </w:r>
      <w:r>
        <w:t xml:space="preserve">months duration) and cynomolgus monkeys (up to </w:t>
      </w:r>
      <w:r w:rsidR="00B21C20">
        <w:t xml:space="preserve">six </w:t>
      </w:r>
      <w:r>
        <w:t xml:space="preserve">months). The kidney was identified as the key target organ for toxicity, with findings of </w:t>
      </w:r>
      <w:proofErr w:type="spellStart"/>
      <w:r>
        <w:t>membrano</w:t>
      </w:r>
      <w:proofErr w:type="spellEnd"/>
      <w:r>
        <w:t xml:space="preserve">-proliferative glomerulonephritis in both laboratory animal species and additionally renal interstitial fibrosis/fibroplasia in monkeys. Renal injury in the two laboratory animal species occurred at doses yielding systemic exposure </w:t>
      </w:r>
      <w:proofErr w:type="gramStart"/>
      <w:r>
        <w:t>similar to</w:t>
      </w:r>
      <w:proofErr w:type="gramEnd"/>
      <w:r>
        <w:t xml:space="preserve"> that obtained in patients at the maximum recommended clinical </w:t>
      </w:r>
      <w:r w:rsidR="008447B3">
        <w:t>dose and</w:t>
      </w:r>
      <w:r>
        <w:t xml:space="preserve"> is seen to be a direct effect of the drug on the kidney rather than to be related to immune</w:t>
      </w:r>
      <w:r w:rsidR="006F1FFD">
        <w:t xml:space="preserve"> </w:t>
      </w:r>
      <w:r>
        <w:t>complex deposition secondary to the development of anti-drug antibodies. Other treatment</w:t>
      </w:r>
      <w:r w:rsidR="006F1FFD">
        <w:t xml:space="preserve"> </w:t>
      </w:r>
      <w:r>
        <w:t xml:space="preserve">related histopathological changes observed in the pivotal toxicity studies involved the adrenal gland (cortical congestion, </w:t>
      </w:r>
      <w:proofErr w:type="gramStart"/>
      <w:r>
        <w:t>necrosis</w:t>
      </w:r>
      <w:proofErr w:type="gramEnd"/>
      <w:r>
        <w:t xml:space="preserve"> and mineralisation) and liver (hepatocellular vacuolation and necrosis) in rats, and the choroid plexus (vascular degeneration, pigment deposition and mixed inflammatory cell infiltration) in monkeys.</w:t>
      </w:r>
    </w:p>
    <w:p w14:paraId="3501FD03" w14:textId="0197348D" w:rsidR="000A38CC" w:rsidRDefault="000A38CC" w:rsidP="00A12DE1">
      <w:r>
        <w:t>Genotoxicity and formal carcinogenicity studies were not conducted, in line with ICH guidance. Of note, though, haematological malignancies were observed in a juvenile toxicity study in rats.</w:t>
      </w:r>
      <w:r w:rsidRPr="00EE4742">
        <w:t xml:space="preserve"> </w:t>
      </w:r>
      <w:r>
        <w:t>A relationship to treatment is uncertain but cannot be excluded. Clinical concern is reduced given the absence of similar findings elsewhere across the toxicity program (including in the 6-month repeat-dose study in monkeys, and in adult rats).</w:t>
      </w:r>
    </w:p>
    <w:p w14:paraId="28543748" w14:textId="0D415464" w:rsidR="000A38CC" w:rsidRDefault="000A38CC" w:rsidP="00A12DE1">
      <w:proofErr w:type="spellStart"/>
      <w:r>
        <w:t>Luspatercept</w:t>
      </w:r>
      <w:proofErr w:type="spellEnd"/>
      <w:r>
        <w:t xml:space="preserve"> was found to inhibit ovulation in female rats; male fertility was unaffected. Embryofetal lethality by </w:t>
      </w:r>
      <w:proofErr w:type="spellStart"/>
      <w:r>
        <w:t>luspatercept</w:t>
      </w:r>
      <w:proofErr w:type="spellEnd"/>
      <w:r>
        <w:t xml:space="preserve"> was observed in both animal species examined (rats and rabbits), warranting contraindication in pregnancy, use of contraception in women of childbearing potential and assignment to </w:t>
      </w:r>
      <w:r w:rsidR="00EF6D34">
        <w:t xml:space="preserve">pregnancy category </w:t>
      </w:r>
      <w:r>
        <w:t>D.</w:t>
      </w:r>
      <w:r w:rsidR="00966723">
        <w:rPr>
          <w:rStyle w:val="FootnoteReference"/>
        </w:rPr>
        <w:footnoteReference w:id="39"/>
      </w:r>
      <w:r>
        <w:t xml:space="preserve"> Reduced mean </w:t>
      </w:r>
      <w:proofErr w:type="spellStart"/>
      <w:r>
        <w:t>fetal</w:t>
      </w:r>
      <w:proofErr w:type="spellEnd"/>
      <w:r>
        <w:t xml:space="preserve"> weight and increased </w:t>
      </w:r>
      <w:proofErr w:type="spellStart"/>
      <w:r>
        <w:t>fetal</w:t>
      </w:r>
      <w:proofErr w:type="spellEnd"/>
      <w:r>
        <w:t xml:space="preserve"> skeletal variations were also observed in pregnant rats and rabbits given </w:t>
      </w:r>
      <w:proofErr w:type="spellStart"/>
      <w:r>
        <w:t>luspatercept</w:t>
      </w:r>
      <w:proofErr w:type="spellEnd"/>
      <w:r>
        <w:t xml:space="preserve">. Maternal administration of </w:t>
      </w:r>
      <w:proofErr w:type="spellStart"/>
      <w:r>
        <w:t>luspatercept</w:t>
      </w:r>
      <w:proofErr w:type="spellEnd"/>
      <w:r>
        <w:t xml:space="preserve"> during pregnancy and lactation in rats was associated with an ongoing reduction in body weight and adverse kidney findings in the offspring. Placental transfer and excretion in milk were demonstrated.</w:t>
      </w:r>
    </w:p>
    <w:p w14:paraId="1A987944" w14:textId="72C5D1E0" w:rsidR="000A38CC" w:rsidRDefault="000A38CC" w:rsidP="00A12DE1">
      <w:r>
        <w:t xml:space="preserve">There are no nonclinical objections to the registration of </w:t>
      </w:r>
      <w:proofErr w:type="spellStart"/>
      <w:r w:rsidR="00F134B4">
        <w:t>Reblozyl</w:t>
      </w:r>
      <w:proofErr w:type="spellEnd"/>
      <w:r>
        <w:t xml:space="preserve"> for the proposed indications provided that renal safety is adequately established from the clinical dataset.</w:t>
      </w:r>
    </w:p>
    <w:p w14:paraId="155FE8FC" w14:textId="1F09D151" w:rsidR="008E7846" w:rsidRDefault="008E7846" w:rsidP="008E7846">
      <w:pPr>
        <w:pStyle w:val="Heading3"/>
      </w:pPr>
      <w:bookmarkStart w:id="48" w:name="_Toc247691530"/>
      <w:bookmarkStart w:id="49" w:name="_Toc314842513"/>
      <w:bookmarkStart w:id="50" w:name="_Toc102045192"/>
      <w:r>
        <w:t>Clinical</w:t>
      </w:r>
      <w:bookmarkEnd w:id="48"/>
      <w:bookmarkEnd w:id="49"/>
      <w:bookmarkEnd w:id="50"/>
    </w:p>
    <w:p w14:paraId="56AFD62F" w14:textId="1BE292FC" w:rsidR="004169C4" w:rsidRDefault="004169C4" w:rsidP="004169C4">
      <w:pPr>
        <w:pStyle w:val="Heading4"/>
      </w:pPr>
      <w:r>
        <w:t>Content of the clinical dossier</w:t>
      </w:r>
    </w:p>
    <w:p w14:paraId="2F3AD9AB" w14:textId="20D888F5" w:rsidR="004169C4" w:rsidRDefault="00C244B8" w:rsidP="004169C4">
      <w:pPr>
        <w:pStyle w:val="Default"/>
        <w:rPr>
          <w:sz w:val="22"/>
          <w:szCs w:val="22"/>
        </w:rPr>
      </w:pPr>
      <w:r w:rsidRPr="006E7798">
        <w:rPr>
          <w:sz w:val="22"/>
        </w:rPr>
        <w:t>In support of clinical pharmacology, t</w:t>
      </w:r>
      <w:r w:rsidR="004169C4" w:rsidRPr="006E7798">
        <w:rPr>
          <w:sz w:val="22"/>
        </w:rPr>
        <w:t xml:space="preserve">he current </w:t>
      </w:r>
      <w:r w:rsidR="00BF3598" w:rsidRPr="006E7798">
        <w:rPr>
          <w:sz w:val="22"/>
        </w:rPr>
        <w:t>submission contained one Phase I</w:t>
      </w:r>
      <w:r w:rsidR="004169C4" w:rsidRPr="006E7798">
        <w:rPr>
          <w:sz w:val="22"/>
        </w:rPr>
        <w:t xml:space="preserve"> study,</w:t>
      </w:r>
      <w:r w:rsidR="004169C4" w:rsidRPr="006E7798">
        <w:rPr>
          <w:sz w:val="20"/>
          <w:szCs w:val="22"/>
        </w:rPr>
        <w:t xml:space="preserve"> </w:t>
      </w:r>
      <w:r w:rsidR="004169C4">
        <w:rPr>
          <w:sz w:val="22"/>
          <w:szCs w:val="22"/>
        </w:rPr>
        <w:t xml:space="preserve">which was undertaken in healthy post-menopausal </w:t>
      </w:r>
      <w:r w:rsidR="00BF3598">
        <w:rPr>
          <w:sz w:val="22"/>
          <w:szCs w:val="22"/>
        </w:rPr>
        <w:t>women and a further four Phase II</w:t>
      </w:r>
      <w:r w:rsidR="004169C4">
        <w:rPr>
          <w:sz w:val="22"/>
          <w:szCs w:val="22"/>
        </w:rPr>
        <w:t xml:space="preserve"> studies, in populations of patients with either </w:t>
      </w:r>
      <w:r w:rsidR="00BF3598">
        <w:rPr>
          <w:sz w:val="22"/>
          <w:szCs w:val="22"/>
        </w:rPr>
        <w:t>myelodysplastic syndrome</w:t>
      </w:r>
      <w:r w:rsidR="004169C4">
        <w:rPr>
          <w:sz w:val="22"/>
          <w:szCs w:val="22"/>
        </w:rPr>
        <w:t xml:space="preserve"> or </w:t>
      </w:r>
      <w:r w:rsidR="00BF3598">
        <w:rPr>
          <w:sz w:val="22"/>
          <w:szCs w:val="22"/>
        </w:rPr>
        <w:t>beta</w:t>
      </w:r>
      <w:r w:rsidR="004169C4">
        <w:rPr>
          <w:sz w:val="22"/>
          <w:szCs w:val="22"/>
        </w:rPr>
        <w:t>-thalass</w:t>
      </w:r>
      <w:r w:rsidR="00BF3598">
        <w:rPr>
          <w:sz w:val="22"/>
          <w:szCs w:val="22"/>
        </w:rPr>
        <w:t>a</w:t>
      </w:r>
      <w:r w:rsidR="004169C4">
        <w:rPr>
          <w:sz w:val="22"/>
          <w:szCs w:val="22"/>
        </w:rPr>
        <w:t xml:space="preserve">emia, which provided information on </w:t>
      </w:r>
      <w:proofErr w:type="spellStart"/>
      <w:r w:rsidR="004169C4">
        <w:rPr>
          <w:sz w:val="22"/>
          <w:szCs w:val="22"/>
        </w:rPr>
        <w:t>luspatercept</w:t>
      </w:r>
      <w:proofErr w:type="spellEnd"/>
      <w:r w:rsidR="004169C4">
        <w:rPr>
          <w:sz w:val="22"/>
          <w:szCs w:val="22"/>
        </w:rPr>
        <w:t xml:space="preserve"> </w:t>
      </w:r>
      <w:r w:rsidR="00BF3598">
        <w:rPr>
          <w:sz w:val="22"/>
          <w:szCs w:val="22"/>
        </w:rPr>
        <w:t>pharmacokinetics and pharmacodynamics</w:t>
      </w:r>
      <w:r w:rsidR="004169C4">
        <w:rPr>
          <w:sz w:val="22"/>
          <w:szCs w:val="22"/>
        </w:rPr>
        <w:t xml:space="preserve">. In addition, two population </w:t>
      </w:r>
      <w:r w:rsidR="00BF3598">
        <w:rPr>
          <w:sz w:val="22"/>
          <w:szCs w:val="22"/>
        </w:rPr>
        <w:t>pharmacokinetic</w:t>
      </w:r>
      <w:r w:rsidR="004169C4">
        <w:rPr>
          <w:sz w:val="22"/>
          <w:szCs w:val="22"/>
        </w:rPr>
        <w:t xml:space="preserve"> (</w:t>
      </w:r>
      <w:proofErr w:type="spellStart"/>
      <w:r w:rsidR="004169C4">
        <w:rPr>
          <w:sz w:val="22"/>
          <w:szCs w:val="22"/>
        </w:rPr>
        <w:t>popPK</w:t>
      </w:r>
      <w:proofErr w:type="spellEnd"/>
      <w:r w:rsidR="004169C4">
        <w:rPr>
          <w:sz w:val="22"/>
          <w:szCs w:val="22"/>
        </w:rPr>
        <w:t>) and expo</w:t>
      </w:r>
      <w:r w:rsidR="00BF3598">
        <w:rPr>
          <w:sz w:val="22"/>
          <w:szCs w:val="22"/>
        </w:rPr>
        <w:t xml:space="preserve">sure-response </w:t>
      </w:r>
      <w:r w:rsidR="004169C4">
        <w:rPr>
          <w:sz w:val="22"/>
          <w:szCs w:val="22"/>
        </w:rPr>
        <w:t xml:space="preserve">analyses were provided, which examined populations of patients with </w:t>
      </w:r>
      <w:r w:rsidR="00BF3598">
        <w:rPr>
          <w:sz w:val="22"/>
          <w:szCs w:val="22"/>
        </w:rPr>
        <w:t>myelodysplastic syndrome</w:t>
      </w:r>
      <w:r w:rsidR="004169C4">
        <w:rPr>
          <w:sz w:val="22"/>
          <w:szCs w:val="22"/>
        </w:rPr>
        <w:t xml:space="preserve"> and </w:t>
      </w:r>
      <w:r w:rsidR="00BF3598">
        <w:rPr>
          <w:sz w:val="22"/>
          <w:szCs w:val="22"/>
        </w:rPr>
        <w:t>beta</w:t>
      </w:r>
      <w:r w:rsidR="004169C4">
        <w:rPr>
          <w:sz w:val="22"/>
          <w:szCs w:val="22"/>
        </w:rPr>
        <w:t>-thalass</w:t>
      </w:r>
      <w:r w:rsidR="00BF3598">
        <w:rPr>
          <w:sz w:val="22"/>
          <w:szCs w:val="22"/>
        </w:rPr>
        <w:t>a</w:t>
      </w:r>
      <w:r w:rsidR="004169C4">
        <w:rPr>
          <w:sz w:val="22"/>
          <w:szCs w:val="22"/>
        </w:rPr>
        <w:t xml:space="preserve">emia, respectively. Two further analyses examined the effects of immunogenicity on </w:t>
      </w:r>
      <w:proofErr w:type="spellStart"/>
      <w:r w:rsidR="004169C4">
        <w:rPr>
          <w:sz w:val="22"/>
          <w:szCs w:val="22"/>
        </w:rPr>
        <w:t>luspatercept</w:t>
      </w:r>
      <w:proofErr w:type="spellEnd"/>
      <w:r w:rsidR="004169C4">
        <w:rPr>
          <w:sz w:val="22"/>
          <w:szCs w:val="22"/>
        </w:rPr>
        <w:t xml:space="preserve"> </w:t>
      </w:r>
      <w:r w:rsidR="00BF3598">
        <w:rPr>
          <w:sz w:val="22"/>
          <w:szCs w:val="22"/>
        </w:rPr>
        <w:t>pharmacokinetics</w:t>
      </w:r>
      <w:r>
        <w:rPr>
          <w:sz w:val="22"/>
          <w:szCs w:val="22"/>
        </w:rPr>
        <w:t xml:space="preserve"> and phar</w:t>
      </w:r>
      <w:r w:rsidR="00BF3598">
        <w:rPr>
          <w:sz w:val="22"/>
          <w:szCs w:val="22"/>
        </w:rPr>
        <w:t>macodynamics</w:t>
      </w:r>
      <w:r w:rsidR="004169C4">
        <w:rPr>
          <w:sz w:val="22"/>
          <w:szCs w:val="22"/>
        </w:rPr>
        <w:t xml:space="preserve"> and the concentration-</w:t>
      </w:r>
      <w:r w:rsidR="00BF3598">
        <w:rPr>
          <w:sz w:val="22"/>
          <w:szCs w:val="22"/>
        </w:rPr>
        <w:t>QTc</w:t>
      </w:r>
      <w:r w:rsidR="004169C4">
        <w:rPr>
          <w:sz w:val="22"/>
          <w:szCs w:val="22"/>
        </w:rPr>
        <w:t xml:space="preserve"> relationship in t</w:t>
      </w:r>
      <w:r w:rsidR="00BF3598">
        <w:rPr>
          <w:sz w:val="22"/>
          <w:szCs w:val="22"/>
        </w:rPr>
        <w:t>he two target populations.</w:t>
      </w:r>
      <w:r w:rsidR="00BF3598">
        <w:rPr>
          <w:rStyle w:val="FootnoteReference"/>
          <w:sz w:val="22"/>
          <w:szCs w:val="22"/>
        </w:rPr>
        <w:footnoteReference w:id="40"/>
      </w:r>
    </w:p>
    <w:p w14:paraId="64C9FE53" w14:textId="0F2BEF02" w:rsidR="00434D78" w:rsidRDefault="006E7798" w:rsidP="00434D78">
      <w:r>
        <w:t>The following were submitted i</w:t>
      </w:r>
      <w:r w:rsidR="00C244B8">
        <w:t>n support of e</w:t>
      </w:r>
      <w:r w:rsidR="00434D78">
        <w:t>fficacy and safety:</w:t>
      </w:r>
    </w:p>
    <w:p w14:paraId="258E1771" w14:textId="7994DE55" w:rsidR="00434D78" w:rsidRDefault="00434D78" w:rsidP="00434D78">
      <w:pPr>
        <w:pStyle w:val="ListBullet"/>
      </w:pPr>
      <w:r>
        <w:t>In support of the myelodysplastic syndrome indication, a pivotal Phase III, randomised, double</w:t>
      </w:r>
      <w:r>
        <w:noBreakHyphen/>
      </w:r>
      <w:r w:rsidR="00BF3598">
        <w:t>blind, placebo-controlled study (</w:t>
      </w:r>
      <w:r>
        <w:t xml:space="preserve">Study </w:t>
      </w:r>
      <w:r w:rsidR="00BF3598">
        <w:t xml:space="preserve">ACE-536-MDS-001; </w:t>
      </w:r>
      <w:r>
        <w:t xml:space="preserve">also known as the </w:t>
      </w:r>
      <w:r w:rsidR="00BF3598">
        <w:t>MEDALIST</w:t>
      </w:r>
      <w:r>
        <w:t xml:space="preserve"> trial) and two supportive Phase II</w:t>
      </w:r>
      <w:r w:rsidR="00BF3598">
        <w:t>, open-label, single-arm studies (multiple ascending-dose base Study A536-0</w:t>
      </w:r>
      <w:r>
        <w:t>3 and extension Study A536-05) were submitted.</w:t>
      </w:r>
    </w:p>
    <w:p w14:paraId="51DEA1FB" w14:textId="25A75E36" w:rsidR="00BF3598" w:rsidRPr="00434D78" w:rsidRDefault="00434D78" w:rsidP="00BF3598">
      <w:pPr>
        <w:pStyle w:val="ListBullet"/>
      </w:pPr>
      <w:r>
        <w:t>In support of the beta-thalassaemia indication, a pivotal Phase III, randomised, double</w:t>
      </w:r>
      <w:r>
        <w:noBreakHyphen/>
      </w:r>
      <w:r w:rsidR="00CB198E">
        <w:t>blind, placebo-</w:t>
      </w:r>
      <w:r w:rsidR="00C97E15">
        <w:t>con</w:t>
      </w:r>
      <w:r w:rsidR="00C97E15" w:rsidRPr="00434D78">
        <w:t>trolled</w:t>
      </w:r>
      <w:r w:rsidR="00BF3598" w:rsidRPr="00434D78">
        <w:t xml:space="preserve"> study (</w:t>
      </w:r>
      <w:r>
        <w:t xml:space="preserve">Study </w:t>
      </w:r>
      <w:r w:rsidR="00BF3598" w:rsidRPr="00434D78">
        <w:t>ACE-536-β-THAL-002;</w:t>
      </w:r>
      <w:r>
        <w:t xml:space="preserve"> also known as the</w:t>
      </w:r>
      <w:r w:rsidR="00BF3598" w:rsidRPr="00434D78">
        <w:t xml:space="preserve"> BELIEVE</w:t>
      </w:r>
      <w:r>
        <w:t xml:space="preserve"> trial) and two supportive Phase II</w:t>
      </w:r>
      <w:r w:rsidR="00BF3598" w:rsidRPr="00434D78">
        <w:t xml:space="preserve">, open-label, single-arm studies (multiple ascending-dose base Study A536-04 and extension Study A536-06). </w:t>
      </w:r>
    </w:p>
    <w:p w14:paraId="71BD60BD" w14:textId="77777777" w:rsidR="00CB198E" w:rsidRDefault="00C838D7" w:rsidP="00CB198E">
      <w:pPr>
        <w:pStyle w:val="Heading4"/>
      </w:pPr>
      <w:bookmarkStart w:id="51" w:name="_Toc314842514"/>
      <w:r w:rsidRPr="0039447D">
        <w:t>Pharmacology</w:t>
      </w:r>
    </w:p>
    <w:p w14:paraId="5A5F6711" w14:textId="4F1F05B0" w:rsidR="00CB198E" w:rsidRDefault="00CB198E" w:rsidP="00CB198E">
      <w:pPr>
        <w:pStyle w:val="Heading5"/>
      </w:pPr>
      <w:r>
        <w:t>Pharmacokinetics</w:t>
      </w:r>
    </w:p>
    <w:p w14:paraId="49A9B4C0" w14:textId="03847709" w:rsidR="00CB198E" w:rsidRPr="00CB198E" w:rsidRDefault="00CB198E" w:rsidP="00CB198E">
      <w:r w:rsidRPr="00CB198E">
        <w:t>The</w:t>
      </w:r>
      <w:r>
        <w:t xml:space="preserve"> following is an extract of the clinical evaluator</w:t>
      </w:r>
      <w:r w:rsidR="00CE5828">
        <w:t>’</w:t>
      </w:r>
      <w:r>
        <w:t>s conclusions regarding pharmacokinetics.</w:t>
      </w:r>
    </w:p>
    <w:p w14:paraId="4A7F165A" w14:textId="77777777" w:rsidR="00CB198E" w:rsidRPr="00CB198E" w:rsidRDefault="00CB198E" w:rsidP="00CB198E">
      <w:pPr>
        <w:pStyle w:val="ListBullet"/>
      </w:pPr>
      <w:proofErr w:type="spellStart"/>
      <w:r w:rsidRPr="00CB198E">
        <w:t>Luspatercept</w:t>
      </w:r>
      <w:proofErr w:type="spellEnd"/>
      <w:r w:rsidRPr="00CB198E">
        <w:t xml:space="preserve"> is a novel, first-in-class, recombinant fusion protein that binds to endogenous ligands for the TGF-β superfamily of proteins, which is to be administered by SC injection. </w:t>
      </w:r>
    </w:p>
    <w:p w14:paraId="59609CB0" w14:textId="77777777" w:rsidR="00CB198E" w:rsidRPr="00CB198E" w:rsidRDefault="00CB198E" w:rsidP="00CB198E">
      <w:pPr>
        <w:pStyle w:val="ListBullet"/>
      </w:pPr>
      <w:r w:rsidRPr="00CB198E">
        <w:t>The conduct of the studies that were provided in support of the current submission was satisfactory, the data analyses undertaken were appropriate and the analytical methods used to measure exposure levels were validated.</w:t>
      </w:r>
    </w:p>
    <w:p w14:paraId="3AECC42F" w14:textId="4D9FB416" w:rsidR="00CB198E" w:rsidRPr="00CB198E" w:rsidRDefault="00CB198E" w:rsidP="00CB198E">
      <w:pPr>
        <w:pStyle w:val="ListBullet"/>
      </w:pPr>
      <w:r w:rsidRPr="00CB198E">
        <w:t xml:space="preserve">A single Phase I study was provided in support of the current submission, </w:t>
      </w:r>
      <w:r w:rsidR="00CE5828" w:rsidRPr="00CB198E">
        <w:t>whereas</w:t>
      </w:r>
      <w:r w:rsidRPr="00CB198E">
        <w:t xml:space="preserve"> the bulk of the pharmacokinetic/pharmacodynamic data was provided by four Phase II studies undertaken in the two target populations or from population pharmacokinetic/exposure-response analyses.</w:t>
      </w:r>
    </w:p>
    <w:p w14:paraId="2743824B" w14:textId="77777777" w:rsidR="00CB198E" w:rsidRDefault="00CB198E" w:rsidP="00CB198E">
      <w:pPr>
        <w:pStyle w:val="ListBullet"/>
      </w:pPr>
      <w:r w:rsidRPr="00CB198E">
        <w:t xml:space="preserve">Following a single administration of </w:t>
      </w:r>
      <w:proofErr w:type="spellStart"/>
      <w:r w:rsidRPr="00CB198E">
        <w:t>luspatercept</w:t>
      </w:r>
      <w:proofErr w:type="spellEnd"/>
      <w:r w:rsidRPr="00CB198E">
        <w:t xml:space="preserve"> to patients with either </w:t>
      </w:r>
      <w:r>
        <w:t>myelodysplasia syndrome or beta-</w:t>
      </w:r>
      <w:r w:rsidRPr="00CB198E">
        <w:t>thalass</w:t>
      </w:r>
      <w:r>
        <w:t>a</w:t>
      </w:r>
      <w:r w:rsidRPr="00CB198E">
        <w:t xml:space="preserve">emia, the median </w:t>
      </w:r>
      <w:r>
        <w:t>time to maximum concentration</w:t>
      </w:r>
      <w:r w:rsidRPr="00CB198E">
        <w:t xml:space="preserve"> values were approximately 7 days for both patient cohorts and </w:t>
      </w:r>
      <w:r>
        <w:t>population pharmacokinetic</w:t>
      </w:r>
      <w:r w:rsidRPr="00CB198E">
        <w:t xml:space="preserve"> derived K</w:t>
      </w:r>
      <w:r w:rsidRPr="00CB198E">
        <w:rPr>
          <w:vertAlign w:val="subscript"/>
        </w:rPr>
        <w:t>a</w:t>
      </w:r>
      <w:r w:rsidRPr="00CB198E">
        <w:t xml:space="preserve"> </w:t>
      </w:r>
      <w:r>
        <w:t xml:space="preserve">(absorption rate constant) </w:t>
      </w:r>
      <w:r w:rsidRPr="00CB198E">
        <w:t xml:space="preserve">values for patients with </w:t>
      </w:r>
      <w:r>
        <w:t>myelodysplasia syndrome or beta-</w:t>
      </w:r>
      <w:r w:rsidRPr="00CB198E">
        <w:t>thalass</w:t>
      </w:r>
      <w:r>
        <w:t>a</w:t>
      </w:r>
      <w:r w:rsidRPr="00CB198E">
        <w:t>emia were 0.456 and 0.409 day</w:t>
      </w:r>
      <w:r w:rsidRPr="00CB198E">
        <w:rPr>
          <w:vertAlign w:val="superscript"/>
        </w:rPr>
        <w:t>-1</w:t>
      </w:r>
      <w:r w:rsidRPr="00CB198E">
        <w:t xml:space="preserve">, respectively. </w:t>
      </w:r>
    </w:p>
    <w:p w14:paraId="34A54FE2" w14:textId="1F5B902F" w:rsidR="00CB198E" w:rsidRDefault="00CB198E" w:rsidP="00CB198E">
      <w:pPr>
        <w:pStyle w:val="ListBullet"/>
      </w:pPr>
      <w:r w:rsidRPr="00CB198E">
        <w:t xml:space="preserve">The absolute bioavailability of </w:t>
      </w:r>
      <w:proofErr w:type="spellStart"/>
      <w:r w:rsidRPr="00CB198E">
        <w:t>luspatercept</w:t>
      </w:r>
      <w:proofErr w:type="spellEnd"/>
      <w:r w:rsidRPr="00CB198E">
        <w:t xml:space="preserve"> following SC administration has not been </w:t>
      </w:r>
      <w:r>
        <w:t>evaluated.</w:t>
      </w:r>
    </w:p>
    <w:p w14:paraId="0D5CDB79" w14:textId="77777777" w:rsidR="00CB198E" w:rsidRDefault="00CB198E" w:rsidP="00CB198E">
      <w:pPr>
        <w:pStyle w:val="ListBullet"/>
      </w:pPr>
      <w:r w:rsidRPr="00CB198E">
        <w:rPr>
          <w:i/>
          <w:iCs/>
        </w:rPr>
        <w:t xml:space="preserve">Post hoc </w:t>
      </w:r>
      <w:r w:rsidRPr="00CB198E">
        <w:t>analysis based on the pooled results from 6 clinical studies in the targ</w:t>
      </w:r>
      <w:r>
        <w:t>et populations indicated that drug substance</w:t>
      </w:r>
      <w:r w:rsidRPr="00CB198E">
        <w:t xml:space="preserve"> manufactured using Processes II and III were bioequivalent as were the Process I/II frozen liquid and Process III lyophilised po</w:t>
      </w:r>
      <w:r>
        <w:t>wder.</w:t>
      </w:r>
    </w:p>
    <w:p w14:paraId="762BD27B" w14:textId="77777777" w:rsidR="00CB198E" w:rsidRDefault="00CB198E" w:rsidP="00CB198E">
      <w:pPr>
        <w:pStyle w:val="ListBullet"/>
      </w:pPr>
      <w:r w:rsidRPr="00CB198E">
        <w:t xml:space="preserve">A single dosage form, </w:t>
      </w:r>
      <w:r>
        <w:t xml:space="preserve">that is, the </w:t>
      </w:r>
      <w:r w:rsidRPr="00CB198E">
        <w:t xml:space="preserve">lyophilised powder to be made up in citrate buffer to a concentration of 50 mg/mL, is proposed for marketing. This formulation will be available in two vial strengths containing either 25 mg or 75 mg of </w:t>
      </w:r>
      <w:proofErr w:type="spellStart"/>
      <w:r w:rsidRPr="00CB198E">
        <w:t>luspatercept</w:t>
      </w:r>
      <w:proofErr w:type="spellEnd"/>
      <w:r w:rsidRPr="00CB198E">
        <w:t xml:space="preserve"> powd</w:t>
      </w:r>
      <w:r>
        <w:t>er.</w:t>
      </w:r>
    </w:p>
    <w:p w14:paraId="73CAC6FB" w14:textId="77777777" w:rsidR="00CB198E" w:rsidRDefault="00CB198E" w:rsidP="00CB198E">
      <w:pPr>
        <w:pStyle w:val="ListBullet"/>
      </w:pPr>
      <w:proofErr w:type="spellStart"/>
      <w:r w:rsidRPr="00CB198E">
        <w:t>Luspatercept</w:t>
      </w:r>
      <w:proofErr w:type="spellEnd"/>
      <w:r w:rsidRPr="00CB198E">
        <w:t xml:space="preserve"> exposure increased in an approximately dose-proportional manner in healthy subjects and in patients with either </w:t>
      </w:r>
      <w:r>
        <w:t>myelodysplasia syndrome or beta-</w:t>
      </w:r>
      <w:r w:rsidRPr="00CB198E">
        <w:t>thalass</w:t>
      </w:r>
      <w:r>
        <w:t>aemia.</w:t>
      </w:r>
    </w:p>
    <w:p w14:paraId="34788DE3" w14:textId="77777777" w:rsidR="00866F9D" w:rsidRDefault="00CB198E" w:rsidP="00CB198E">
      <w:pPr>
        <w:pStyle w:val="ListBullet"/>
      </w:pPr>
      <w:r w:rsidRPr="00CB198E">
        <w:t xml:space="preserve">In subjects with MDS or β-thalassemia, dose normalised </w:t>
      </w:r>
      <w:proofErr w:type="spellStart"/>
      <w:r w:rsidRPr="00CB198E">
        <w:t>C</w:t>
      </w:r>
      <w:r w:rsidRPr="00CB198E">
        <w:rPr>
          <w:sz w:val="14"/>
          <w:szCs w:val="14"/>
        </w:rPr>
        <w:t>trough</w:t>
      </w:r>
      <w:proofErr w:type="spellEnd"/>
      <w:r w:rsidRPr="00CB198E">
        <w:rPr>
          <w:sz w:val="14"/>
          <w:szCs w:val="14"/>
        </w:rPr>
        <w:t xml:space="preserve"> </w:t>
      </w:r>
      <w:r>
        <w:t>(trough concentration) i</w:t>
      </w:r>
      <w:r w:rsidRPr="00CB198E">
        <w:t>ncreased by approximately 1.47-fold and 1.53-fold, respectively following the first and fourth doses and steady-state o</w:t>
      </w:r>
      <w:r>
        <w:t>ccurred around the time of the third</w:t>
      </w:r>
      <w:r w:rsidRPr="00CB198E">
        <w:rPr>
          <w:sz w:val="14"/>
          <w:szCs w:val="14"/>
        </w:rPr>
        <w:t xml:space="preserve"> </w:t>
      </w:r>
      <w:r>
        <w:t>dose. In long term Phase </w:t>
      </w:r>
      <w:r w:rsidRPr="00CB198E">
        <w:t xml:space="preserve">II extension studies, </w:t>
      </w:r>
      <w:proofErr w:type="spellStart"/>
      <w:r w:rsidRPr="00CB198E">
        <w:t>luspatercept</w:t>
      </w:r>
      <w:proofErr w:type="spellEnd"/>
      <w:r w:rsidRPr="00CB198E">
        <w:t xml:space="preserve"> V/F</w:t>
      </w:r>
      <w:r w:rsidR="00866F9D">
        <w:t xml:space="preserve"> (volume of distribution/bioavailability)</w:t>
      </w:r>
      <w:r w:rsidRPr="00CB198E">
        <w:t xml:space="preserve"> was similar in healthy subjects and in patients with </w:t>
      </w:r>
      <w:r w:rsidR="00866F9D">
        <w:t>myelodysplasia syndrome or beta-</w:t>
      </w:r>
      <w:r w:rsidR="00866F9D" w:rsidRPr="00CB198E">
        <w:t>thalass</w:t>
      </w:r>
      <w:r w:rsidR="00866F9D">
        <w:t>a</w:t>
      </w:r>
      <w:r w:rsidR="00866F9D" w:rsidRPr="00CB198E">
        <w:t>emia</w:t>
      </w:r>
      <w:r w:rsidRPr="00CB198E">
        <w:t xml:space="preserve"> and ranged from 6</w:t>
      </w:r>
      <w:r w:rsidR="00866F9D">
        <w:t>.93 L to 10.6 L across studies.</w:t>
      </w:r>
    </w:p>
    <w:p w14:paraId="0F70E416" w14:textId="77777777" w:rsidR="00866F9D" w:rsidRDefault="00CB198E" w:rsidP="00CB198E">
      <w:pPr>
        <w:pStyle w:val="ListBullet"/>
      </w:pPr>
      <w:r w:rsidRPr="00866F9D">
        <w:t xml:space="preserve">The exact mechanism via which </w:t>
      </w:r>
      <w:proofErr w:type="spellStart"/>
      <w:r w:rsidRPr="00866F9D">
        <w:t>luspatercept</w:t>
      </w:r>
      <w:proofErr w:type="spellEnd"/>
      <w:r w:rsidRPr="00866F9D">
        <w:t xml:space="preserve"> is eliminated from the body is unknown; however, like other antibodies it is thought to take place throu</w:t>
      </w:r>
      <w:r w:rsidR="00866F9D">
        <w:t>gh normal proteolytic pathways.</w:t>
      </w:r>
    </w:p>
    <w:p w14:paraId="1F8A02E0" w14:textId="67B87804" w:rsidR="00CB198E" w:rsidRPr="00866F9D" w:rsidRDefault="00CB198E" w:rsidP="00CB198E">
      <w:pPr>
        <w:pStyle w:val="ListBullet"/>
      </w:pPr>
      <w:r w:rsidRPr="00866F9D">
        <w:t xml:space="preserve">Following a single dose of 0.25 mg/kg </w:t>
      </w:r>
      <w:proofErr w:type="spellStart"/>
      <w:r w:rsidRPr="00866F9D">
        <w:t>luspatercept</w:t>
      </w:r>
      <w:proofErr w:type="spellEnd"/>
      <w:r w:rsidRPr="00866F9D">
        <w:t xml:space="preserve"> to healthy post-menopausal females the CL/F </w:t>
      </w:r>
      <w:r w:rsidR="00866F9D">
        <w:t xml:space="preserve">(apparent clearance) </w:t>
      </w:r>
      <w:r w:rsidRPr="00866F9D">
        <w:t>and t</w:t>
      </w:r>
      <w:r w:rsidRPr="00866F9D">
        <w:rPr>
          <w:sz w:val="14"/>
          <w:szCs w:val="14"/>
          <w:vertAlign w:val="subscript"/>
        </w:rPr>
        <w:t xml:space="preserve">1/2 </w:t>
      </w:r>
      <w:r w:rsidR="00866F9D">
        <w:t>(terminal half-life) values were 366.4 </w:t>
      </w:r>
      <w:r w:rsidRPr="00866F9D">
        <w:t xml:space="preserve">mL/day and 14.9 days, respectively. The corresponding values following multiple doses of 1.0 mg/kg to patients with </w:t>
      </w:r>
      <w:r w:rsidR="00866F9D">
        <w:t>myelodysplastic syndrome were 822 </w:t>
      </w:r>
      <w:r w:rsidRPr="00866F9D">
        <w:t>mL/day and 8.96 day</w:t>
      </w:r>
      <w:r w:rsidR="00866F9D">
        <w:t>s, respectively and in beta</w:t>
      </w:r>
      <w:r w:rsidRPr="00866F9D">
        <w:t>-thalass</w:t>
      </w:r>
      <w:r w:rsidR="00866F9D">
        <w:t>aemia patients were 588.9 </w:t>
      </w:r>
      <w:r w:rsidRPr="00866F9D">
        <w:t xml:space="preserve">mL/day and 8.76 days, respectively. </w:t>
      </w:r>
    </w:p>
    <w:p w14:paraId="0C9D03A6" w14:textId="3E7EC325" w:rsidR="00CB198E" w:rsidRDefault="00CB198E" w:rsidP="00866F9D">
      <w:pPr>
        <w:pStyle w:val="Heading6"/>
      </w:pPr>
      <w:r>
        <w:t xml:space="preserve">Intra and inter individual </w:t>
      </w:r>
      <w:r w:rsidR="00866F9D">
        <w:t>variability of pharmacokinetics</w:t>
      </w:r>
    </w:p>
    <w:p w14:paraId="7EA1BA96" w14:textId="6E3EF950" w:rsidR="00CB198E" w:rsidRDefault="00CB198E" w:rsidP="00866F9D">
      <w:pPr>
        <w:pStyle w:val="ListBullet"/>
      </w:pPr>
      <w:r>
        <w:t xml:space="preserve">In patients with </w:t>
      </w:r>
      <w:r w:rsidR="00866F9D">
        <w:t>myelodysplastic syndrome, inter-individual variation</w:t>
      </w:r>
      <w:r>
        <w:t xml:space="preserve"> on </w:t>
      </w:r>
      <w:proofErr w:type="spellStart"/>
      <w:r>
        <w:t>luspatercept</w:t>
      </w:r>
      <w:proofErr w:type="spellEnd"/>
      <w:r>
        <w:t xml:space="preserve"> </w:t>
      </w:r>
      <w:r w:rsidR="00866F9D">
        <w:t xml:space="preserve">area under the </w:t>
      </w:r>
      <w:r w:rsidR="00793BA2">
        <w:t xml:space="preserve">concentration-time </w:t>
      </w:r>
      <w:r w:rsidR="00866F9D">
        <w:t>curve at steady state (</w:t>
      </w:r>
      <w:proofErr w:type="spellStart"/>
      <w:r>
        <w:t>AUC</w:t>
      </w:r>
      <w:r w:rsidRPr="00866F9D">
        <w:rPr>
          <w:vertAlign w:val="subscript"/>
        </w:rPr>
        <w:t>ss</w:t>
      </w:r>
      <w:proofErr w:type="spellEnd"/>
      <w:r w:rsidR="00866F9D">
        <w:t>), apparent clearance (CL/F)</w:t>
      </w:r>
      <w:r>
        <w:t xml:space="preserve"> and </w:t>
      </w:r>
      <w:r w:rsidR="00866F9D">
        <w:t>volume of central compartment distribution/bioavailability (</w:t>
      </w:r>
      <w:r>
        <w:t>V1/F</w:t>
      </w:r>
      <w:r w:rsidR="00866F9D">
        <w:t>)</w:t>
      </w:r>
      <w:r>
        <w:t xml:space="preserve"> of 38%, 36.4% and 22.5%, respectively and the residual error was 22.1%. The corresponding </w:t>
      </w:r>
      <w:r w:rsidR="00866F9D">
        <w:t>inter-individual estimates for the beta</w:t>
      </w:r>
      <w:r>
        <w:t>-thalass</w:t>
      </w:r>
      <w:r w:rsidR="00866F9D">
        <w:t>a</w:t>
      </w:r>
      <w:r>
        <w:t xml:space="preserve">emia population were 35.9%, 34.7%, 27.6%, respectively and the residual error was 20.8%. </w:t>
      </w:r>
    </w:p>
    <w:p w14:paraId="1D80110B" w14:textId="5F78AB36" w:rsidR="00CB198E" w:rsidRDefault="00866F9D" w:rsidP="00866F9D">
      <w:pPr>
        <w:pStyle w:val="Heading6"/>
      </w:pPr>
      <w:r>
        <w:t>Pharmacokinetic</w:t>
      </w:r>
      <w:r w:rsidR="00CB198E">
        <w:t xml:space="preserve">s in the target populations </w:t>
      </w:r>
    </w:p>
    <w:p w14:paraId="44881353" w14:textId="77777777" w:rsidR="00866F9D" w:rsidRDefault="00CB198E" w:rsidP="00CB198E">
      <w:pPr>
        <w:pStyle w:val="ListBullet"/>
      </w:pPr>
      <w:r>
        <w:t>Following the proposed doses of 1 mg/kg, 1.33 mg/</w:t>
      </w:r>
      <w:proofErr w:type="gramStart"/>
      <w:r>
        <w:t>kg</w:t>
      </w:r>
      <w:proofErr w:type="gramEnd"/>
      <w:r>
        <w:t xml:space="preserve"> and 1.75 mg/kg </w:t>
      </w:r>
      <w:proofErr w:type="spellStart"/>
      <w:r>
        <w:t>luspatercept</w:t>
      </w:r>
      <w:proofErr w:type="spellEnd"/>
      <w:r>
        <w:t xml:space="preserve"> to patients with </w:t>
      </w:r>
      <w:r w:rsidR="00866F9D">
        <w:t>myelodysplastic syndrome</w:t>
      </w:r>
      <w:r>
        <w:t xml:space="preserve">, projected </w:t>
      </w:r>
      <w:proofErr w:type="spellStart"/>
      <w:r>
        <w:t>luspatercept</w:t>
      </w:r>
      <w:proofErr w:type="spellEnd"/>
      <w:r>
        <w:t xml:space="preserve"> exposure increased with dose and ranged from 9.29 to 16.3 </w:t>
      </w:r>
      <w:proofErr w:type="spellStart"/>
      <w:r>
        <w:t>μg</w:t>
      </w:r>
      <w:proofErr w:type="spellEnd"/>
      <w:r>
        <w:t xml:space="preserve">/mL for </w:t>
      </w:r>
      <w:r w:rsidR="00866F9D">
        <w:t>maximum concentration (</w:t>
      </w:r>
      <w:proofErr w:type="spellStart"/>
      <w:r>
        <w:t>C</w:t>
      </w:r>
      <w:r w:rsidRPr="00866F9D">
        <w:rPr>
          <w:vertAlign w:val="subscript"/>
        </w:rPr>
        <w:t>max</w:t>
      </w:r>
      <w:proofErr w:type="spellEnd"/>
      <w:r w:rsidR="00866F9D">
        <w:t xml:space="preserve">) </w:t>
      </w:r>
      <w:r>
        <w:t xml:space="preserve">and 148 to 258 </w:t>
      </w:r>
      <w:proofErr w:type="spellStart"/>
      <w:r>
        <w:t>μg.day</w:t>
      </w:r>
      <w:proofErr w:type="spellEnd"/>
      <w:r>
        <w:t xml:space="preserve">/mL for </w:t>
      </w:r>
      <w:proofErr w:type="spellStart"/>
      <w:r>
        <w:t>AUC</w:t>
      </w:r>
      <w:r w:rsidRPr="00866F9D">
        <w:rPr>
          <w:vertAlign w:val="subscript"/>
        </w:rPr>
        <w:t>ss</w:t>
      </w:r>
      <w:proofErr w:type="spellEnd"/>
      <w:r>
        <w:t xml:space="preserve">. At the three projected doses, from lowest to highest, the percentages of patients who achieved a target </w:t>
      </w:r>
      <w:proofErr w:type="spellStart"/>
      <w:r>
        <w:t>AUC</w:t>
      </w:r>
      <w:r w:rsidRPr="00866F9D">
        <w:rPr>
          <w:vertAlign w:val="subscript"/>
        </w:rPr>
        <w:t>ss</w:t>
      </w:r>
      <w:proofErr w:type="spellEnd"/>
      <w:r>
        <w:t xml:space="preserve"> of ≥158 </w:t>
      </w:r>
      <w:proofErr w:type="spellStart"/>
      <w:r>
        <w:t>μg.day</w:t>
      </w:r>
      <w:proofErr w:type="spellEnd"/>
      <w:r>
        <w:t>/mL, were 43.8%,</w:t>
      </w:r>
      <w:r w:rsidR="00866F9D">
        <w:t xml:space="preserve"> 76.2% and 91.5%, respectively.</w:t>
      </w:r>
    </w:p>
    <w:p w14:paraId="7782CC28" w14:textId="39CAB37A" w:rsidR="00CB198E" w:rsidRPr="00866F9D" w:rsidRDefault="00866F9D" w:rsidP="00CB198E">
      <w:pPr>
        <w:pStyle w:val="ListBullet"/>
      </w:pPr>
      <w:r>
        <w:t>In patients with beta</w:t>
      </w:r>
      <w:r w:rsidR="00CB198E" w:rsidRPr="00866F9D">
        <w:t>-thalass</w:t>
      </w:r>
      <w:r>
        <w:t>a</w:t>
      </w:r>
      <w:r w:rsidR="00CB198E" w:rsidRPr="00866F9D">
        <w:t>emia following the pro</w:t>
      </w:r>
      <w:r>
        <w:t>posed doses of 1 mg/kg and 1.25 </w:t>
      </w:r>
      <w:r w:rsidR="00CB198E" w:rsidRPr="00866F9D">
        <w:t xml:space="preserve">mg/kg, projected </w:t>
      </w:r>
      <w:proofErr w:type="spellStart"/>
      <w:r w:rsidR="00CB198E" w:rsidRPr="00866F9D">
        <w:t>luspatercept</w:t>
      </w:r>
      <w:proofErr w:type="spellEnd"/>
      <w:r w:rsidR="00CB198E" w:rsidRPr="00866F9D">
        <w:t xml:space="preserve"> exposure increased with dose and the percentages of patients who achieved a target </w:t>
      </w:r>
      <w:proofErr w:type="spellStart"/>
      <w:r w:rsidR="00CB198E" w:rsidRPr="00866F9D">
        <w:t>AUC</w:t>
      </w:r>
      <w:r w:rsidR="00CB198E" w:rsidRPr="00866F9D">
        <w:rPr>
          <w:vertAlign w:val="subscript"/>
        </w:rPr>
        <w:t>ss</w:t>
      </w:r>
      <w:proofErr w:type="spellEnd"/>
      <w:r w:rsidR="00CB198E" w:rsidRPr="00866F9D">
        <w:t xml:space="preserve"> of ≥</w:t>
      </w:r>
      <w:r w:rsidR="006E7798">
        <w:t xml:space="preserve"> </w:t>
      </w:r>
      <w:r w:rsidR="00CB198E" w:rsidRPr="00866F9D">
        <w:t xml:space="preserve">131 </w:t>
      </w:r>
      <w:proofErr w:type="spellStart"/>
      <w:r w:rsidR="00CB198E" w:rsidRPr="00866F9D">
        <w:t>μg.day</w:t>
      </w:r>
      <w:proofErr w:type="spellEnd"/>
      <w:r w:rsidR="00CB198E" w:rsidRPr="00866F9D">
        <w:t xml:space="preserve">/mL were 49.8% and 71.9%, respectively. </w:t>
      </w:r>
    </w:p>
    <w:p w14:paraId="6FDF20BA" w14:textId="556F3EE4" w:rsidR="00CB198E" w:rsidRDefault="00CB198E" w:rsidP="00866F9D">
      <w:pPr>
        <w:pStyle w:val="Heading6"/>
      </w:pPr>
      <w:r>
        <w:t>Pharmaco</w:t>
      </w:r>
      <w:r w:rsidR="00866F9D">
        <w:t>kinetics in special populations</w:t>
      </w:r>
    </w:p>
    <w:p w14:paraId="46F5E082" w14:textId="77777777" w:rsidR="00866F9D" w:rsidRDefault="00CB198E" w:rsidP="00CB198E">
      <w:pPr>
        <w:pStyle w:val="ListBullet"/>
      </w:pPr>
      <w:r>
        <w:t xml:space="preserve">As </w:t>
      </w:r>
      <w:proofErr w:type="spellStart"/>
      <w:r>
        <w:t>luspatercept</w:t>
      </w:r>
      <w:proofErr w:type="spellEnd"/>
      <w:r>
        <w:t xml:space="preserve"> is primarily eliminated by protein catabolism and its large size is expected to prevent it from being filtered through the glomeruli of the kidney, no dedicated </w:t>
      </w:r>
      <w:r w:rsidR="00866F9D">
        <w:t>pharmacokinetic</w:t>
      </w:r>
      <w:r>
        <w:t xml:space="preserve"> studies examined the effects of hepatic or renal impairment on </w:t>
      </w:r>
      <w:proofErr w:type="spellStart"/>
      <w:r>
        <w:t>luspatercept</w:t>
      </w:r>
      <w:proofErr w:type="spellEnd"/>
      <w:r>
        <w:t xml:space="preserve"> </w:t>
      </w:r>
      <w:r w:rsidR="00866F9D">
        <w:t>pharmacokinetics.</w:t>
      </w:r>
    </w:p>
    <w:p w14:paraId="64F1660F" w14:textId="77777777" w:rsidR="00866F9D" w:rsidRDefault="00CB198E" w:rsidP="00CB198E">
      <w:pPr>
        <w:pStyle w:val="ListBullet"/>
      </w:pPr>
      <w:r>
        <w:t xml:space="preserve">For subjects with </w:t>
      </w:r>
      <w:r w:rsidR="00866F9D">
        <w:t>myelodysplastic syndrome</w:t>
      </w:r>
      <w:r>
        <w:t xml:space="preserve">, intrinsic factors, such as sex, baseline total bilirubin, baseline burden, positive ring </w:t>
      </w:r>
      <w:proofErr w:type="spellStart"/>
      <w:r>
        <w:t>sideroblasts</w:t>
      </w:r>
      <w:proofErr w:type="spellEnd"/>
      <w:r>
        <w:t xml:space="preserve"> and baseline </w:t>
      </w:r>
      <w:r w:rsidR="00866F9D">
        <w:t>epoetin</w:t>
      </w:r>
      <w:r>
        <w:t xml:space="preserve"> had no clinically meaningful effects on either </w:t>
      </w:r>
      <w:proofErr w:type="spellStart"/>
      <w:r>
        <w:t>luspatercept</w:t>
      </w:r>
      <w:proofErr w:type="spellEnd"/>
      <w:r>
        <w:t xml:space="preserve"> CL/F or V1/F.</w:t>
      </w:r>
    </w:p>
    <w:p w14:paraId="3E9A5B8B" w14:textId="4E5B9A38" w:rsidR="00CB198E" w:rsidRDefault="00866F9D" w:rsidP="00CB198E">
      <w:pPr>
        <w:pStyle w:val="ListBullet"/>
      </w:pPr>
      <w:r>
        <w:t>For subjects with beta</w:t>
      </w:r>
      <w:r w:rsidR="00CB198E">
        <w:t>-thalass</w:t>
      </w:r>
      <w:r>
        <w:t>a</w:t>
      </w:r>
      <w:r w:rsidR="00CB198E">
        <w:t xml:space="preserve">emia, intrinsic factors, including age, sex, race, baseline total bilirubin, baseline </w:t>
      </w:r>
      <w:r>
        <w:t>epoetin, splenectomy and beta</w:t>
      </w:r>
      <w:r w:rsidR="00CB198E">
        <w:t>-thalass</w:t>
      </w:r>
      <w:r>
        <w:t>a</w:t>
      </w:r>
      <w:r w:rsidR="00CB198E">
        <w:t xml:space="preserve">emia genotype, had no clinically meaningful effects on either </w:t>
      </w:r>
      <w:proofErr w:type="spellStart"/>
      <w:r w:rsidR="00CB198E">
        <w:t>luspatercept</w:t>
      </w:r>
      <w:proofErr w:type="spellEnd"/>
      <w:r w:rsidR="00CB198E">
        <w:t xml:space="preserve"> CL/F or V1/F.</w:t>
      </w:r>
    </w:p>
    <w:p w14:paraId="42B6A954" w14:textId="77777777" w:rsidR="00CB198E" w:rsidRDefault="00CB198E" w:rsidP="00866F9D">
      <w:pPr>
        <w:pStyle w:val="Heading6"/>
      </w:pPr>
      <w:r>
        <w:t>Population pharmacokinetics</w:t>
      </w:r>
    </w:p>
    <w:p w14:paraId="312FAB4A" w14:textId="77777777" w:rsidR="003F5E97" w:rsidRDefault="00866F9D" w:rsidP="00CB198E">
      <w:pPr>
        <w:pStyle w:val="ListBullet"/>
      </w:pPr>
      <w:r>
        <w:t>Population pharmacokinetic</w:t>
      </w:r>
      <w:r w:rsidR="00CB198E">
        <w:t xml:space="preserve"> analysis indicated that </w:t>
      </w:r>
      <w:proofErr w:type="spellStart"/>
      <w:r w:rsidR="00CB198E">
        <w:t>luspatercept</w:t>
      </w:r>
      <w:proofErr w:type="spellEnd"/>
      <w:r w:rsidR="00CB198E">
        <w:t xml:space="preserve"> serum concentration-time data from doses of 0.125 to 1.75 mg/kg administered </w:t>
      </w:r>
      <w:r>
        <w:t>every 3 weeks</w:t>
      </w:r>
      <w:r w:rsidR="00CB198E">
        <w:t xml:space="preserve"> to subjects with </w:t>
      </w:r>
      <w:r>
        <w:t>myelodysplastic syndrome</w:t>
      </w:r>
      <w:r w:rsidR="00CB198E">
        <w:t xml:space="preserve"> were adequately described by a one-compartment model with first-order absorption and elimination. Body weight, baseline albumin and age were identified as statistically significant covariates of CL/F while body weight and baseline albumin were identified as statistically significant covariates of V1/F. However, these covariates combined only accounted for a small portion of </w:t>
      </w:r>
      <w:r>
        <w:t>inter-indiv</w:t>
      </w:r>
      <w:r w:rsidR="003F5E97">
        <w:t>idual variability</w:t>
      </w:r>
      <w:r w:rsidR="00CB198E">
        <w:t xml:space="preserve"> for CL/F (-5.1%) and V1/F (-7.3%), indicating their impact on overall </w:t>
      </w:r>
      <w:r>
        <w:t>pharmacokinetics</w:t>
      </w:r>
      <w:r w:rsidR="00CB198E">
        <w:t xml:space="preserve"> exposure may be limited.</w:t>
      </w:r>
    </w:p>
    <w:p w14:paraId="1D8D64DA" w14:textId="77777777" w:rsidR="003F5E97" w:rsidRDefault="003F5E97" w:rsidP="00CB198E">
      <w:pPr>
        <w:pStyle w:val="ListBullet"/>
      </w:pPr>
      <w:r>
        <w:t xml:space="preserve">Population pharmacokinetic </w:t>
      </w:r>
      <w:r w:rsidR="00CB198E">
        <w:t xml:space="preserve">analysis indicated that </w:t>
      </w:r>
      <w:proofErr w:type="spellStart"/>
      <w:r w:rsidR="00CB198E">
        <w:t>luspatercept</w:t>
      </w:r>
      <w:proofErr w:type="spellEnd"/>
      <w:r w:rsidR="00CB198E">
        <w:t xml:space="preserve"> serum concentration-time data from doses of 0.2 to 1.25 mg/kg administered </w:t>
      </w:r>
      <w:r>
        <w:t>every 3 weeks</w:t>
      </w:r>
      <w:r w:rsidR="00CB198E">
        <w:t xml:space="preserve"> to subjects with </w:t>
      </w:r>
      <w:r>
        <w:t>beta</w:t>
      </w:r>
      <w:r>
        <w:noBreakHyphen/>
      </w:r>
      <w:r w:rsidR="00CB198E">
        <w:t>thalass</w:t>
      </w:r>
      <w:r>
        <w:t>a</w:t>
      </w:r>
      <w:r w:rsidR="00CB198E">
        <w:t xml:space="preserve">emia were described adequately by a one-compartment model with first-order absorption and elimination. Body weight, baseline albumin and baseline </w:t>
      </w:r>
      <w:r>
        <w:t>red blood cell transfusion</w:t>
      </w:r>
      <w:r w:rsidR="00CB198E">
        <w:t xml:space="preserve"> burden were identified as statistically significant covariates of CL/F wh</w:t>
      </w:r>
      <w:r>
        <w:t xml:space="preserve">ile body weight and baseline red blood cell transfusion </w:t>
      </w:r>
      <w:r w:rsidR="00CB198E">
        <w:t xml:space="preserve">burden were identified as statistically significant covariate of V1/F. However, these covariates combined only accounted for a small portion of </w:t>
      </w:r>
      <w:r>
        <w:t>inter-individual variability</w:t>
      </w:r>
      <w:r w:rsidR="00CB198E">
        <w:t xml:space="preserve"> for CL/F (-6.5%) and V1/F (-5.6%), indicating their impact on overall </w:t>
      </w:r>
      <w:r>
        <w:t>pharmacokinetic</w:t>
      </w:r>
      <w:r w:rsidR="00CB198E">
        <w:t xml:space="preserve"> exposure may be limited.</w:t>
      </w:r>
    </w:p>
    <w:p w14:paraId="468AF90E" w14:textId="77777777" w:rsidR="003F5E97" w:rsidRDefault="003F5E97" w:rsidP="00CB198E">
      <w:pPr>
        <w:pStyle w:val="ListBullet"/>
      </w:pPr>
      <w:r>
        <w:t xml:space="preserve">Subcutaneous </w:t>
      </w:r>
      <w:r w:rsidR="00CB198E">
        <w:t xml:space="preserve">injection location was not found to be significant covariate of </w:t>
      </w:r>
      <w:proofErr w:type="spellStart"/>
      <w:r w:rsidR="00CB198E">
        <w:t>luspatercept</w:t>
      </w:r>
      <w:proofErr w:type="spellEnd"/>
      <w:r w:rsidR="00CB198E">
        <w:t xml:space="preserve"> </w:t>
      </w:r>
      <w:r>
        <w:t>pharmacokinetics</w:t>
      </w:r>
      <w:r w:rsidR="00CB198E">
        <w:t xml:space="preserve"> in either target population.</w:t>
      </w:r>
    </w:p>
    <w:p w14:paraId="19B79C22" w14:textId="67101A46" w:rsidR="00CB198E" w:rsidRDefault="00CB198E" w:rsidP="00CB198E">
      <w:pPr>
        <w:pStyle w:val="ListBullet"/>
      </w:pPr>
      <w:r>
        <w:t xml:space="preserve">Due to the very small number of subjects who tested positive for </w:t>
      </w:r>
      <w:r w:rsidR="003F5E97">
        <w:t>treatment emergent anti-drug antibodies</w:t>
      </w:r>
      <w:r>
        <w:t xml:space="preserve">, their effects on </w:t>
      </w:r>
      <w:proofErr w:type="spellStart"/>
      <w:r>
        <w:t>luspatercept</w:t>
      </w:r>
      <w:proofErr w:type="spellEnd"/>
      <w:r>
        <w:t xml:space="preserve"> </w:t>
      </w:r>
      <w:r w:rsidR="003F5E97">
        <w:t>pharmacokinetics</w:t>
      </w:r>
      <w:r>
        <w:t xml:space="preserve"> we</w:t>
      </w:r>
      <w:r w:rsidR="003F5E97">
        <w:t>re either not formally tested (beta-t</w:t>
      </w:r>
      <w:r>
        <w:t>halass</w:t>
      </w:r>
      <w:r w:rsidR="003F5E97">
        <w:t>a</w:t>
      </w:r>
      <w:r>
        <w:t xml:space="preserve">emia) or </w:t>
      </w:r>
      <w:r w:rsidR="003F5E97">
        <w:t>were shown to be negligible (myelodysplastic syndrome</w:t>
      </w:r>
      <w:r>
        <w:t xml:space="preserve">), whereas, the specific immunogenicity analysis suggested that </w:t>
      </w:r>
      <w:proofErr w:type="spellStart"/>
      <w:r>
        <w:t>luspatercept</w:t>
      </w:r>
      <w:proofErr w:type="spellEnd"/>
      <w:r>
        <w:t xml:space="preserve"> serum concentration in both </w:t>
      </w:r>
      <w:r w:rsidR="003F5E97">
        <w:t>myelodysplasia syndrome and beta-</w:t>
      </w:r>
      <w:r w:rsidR="003F5E97" w:rsidRPr="00CB198E">
        <w:t>thalass</w:t>
      </w:r>
      <w:r w:rsidR="003F5E97">
        <w:t>a</w:t>
      </w:r>
      <w:r w:rsidR="003F5E97" w:rsidRPr="00CB198E">
        <w:t>emia</w:t>
      </w:r>
      <w:r w:rsidR="003F5E97">
        <w:t xml:space="preserve"> </w:t>
      </w:r>
      <w:r>
        <w:t xml:space="preserve">patients tended to be lower in the presence of neutralising </w:t>
      </w:r>
      <w:r w:rsidR="003F5E97">
        <w:t>treatment</w:t>
      </w:r>
      <w:r w:rsidR="003F5E97">
        <w:noBreakHyphen/>
        <w:t>emergent anti</w:t>
      </w:r>
      <w:r w:rsidR="003F5E97">
        <w:noBreakHyphen/>
        <w:t>drug antibodies</w:t>
      </w:r>
      <w:r>
        <w:t>.</w:t>
      </w:r>
    </w:p>
    <w:p w14:paraId="33ED7162" w14:textId="77777777" w:rsidR="00CB198E" w:rsidRDefault="00CB198E" w:rsidP="003F5E97">
      <w:pPr>
        <w:pStyle w:val="Heading6"/>
      </w:pPr>
      <w:r>
        <w:t>Pharmacokinetic interactions</w:t>
      </w:r>
    </w:p>
    <w:p w14:paraId="3889892E" w14:textId="77777777" w:rsidR="003F5E97" w:rsidRDefault="00CB198E" w:rsidP="00CB198E">
      <w:pPr>
        <w:pStyle w:val="ListBullet"/>
      </w:pPr>
      <w:r>
        <w:t xml:space="preserve">As the elimination of </w:t>
      </w:r>
      <w:proofErr w:type="spellStart"/>
      <w:r>
        <w:t>luspatercept</w:t>
      </w:r>
      <w:proofErr w:type="spellEnd"/>
      <w:r>
        <w:t xml:space="preserve"> is expected to take place through normal proteolytic pathways, the potential for </w:t>
      </w:r>
      <w:r w:rsidR="003F5E97">
        <w:t>drug-drug interactions</w:t>
      </w:r>
      <w:r>
        <w:t xml:space="preserve"> between </w:t>
      </w:r>
      <w:proofErr w:type="spellStart"/>
      <w:r>
        <w:t>luspatercept</w:t>
      </w:r>
      <w:proofErr w:type="spellEnd"/>
      <w:r>
        <w:t xml:space="preserve"> and other drugs has not been investigated.</w:t>
      </w:r>
    </w:p>
    <w:p w14:paraId="204A7D52" w14:textId="77777777" w:rsidR="003F5E97" w:rsidRDefault="003F5E97" w:rsidP="00CB198E">
      <w:pPr>
        <w:pStyle w:val="ListBullet"/>
      </w:pPr>
      <w:r>
        <w:t xml:space="preserve">Population pharmacokinetic </w:t>
      </w:r>
      <w:r w:rsidR="00CB198E">
        <w:t xml:space="preserve">analyses indicated that the use of iron chelation therapy during </w:t>
      </w:r>
      <w:proofErr w:type="spellStart"/>
      <w:r w:rsidR="00CB198E">
        <w:t>luspatercept</w:t>
      </w:r>
      <w:proofErr w:type="spellEnd"/>
      <w:r w:rsidR="00CB198E">
        <w:t xml:space="preserve"> treatment had no effect on </w:t>
      </w:r>
      <w:proofErr w:type="spellStart"/>
      <w:r w:rsidR="00CB198E">
        <w:t>luspatercept</w:t>
      </w:r>
      <w:proofErr w:type="spellEnd"/>
      <w:r w:rsidR="00CB198E">
        <w:t xml:space="preserve"> CL/F or V1/F.</w:t>
      </w:r>
    </w:p>
    <w:p w14:paraId="74CC7E87" w14:textId="77777777" w:rsidR="003F5E97" w:rsidRDefault="00CB198E" w:rsidP="00966723">
      <w:pPr>
        <w:pStyle w:val="ListBullet"/>
      </w:pPr>
      <w:r>
        <w:t xml:space="preserve">The proposed PI appears to accurately describe the submitted </w:t>
      </w:r>
      <w:r w:rsidR="003F5E97">
        <w:t>pharmacokinetic</w:t>
      </w:r>
      <w:r>
        <w:t xml:space="preserve"> data.</w:t>
      </w:r>
    </w:p>
    <w:p w14:paraId="26B06121" w14:textId="17105636" w:rsidR="00966723" w:rsidRDefault="00966723" w:rsidP="00966723">
      <w:pPr>
        <w:pStyle w:val="ListBullet"/>
      </w:pPr>
      <w:proofErr w:type="spellStart"/>
      <w:r>
        <w:t>Luspatercept</w:t>
      </w:r>
      <w:proofErr w:type="spellEnd"/>
      <w:r>
        <w:t xml:space="preserve"> binds to GDF-11 and activin B, which are endogenous ligands for the transforming growth factor beta (TGF-β) superfamily, resulting in erythroid maturation through differentiation of normoblasts in the bone marrow.</w:t>
      </w:r>
    </w:p>
    <w:p w14:paraId="68C80857" w14:textId="758C9DFA" w:rsidR="003F5E97" w:rsidRDefault="003F5E97" w:rsidP="003F5E97">
      <w:pPr>
        <w:pStyle w:val="Heading5"/>
      </w:pPr>
      <w:r>
        <w:t>Pharmacodynamics</w:t>
      </w:r>
    </w:p>
    <w:p w14:paraId="2E957D70" w14:textId="01626CE1" w:rsidR="003F5E97" w:rsidRPr="003F5E97" w:rsidRDefault="003F5E97" w:rsidP="003F5E97">
      <w:r>
        <w:t xml:space="preserve">The following is an extract of the clinical </w:t>
      </w:r>
      <w:r w:rsidR="008447B3">
        <w:t>evaluator’s</w:t>
      </w:r>
      <w:r>
        <w:t xml:space="preserve"> conclusions on pharmacodynamics</w:t>
      </w:r>
    </w:p>
    <w:p w14:paraId="578AF8F1" w14:textId="20822EC1" w:rsidR="00966723" w:rsidRDefault="003F5E97" w:rsidP="003F5E97">
      <w:pPr>
        <w:pStyle w:val="Heading6"/>
      </w:pPr>
      <w:r>
        <w:t>Primary pharmacodynamics</w:t>
      </w:r>
    </w:p>
    <w:p w14:paraId="7D29F046" w14:textId="77777777" w:rsidR="003F5E97" w:rsidRDefault="00966723" w:rsidP="00966723">
      <w:pPr>
        <w:pStyle w:val="ListBullet"/>
      </w:pPr>
      <w:r>
        <w:t xml:space="preserve">In healthy subjects, </w:t>
      </w:r>
      <w:proofErr w:type="spellStart"/>
      <w:r>
        <w:t>luspatercept</w:t>
      </w:r>
      <w:proofErr w:type="spellEnd"/>
      <w:r>
        <w:t xml:space="preserve"> increased haemoglobin levels, whereas, it had no effects on biomarkers for hepcidin, PAI-1</w:t>
      </w:r>
      <w:r w:rsidR="003F5E97">
        <w:t xml:space="preserve"> (plasminogen activator inhibitor-1)</w:t>
      </w:r>
      <w:r>
        <w:t xml:space="preserve">, CTX </w:t>
      </w:r>
      <w:r w:rsidR="003F5E97" w:rsidRPr="003F5E97">
        <w:t>(serum cross-linked C-telopeptide of type I collagen</w:t>
      </w:r>
      <w:r w:rsidR="003F5E97">
        <w:t xml:space="preserve">) </w:t>
      </w:r>
      <w:r>
        <w:t>and BSAP</w:t>
      </w:r>
      <w:r w:rsidR="003F5E97">
        <w:t xml:space="preserve"> (bone-specific alkaline p</w:t>
      </w:r>
      <w:r w:rsidR="003F5E97" w:rsidRPr="003F5E97">
        <w:t>hosphatase</w:t>
      </w:r>
      <w:r w:rsidR="003F5E97">
        <w:t>)</w:t>
      </w:r>
      <w:r>
        <w:t>.</w:t>
      </w:r>
    </w:p>
    <w:p w14:paraId="3ED6AF11" w14:textId="77777777" w:rsidR="00B71DF2" w:rsidRDefault="00966723" w:rsidP="00966723">
      <w:pPr>
        <w:pStyle w:val="ListBullet"/>
      </w:pPr>
      <w:r>
        <w:t xml:space="preserve">In patients with </w:t>
      </w:r>
      <w:r w:rsidR="003F5E97">
        <w:t>myelodysplastic syndrome</w:t>
      </w:r>
      <w:r>
        <w:t xml:space="preserve">, </w:t>
      </w:r>
      <w:proofErr w:type="spellStart"/>
      <w:r>
        <w:t>luspatercept</w:t>
      </w:r>
      <w:proofErr w:type="spellEnd"/>
      <w:r>
        <w:t xml:space="preserve"> induced a mean </w:t>
      </w:r>
      <w:r w:rsidR="00B71DF2">
        <w:t>end</w:t>
      </w:r>
      <w:r w:rsidR="003F5E97">
        <w:t xml:space="preserve"> of </w:t>
      </w:r>
      <w:r w:rsidR="00B71DF2">
        <w:t>treatment</w:t>
      </w:r>
      <w:r>
        <w:t xml:space="preserve"> percentage increase from baseline in </w:t>
      </w:r>
      <w:r w:rsidR="003F5E97">
        <w:t>epoetin</w:t>
      </w:r>
      <w:r>
        <w:t xml:space="preserve"> (227.86%) and in reticulocytes (42.</w:t>
      </w:r>
      <w:r w:rsidR="003F5E97">
        <w:t>94%), whereas in patients with beta</w:t>
      </w:r>
      <w:r>
        <w:t>-thalass</w:t>
      </w:r>
      <w:r w:rsidR="003F5E97">
        <w:t>aemia epoetin</w:t>
      </w:r>
      <w:r>
        <w:t xml:space="preserve"> and nucleated </w:t>
      </w:r>
      <w:r w:rsidR="003F5E97">
        <w:t>red blood cells</w:t>
      </w:r>
      <w:r>
        <w:t xml:space="preserve"> increased from baseline to </w:t>
      </w:r>
      <w:r w:rsidR="003F5E97">
        <w:t>e</w:t>
      </w:r>
      <w:r w:rsidR="00B71DF2">
        <w:t>nd of treatment,</w:t>
      </w:r>
      <w:r>
        <w:t xml:space="preserve"> with mean increases of 102.46% and 539.51%, respectively.</w:t>
      </w:r>
    </w:p>
    <w:p w14:paraId="47978B1B" w14:textId="77777777" w:rsidR="00B71DF2" w:rsidRDefault="00B71DF2" w:rsidP="00966723">
      <w:pPr>
        <w:pStyle w:val="ListBullet"/>
      </w:pPr>
      <w:r>
        <w:t>In subjects with a low transfusion burden, the haemoglobin-time profiles for the 0.75 </w:t>
      </w:r>
      <w:r w:rsidR="00966723">
        <w:t xml:space="preserve">to 1.75 mg/kg treatment group for patients with </w:t>
      </w:r>
      <w:r>
        <w:t>myelodysplastic syndrome</w:t>
      </w:r>
      <w:r w:rsidR="00966723">
        <w:t xml:space="preserve"> and in the 0.6 to 1.25 mg/kg treatment g</w:t>
      </w:r>
      <w:r>
        <w:t>roup for patients with beta</w:t>
      </w:r>
      <w:r w:rsidR="00966723">
        <w:t>-thalass</w:t>
      </w:r>
      <w:r>
        <w:t>a</w:t>
      </w:r>
      <w:r w:rsidR="00966723">
        <w:t xml:space="preserve">emia suggest that peak increases in </w:t>
      </w:r>
      <w:r>
        <w:t>haemoglobin</w:t>
      </w:r>
      <w:r w:rsidR="00966723">
        <w:t xml:space="preserve"> levels occurred around the time of </w:t>
      </w:r>
      <w:proofErr w:type="spellStart"/>
      <w:r w:rsidR="00966723">
        <w:t>luspatercept</w:t>
      </w:r>
      <w:proofErr w:type="spellEnd"/>
      <w:r w:rsidR="00966723">
        <w:t xml:space="preserve"> </w:t>
      </w:r>
      <w:r>
        <w:t>time to maximum concentration (</w:t>
      </w:r>
      <w:proofErr w:type="spellStart"/>
      <w:r w:rsidR="00966723">
        <w:t>T</w:t>
      </w:r>
      <w:r w:rsidR="00966723" w:rsidRPr="00B71DF2">
        <w:rPr>
          <w:vertAlign w:val="subscript"/>
        </w:rPr>
        <w:t>max</w:t>
      </w:r>
      <w:proofErr w:type="spellEnd"/>
      <w:r>
        <w:t xml:space="preserve">) </w:t>
      </w:r>
      <w:r w:rsidR="00966723">
        <w:t xml:space="preserve">(7 days). Moreover, </w:t>
      </w:r>
      <w:r>
        <w:t>haemoglobin</w:t>
      </w:r>
      <w:r w:rsidR="00966723">
        <w:t xml:space="preserve"> increases were sustained through to the </w:t>
      </w:r>
      <w:r>
        <w:t>end of treatment</w:t>
      </w:r>
      <w:r w:rsidR="00966723">
        <w:t xml:space="preserve"> following a </w:t>
      </w:r>
      <w:r>
        <w:t xml:space="preserve">every </w:t>
      </w:r>
      <w:proofErr w:type="gramStart"/>
      <w:r>
        <w:t>3 week</w:t>
      </w:r>
      <w:proofErr w:type="gramEnd"/>
      <w:r w:rsidR="00966723">
        <w:t xml:space="preserve"> dosing schedule. By contrast, for </w:t>
      </w:r>
      <w:r>
        <w:t>myelodysplastic syndrome</w:t>
      </w:r>
      <w:r w:rsidR="00966723">
        <w:t xml:space="preserve"> patients with </w:t>
      </w:r>
      <w:r>
        <w:t>a high transfusion burden</w:t>
      </w:r>
      <w:r w:rsidR="00966723">
        <w:t xml:space="preserve">, there was little change in </w:t>
      </w:r>
      <w:r>
        <w:t>haemoglobin</w:t>
      </w:r>
      <w:r w:rsidR="00966723">
        <w:t xml:space="preserve"> levels following treatment with any of the </w:t>
      </w:r>
      <w:proofErr w:type="spellStart"/>
      <w:r w:rsidR="00966723">
        <w:t>luspatercept</w:t>
      </w:r>
      <w:proofErr w:type="spellEnd"/>
      <w:r w:rsidR="00966723">
        <w:t xml:space="preserve"> doses.</w:t>
      </w:r>
    </w:p>
    <w:p w14:paraId="5BED042B" w14:textId="77777777" w:rsidR="00B71DF2" w:rsidRDefault="00966723" w:rsidP="00966723">
      <w:pPr>
        <w:pStyle w:val="ListBullet"/>
      </w:pPr>
      <w:r>
        <w:t xml:space="preserve">Following </w:t>
      </w:r>
      <w:proofErr w:type="spellStart"/>
      <w:r>
        <w:t>luspatercept</w:t>
      </w:r>
      <w:proofErr w:type="spellEnd"/>
      <w:r>
        <w:t xml:space="preserve"> treatment at the proposed doses to </w:t>
      </w:r>
      <w:r w:rsidR="00B71DF2">
        <w:t>myelodysplastic syndrome</w:t>
      </w:r>
      <w:r>
        <w:t xml:space="preserve"> patients, haemolysis parameters of direct bilirubin, total bilirubin and </w:t>
      </w:r>
      <w:r w:rsidR="00B71DF2">
        <w:t>lactate dehydrogenase</w:t>
      </w:r>
      <w:r>
        <w:t xml:space="preserve"> remained relatively unchanged f</w:t>
      </w:r>
      <w:r w:rsidR="00B71DF2">
        <w:t>rom baseline. By contrast, in beta</w:t>
      </w:r>
      <w:r w:rsidR="00B71DF2">
        <w:noBreakHyphen/>
      </w:r>
      <w:r>
        <w:t>thalass</w:t>
      </w:r>
      <w:r w:rsidR="00B71DF2">
        <w:t>a</w:t>
      </w:r>
      <w:r>
        <w:t xml:space="preserve">emia patients, the mean levels of haptoglobin, indirect bilirubin and </w:t>
      </w:r>
      <w:r w:rsidR="00B71DF2">
        <w:t>lactate dehydrogenase increased from baseline to end of treatment</w:t>
      </w:r>
      <w:r>
        <w:t>.</w:t>
      </w:r>
    </w:p>
    <w:p w14:paraId="62F7691A" w14:textId="432701D3" w:rsidR="00966723" w:rsidRDefault="00966723" w:rsidP="00966723">
      <w:pPr>
        <w:pStyle w:val="ListBullet"/>
      </w:pPr>
      <w:r>
        <w:t xml:space="preserve">Drug substance manufacturing processes or drug product formulations appeared to have no effect on </w:t>
      </w:r>
      <w:proofErr w:type="spellStart"/>
      <w:r>
        <w:t>luspatercept</w:t>
      </w:r>
      <w:proofErr w:type="spellEnd"/>
      <w:r>
        <w:t xml:space="preserve"> </w:t>
      </w:r>
      <w:r w:rsidR="00B71DF2">
        <w:t>pharmacodynamics</w:t>
      </w:r>
      <w:r>
        <w:t>.</w:t>
      </w:r>
    </w:p>
    <w:p w14:paraId="4888045A" w14:textId="3B471287" w:rsidR="00966723" w:rsidRDefault="00966723" w:rsidP="00B71DF2">
      <w:pPr>
        <w:pStyle w:val="Heading6"/>
      </w:pPr>
      <w:r>
        <w:t>S</w:t>
      </w:r>
      <w:r w:rsidR="00B71DF2">
        <w:t>econdary pharmacodynamics</w:t>
      </w:r>
    </w:p>
    <w:p w14:paraId="761469EE" w14:textId="77777777" w:rsidR="00B71DF2" w:rsidRDefault="00966723" w:rsidP="00966723">
      <w:pPr>
        <w:pStyle w:val="ListBullet"/>
      </w:pPr>
      <w:r>
        <w:t>Based on an analysis of 875 time-matched pairs of concentration-</w:t>
      </w:r>
      <w:proofErr w:type="spellStart"/>
      <w:r>
        <w:t>QTcF</w:t>
      </w:r>
      <w:proofErr w:type="spellEnd"/>
      <w:r w:rsidR="00B71DF2">
        <w:rPr>
          <w:rStyle w:val="FootnoteReference"/>
        </w:rPr>
        <w:footnoteReference w:id="41"/>
      </w:r>
      <w:r>
        <w:t xml:space="preserve"> records collected from 638 subjects with either </w:t>
      </w:r>
      <w:r w:rsidR="00B71DF2">
        <w:t>myelodysplastic syndrome or beta</w:t>
      </w:r>
      <w:r w:rsidR="00B71DF2">
        <w:noBreakHyphen/>
      </w:r>
      <w:r>
        <w:t xml:space="preserve">thalassemia, the effects of </w:t>
      </w:r>
      <w:proofErr w:type="spellStart"/>
      <w:r>
        <w:t>luspatercept</w:t>
      </w:r>
      <w:proofErr w:type="spellEnd"/>
      <w:r>
        <w:t xml:space="preserve"> at the</w:t>
      </w:r>
      <w:r w:rsidR="00B71DF2">
        <w:t xml:space="preserve"> maximum therapeutic doses on placebo-adjusted </w:t>
      </w:r>
      <w:proofErr w:type="spellStart"/>
      <w:r>
        <w:t>QTcF</w:t>
      </w:r>
      <w:proofErr w:type="spellEnd"/>
      <w:r>
        <w:t xml:space="preserve"> were negligible in both target cohorts and ranged from -3.65 to -2.78 </w:t>
      </w:r>
      <w:proofErr w:type="spellStart"/>
      <w:r>
        <w:t>ms</w:t>
      </w:r>
      <w:proofErr w:type="spellEnd"/>
      <w:r>
        <w:t>.</w:t>
      </w:r>
    </w:p>
    <w:p w14:paraId="2A2AA072" w14:textId="77777777" w:rsidR="00B71DF2" w:rsidRDefault="00966723" w:rsidP="00966723">
      <w:pPr>
        <w:pStyle w:val="ListBullet"/>
      </w:pPr>
      <w:proofErr w:type="spellStart"/>
      <w:r>
        <w:t>Luspatercept</w:t>
      </w:r>
      <w:proofErr w:type="spellEnd"/>
      <w:r>
        <w:t xml:space="preserve"> had no dose-related effects on bone metabolism markers in either target population.</w:t>
      </w:r>
    </w:p>
    <w:p w14:paraId="02EECFD0" w14:textId="01FE26C3" w:rsidR="00966723" w:rsidRDefault="00966723" w:rsidP="00966723">
      <w:pPr>
        <w:pStyle w:val="ListBullet"/>
      </w:pPr>
      <w:r>
        <w:t>Pop</w:t>
      </w:r>
      <w:r w:rsidR="00B71DF2">
        <w:t xml:space="preserve">ulation pharmacokinetic-pharmacodynamic </w:t>
      </w:r>
      <w:r>
        <w:t>analyse</w:t>
      </w:r>
      <w:r w:rsidR="00B71DF2">
        <w:t>s indicated that differences in drug substance</w:t>
      </w:r>
      <w:r>
        <w:t xml:space="preserve"> manufact</w:t>
      </w:r>
      <w:r w:rsidR="00B71DF2">
        <w:t>uring process or drug product</w:t>
      </w:r>
      <w:r>
        <w:t xml:space="preserve"> formulations were not significant covariates for occurrence of ≥ Grade 3 </w:t>
      </w:r>
      <w:r w:rsidR="00B71DF2">
        <w:t>treatment</w:t>
      </w:r>
      <w:r w:rsidR="00B71DF2">
        <w:noBreakHyphen/>
        <w:t>emergent adverse events</w:t>
      </w:r>
      <w:r>
        <w:t xml:space="preserve"> after accounting for the effect of exposure and baseline risk factors in integrated exposure-safety analyses for subjects with </w:t>
      </w:r>
      <w:r w:rsidR="00B71DF2">
        <w:t>myelodysplastic syndrome</w:t>
      </w:r>
      <w:r>
        <w:t>.</w:t>
      </w:r>
    </w:p>
    <w:p w14:paraId="1EA71F3A" w14:textId="77777777" w:rsidR="00966723" w:rsidRDefault="00966723" w:rsidP="00A40B30">
      <w:pPr>
        <w:pStyle w:val="Heading6"/>
      </w:pPr>
      <w:r>
        <w:t>Immunogenicity</w:t>
      </w:r>
    </w:p>
    <w:p w14:paraId="5CA72069" w14:textId="77777777" w:rsidR="00A40B30" w:rsidRDefault="00966723" w:rsidP="00966723">
      <w:pPr>
        <w:pStyle w:val="ListBullet"/>
      </w:pPr>
      <w:r>
        <w:t xml:space="preserve">In contrast to the target populations, no </w:t>
      </w:r>
      <w:r w:rsidR="00A40B30">
        <w:t>anti-drug antibodies</w:t>
      </w:r>
      <w:r>
        <w:t xml:space="preserve"> were detected in healthy postmenopausal women.</w:t>
      </w:r>
    </w:p>
    <w:p w14:paraId="08898888" w14:textId="77777777" w:rsidR="00A40B30" w:rsidRDefault="00966723" w:rsidP="00966723">
      <w:pPr>
        <w:pStyle w:val="ListBullet"/>
      </w:pPr>
      <w:r>
        <w:t xml:space="preserve">For all </w:t>
      </w:r>
      <w:proofErr w:type="spellStart"/>
      <w:r>
        <w:t>luspatercept</w:t>
      </w:r>
      <w:proofErr w:type="spellEnd"/>
      <w:r>
        <w:t>-treated patients (</w:t>
      </w:r>
      <w:r w:rsidR="00A40B30">
        <w:t xml:space="preserve">that is, both target populations), around </w:t>
      </w:r>
      <w:r>
        <w:t xml:space="preserve">5% tested positive for </w:t>
      </w:r>
      <w:r w:rsidR="00A40B30">
        <w:t xml:space="preserve">treatment-emergent anti-drug antibodies </w:t>
      </w:r>
      <w:r>
        <w:t xml:space="preserve">and of these, </w:t>
      </w:r>
      <w:proofErr w:type="spellStart"/>
      <w:r>
        <w:t>luspatercept</w:t>
      </w:r>
      <w:proofErr w:type="spellEnd"/>
      <w:r>
        <w:t xml:space="preserve">-neutralising </w:t>
      </w:r>
      <w:r w:rsidR="00A40B30">
        <w:t xml:space="preserve">treatment-emergent anti-drug antibodies </w:t>
      </w:r>
      <w:r>
        <w:t>were detected in 2.0% of subjects.</w:t>
      </w:r>
    </w:p>
    <w:p w14:paraId="361F1103" w14:textId="0BD738C3" w:rsidR="00A40B30" w:rsidRDefault="00F743A8" w:rsidP="00966723">
      <w:pPr>
        <w:pStyle w:val="ListBullet"/>
      </w:pPr>
      <w:r>
        <w:t>Treatment</w:t>
      </w:r>
      <w:r w:rsidR="00A40B30">
        <w:t xml:space="preserve">-emergent anti-drug antibodies </w:t>
      </w:r>
      <w:r w:rsidR="00966723">
        <w:t xml:space="preserve">were detected more frequently in </w:t>
      </w:r>
      <w:r w:rsidR="00A40B30">
        <w:t>myelodysplastic syndrome</w:t>
      </w:r>
      <w:r w:rsidR="00966723">
        <w:t xml:space="preserve"> patients (23/</w:t>
      </w:r>
      <w:r w:rsidR="00A40B30">
        <w:t>260) than in the subjects with beta</w:t>
      </w:r>
      <w:r w:rsidR="00A40B30">
        <w:noBreakHyphen/>
      </w:r>
      <w:r w:rsidR="00966723">
        <w:t>thalass</w:t>
      </w:r>
      <w:r w:rsidR="00A40B30">
        <w:t>a</w:t>
      </w:r>
      <w:r w:rsidR="00966723">
        <w:t xml:space="preserve">emia (4/284), whereas, in placebo treated patients, 5 of 183 subjects (2.7%) tested positive for </w:t>
      </w:r>
      <w:r w:rsidR="00A40B30">
        <w:t xml:space="preserve">treatment-emergent anti-drug antibodies </w:t>
      </w:r>
      <w:r w:rsidR="00966723">
        <w:t xml:space="preserve">against </w:t>
      </w:r>
      <w:proofErr w:type="spellStart"/>
      <w:r w:rsidR="00966723">
        <w:t>luspatercept</w:t>
      </w:r>
      <w:proofErr w:type="spellEnd"/>
      <w:r w:rsidR="00966723">
        <w:t xml:space="preserve"> with neutralising </w:t>
      </w:r>
      <w:r w:rsidR="00A40B30">
        <w:t>treatment-emergent anti-drug antibodies detected in 2 </w:t>
      </w:r>
      <w:r w:rsidR="00966723">
        <w:t>subjects.</w:t>
      </w:r>
    </w:p>
    <w:p w14:paraId="6B04054F" w14:textId="77777777" w:rsidR="00A40B30" w:rsidRDefault="00966723" w:rsidP="00966723">
      <w:pPr>
        <w:pStyle w:val="ListBullet"/>
      </w:pPr>
      <w:r>
        <w:t xml:space="preserve">Across all groups, the incidence of </w:t>
      </w:r>
      <w:r w:rsidR="00A40B30">
        <w:t xml:space="preserve">treatment-emergent anti-drug antibodies </w:t>
      </w:r>
      <w:r>
        <w:t xml:space="preserve">for the natural extra cellular domain of </w:t>
      </w:r>
      <w:proofErr w:type="spellStart"/>
      <w:r>
        <w:t>A</w:t>
      </w:r>
      <w:r w:rsidR="00A40B30">
        <w:t>ctRIIB</w:t>
      </w:r>
      <w:proofErr w:type="spellEnd"/>
      <w:r w:rsidR="00A40B30">
        <w:t xml:space="preserve"> was low (&lt; 2%) and only one</w:t>
      </w:r>
      <w:r>
        <w:t xml:space="preserve"> subject (0.38%) with </w:t>
      </w:r>
      <w:r w:rsidR="00A40B30">
        <w:t>myelodysplastic syndrome</w:t>
      </w:r>
      <w:r>
        <w:t xml:space="preserve"> was found to have neutralising </w:t>
      </w:r>
      <w:r w:rsidR="00A40B30">
        <w:t xml:space="preserve">treatment-emergent anti-drug antibodies </w:t>
      </w:r>
      <w:r>
        <w:t xml:space="preserve">against the natural </w:t>
      </w:r>
      <w:r w:rsidR="00A40B30">
        <w:t>extra cellular domain.</w:t>
      </w:r>
    </w:p>
    <w:p w14:paraId="6813A453" w14:textId="77777777" w:rsidR="00A40B30" w:rsidRDefault="00A40B30" w:rsidP="00966723">
      <w:pPr>
        <w:pStyle w:val="ListBullet"/>
      </w:pPr>
      <w:r>
        <w:t>When anti-drug antibody</w:t>
      </w:r>
      <w:r w:rsidR="00966723">
        <w:t xml:space="preserve"> titre was low (&lt; 100) and/or the presence of </w:t>
      </w:r>
      <w:r>
        <w:t>anti-drug antibodies</w:t>
      </w:r>
      <w:r w:rsidR="00966723">
        <w:t xml:space="preserve"> was transient no obvious effects on individual </w:t>
      </w:r>
      <w:proofErr w:type="spellStart"/>
      <w:r w:rsidR="00966723">
        <w:t>luspatercept</w:t>
      </w:r>
      <w:proofErr w:type="spellEnd"/>
      <w:r w:rsidR="00966723">
        <w:t xml:space="preserve"> concentration-time profiles were identified. By contrast, </w:t>
      </w:r>
      <w:proofErr w:type="spellStart"/>
      <w:r w:rsidR="00966723">
        <w:t>luspatercept</w:t>
      </w:r>
      <w:proofErr w:type="spellEnd"/>
      <w:r w:rsidR="00966723">
        <w:t xml:space="preserve"> could not be detected in serum from 2 subjects who were identified as having persistent high-titre neutralising </w:t>
      </w:r>
      <w:r>
        <w:t>treatment-emergent anti-drug antibodies</w:t>
      </w:r>
      <w:r w:rsidR="00966723">
        <w:t>.</w:t>
      </w:r>
    </w:p>
    <w:p w14:paraId="09E9A74F" w14:textId="2DFE9000" w:rsidR="00A40B30" w:rsidRDefault="00966723" w:rsidP="00966723">
      <w:pPr>
        <w:pStyle w:val="ListBullet"/>
      </w:pPr>
      <w:r>
        <w:t xml:space="preserve">Of 7 transfusion-free, </w:t>
      </w:r>
      <w:r w:rsidR="00A40B30">
        <w:t>treatment-emergent anti-drug antibody</w:t>
      </w:r>
      <w:r>
        <w:t xml:space="preserve">-positive, subjects with </w:t>
      </w:r>
      <w:r w:rsidR="00A40B30">
        <w:t>myelodysplastic syndrome, only one</w:t>
      </w:r>
      <w:r>
        <w:t xml:space="preserve"> subject had diminished </w:t>
      </w:r>
      <w:r w:rsidR="00A40B30">
        <w:t>haemoglobin</w:t>
      </w:r>
      <w:r>
        <w:t xml:space="preserve"> response in parallel with diminished </w:t>
      </w:r>
      <w:proofErr w:type="spellStart"/>
      <w:r>
        <w:t>luspatercept</w:t>
      </w:r>
      <w:proofErr w:type="spellEnd"/>
      <w:r>
        <w:t xml:space="preserve"> concentrations, after detection of high-titre </w:t>
      </w:r>
      <w:r w:rsidR="00A40B30">
        <w:t>treatment-emergent anti-drug antibodies</w:t>
      </w:r>
      <w:r>
        <w:t xml:space="preserve">. By contrast, there was no apparent loss of efficacy for reducing </w:t>
      </w:r>
      <w:r w:rsidR="00A40B30">
        <w:t xml:space="preserve">red blood cell </w:t>
      </w:r>
      <w:r w:rsidR="008447B3">
        <w:t>transfusions</w:t>
      </w:r>
      <w:r>
        <w:t xml:space="preserve"> among subjects with </w:t>
      </w:r>
      <w:r w:rsidR="00A40B30">
        <w:t>treatment-emergent anti-drug antibodies</w:t>
      </w:r>
      <w:r>
        <w:t xml:space="preserve">. Of 4 </w:t>
      </w:r>
      <w:proofErr w:type="spellStart"/>
      <w:r>
        <w:t>luspatercept</w:t>
      </w:r>
      <w:proofErr w:type="spellEnd"/>
      <w:r>
        <w:t xml:space="preserve">-treated, </w:t>
      </w:r>
      <w:r w:rsidR="00A40B30">
        <w:t>treatment-emergent anti-drug antibodies -positive subjects with beta-thalas</w:t>
      </w:r>
      <w:r>
        <w:t>s</w:t>
      </w:r>
      <w:r w:rsidR="00A40B30">
        <w:t>a</w:t>
      </w:r>
      <w:r>
        <w:t xml:space="preserve">emia, 3 subjects achieved a ≥ 50% reduction in </w:t>
      </w:r>
      <w:r w:rsidR="00A40B30">
        <w:t>red blood cell transfusions</w:t>
      </w:r>
      <w:r>
        <w:t xml:space="preserve"> for ≥ 12 consecutive weeks, suggesting little impact on efficacy.</w:t>
      </w:r>
    </w:p>
    <w:p w14:paraId="0B3F06C7" w14:textId="443D31C7" w:rsidR="00966723" w:rsidRDefault="00A40B30" w:rsidP="00966723">
      <w:pPr>
        <w:pStyle w:val="ListBullet"/>
      </w:pPr>
      <w:r>
        <w:t xml:space="preserve">Drug substance </w:t>
      </w:r>
      <w:r w:rsidR="00966723">
        <w:t xml:space="preserve">manufacturing processes or </w:t>
      </w:r>
      <w:r>
        <w:t>drug product</w:t>
      </w:r>
      <w:r w:rsidR="00966723">
        <w:t xml:space="preserve"> formulations did not appear to </w:t>
      </w:r>
      <w:r w:rsidR="00CE5828">
        <w:t>affect</w:t>
      </w:r>
      <w:r w:rsidR="00966723">
        <w:t xml:space="preserve"> the incidence of treatment-induced immunogenicity.</w:t>
      </w:r>
    </w:p>
    <w:p w14:paraId="0BF3B3B3" w14:textId="77777777" w:rsidR="00966723" w:rsidRDefault="00966723" w:rsidP="00A40B30">
      <w:pPr>
        <w:pStyle w:val="Heading6"/>
      </w:pPr>
      <w:r>
        <w:t>Relationship between drug concentration and pharmacodynamic effects</w:t>
      </w:r>
    </w:p>
    <w:p w14:paraId="40881F5D" w14:textId="5AA955EC" w:rsidR="00CE5103" w:rsidRDefault="00966723" w:rsidP="00966723">
      <w:pPr>
        <w:pStyle w:val="ListBullet"/>
      </w:pPr>
      <w:r>
        <w:t xml:space="preserve">In </w:t>
      </w:r>
      <w:r w:rsidR="00A40B30">
        <w:t>myelodysplastic syndrome</w:t>
      </w:r>
      <w:r>
        <w:t xml:space="preserve"> patients requiring </w:t>
      </w:r>
      <w:r w:rsidR="00A40B30">
        <w:t>red blood cell transfusion</w:t>
      </w:r>
      <w:r>
        <w:t xml:space="preserve">, an integrated analysis indicated that after accounting for the effects of baseline </w:t>
      </w:r>
      <w:r w:rsidR="00A40B30">
        <w:t>red blood cell transfusion burden, epoetin</w:t>
      </w:r>
      <w:r>
        <w:t xml:space="preserve"> and total bilirubin, multivariate logistic modelling indicated that </w:t>
      </w:r>
      <w:proofErr w:type="spellStart"/>
      <w:r>
        <w:t>luspatercept</w:t>
      </w:r>
      <w:proofErr w:type="spellEnd"/>
      <w:r>
        <w:t xml:space="preserve"> </w:t>
      </w:r>
      <w:r w:rsidR="00793BA2">
        <w:t>the average area under the concentration-time curve from 0 to 15 weeks (</w:t>
      </w:r>
      <w:r>
        <w:t>AUC</w:t>
      </w:r>
      <w:r w:rsidRPr="00A40B30">
        <w:rPr>
          <w:vertAlign w:val="subscript"/>
        </w:rPr>
        <w:t>avg</w:t>
      </w:r>
      <w:r w:rsidR="00793BA2">
        <w:rPr>
          <w:vertAlign w:val="subscript"/>
        </w:rPr>
        <w:t>,0-</w:t>
      </w:r>
      <w:r w:rsidRPr="00A40B30">
        <w:rPr>
          <w:vertAlign w:val="subscript"/>
        </w:rPr>
        <w:t>15</w:t>
      </w:r>
      <w:r w:rsidR="00793BA2">
        <w:rPr>
          <w:vertAlign w:val="subscript"/>
        </w:rPr>
        <w:t>wk</w:t>
      </w:r>
      <w:r w:rsidR="00793BA2">
        <w:t xml:space="preserve">) </w:t>
      </w:r>
      <w:r>
        <w:t xml:space="preserve">was positively associated with the probability of achieving </w:t>
      </w:r>
      <w:r w:rsidR="00A40B30">
        <w:t>red blood cell transfusion independence</w:t>
      </w:r>
      <w:r>
        <w:t xml:space="preserve">. Moreover, the effect of </w:t>
      </w:r>
      <w:proofErr w:type="spellStart"/>
      <w:r>
        <w:t>luspatercept</w:t>
      </w:r>
      <w:proofErr w:type="spellEnd"/>
      <w:r>
        <w:t xml:space="preserve"> was more pronounced in subjects without a dose escalation (</w:t>
      </w:r>
      <w:r w:rsidR="00A40B30">
        <w:t>odds ratio</w:t>
      </w:r>
      <w:r>
        <w:t xml:space="preserve"> = 1.93 per 50 </w:t>
      </w:r>
      <w:proofErr w:type="spellStart"/>
      <w:r>
        <w:t>μg.day</w:t>
      </w:r>
      <w:proofErr w:type="spellEnd"/>
      <w:r>
        <w:t>/mL increase in AUC</w:t>
      </w:r>
      <w:r w:rsidRPr="00A40B30">
        <w:rPr>
          <w:vertAlign w:val="subscript"/>
        </w:rPr>
        <w:t>avg</w:t>
      </w:r>
      <w:r w:rsidR="00793BA2">
        <w:rPr>
          <w:vertAlign w:val="subscript"/>
        </w:rPr>
        <w:t>,0-</w:t>
      </w:r>
      <w:r w:rsidRPr="00A40B30">
        <w:rPr>
          <w:vertAlign w:val="subscript"/>
        </w:rPr>
        <w:t>15</w:t>
      </w:r>
      <w:r w:rsidR="00793BA2">
        <w:rPr>
          <w:vertAlign w:val="subscript"/>
        </w:rPr>
        <w:t>wk</w:t>
      </w:r>
      <w:r>
        <w:t>) than when including all subjects (</w:t>
      </w:r>
      <w:r w:rsidR="00A40B30">
        <w:t>odds ratio</w:t>
      </w:r>
      <w:r>
        <w:t xml:space="preserve"> = 1.35 per 50 </w:t>
      </w:r>
      <w:proofErr w:type="spellStart"/>
      <w:r>
        <w:t>μg.day</w:t>
      </w:r>
      <w:proofErr w:type="spellEnd"/>
      <w:r>
        <w:t>/mL increase in AUC</w:t>
      </w:r>
      <w:r w:rsidRPr="00A40B30">
        <w:rPr>
          <w:vertAlign w:val="subscript"/>
        </w:rPr>
        <w:t>avg</w:t>
      </w:r>
      <w:r w:rsidR="00793BA2">
        <w:rPr>
          <w:vertAlign w:val="subscript"/>
        </w:rPr>
        <w:t>,0-</w:t>
      </w:r>
      <w:r w:rsidRPr="00A40B30">
        <w:rPr>
          <w:vertAlign w:val="subscript"/>
        </w:rPr>
        <w:t>15</w:t>
      </w:r>
      <w:r w:rsidR="00793BA2">
        <w:rPr>
          <w:vertAlign w:val="subscript"/>
        </w:rPr>
        <w:t>wk</w:t>
      </w:r>
      <w:r>
        <w:t xml:space="preserve">). The results also suggested that the probability of achieving </w:t>
      </w:r>
      <w:r w:rsidR="00A40B30">
        <w:t>red blood cell transfusion independence</w:t>
      </w:r>
      <w:r>
        <w:t xml:space="preserve"> was lower in subjects with baseline </w:t>
      </w:r>
      <w:r w:rsidR="00A40B30">
        <w:t>red blood cell transfusion</w:t>
      </w:r>
      <w:r>
        <w:t xml:space="preserve"> burden</w:t>
      </w:r>
      <w:r w:rsidR="00A40B30">
        <w:t xml:space="preserve"> ≥ 6 units/8 weeks or baseline epoetin</w:t>
      </w:r>
      <w:r>
        <w:t xml:space="preserve"> &gt; 500 U/L, whereas, in subjects with baseline total bilirubin &gt; 1.5 x </w:t>
      </w:r>
      <w:r w:rsidR="00A40B30">
        <w:t>upper limit of normal</w:t>
      </w:r>
      <w:r>
        <w:t xml:space="preserve"> the probability of achieving </w:t>
      </w:r>
      <w:r w:rsidR="00A40B30">
        <w:t>red blood cell transfusion independence</w:t>
      </w:r>
      <w:r>
        <w:t xml:space="preserve"> was higher.</w:t>
      </w:r>
    </w:p>
    <w:p w14:paraId="770F604D" w14:textId="7AAB78D4" w:rsidR="00C106D4" w:rsidRDefault="00966723" w:rsidP="00966723">
      <w:pPr>
        <w:pStyle w:val="ListBullet"/>
      </w:pPr>
      <w:r>
        <w:t xml:space="preserve">In </w:t>
      </w:r>
      <w:r w:rsidR="00CE5103">
        <w:t>myelodysplastic syndrome</w:t>
      </w:r>
      <w:r>
        <w:t xml:space="preserve"> patients, after accounting for high baseline </w:t>
      </w:r>
      <w:r w:rsidR="00CE5103">
        <w:t>epoetin (&gt; </w:t>
      </w:r>
      <w:r>
        <w:t xml:space="preserve">500 U/L), </w:t>
      </w:r>
      <w:proofErr w:type="spellStart"/>
      <w:r>
        <w:t>luspatercept</w:t>
      </w:r>
      <w:proofErr w:type="spellEnd"/>
      <w:r>
        <w:t xml:space="preserve"> AUC</w:t>
      </w:r>
      <w:r w:rsidRPr="00CE5103">
        <w:rPr>
          <w:vertAlign w:val="subscript"/>
        </w:rPr>
        <w:t>avg</w:t>
      </w:r>
      <w:r w:rsidR="00793BA2">
        <w:rPr>
          <w:vertAlign w:val="subscript"/>
        </w:rPr>
        <w:t>,0-15wk</w:t>
      </w:r>
      <w:r>
        <w:t xml:space="preserve"> was positively associated with the probability of achieving </w:t>
      </w:r>
      <w:r w:rsidR="00C106D4">
        <w:t>ha</w:t>
      </w:r>
      <w:r w:rsidR="00C106D4" w:rsidRPr="00C106D4">
        <w:t>ematolog</w:t>
      </w:r>
      <w:r w:rsidR="00C106D4">
        <w:t>ic improvement (erythropoietic)</w:t>
      </w:r>
      <w:r>
        <w:t>-like response (</w:t>
      </w:r>
      <w:r w:rsidR="00C106D4">
        <w:t>odds ratio</w:t>
      </w:r>
      <w:r>
        <w:t xml:space="preserve"> = 1.46 per 50 </w:t>
      </w:r>
      <w:proofErr w:type="spellStart"/>
      <w:r>
        <w:t>μg.day</w:t>
      </w:r>
      <w:proofErr w:type="spellEnd"/>
      <w:r>
        <w:t>/mL increase in AUC</w:t>
      </w:r>
      <w:r w:rsidRPr="00C106D4">
        <w:rPr>
          <w:vertAlign w:val="subscript"/>
        </w:rPr>
        <w:t>avg</w:t>
      </w:r>
      <w:r w:rsidR="00793BA2">
        <w:rPr>
          <w:vertAlign w:val="subscript"/>
        </w:rPr>
        <w:t>,0-</w:t>
      </w:r>
      <w:r w:rsidRPr="00C106D4">
        <w:rPr>
          <w:vertAlign w:val="subscript"/>
        </w:rPr>
        <w:t>15</w:t>
      </w:r>
      <w:r w:rsidR="00793BA2">
        <w:rPr>
          <w:vertAlign w:val="subscript"/>
        </w:rPr>
        <w:t>wk</w:t>
      </w:r>
      <w:r>
        <w:t xml:space="preserve">) in subjects without dose escalation. In addition, for each quartile of </w:t>
      </w:r>
      <w:proofErr w:type="spellStart"/>
      <w:r>
        <w:t>luspatercept</w:t>
      </w:r>
      <w:proofErr w:type="spellEnd"/>
      <w:r>
        <w:t xml:space="preserve"> exposure, a significant reduction from baseline in </w:t>
      </w:r>
      <w:r w:rsidR="00C106D4">
        <w:t>red blood cell</w:t>
      </w:r>
      <w:r>
        <w:t xml:space="preserve"> units transfused during Week 1 to Week 15 was identified.</w:t>
      </w:r>
    </w:p>
    <w:p w14:paraId="5D50C2AC" w14:textId="77777777" w:rsidR="00C106D4" w:rsidRDefault="00966723" w:rsidP="00966723">
      <w:pPr>
        <w:pStyle w:val="ListBullet"/>
      </w:pPr>
      <w:r>
        <w:t xml:space="preserve">Potential covariates such as gender, age, weight, moderate renal impairment IPSS-R risk, positive ring </w:t>
      </w:r>
      <w:proofErr w:type="spellStart"/>
      <w:r>
        <w:t>sideroblasts</w:t>
      </w:r>
      <w:proofErr w:type="spellEnd"/>
      <w:r>
        <w:t xml:space="preserve">, baseline </w:t>
      </w:r>
      <w:r w:rsidR="00C106D4">
        <w:t>haemoglobin, anti-drug antibodies</w:t>
      </w:r>
      <w:r>
        <w:t xml:space="preserve">, change in </w:t>
      </w:r>
      <w:r w:rsidR="00C106D4">
        <w:t>drug substance</w:t>
      </w:r>
      <w:r>
        <w:t xml:space="preserve"> manufacturing process and/or </w:t>
      </w:r>
      <w:r w:rsidR="00C106D4">
        <w:t>drug product</w:t>
      </w:r>
      <w:r>
        <w:t xml:space="preserve"> formulation were found to have no statistically significant effect on the </w:t>
      </w:r>
      <w:proofErr w:type="spellStart"/>
      <w:r>
        <w:t>luspatercept</w:t>
      </w:r>
      <w:proofErr w:type="spellEnd"/>
      <w:r>
        <w:t xml:space="preserve"> effect parameters in </w:t>
      </w:r>
      <w:r w:rsidR="00C106D4">
        <w:t>myelodysplastic syndrome</w:t>
      </w:r>
      <w:r>
        <w:t xml:space="preserve"> patients.</w:t>
      </w:r>
    </w:p>
    <w:p w14:paraId="501DBC8A" w14:textId="59BF74FF" w:rsidR="00966723" w:rsidRPr="00966723" w:rsidRDefault="00966723" w:rsidP="00966723">
      <w:pPr>
        <w:pStyle w:val="ListBullet"/>
      </w:pPr>
      <w:r>
        <w:t>For patients w</w:t>
      </w:r>
      <w:r w:rsidR="00C106D4">
        <w:t>ith beta-</w:t>
      </w:r>
      <w:r>
        <w:t>thalass</w:t>
      </w:r>
      <w:r w:rsidR="00C106D4">
        <w:t>a</w:t>
      </w:r>
      <w:r>
        <w:t xml:space="preserve">emia, although the relationships between </w:t>
      </w:r>
      <w:proofErr w:type="spellStart"/>
      <w:r>
        <w:t>luspatercept</w:t>
      </w:r>
      <w:proofErr w:type="spellEnd"/>
      <w:r>
        <w:t xml:space="preserve"> exposure and either a ≥ 33% or ≥ 50% reduction in </w:t>
      </w:r>
      <w:r w:rsidR="00C106D4">
        <w:t xml:space="preserve">red blood cell transfusion </w:t>
      </w:r>
      <w:r>
        <w:t xml:space="preserve">was not dose-dependent, the proportion of subjects achieving </w:t>
      </w:r>
      <w:r w:rsidR="00C106D4">
        <w:t xml:space="preserve">red blood cell transfusion </w:t>
      </w:r>
      <w:r>
        <w:t xml:space="preserve">reduction was statistically higher in the </w:t>
      </w:r>
      <w:proofErr w:type="spellStart"/>
      <w:r>
        <w:t>luspatercept</w:t>
      </w:r>
      <w:proofErr w:type="spellEnd"/>
      <w:r>
        <w:t xml:space="preserve">-treated subjects than in </w:t>
      </w:r>
      <w:proofErr w:type="gramStart"/>
      <w:r>
        <w:t>those administered placebo (p-value &lt; 0.05)</w:t>
      </w:r>
      <w:proofErr w:type="gramEnd"/>
      <w:r>
        <w:t>. Similarly, although each of the AUC</w:t>
      </w:r>
      <w:r w:rsidRPr="00133DA9">
        <w:rPr>
          <w:vertAlign w:val="subscript"/>
        </w:rPr>
        <w:t>avg</w:t>
      </w:r>
      <w:r w:rsidR="00793BA2">
        <w:rPr>
          <w:vertAlign w:val="subscript"/>
        </w:rPr>
        <w:t>,0-</w:t>
      </w:r>
      <w:r w:rsidRPr="00133DA9">
        <w:rPr>
          <w:vertAlign w:val="subscript"/>
        </w:rPr>
        <w:t>15</w:t>
      </w:r>
      <w:r w:rsidR="00793BA2">
        <w:rPr>
          <w:vertAlign w:val="subscript"/>
        </w:rPr>
        <w:t>wk</w:t>
      </w:r>
      <w:r w:rsidRPr="00133DA9">
        <w:rPr>
          <w:vertAlign w:val="subscript"/>
        </w:rPr>
        <w:t xml:space="preserve"> </w:t>
      </w:r>
      <w:r>
        <w:t xml:space="preserve">quartile groups demonstrated significant reduction in </w:t>
      </w:r>
      <w:r w:rsidR="00133DA9">
        <w:t>red blood cell</w:t>
      </w:r>
      <w:r>
        <w:t xml:space="preserve"> units transfused during Week 1 to Week 15 compared with the baseline or with the placebo group the overall exposure-response curve was flat.</w:t>
      </w:r>
    </w:p>
    <w:p w14:paraId="6CFA4118" w14:textId="747C10FA" w:rsidR="00F44A28" w:rsidRDefault="00133DA9" w:rsidP="00F44A28">
      <w:pPr>
        <w:pStyle w:val="Heading4"/>
      </w:pPr>
      <w:r>
        <w:t>Efficacy for i</w:t>
      </w:r>
      <w:r w:rsidR="00F44A28">
        <w:t>ndication: treatment of myelodysplastic syndrome-related transfusion-dependent anaemia</w:t>
      </w:r>
    </w:p>
    <w:p w14:paraId="69312CA3" w14:textId="77777777" w:rsidR="00F44A28" w:rsidRDefault="00F44A28" w:rsidP="00661036">
      <w:r>
        <w:t>Full indication:</w:t>
      </w:r>
    </w:p>
    <w:p w14:paraId="67C80DA7" w14:textId="68BE578A" w:rsidR="00661036" w:rsidRDefault="00661036" w:rsidP="00F44A28">
      <w:pPr>
        <w:ind w:left="720"/>
      </w:pPr>
      <w:r w:rsidRPr="00F44A28">
        <w:rPr>
          <w:i/>
        </w:rPr>
        <w:t xml:space="preserve">Treatment of patients with transfusion-dependent anaemia due to very low, low and intermediate-risk myelodysplastic syndromes with ring </w:t>
      </w:r>
      <w:proofErr w:type="spellStart"/>
      <w:r w:rsidRPr="00F44A28">
        <w:rPr>
          <w:i/>
        </w:rPr>
        <w:t>sideroblasts</w:t>
      </w:r>
      <w:proofErr w:type="spellEnd"/>
      <w:r w:rsidRPr="00F44A28">
        <w:rPr>
          <w:i/>
        </w:rPr>
        <w:t>.</w:t>
      </w:r>
    </w:p>
    <w:p w14:paraId="61A0BF9A" w14:textId="10FD7D99" w:rsidR="00B1366B" w:rsidRPr="00B14C7D" w:rsidRDefault="00B1366B" w:rsidP="00F44A28">
      <w:pPr>
        <w:pStyle w:val="Heading5"/>
      </w:pPr>
      <w:r w:rsidRPr="00B14C7D">
        <w:t>Studies providing evaluable efficacy data</w:t>
      </w:r>
    </w:p>
    <w:p w14:paraId="22963592" w14:textId="071B0FE2" w:rsidR="00B1366B" w:rsidRDefault="00F44A28" w:rsidP="00F44A28">
      <w:pPr>
        <w:pStyle w:val="ListBullet"/>
      </w:pPr>
      <w:r>
        <w:t xml:space="preserve">Study ACE-536-MDS-001 (also known as the </w:t>
      </w:r>
      <w:r w:rsidR="00B1366B">
        <w:t>MEDALIST</w:t>
      </w:r>
      <w:r>
        <w:t xml:space="preserve"> trial; considered as being the pivotal study for this indication)</w:t>
      </w:r>
      <w:r w:rsidR="00B1366B">
        <w:t>: A Phase</w:t>
      </w:r>
      <w:r w:rsidR="00F1588C">
        <w:t> </w:t>
      </w:r>
      <w:r>
        <w:t>III, double</w:t>
      </w:r>
      <w:r>
        <w:noBreakHyphen/>
      </w:r>
      <w:r w:rsidR="00B1366B">
        <w:t xml:space="preserve">blind, randomised study to compare the efficacy and safety of </w:t>
      </w:r>
      <w:proofErr w:type="spellStart"/>
      <w:r w:rsidR="00B1366B">
        <w:t>luspatercept</w:t>
      </w:r>
      <w:proofErr w:type="spellEnd"/>
      <w:r w:rsidR="00B1366B">
        <w:t xml:space="preserve"> (ACE-536) versus placebo for the treatment of anaemia due to </w:t>
      </w:r>
      <w:r w:rsidR="00274221">
        <w:t xml:space="preserve">the </w:t>
      </w:r>
      <w:r w:rsidR="00274221" w:rsidRPr="00C35458">
        <w:t xml:space="preserve">Revised International Prognostic Scoring System </w:t>
      </w:r>
      <w:r w:rsidR="00C35458">
        <w:t>(</w:t>
      </w:r>
      <w:r w:rsidR="00B1366B">
        <w:t>IPSS-R</w:t>
      </w:r>
      <w:r w:rsidR="00C35458">
        <w:t>)</w:t>
      </w:r>
      <w:r w:rsidR="00B1366B">
        <w:t xml:space="preserve"> very low, low, or intermediate risk myelodysplastic syndromes in subjects with ring </w:t>
      </w:r>
      <w:proofErr w:type="spellStart"/>
      <w:r w:rsidR="00B1366B">
        <w:t>sideroblasts</w:t>
      </w:r>
      <w:proofErr w:type="spellEnd"/>
      <w:r w:rsidR="00B1366B">
        <w:t xml:space="preserve"> who require red blood cell transfusions.</w:t>
      </w:r>
    </w:p>
    <w:p w14:paraId="3508C8F7" w14:textId="6B5857C2" w:rsidR="00B1366B" w:rsidRDefault="00F44A28" w:rsidP="00F44A28">
      <w:pPr>
        <w:pStyle w:val="ListBullet"/>
      </w:pPr>
      <w:r>
        <w:t xml:space="preserve">Study </w:t>
      </w:r>
      <w:r w:rsidR="00B1366B">
        <w:t>A536-</w:t>
      </w:r>
      <w:r w:rsidR="00CE5828">
        <w:t>03 (</w:t>
      </w:r>
      <w:r>
        <w:t>supportive study): A Phase II</w:t>
      </w:r>
      <w:r w:rsidR="00B1366B">
        <w:t xml:space="preserve">, </w:t>
      </w:r>
      <w:r>
        <w:t>open-label, ascending dose study of</w:t>
      </w:r>
      <w:r w:rsidR="00B1366B">
        <w:t xml:space="preserve"> ACE-536</w:t>
      </w:r>
      <w:r>
        <w:t xml:space="preserve"> [</w:t>
      </w:r>
      <w:proofErr w:type="spellStart"/>
      <w:r>
        <w:t>luspatercept</w:t>
      </w:r>
      <w:proofErr w:type="spellEnd"/>
      <w:r>
        <w:t>]</w:t>
      </w:r>
      <w:r w:rsidR="00B1366B">
        <w:t xml:space="preserve"> for the </w:t>
      </w:r>
      <w:r w:rsidR="00B603CE">
        <w:t>treatment of anaemia in patients with low or intermediate-1 risk myelodysplastic syndromes (</w:t>
      </w:r>
      <w:r w:rsidR="008E2845">
        <w:t>MDS</w:t>
      </w:r>
      <w:r w:rsidR="00B603CE">
        <w:t>).</w:t>
      </w:r>
    </w:p>
    <w:p w14:paraId="2D127BAE" w14:textId="214DA527" w:rsidR="00B1366B" w:rsidRDefault="00F44A28" w:rsidP="00F44A28">
      <w:pPr>
        <w:pStyle w:val="ListBullet"/>
      </w:pPr>
      <w:r>
        <w:t xml:space="preserve">Study </w:t>
      </w:r>
      <w:r w:rsidR="00B1366B">
        <w:t>A536-05</w:t>
      </w:r>
      <w:r>
        <w:t xml:space="preserve"> (supportive study)</w:t>
      </w:r>
      <w:r w:rsidR="00B1366B">
        <w:t xml:space="preserve">: An </w:t>
      </w:r>
      <w:r>
        <w:t>open-label extension study</w:t>
      </w:r>
      <w:r w:rsidR="00B1366B">
        <w:t xml:space="preserve"> to </w:t>
      </w:r>
      <w:r>
        <w:t>evaluate the long</w:t>
      </w:r>
      <w:r>
        <w:noBreakHyphen/>
      </w:r>
      <w:r w:rsidR="008E2845">
        <w:t xml:space="preserve">term effects of </w:t>
      </w:r>
      <w:r>
        <w:t>ACE</w:t>
      </w:r>
      <w:r w:rsidR="008E2845">
        <w:t>-536</w:t>
      </w:r>
      <w:r>
        <w:t xml:space="preserve"> [</w:t>
      </w:r>
      <w:proofErr w:type="spellStart"/>
      <w:r>
        <w:t>luspatercept</w:t>
      </w:r>
      <w:proofErr w:type="spellEnd"/>
      <w:r>
        <w:t>]</w:t>
      </w:r>
      <w:r w:rsidR="008E2845">
        <w:t xml:space="preserve"> for the treatment of anaemia in patients wit</w:t>
      </w:r>
      <w:r>
        <w:t>h low or intermediate-1</w:t>
      </w:r>
      <w:r w:rsidR="008E2845">
        <w:t xml:space="preserve"> risk </w:t>
      </w:r>
      <w:r>
        <w:t>myelodysplastic syndrome previously enrolled in S</w:t>
      </w:r>
      <w:r w:rsidR="008E2845">
        <w:t>tudy</w:t>
      </w:r>
      <w:r>
        <w:t> </w:t>
      </w:r>
      <w:r w:rsidR="00B1366B">
        <w:t>A536-03.</w:t>
      </w:r>
    </w:p>
    <w:p w14:paraId="391F94C8" w14:textId="233B6D11" w:rsidR="00B1366B" w:rsidRPr="00B14C7D" w:rsidRDefault="000E7F21" w:rsidP="00BD30E5">
      <w:pPr>
        <w:pStyle w:val="Heading5"/>
      </w:pPr>
      <w:r>
        <w:t>Study ACE-536-MDS-001 (MEDALIST trial)</w:t>
      </w:r>
    </w:p>
    <w:p w14:paraId="286004E1" w14:textId="663D23A0" w:rsidR="00BE4219" w:rsidRDefault="000E7F21" w:rsidP="003A398B">
      <w:r>
        <w:t xml:space="preserve">Study ACE-536-MDS-001 (also known as the </w:t>
      </w:r>
      <w:r w:rsidR="00B1366B">
        <w:t>MEDALIST</w:t>
      </w:r>
      <w:r>
        <w:t xml:space="preserve"> trial)</w:t>
      </w:r>
      <w:r w:rsidR="00BE4219">
        <w:t>;</w:t>
      </w:r>
      <w:r w:rsidR="00BE4219">
        <w:rPr>
          <w:rStyle w:val="FootnoteReference"/>
        </w:rPr>
        <w:footnoteReference w:id="42"/>
      </w:r>
      <w:r>
        <w:t xml:space="preserve"> is an ongoing Phase III</w:t>
      </w:r>
      <w:r w:rsidR="003A398B">
        <w:t xml:space="preserve">, double-blind, randomised, placebo-controlled, multicentre study to determine the efficacy and safety of </w:t>
      </w:r>
      <w:proofErr w:type="spellStart"/>
      <w:r w:rsidR="003A398B">
        <w:t>luspatercept</w:t>
      </w:r>
      <w:proofErr w:type="spellEnd"/>
      <w:r w:rsidR="003A398B">
        <w:t xml:space="preserve"> </w:t>
      </w:r>
      <w:r w:rsidR="008A351E">
        <w:t>(ACE-536);</w:t>
      </w:r>
      <w:r w:rsidR="008A351E">
        <w:rPr>
          <w:rStyle w:val="FootnoteReference"/>
        </w:rPr>
        <w:footnoteReference w:id="43"/>
      </w:r>
      <w:r w:rsidR="008A351E">
        <w:t xml:space="preserve"> </w:t>
      </w:r>
      <w:r w:rsidR="003A398B">
        <w:t>versus placebo in subjects with anaemia due to IPSS-R</w:t>
      </w:r>
      <w:r w:rsidR="008A351E">
        <w:rPr>
          <w:rStyle w:val="FootnoteReference"/>
        </w:rPr>
        <w:footnoteReference w:id="44"/>
      </w:r>
      <w:r w:rsidR="003A398B">
        <w:t xml:space="preserve"> very low, low, or intermediate</w:t>
      </w:r>
      <w:r w:rsidR="00C00DEE">
        <w:t xml:space="preserve"> </w:t>
      </w:r>
      <w:r w:rsidR="003A398B">
        <w:t xml:space="preserve">risk </w:t>
      </w:r>
      <w:r>
        <w:t>myelodysplastic syndrome</w:t>
      </w:r>
      <w:r w:rsidR="003A398B">
        <w:t xml:space="preserve"> with ring </w:t>
      </w:r>
      <w:proofErr w:type="spellStart"/>
      <w:r w:rsidR="003A398B">
        <w:t>sideroblasts</w:t>
      </w:r>
      <w:proofErr w:type="spellEnd"/>
      <w:r w:rsidR="003A398B">
        <w:t xml:space="preserve"> who required </w:t>
      </w:r>
      <w:r>
        <w:t xml:space="preserve">red blood cell </w:t>
      </w:r>
      <w:r w:rsidR="003A398B">
        <w:t>trans</w:t>
      </w:r>
      <w:r w:rsidR="00BE4219">
        <w:t>fusions.</w:t>
      </w:r>
    </w:p>
    <w:p w14:paraId="445E95C4" w14:textId="6CB3099B" w:rsidR="00133DA9" w:rsidRDefault="00133DA9" w:rsidP="00133DA9">
      <w:pPr>
        <w:pStyle w:val="Heading6"/>
      </w:pPr>
      <w:r>
        <w:t>Study design</w:t>
      </w:r>
    </w:p>
    <w:p w14:paraId="6980EE47" w14:textId="528CA75C" w:rsidR="003A398B" w:rsidRDefault="003A398B" w:rsidP="003A398B">
      <w:r>
        <w:t xml:space="preserve">The study consists of a </w:t>
      </w:r>
      <w:r w:rsidR="000E7F21">
        <w:t xml:space="preserve">screening period, a double-blind treatment period (primary phase and extension phase), and a post treatment follow-up period (see </w:t>
      </w:r>
      <w:r w:rsidR="006B2193">
        <w:fldChar w:fldCharType="begin"/>
      </w:r>
      <w:r w:rsidR="006B2193">
        <w:instrText xml:space="preserve"> REF _Ref90296548 \h </w:instrText>
      </w:r>
      <w:r w:rsidR="006B2193">
        <w:fldChar w:fldCharType="separate"/>
      </w:r>
      <w:r w:rsidR="000E7F21">
        <w:t xml:space="preserve">Figure </w:t>
      </w:r>
      <w:r w:rsidR="000E7F21">
        <w:rPr>
          <w:noProof/>
        </w:rPr>
        <w:t>1</w:t>
      </w:r>
      <w:r w:rsidR="006B2193">
        <w:fldChar w:fldCharType="end"/>
      </w:r>
      <w:r w:rsidR="000E7F21">
        <w:t>, below).</w:t>
      </w:r>
    </w:p>
    <w:p w14:paraId="58627646" w14:textId="3899A558" w:rsidR="00B1366B" w:rsidRDefault="003A398B" w:rsidP="003A398B">
      <w:r>
        <w:t>The study was conducted from 9 Feb</w:t>
      </w:r>
      <w:r w:rsidR="000E7F21">
        <w:t>ruary</w:t>
      </w:r>
      <w:r>
        <w:t xml:space="preserve"> 2016 and is currently ongoing (data cut-off date was 8 May 2018). It was conduct</w:t>
      </w:r>
      <w:r w:rsidR="000E7F21">
        <w:t xml:space="preserve">ed at 65 sites in 11 countries as follows: </w:t>
      </w:r>
      <w:r>
        <w:t>Belgium (6), Canada (4), France (10), Germany (5), Italy (7), the Netherlands (2), Spain (8), Sweden (4), Turkey (2), United Kingdom (6), and United St</w:t>
      </w:r>
      <w:r w:rsidR="000E7F21">
        <w:t xml:space="preserve">ates </w:t>
      </w:r>
      <w:r w:rsidR="008A351E">
        <w:t xml:space="preserve">of America </w:t>
      </w:r>
      <w:r w:rsidR="000E7F21">
        <w:t>(11)</w:t>
      </w:r>
      <w:r>
        <w:t>.</w:t>
      </w:r>
    </w:p>
    <w:p w14:paraId="1EA921E4" w14:textId="223250FE" w:rsidR="003A398B" w:rsidRDefault="003A398B" w:rsidP="003A398B">
      <w:pPr>
        <w:pStyle w:val="FigureTitle"/>
      </w:pPr>
      <w:bookmarkStart w:id="52" w:name="_Ref90296548"/>
      <w:bookmarkStart w:id="53" w:name="_Hlk90627122"/>
      <w:r>
        <w:t xml:space="preserve">Figure </w:t>
      </w:r>
      <w:fldSimple w:instr=" SEQ Figure \* ARABIC ">
        <w:r w:rsidR="001B11D8">
          <w:rPr>
            <w:noProof/>
          </w:rPr>
          <w:t>1</w:t>
        </w:r>
      </w:fldSimple>
      <w:bookmarkEnd w:id="52"/>
      <w:r>
        <w:t xml:space="preserve">: </w:t>
      </w:r>
      <w:r w:rsidR="000E7F21">
        <w:t>S</w:t>
      </w:r>
      <w:r w:rsidR="000E7F21" w:rsidRPr="003A398B">
        <w:t>tudy ACE-536-MDS-001</w:t>
      </w:r>
      <w:r w:rsidR="00DE59D1">
        <w:t xml:space="preserve"> </w:t>
      </w:r>
      <w:r w:rsidRPr="003A398B">
        <w:t xml:space="preserve">Overall study design </w:t>
      </w:r>
    </w:p>
    <w:p w14:paraId="12ACCB7B" w14:textId="72F7F18A" w:rsidR="003A398B" w:rsidRDefault="00E652C7" w:rsidP="004F4A0F">
      <w:r>
        <w:rPr>
          <w:noProof/>
          <w:lang w:val="en-GB" w:eastAsia="en-GB"/>
        </w:rPr>
        <w:drawing>
          <wp:inline distT="0" distB="0" distL="0" distR="0" wp14:anchorId="2CFA1E31" wp14:editId="080E8997">
            <wp:extent cx="5414704" cy="2529205"/>
            <wp:effectExtent l="0" t="0" r="0" b="4445"/>
            <wp:docPr id="17" name="Picture 17" descr="Overall study design for the Pivotal phase 3 study ACE-536-MD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verall study design for the Pivotal phase 3 study ACE-536-MDS-001"/>
                    <pic:cNvPicPr/>
                  </pic:nvPicPr>
                  <pic:blipFill rotWithShape="1">
                    <a:blip r:embed="rId17">
                      <a:extLst>
                        <a:ext uri="{28A0092B-C50C-407E-A947-70E740481C1C}">
                          <a14:useLocalDpi xmlns:a14="http://schemas.microsoft.com/office/drawing/2010/main" val="0"/>
                        </a:ext>
                      </a:extLst>
                    </a:blip>
                    <a:srcRect l="-295" t="1242"/>
                    <a:stretch/>
                  </pic:blipFill>
                  <pic:spPr bwMode="auto">
                    <a:xfrm>
                      <a:off x="0" y="0"/>
                      <a:ext cx="5415946" cy="2529785"/>
                    </a:xfrm>
                    <a:prstGeom prst="rect">
                      <a:avLst/>
                    </a:prstGeom>
                    <a:ln>
                      <a:noFill/>
                    </a:ln>
                    <a:extLst>
                      <a:ext uri="{53640926-AAD7-44D8-BBD7-CCE9431645EC}">
                        <a14:shadowObscured xmlns:a14="http://schemas.microsoft.com/office/drawing/2010/main"/>
                      </a:ext>
                    </a:extLst>
                  </pic:spPr>
                </pic:pic>
              </a:graphicData>
            </a:graphic>
          </wp:inline>
        </w:drawing>
      </w:r>
    </w:p>
    <w:bookmarkEnd w:id="53"/>
    <w:p w14:paraId="2654D3ED" w14:textId="5B8CA90A" w:rsidR="00552D33" w:rsidRDefault="00353A42" w:rsidP="00821E53">
      <w:pPr>
        <w:pStyle w:val="FigureDescription"/>
      </w:pPr>
      <w:r>
        <w:t xml:space="preserve">AE = Adverse event; AML = </w:t>
      </w:r>
      <w:r w:rsidR="00D72F8F">
        <w:t xml:space="preserve">Acute Myeloid leukemia; D1 = Day 1; </w:t>
      </w:r>
      <w:proofErr w:type="spellStart"/>
      <w:r w:rsidR="00456EB4">
        <w:t>Discon</w:t>
      </w:r>
      <w:proofErr w:type="spellEnd"/>
      <w:r w:rsidR="00456EB4">
        <w:t xml:space="preserve"> = </w:t>
      </w:r>
      <w:r w:rsidR="00821E53">
        <w:t>D</w:t>
      </w:r>
      <w:r w:rsidR="00456EB4">
        <w:t xml:space="preserve">iscontinuation; Hgb = </w:t>
      </w:r>
      <w:r w:rsidR="00821E53">
        <w:t>H</w:t>
      </w:r>
      <w:r w:rsidR="00C4561C">
        <w:t>aemoglobin</w:t>
      </w:r>
      <w:r w:rsidR="00456EB4">
        <w:t xml:space="preserve">; IP = </w:t>
      </w:r>
      <w:r w:rsidR="00821E53">
        <w:t>I</w:t>
      </w:r>
      <w:r w:rsidR="00456EB4">
        <w:t xml:space="preserve">nvestigational product; IWG = </w:t>
      </w:r>
      <w:r w:rsidR="00C4561C">
        <w:t xml:space="preserve">International working group; MDS = Myelodysplastic syndromes; OS = </w:t>
      </w:r>
      <w:r w:rsidR="00821E53">
        <w:t>O</w:t>
      </w:r>
      <w:r w:rsidR="00C4561C">
        <w:t>verall survival.</w:t>
      </w:r>
    </w:p>
    <w:p w14:paraId="3E3DDD0B" w14:textId="7934AAC8" w:rsidR="00133DA9" w:rsidRDefault="00133DA9" w:rsidP="00133DA9">
      <w:pPr>
        <w:pStyle w:val="Heading6"/>
      </w:pPr>
      <w:r>
        <w:t>Primary objective</w:t>
      </w:r>
    </w:p>
    <w:p w14:paraId="4FF84A26" w14:textId="372BA643" w:rsidR="000A5571" w:rsidRDefault="000A5571" w:rsidP="00DA3BD0">
      <w:r w:rsidRPr="00DA3BD0">
        <w:t xml:space="preserve">The primary objective of the study was to evaluate </w:t>
      </w:r>
      <w:r w:rsidR="00F818CE">
        <w:t>red blood cell</w:t>
      </w:r>
      <w:r w:rsidRPr="00DA3BD0">
        <w:t xml:space="preserve"> t</w:t>
      </w:r>
      <w:r w:rsidR="008A351E">
        <w:t>ransfusion independence</w:t>
      </w:r>
      <w:r w:rsidRPr="00DA3BD0">
        <w:t xml:space="preserve"> of </w:t>
      </w:r>
      <w:proofErr w:type="spellStart"/>
      <w:r w:rsidRPr="00DA3BD0">
        <w:t>luspatercept</w:t>
      </w:r>
      <w:proofErr w:type="spellEnd"/>
      <w:r w:rsidRPr="00DA3BD0">
        <w:t xml:space="preserve"> compared with placebo for the treatment of anaemia due to IPSS-R very low, low, or intermediate</w:t>
      </w:r>
      <w:r w:rsidR="00062D7A">
        <w:t xml:space="preserve"> </w:t>
      </w:r>
      <w:r w:rsidRPr="00DA3BD0">
        <w:t xml:space="preserve">risk </w:t>
      </w:r>
      <w:r w:rsidR="00C838D7">
        <w:t>myelodysplastic syndrome</w:t>
      </w:r>
      <w:r w:rsidRPr="00DA3BD0">
        <w:t xml:space="preserve"> in subjects with ring </w:t>
      </w:r>
      <w:proofErr w:type="spellStart"/>
      <w:r w:rsidRPr="00DA3BD0">
        <w:t>sideroblasts</w:t>
      </w:r>
      <w:proofErr w:type="spellEnd"/>
      <w:r w:rsidRPr="00DA3BD0">
        <w:t xml:space="preserve"> who required </w:t>
      </w:r>
      <w:r w:rsidR="008F26A5">
        <w:t>red blood cell</w:t>
      </w:r>
      <w:r w:rsidR="008F26A5" w:rsidRPr="00DA3BD0">
        <w:t xml:space="preserve"> </w:t>
      </w:r>
      <w:r w:rsidRPr="00DA3BD0">
        <w:t>transfusions.</w:t>
      </w:r>
    </w:p>
    <w:p w14:paraId="49F59942" w14:textId="01C7536B" w:rsidR="00133DA9" w:rsidRPr="00DA3BD0" w:rsidRDefault="00133DA9" w:rsidP="00133DA9">
      <w:pPr>
        <w:pStyle w:val="Heading6"/>
      </w:pPr>
      <w:r>
        <w:t>Secondary objectives</w:t>
      </w:r>
    </w:p>
    <w:p w14:paraId="03417524" w14:textId="77777777" w:rsidR="000A5571" w:rsidRPr="00DA3BD0" w:rsidRDefault="000A5571" w:rsidP="00DA3BD0">
      <w:r w:rsidRPr="00DA3BD0">
        <w:t>The secondary objectives of the study were:</w:t>
      </w:r>
    </w:p>
    <w:p w14:paraId="013797AF" w14:textId="639768E5" w:rsidR="000A5571" w:rsidRPr="00DA3BD0" w:rsidRDefault="008A351E" w:rsidP="00D7031C">
      <w:pPr>
        <w:pStyle w:val="ListBullet"/>
      </w:pPr>
      <w:r>
        <w:t>t</w:t>
      </w:r>
      <w:r w:rsidR="000A5571" w:rsidRPr="00DA3BD0">
        <w:t xml:space="preserve">o assess the safety and tolerability of </w:t>
      </w:r>
      <w:proofErr w:type="spellStart"/>
      <w:r w:rsidR="000A5571" w:rsidRPr="00DA3BD0">
        <w:t>luspatercept</w:t>
      </w:r>
      <w:proofErr w:type="spellEnd"/>
      <w:r w:rsidR="000A5571" w:rsidRPr="00DA3BD0">
        <w:t xml:space="preserve"> compared with </w:t>
      </w:r>
      <w:proofErr w:type="gramStart"/>
      <w:r w:rsidR="000A5571" w:rsidRPr="00DA3BD0">
        <w:t>placebo</w:t>
      </w:r>
      <w:r>
        <w:t>;</w:t>
      </w:r>
      <w:proofErr w:type="gramEnd"/>
    </w:p>
    <w:p w14:paraId="4CC2D17E" w14:textId="47F67102" w:rsidR="000A5571" w:rsidRPr="00DA3BD0" w:rsidRDefault="008A351E" w:rsidP="00D7031C">
      <w:pPr>
        <w:pStyle w:val="ListBullet"/>
      </w:pPr>
      <w:r>
        <w:t>t</w:t>
      </w:r>
      <w:r w:rsidR="000A5571" w:rsidRPr="00DA3BD0">
        <w:t xml:space="preserve">o evaluate the effect of </w:t>
      </w:r>
      <w:proofErr w:type="spellStart"/>
      <w:r w:rsidR="000A5571" w:rsidRPr="00DA3BD0">
        <w:t>luspatercept</w:t>
      </w:r>
      <w:proofErr w:type="spellEnd"/>
      <w:r w:rsidR="000A5571" w:rsidRPr="00DA3BD0">
        <w:t xml:space="preserve"> on reduction in </w:t>
      </w:r>
      <w:r>
        <w:t>red blood cell</w:t>
      </w:r>
      <w:r w:rsidR="000A5571" w:rsidRPr="00DA3BD0">
        <w:t xml:space="preserve"> transfusions, increase in </w:t>
      </w:r>
      <w:r>
        <w:t>haemoglobin</w:t>
      </w:r>
      <w:r w:rsidR="000A5571" w:rsidRPr="00DA3BD0">
        <w:t xml:space="preserve">, duration of </w:t>
      </w:r>
      <w:r>
        <w:t xml:space="preserve">red blood cell transfusion </w:t>
      </w:r>
      <w:proofErr w:type="gramStart"/>
      <w:r>
        <w:t>independence;</w:t>
      </w:r>
      <w:proofErr w:type="gramEnd"/>
    </w:p>
    <w:p w14:paraId="68EBB318" w14:textId="6379FC33" w:rsidR="000A5571" w:rsidRPr="00DA3BD0" w:rsidRDefault="008A351E" w:rsidP="00D7031C">
      <w:pPr>
        <w:pStyle w:val="ListBullet"/>
      </w:pPr>
      <w:r>
        <w:t>i</w:t>
      </w:r>
      <w:r w:rsidR="00D7031C" w:rsidRPr="00DA3BD0">
        <w:t xml:space="preserve">mprovement </w:t>
      </w:r>
      <w:r w:rsidR="000A5571" w:rsidRPr="00DA3BD0">
        <w:t xml:space="preserve">in </w:t>
      </w:r>
      <w:r>
        <w:t>health-related quality of life (as scored by the</w:t>
      </w:r>
      <w:r w:rsidR="000A5571" w:rsidRPr="00DA3BD0">
        <w:t xml:space="preserve"> European Organisation for Research and Treatment of Cancer</w:t>
      </w:r>
      <w:r>
        <w:t xml:space="preserve"> Quality of Life Questionnaire, EORTC QLQ-C30</w:t>
      </w:r>
      <w:proofErr w:type="gramStart"/>
      <w:r>
        <w:t>);</w:t>
      </w:r>
      <w:proofErr w:type="gramEnd"/>
    </w:p>
    <w:p w14:paraId="35429522" w14:textId="59CD0D36" w:rsidR="000A5571" w:rsidRPr="00DA3BD0" w:rsidRDefault="008A351E" w:rsidP="00D7031C">
      <w:pPr>
        <w:pStyle w:val="ListBullet"/>
      </w:pPr>
      <w:r>
        <w:t>i</w:t>
      </w:r>
      <w:r w:rsidR="008A7854" w:rsidRPr="00DA3BD0">
        <w:t xml:space="preserve">ncrease </w:t>
      </w:r>
      <w:r>
        <w:t xml:space="preserve">in </w:t>
      </w:r>
      <w:proofErr w:type="gramStart"/>
      <w:r>
        <w:t>neutrophils;</w:t>
      </w:r>
      <w:proofErr w:type="gramEnd"/>
    </w:p>
    <w:p w14:paraId="1C17BB7E" w14:textId="2A80C4E8" w:rsidR="000A5571" w:rsidRPr="00DA3BD0" w:rsidRDefault="008A351E" w:rsidP="00D7031C">
      <w:pPr>
        <w:pStyle w:val="ListBullet"/>
      </w:pPr>
      <w:r>
        <w:t>i</w:t>
      </w:r>
      <w:r w:rsidR="008A7854" w:rsidRPr="00DA3BD0">
        <w:t xml:space="preserve">ncrease </w:t>
      </w:r>
      <w:r>
        <w:t xml:space="preserve">in </w:t>
      </w:r>
      <w:proofErr w:type="gramStart"/>
      <w:r>
        <w:t>platelets;</w:t>
      </w:r>
      <w:proofErr w:type="gramEnd"/>
    </w:p>
    <w:p w14:paraId="3ACB1EF4" w14:textId="290ECE87" w:rsidR="000A5571" w:rsidRPr="00DA3BD0" w:rsidRDefault="008A351E" w:rsidP="00D7031C">
      <w:pPr>
        <w:pStyle w:val="ListBullet"/>
      </w:pPr>
      <w:r>
        <w:t>d</w:t>
      </w:r>
      <w:r w:rsidR="008A7854" w:rsidRPr="00DA3BD0">
        <w:t xml:space="preserve">ecrease </w:t>
      </w:r>
      <w:r w:rsidR="000A5571" w:rsidRPr="00DA3BD0">
        <w:t>in serum ferritin,</w:t>
      </w:r>
    </w:p>
    <w:p w14:paraId="1D6F54FA" w14:textId="3815C724" w:rsidR="000A5571" w:rsidRPr="00DA3BD0" w:rsidRDefault="008A351E" w:rsidP="00D7031C">
      <w:pPr>
        <w:pStyle w:val="ListBullet"/>
      </w:pPr>
      <w:r>
        <w:t>d</w:t>
      </w:r>
      <w:r w:rsidR="008A7854" w:rsidRPr="00DA3BD0">
        <w:t xml:space="preserve">ecrease </w:t>
      </w:r>
      <w:r w:rsidR="006D3EAF">
        <w:t xml:space="preserve">in iron chelation therapy </w:t>
      </w:r>
      <w:r>
        <w:t>use;</w:t>
      </w:r>
      <w:r w:rsidR="000A5571" w:rsidRPr="00DA3BD0">
        <w:t xml:space="preserve"> and</w:t>
      </w:r>
    </w:p>
    <w:p w14:paraId="531BC898" w14:textId="36858F76" w:rsidR="000A5571" w:rsidRDefault="008A351E" w:rsidP="00D7031C">
      <w:pPr>
        <w:pStyle w:val="ListBullet"/>
      </w:pPr>
      <w:r>
        <w:t>t</w:t>
      </w:r>
      <w:r w:rsidR="008A7854" w:rsidRPr="00DA3BD0">
        <w:t xml:space="preserve">ime </w:t>
      </w:r>
      <w:r w:rsidR="000A5571" w:rsidRPr="00DA3BD0">
        <w:t xml:space="preserve">to </w:t>
      </w:r>
      <w:r>
        <w:t>red blood cell transfusion independence</w:t>
      </w:r>
      <w:r w:rsidR="000A5571" w:rsidRPr="00DA3BD0">
        <w:t xml:space="preserve"> compared with placebo</w:t>
      </w:r>
    </w:p>
    <w:p w14:paraId="4C898D42" w14:textId="14CFFAD4" w:rsidR="00133DA9" w:rsidRPr="00DA3BD0" w:rsidRDefault="00133DA9" w:rsidP="00133DA9">
      <w:pPr>
        <w:pStyle w:val="Heading6"/>
      </w:pPr>
      <w:r>
        <w:t>Study endpoints</w:t>
      </w:r>
    </w:p>
    <w:p w14:paraId="3F7DB22B" w14:textId="20962AB0" w:rsidR="000A5571" w:rsidRPr="006D3EAF" w:rsidRDefault="000A5571" w:rsidP="00DA3BD0">
      <w:pPr>
        <w:rPr>
          <w:i/>
          <w:iCs/>
        </w:rPr>
      </w:pPr>
      <w:r w:rsidRPr="00704E63">
        <w:rPr>
          <w:i/>
          <w:iCs/>
        </w:rPr>
        <w:t xml:space="preserve">Rationale for the </w:t>
      </w:r>
      <w:r w:rsidR="00774FE4">
        <w:rPr>
          <w:i/>
          <w:iCs/>
        </w:rPr>
        <w:t>e</w:t>
      </w:r>
      <w:r w:rsidR="00774FE4" w:rsidRPr="00704E63">
        <w:rPr>
          <w:i/>
          <w:iCs/>
        </w:rPr>
        <w:t xml:space="preserve">fficacy </w:t>
      </w:r>
      <w:r w:rsidR="00774FE4">
        <w:rPr>
          <w:i/>
          <w:iCs/>
        </w:rPr>
        <w:t>e</w:t>
      </w:r>
      <w:r w:rsidR="00774FE4" w:rsidRPr="00704E63">
        <w:rPr>
          <w:i/>
          <w:iCs/>
        </w:rPr>
        <w:t xml:space="preserve">ndpoints </w:t>
      </w:r>
      <w:r w:rsidR="00774FE4">
        <w:rPr>
          <w:i/>
          <w:iCs/>
        </w:rPr>
        <w:t>r</w:t>
      </w:r>
      <w:r w:rsidR="00774FE4" w:rsidRPr="00704E63">
        <w:rPr>
          <w:i/>
          <w:iCs/>
        </w:rPr>
        <w:t xml:space="preserve">elated </w:t>
      </w:r>
      <w:r w:rsidRPr="00704E63">
        <w:rPr>
          <w:i/>
          <w:iCs/>
        </w:rPr>
        <w:t xml:space="preserve">to </w:t>
      </w:r>
      <w:r w:rsidR="00774FE4">
        <w:rPr>
          <w:i/>
          <w:iCs/>
        </w:rPr>
        <w:t>r</w:t>
      </w:r>
      <w:r w:rsidR="00774FE4" w:rsidRPr="00704E63">
        <w:rPr>
          <w:i/>
          <w:iCs/>
        </w:rPr>
        <w:t xml:space="preserve">ed </w:t>
      </w:r>
      <w:r w:rsidR="00774FE4">
        <w:rPr>
          <w:i/>
          <w:iCs/>
        </w:rPr>
        <w:t>b</w:t>
      </w:r>
      <w:r w:rsidR="00774FE4" w:rsidRPr="00704E63">
        <w:rPr>
          <w:i/>
          <w:iCs/>
        </w:rPr>
        <w:t xml:space="preserve">lood </w:t>
      </w:r>
      <w:r w:rsidR="00774FE4">
        <w:rPr>
          <w:i/>
          <w:iCs/>
        </w:rPr>
        <w:t>c</w:t>
      </w:r>
      <w:r w:rsidR="00774FE4" w:rsidRPr="00704E63">
        <w:rPr>
          <w:i/>
          <w:iCs/>
        </w:rPr>
        <w:t xml:space="preserve">ell </w:t>
      </w:r>
      <w:r w:rsidR="00774FE4">
        <w:rPr>
          <w:i/>
          <w:iCs/>
        </w:rPr>
        <w:t>t</w:t>
      </w:r>
      <w:r w:rsidR="00774FE4" w:rsidRPr="00704E63">
        <w:rPr>
          <w:i/>
          <w:iCs/>
        </w:rPr>
        <w:t xml:space="preserve">ransfusion </w:t>
      </w:r>
      <w:r w:rsidR="00774FE4">
        <w:rPr>
          <w:i/>
          <w:iCs/>
        </w:rPr>
        <w:t>i</w:t>
      </w:r>
      <w:r w:rsidR="00774FE4" w:rsidRPr="00704E63">
        <w:rPr>
          <w:i/>
          <w:iCs/>
        </w:rPr>
        <w:t>ndependence:</w:t>
      </w:r>
      <w:r w:rsidR="006D3EAF">
        <w:rPr>
          <w:i/>
          <w:iCs/>
        </w:rPr>
        <w:t xml:space="preserve"> </w:t>
      </w:r>
      <w:proofErr w:type="gramStart"/>
      <w:r w:rsidRPr="00DA3BD0">
        <w:t>In order to</w:t>
      </w:r>
      <w:proofErr w:type="gramEnd"/>
      <w:r w:rsidRPr="00DA3BD0">
        <w:t xml:space="preserve"> mitigate the potential bias</w:t>
      </w:r>
      <w:r w:rsidR="00FA60C1">
        <w:t>,</w:t>
      </w:r>
      <w:r w:rsidRPr="00DA3BD0">
        <w:t xml:space="preserve"> should subjects in the control group (placebo group) drop out early due to the lack of a rapid response, the primary efficacy analysis in this study was the proportion of subjects achieving </w:t>
      </w:r>
      <w:r w:rsidR="008F26A5">
        <w:t xml:space="preserve">red blood cell transfusion independence </w:t>
      </w:r>
      <w:r w:rsidRPr="00DA3BD0">
        <w:t>with a duration of ≥</w:t>
      </w:r>
      <w:r w:rsidR="00FA60C1">
        <w:t> </w:t>
      </w:r>
      <w:r w:rsidRPr="00DA3BD0">
        <w:t>8 weeks measured at 24</w:t>
      </w:r>
      <w:r w:rsidR="00800799">
        <w:t> </w:t>
      </w:r>
      <w:r w:rsidRPr="00DA3BD0">
        <w:t>weeks.</w:t>
      </w:r>
    </w:p>
    <w:p w14:paraId="5428FA41" w14:textId="137D3FD2" w:rsidR="000A5571" w:rsidRDefault="000A5571" w:rsidP="00DA3BD0">
      <w:r w:rsidRPr="00DA3BD0">
        <w:t xml:space="preserve">After completion of the </w:t>
      </w:r>
      <w:r w:rsidR="00C838D7">
        <w:t>myelodysplastic syndrome</w:t>
      </w:r>
      <w:r w:rsidRPr="00DA3BD0">
        <w:t xml:space="preserve"> disease assessment by the investigator at the Week 25 Visit, subjects who exhibited clinical benefit with no evidence of disease progression per </w:t>
      </w:r>
      <w:r w:rsidR="006D3EAF">
        <w:t>IWG-MDS (I</w:t>
      </w:r>
      <w:r w:rsidR="00800799" w:rsidRPr="00800799">
        <w:t xml:space="preserve">nternational </w:t>
      </w:r>
      <w:r w:rsidR="006D3EAF">
        <w:t>W</w:t>
      </w:r>
      <w:r w:rsidR="00800799" w:rsidRPr="00800799">
        <w:t xml:space="preserve">orking </w:t>
      </w:r>
      <w:r w:rsidR="006D3EAF">
        <w:t>G</w:t>
      </w:r>
      <w:r w:rsidR="00800799" w:rsidRPr="00800799">
        <w:t>roup</w:t>
      </w:r>
      <w:r w:rsidR="006D3EAF">
        <w:t>-</w:t>
      </w:r>
      <w:r w:rsidR="00C838D7">
        <w:t>myelodysplastic syndrome</w:t>
      </w:r>
      <w:r w:rsidR="006D3EAF">
        <w:t>)</w:t>
      </w:r>
      <w:r w:rsidRPr="00DA3BD0">
        <w:t xml:space="preserve"> criteria for altering natural history of </w:t>
      </w:r>
      <w:r w:rsidR="00C838D7">
        <w:t>myelodysplastic syndrome</w:t>
      </w:r>
      <w:r w:rsidRPr="00DA3BD0">
        <w:t xml:space="preserve"> were to continue the double-blind treatment.</w:t>
      </w:r>
      <w:bookmarkStart w:id="54" w:name="_Ref90291582"/>
      <w:r w:rsidR="00815A71">
        <w:rPr>
          <w:rStyle w:val="FootnoteReference"/>
        </w:rPr>
        <w:footnoteReference w:id="45"/>
      </w:r>
      <w:bookmarkEnd w:id="54"/>
      <w:r w:rsidRPr="00DA3BD0">
        <w:t xml:space="preserve"> The proportion of subjects achieving </w:t>
      </w:r>
      <w:r w:rsidR="00D60BED">
        <w:t>red blood cell transfusion independence</w:t>
      </w:r>
      <w:r w:rsidRPr="00DA3BD0">
        <w:t xml:space="preserve"> with a duration of ≥</w:t>
      </w:r>
      <w:r w:rsidR="00B052E1">
        <w:t> </w:t>
      </w:r>
      <w:r w:rsidRPr="00DA3BD0">
        <w:t xml:space="preserve">8 weeks at 48 weeks was assessed as a secondary endpoint to capture potential late responders. In addition, the proportion of subjects achieving </w:t>
      </w:r>
      <w:r w:rsidR="00D60BED">
        <w:t>red blood cell transfusion independence</w:t>
      </w:r>
      <w:r w:rsidR="00D60BED" w:rsidRPr="00DA3BD0">
        <w:t xml:space="preserve"> </w:t>
      </w:r>
      <w:r w:rsidRPr="00DA3BD0">
        <w:t>with a duration of ≥</w:t>
      </w:r>
      <w:r w:rsidR="00310712">
        <w:t> </w:t>
      </w:r>
      <w:r w:rsidRPr="00DA3BD0">
        <w:t>12 weeks was assessed as a key secondary endpoint, representing extended durat</w:t>
      </w:r>
      <w:r w:rsidR="00D60BED">
        <w:t>ion of benefit achieved with the interventional product.</w:t>
      </w:r>
    </w:p>
    <w:p w14:paraId="5E1583C3" w14:textId="3B32A985" w:rsidR="00133DA9" w:rsidRPr="00DA3BD0" w:rsidRDefault="00133DA9" w:rsidP="00133DA9">
      <w:pPr>
        <w:pStyle w:val="Heading6"/>
      </w:pPr>
      <w:r>
        <w:t>Study assessments</w:t>
      </w:r>
    </w:p>
    <w:p w14:paraId="29D9DD87" w14:textId="7728F74A" w:rsidR="000A5571" w:rsidRPr="00D60BED" w:rsidRDefault="00D60BED" w:rsidP="00DA3BD0">
      <w:pPr>
        <w:rPr>
          <w:i/>
          <w:iCs/>
        </w:rPr>
      </w:pPr>
      <w:r>
        <w:rPr>
          <w:i/>
          <w:iCs/>
        </w:rPr>
        <w:t>M</w:t>
      </w:r>
      <w:r w:rsidR="00C838D7">
        <w:rPr>
          <w:i/>
          <w:iCs/>
        </w:rPr>
        <w:t>yelodysplastic syndrome</w:t>
      </w:r>
      <w:r w:rsidR="000A5571" w:rsidRPr="00310712">
        <w:rPr>
          <w:i/>
          <w:iCs/>
        </w:rPr>
        <w:t xml:space="preserve"> </w:t>
      </w:r>
      <w:r w:rsidR="00310712">
        <w:rPr>
          <w:i/>
          <w:iCs/>
        </w:rPr>
        <w:t>d</w:t>
      </w:r>
      <w:r w:rsidR="00310712" w:rsidRPr="00310712">
        <w:rPr>
          <w:i/>
          <w:iCs/>
        </w:rPr>
        <w:t xml:space="preserve">isease </w:t>
      </w:r>
      <w:r w:rsidR="00310712">
        <w:rPr>
          <w:i/>
          <w:iCs/>
        </w:rPr>
        <w:t>a</w:t>
      </w:r>
      <w:r w:rsidR="00310712" w:rsidRPr="00310712">
        <w:rPr>
          <w:i/>
          <w:iCs/>
        </w:rPr>
        <w:t xml:space="preserve">ssessment </w:t>
      </w:r>
      <w:r>
        <w:rPr>
          <w:i/>
          <w:iCs/>
        </w:rPr>
        <w:t>(W</w:t>
      </w:r>
      <w:r w:rsidR="000A5571" w:rsidRPr="00310712">
        <w:rPr>
          <w:i/>
          <w:iCs/>
        </w:rPr>
        <w:t>eek 25 visit)</w:t>
      </w:r>
      <w:r w:rsidR="00310712">
        <w:rPr>
          <w:i/>
          <w:iCs/>
        </w:rPr>
        <w:t>:</w:t>
      </w:r>
      <w:r>
        <w:rPr>
          <w:i/>
          <w:iCs/>
        </w:rPr>
        <w:t xml:space="preserve"> </w:t>
      </w:r>
      <w:r>
        <w:t>t</w:t>
      </w:r>
      <w:r w:rsidR="000A5571" w:rsidRPr="00DA3BD0">
        <w:t xml:space="preserve">reatment response was assessed locally by the investigator in accordance with IWG 2006 criteria for </w:t>
      </w:r>
      <w:r w:rsidR="00C838D7">
        <w:t>myelodysplastic syndrome</w:t>
      </w:r>
      <w:r>
        <w:t>;</w:t>
      </w:r>
      <w:r w:rsidR="00DC1658">
        <w:fldChar w:fldCharType="begin"/>
      </w:r>
      <w:r w:rsidR="00DC1658">
        <w:instrText xml:space="preserve"> NOTEREF _Ref90291582 \f \h </w:instrText>
      </w:r>
      <w:r w:rsidR="00DC1658">
        <w:fldChar w:fldCharType="separate"/>
      </w:r>
      <w:r w:rsidR="00DC1658" w:rsidRPr="00DC1658">
        <w:rPr>
          <w:rStyle w:val="FootnoteReference"/>
        </w:rPr>
        <w:t>14</w:t>
      </w:r>
      <w:r w:rsidR="00DC1658">
        <w:fldChar w:fldCharType="end"/>
      </w:r>
      <w:r w:rsidR="000A5571" w:rsidRPr="00DA3BD0">
        <w:t xml:space="preserve"> with modifications for the erythroid response criteria through transfusion assessments, haematology laboratory parameters, peripheral blood smear, bone marrow aspirates and/or biopsies, and cytogenetics.</w:t>
      </w:r>
    </w:p>
    <w:p w14:paraId="261443E2" w14:textId="18BD35FC" w:rsidR="000A5571" w:rsidRPr="00DA3BD0" w:rsidRDefault="000A5571" w:rsidP="00DA3BD0">
      <w:r w:rsidRPr="00DA3BD0">
        <w:t>Central laboratory results from bone marrow and peripheral blood samples (</w:t>
      </w:r>
      <w:r w:rsidR="00D60BED">
        <w:t>f</w:t>
      </w:r>
      <w:r w:rsidR="00E4093A">
        <w:t>or example</w:t>
      </w:r>
      <w:r w:rsidRPr="00DA3BD0">
        <w:t>, cytomorphology</w:t>
      </w:r>
      <w:r w:rsidR="00E4093A">
        <w:t xml:space="preserve"> and</w:t>
      </w:r>
      <w:r w:rsidRPr="00DA3BD0">
        <w:t xml:space="preserve"> cytogenetics analysis) were required as part of the </w:t>
      </w:r>
      <w:r w:rsidR="00C838D7">
        <w:t>myelodysplastic syndrome</w:t>
      </w:r>
      <w:r w:rsidRPr="00DA3BD0">
        <w:t xml:space="preserve"> disease assessment.</w:t>
      </w:r>
    </w:p>
    <w:p w14:paraId="727D05A6" w14:textId="249BFA4C" w:rsidR="000A5571" w:rsidRPr="00DA3BD0" w:rsidRDefault="000A5571" w:rsidP="00DA3BD0">
      <w:proofErr w:type="gramStart"/>
      <w:r w:rsidRPr="00DA3BD0">
        <w:t>In order for</w:t>
      </w:r>
      <w:proofErr w:type="gramEnd"/>
      <w:r w:rsidRPr="00DA3BD0">
        <w:t xml:space="preserve"> the subjects to remain on double-blind treatment beyond the first 24 calendar weeks, the following criteria must have been confirmed upon the completion of the </w:t>
      </w:r>
      <w:r w:rsidR="00C838D7">
        <w:t>myelodysplastic syndrome</w:t>
      </w:r>
      <w:r w:rsidRPr="00DA3BD0">
        <w:t xml:space="preserve"> disease assessment by the investigator:</w:t>
      </w:r>
    </w:p>
    <w:p w14:paraId="414E9542" w14:textId="2DCCD300" w:rsidR="000A5571" w:rsidRPr="00DA3BD0" w:rsidRDefault="00D60BED" w:rsidP="00373AE1">
      <w:pPr>
        <w:pStyle w:val="ListBullet"/>
      </w:pPr>
      <w:r>
        <w:t>e</w:t>
      </w:r>
      <w:r w:rsidR="000A5571" w:rsidRPr="00DA3BD0">
        <w:t>vidence of clinical benefit (</w:t>
      </w:r>
      <w:r w:rsidR="00373AE1">
        <w:t>For example</w:t>
      </w:r>
      <w:r w:rsidR="000A5571" w:rsidRPr="00DA3BD0">
        <w:t xml:space="preserve">, decrease in </w:t>
      </w:r>
      <w:r>
        <w:t>red blood cell</w:t>
      </w:r>
      <w:r w:rsidR="000A5571" w:rsidRPr="00DA3BD0">
        <w:t xml:space="preserve"> transfusion requirement compared with baseline requirement or Hgb increase compared with baseline); and</w:t>
      </w:r>
    </w:p>
    <w:p w14:paraId="7247E5FD" w14:textId="77777777" w:rsidR="00133DA9" w:rsidRDefault="00D60BED" w:rsidP="00373AE1">
      <w:pPr>
        <w:pStyle w:val="ListBullet"/>
      </w:pPr>
      <w:r>
        <w:t>a</w:t>
      </w:r>
      <w:r w:rsidR="000A5571" w:rsidRPr="00DA3BD0">
        <w:t>bsence of disease progression per IWG-</w:t>
      </w:r>
      <w:r>
        <w:t>MDS</w:t>
      </w:r>
      <w:r w:rsidR="000A5571" w:rsidRPr="00DA3BD0">
        <w:t xml:space="preserve"> criteria for altering natural history of </w:t>
      </w:r>
      <w:r w:rsidR="00C838D7">
        <w:t>myelodysplastic syndrome</w:t>
      </w:r>
      <w:r>
        <w:t>.</w:t>
      </w:r>
      <w:r w:rsidR="0044672A" w:rsidRPr="0044672A">
        <w:rPr>
          <w:vertAlign w:val="superscript"/>
        </w:rPr>
        <w:fldChar w:fldCharType="begin"/>
      </w:r>
      <w:r w:rsidR="0044672A" w:rsidRPr="0044672A">
        <w:rPr>
          <w:vertAlign w:val="superscript"/>
        </w:rPr>
        <w:instrText xml:space="preserve"> NOTEREF _Ref90291582 \f \h </w:instrText>
      </w:r>
      <w:r w:rsidR="0044672A" w:rsidRPr="0044672A">
        <w:rPr>
          <w:vertAlign w:val="superscript"/>
        </w:rPr>
      </w:r>
      <w:r w:rsidR="0044672A" w:rsidRPr="0044672A">
        <w:rPr>
          <w:vertAlign w:val="superscript"/>
        </w:rPr>
        <w:fldChar w:fldCharType="separate"/>
      </w:r>
      <w:r w:rsidR="0044672A" w:rsidRPr="0044672A">
        <w:rPr>
          <w:rStyle w:val="FootnoteReference"/>
        </w:rPr>
        <w:t>14</w:t>
      </w:r>
      <w:r w:rsidR="0044672A" w:rsidRPr="0044672A">
        <w:rPr>
          <w:vertAlign w:val="superscript"/>
        </w:rPr>
        <w:fldChar w:fldCharType="end"/>
      </w:r>
    </w:p>
    <w:p w14:paraId="7EC0EACD" w14:textId="25C7614C" w:rsidR="000A5571" w:rsidRPr="00DA3BD0" w:rsidRDefault="00133DA9" w:rsidP="00133DA9">
      <w:pPr>
        <w:pStyle w:val="Heading6"/>
      </w:pPr>
      <w:r w:rsidRPr="00133DA9">
        <w:t>Inclusion and exclusion criteria</w:t>
      </w:r>
    </w:p>
    <w:p w14:paraId="49FCB4E8" w14:textId="77777777" w:rsidR="000A5571" w:rsidRPr="00D60BED" w:rsidRDefault="000A5571" w:rsidP="00D60BED">
      <w:r w:rsidRPr="00D60BED">
        <w:t>The main inclusion criteria were:</w:t>
      </w:r>
    </w:p>
    <w:p w14:paraId="49D030C2" w14:textId="72A2186F" w:rsidR="005B5A37" w:rsidRDefault="001F1EA6" w:rsidP="007D594A">
      <w:pPr>
        <w:pStyle w:val="ListBullet"/>
      </w:pPr>
      <w:r>
        <w:t>S</w:t>
      </w:r>
      <w:r w:rsidR="000A5571" w:rsidRPr="00DA3BD0">
        <w:t xml:space="preserve">ubjects </w:t>
      </w:r>
      <w:r w:rsidR="00F20C9C">
        <w:t xml:space="preserve">aged </w:t>
      </w:r>
      <w:r w:rsidR="000A5571" w:rsidRPr="00DA3BD0">
        <w:t>&gt;</w:t>
      </w:r>
      <w:r w:rsidR="007D594A">
        <w:t> </w:t>
      </w:r>
      <w:r w:rsidR="000A5571" w:rsidRPr="00DA3BD0">
        <w:t xml:space="preserve">18 years with documented diagnosis of </w:t>
      </w:r>
      <w:r w:rsidR="00C838D7">
        <w:t>myelodysplastic syndrome</w:t>
      </w:r>
      <w:r w:rsidR="000A5571" w:rsidRPr="00DA3BD0">
        <w:t xml:space="preserve"> according to WHO/FAB classification that met IPSS-R classification of very low, low, or intermediate-risk disease, and the following: </w:t>
      </w:r>
    </w:p>
    <w:p w14:paraId="3335BE38" w14:textId="0598FD5C" w:rsidR="005B5A37" w:rsidRPr="00F20C9C" w:rsidRDefault="00F20C9C" w:rsidP="00F20C9C">
      <w:pPr>
        <w:pStyle w:val="ListBullet2"/>
      </w:pPr>
      <w:r w:rsidRPr="00F20C9C">
        <w:t>r</w:t>
      </w:r>
      <w:r w:rsidR="000A5571" w:rsidRPr="00F20C9C">
        <w:t xml:space="preserve">ing </w:t>
      </w:r>
      <w:proofErr w:type="spellStart"/>
      <w:r w:rsidR="000A5571" w:rsidRPr="00F20C9C">
        <w:t>sideroblasts</w:t>
      </w:r>
      <w:proofErr w:type="spellEnd"/>
      <w:r w:rsidR="000A5571" w:rsidRPr="00F20C9C">
        <w:t xml:space="preserve"> ≥ 15% of erythroid precursors in bone marrow or ≥</w:t>
      </w:r>
      <w:r w:rsidR="005B5A37" w:rsidRPr="00F20C9C">
        <w:t> </w:t>
      </w:r>
      <w:r w:rsidR="000A5571" w:rsidRPr="00F20C9C">
        <w:t>5% (but &lt;</w:t>
      </w:r>
      <w:r w:rsidR="005B5A37" w:rsidRPr="00F20C9C">
        <w:t> </w:t>
      </w:r>
      <w:r w:rsidR="000A5571" w:rsidRPr="00F20C9C">
        <w:t xml:space="preserve">15%) if SF3B1 mutation was </w:t>
      </w:r>
      <w:proofErr w:type="gramStart"/>
      <w:r w:rsidR="000A5571" w:rsidRPr="00F20C9C">
        <w:t>present;</w:t>
      </w:r>
      <w:proofErr w:type="gramEnd"/>
      <w:r w:rsidR="000A5571" w:rsidRPr="00F20C9C">
        <w:t xml:space="preserve"> </w:t>
      </w:r>
    </w:p>
    <w:p w14:paraId="2924FF7B" w14:textId="18BCDDEF" w:rsidR="005B5A37" w:rsidRPr="00F20C9C" w:rsidRDefault="00F20C9C" w:rsidP="00F20C9C">
      <w:pPr>
        <w:pStyle w:val="ListBullet2"/>
      </w:pPr>
      <w:r w:rsidRPr="00F20C9C">
        <w:t>l</w:t>
      </w:r>
      <w:r w:rsidR="000A5571" w:rsidRPr="00F20C9C">
        <w:t xml:space="preserve">ess than 5% blasts in bone </w:t>
      </w:r>
      <w:proofErr w:type="gramStart"/>
      <w:r w:rsidR="000A5571" w:rsidRPr="00F20C9C">
        <w:t>marrow;</w:t>
      </w:r>
      <w:proofErr w:type="gramEnd"/>
      <w:r w:rsidR="000A5571" w:rsidRPr="00F20C9C">
        <w:t xml:space="preserve"> </w:t>
      </w:r>
    </w:p>
    <w:p w14:paraId="7EB4FAA0" w14:textId="6CC1290C" w:rsidR="000A5571" w:rsidRPr="00F20C9C" w:rsidRDefault="00F20C9C" w:rsidP="00F20C9C">
      <w:pPr>
        <w:pStyle w:val="ListBullet2"/>
      </w:pPr>
      <w:r w:rsidRPr="00F20C9C">
        <w:t>p</w:t>
      </w:r>
      <w:r w:rsidR="000A5571" w:rsidRPr="00F20C9C">
        <w:t>eripheral blood white blood cell (WBC) count &lt;</w:t>
      </w:r>
      <w:r w:rsidR="005B5A37" w:rsidRPr="00F20C9C">
        <w:t> </w:t>
      </w:r>
      <w:r w:rsidR="000A5571" w:rsidRPr="00F20C9C">
        <w:t>13,000/</w:t>
      </w:r>
      <w:proofErr w:type="spellStart"/>
      <w:r w:rsidR="0079570F" w:rsidRPr="00F20C9C">
        <w:t>μ</w:t>
      </w:r>
      <w:r w:rsidR="000A5571" w:rsidRPr="00F20C9C">
        <w:t>L</w:t>
      </w:r>
      <w:proofErr w:type="spellEnd"/>
      <w:r w:rsidR="000A5571" w:rsidRPr="00F20C9C">
        <w:t>.</w:t>
      </w:r>
    </w:p>
    <w:p w14:paraId="7FFFBDDD" w14:textId="4F904C37" w:rsidR="000A5571" w:rsidRPr="00DA3BD0" w:rsidRDefault="000A5571" w:rsidP="007D594A">
      <w:pPr>
        <w:pStyle w:val="ListBullet"/>
      </w:pPr>
      <w:r w:rsidRPr="00DA3BD0">
        <w:t>Subject was refractory or intolerant to, or i</w:t>
      </w:r>
      <w:r w:rsidR="001F1EA6">
        <w:t xml:space="preserve">neligible for, prior </w:t>
      </w:r>
      <w:proofErr w:type="spellStart"/>
      <w:r w:rsidR="001F1EA6">
        <w:t>erythopoie</w:t>
      </w:r>
      <w:r w:rsidR="00F20C9C">
        <w:t>sis</w:t>
      </w:r>
      <w:proofErr w:type="spellEnd"/>
      <w:r w:rsidR="00F20C9C">
        <w:t xml:space="preserve">-stimulating agent (ESA) </w:t>
      </w:r>
      <w:r w:rsidRPr="00DA3BD0">
        <w:t xml:space="preserve">treatment, as defined by any </w:t>
      </w:r>
      <w:r w:rsidR="0047240B">
        <w:t>one</w:t>
      </w:r>
      <w:r w:rsidR="0047240B" w:rsidRPr="00DA3BD0">
        <w:t xml:space="preserve"> </w:t>
      </w:r>
      <w:r w:rsidRPr="00DA3BD0">
        <w:t>of the following:</w:t>
      </w:r>
    </w:p>
    <w:p w14:paraId="72019E02" w14:textId="73FF982C" w:rsidR="000A5571" w:rsidRPr="00DA3BD0" w:rsidRDefault="000A5571" w:rsidP="00D5425E">
      <w:pPr>
        <w:pStyle w:val="ListBullet2"/>
      </w:pPr>
      <w:r w:rsidRPr="00704E63">
        <w:rPr>
          <w:i/>
          <w:iCs/>
        </w:rPr>
        <w:t>Refractory to prior ESA treatment</w:t>
      </w:r>
      <w:r w:rsidRPr="00DA3BD0">
        <w:t>: Documentation of nonresponse or response that was no longer maintained to prior ESA</w:t>
      </w:r>
      <w:r w:rsidR="00CF1893">
        <w:t xml:space="preserve"> </w:t>
      </w:r>
      <w:r w:rsidRPr="00DA3BD0">
        <w:t>containing regimen, either as a single agent or in combination (</w:t>
      </w:r>
      <w:r w:rsidR="00F20C9C">
        <w:t>f</w:t>
      </w:r>
      <w:r w:rsidR="00CF1893">
        <w:t>or example</w:t>
      </w:r>
      <w:r w:rsidRPr="00DA3BD0">
        <w:t xml:space="preserve">, with </w:t>
      </w:r>
      <w:r w:rsidR="00F20C9C">
        <w:t>g</w:t>
      </w:r>
      <w:r w:rsidR="000A17D8" w:rsidRPr="000A17D8">
        <w:t xml:space="preserve">ranulocyte colony stimulating factor </w:t>
      </w:r>
      <w:r w:rsidR="000A17D8">
        <w:t>(</w:t>
      </w:r>
      <w:r w:rsidR="00F20C9C">
        <w:t>G</w:t>
      </w:r>
      <w:r w:rsidR="00F20C9C">
        <w:noBreakHyphen/>
      </w:r>
      <w:r w:rsidRPr="00DA3BD0">
        <w:t>CSF</w:t>
      </w:r>
      <w:r w:rsidR="000A17D8">
        <w:t>)</w:t>
      </w:r>
      <w:r w:rsidRPr="00DA3BD0">
        <w:t xml:space="preserve">). The ESA </w:t>
      </w:r>
      <w:r w:rsidR="00F20C9C">
        <w:t>regimen must have been either: r</w:t>
      </w:r>
      <w:r w:rsidRPr="00DA3BD0">
        <w:t>ecombinant human erythropoietin ≥</w:t>
      </w:r>
      <w:r w:rsidR="008D584B">
        <w:t> </w:t>
      </w:r>
      <w:r w:rsidRPr="00DA3BD0">
        <w:t>40,000 IU/week for at least 8</w:t>
      </w:r>
      <w:r w:rsidR="008D584B">
        <w:t> </w:t>
      </w:r>
      <w:r w:rsidRPr="00DA3BD0">
        <w:t>doses or equivalent; or darbepoetin-</w:t>
      </w:r>
      <w:r w:rsidR="00020D56" w:rsidRPr="00020D56">
        <w:rPr>
          <w:i/>
          <w:iCs/>
        </w:rPr>
        <w:t>α</w:t>
      </w:r>
      <w:r w:rsidRPr="00DA3BD0">
        <w:t xml:space="preserve"> ≥</w:t>
      </w:r>
      <w:r w:rsidR="008D584B">
        <w:t> </w:t>
      </w:r>
      <w:r w:rsidRPr="00DA3BD0">
        <w:t>500</w:t>
      </w:r>
      <w:r w:rsidR="00653D68">
        <w:t> </w:t>
      </w:r>
      <w:proofErr w:type="spellStart"/>
      <w:r w:rsidR="0079570F" w:rsidRPr="00F20C9C">
        <w:rPr>
          <w:iCs/>
        </w:rPr>
        <w:t>μ</w:t>
      </w:r>
      <w:r w:rsidRPr="00DA3BD0">
        <w:t>g</w:t>
      </w:r>
      <w:proofErr w:type="spellEnd"/>
      <w:r w:rsidRPr="00DA3BD0">
        <w:t xml:space="preserve"> </w:t>
      </w:r>
      <w:r w:rsidR="00F14BEC">
        <w:t>once every three weeks</w:t>
      </w:r>
      <w:r w:rsidR="00F14BEC" w:rsidRPr="00DA3BD0">
        <w:t xml:space="preserve"> </w:t>
      </w:r>
      <w:r w:rsidRPr="00DA3BD0">
        <w:t xml:space="preserve">for at least </w:t>
      </w:r>
      <w:r w:rsidR="00F14BEC">
        <w:t>four</w:t>
      </w:r>
      <w:r w:rsidR="00F14BEC" w:rsidRPr="00DA3BD0">
        <w:t xml:space="preserve"> </w:t>
      </w:r>
      <w:r w:rsidRPr="00DA3BD0">
        <w:t>doses or equivalent.</w:t>
      </w:r>
    </w:p>
    <w:p w14:paraId="158CCDFC" w14:textId="009283A2" w:rsidR="00DA3BD0" w:rsidRPr="00DA3BD0" w:rsidRDefault="00DA3BD0" w:rsidP="00D5425E">
      <w:pPr>
        <w:pStyle w:val="ListBullet2"/>
      </w:pPr>
      <w:r w:rsidRPr="00704E63">
        <w:rPr>
          <w:i/>
          <w:iCs/>
        </w:rPr>
        <w:t>Intolerant to prior ESA treatment</w:t>
      </w:r>
      <w:r w:rsidRPr="00DA3BD0">
        <w:t xml:space="preserve">: Documentation </w:t>
      </w:r>
      <w:r w:rsidR="001F1EA6">
        <w:t>of discontinuation of prior ESA</w:t>
      </w:r>
      <w:r w:rsidR="001F1EA6">
        <w:noBreakHyphen/>
      </w:r>
      <w:r w:rsidRPr="00DA3BD0">
        <w:t xml:space="preserve">containing regimen, either as a single agent </w:t>
      </w:r>
      <w:r w:rsidR="001F1EA6">
        <w:t>or in combination (for example, with G</w:t>
      </w:r>
      <w:r w:rsidR="001F1EA6">
        <w:noBreakHyphen/>
      </w:r>
      <w:r w:rsidRPr="00DA3BD0">
        <w:t xml:space="preserve">CSF), at any time after introduction due to intolerance or an </w:t>
      </w:r>
      <w:r w:rsidR="001F1EA6">
        <w:t>adverse event</w:t>
      </w:r>
      <w:r w:rsidRPr="00DA3BD0">
        <w:t>.</w:t>
      </w:r>
    </w:p>
    <w:p w14:paraId="27BF330C" w14:textId="2B5C27C5" w:rsidR="0085221F" w:rsidRDefault="00DA3BD0" w:rsidP="00D5425E">
      <w:pPr>
        <w:pStyle w:val="ListBullet2"/>
      </w:pPr>
      <w:r w:rsidRPr="00704E63">
        <w:rPr>
          <w:i/>
          <w:iCs/>
        </w:rPr>
        <w:t>ESA ineligible</w:t>
      </w:r>
      <w:r w:rsidRPr="00DA3BD0">
        <w:t xml:space="preserve">: Low chance of response to ESA based on endogenous serum </w:t>
      </w:r>
      <w:r w:rsidR="001F1EA6">
        <w:t>erythropoietin</w:t>
      </w:r>
      <w:r w:rsidRPr="00DA3BD0">
        <w:t xml:space="preserve"> level &gt;</w:t>
      </w:r>
      <w:r w:rsidR="00604497">
        <w:t> </w:t>
      </w:r>
      <w:r w:rsidRPr="00DA3BD0">
        <w:t xml:space="preserve">200 U/L for subjects not previously treated with ESAs. </w:t>
      </w:r>
    </w:p>
    <w:p w14:paraId="55C6F4BE" w14:textId="7DFFDD7B" w:rsidR="00DA3BD0" w:rsidRPr="00DA3BD0" w:rsidRDefault="00DA3BD0" w:rsidP="0085221F">
      <w:pPr>
        <w:pStyle w:val="ListBullet2"/>
        <w:numPr>
          <w:ilvl w:val="0"/>
          <w:numId w:val="0"/>
        </w:numPr>
        <w:ind w:left="720"/>
      </w:pPr>
      <w:r w:rsidRPr="00DA3BD0">
        <w:t>Note: Eryt</w:t>
      </w:r>
      <w:r w:rsidR="001F1EA6">
        <w:t>hropoiesis-stimulating agents</w:t>
      </w:r>
      <w:r w:rsidRPr="00DA3BD0">
        <w:t xml:space="preserve"> are not approved for treatment of anaemia associated with </w:t>
      </w:r>
      <w:r w:rsidR="00C838D7">
        <w:t>myelodysplastic syndrome</w:t>
      </w:r>
      <w:r w:rsidRPr="00DA3BD0">
        <w:t xml:space="preserve"> in Australia.</w:t>
      </w:r>
    </w:p>
    <w:p w14:paraId="4CA7FFB4" w14:textId="7D88BDF0" w:rsidR="00DA3BD0" w:rsidRPr="00DA3BD0" w:rsidRDefault="00DA3BD0" w:rsidP="00094F65">
      <w:pPr>
        <w:pStyle w:val="ListBullet"/>
      </w:pPr>
      <w:r w:rsidRPr="00DA3BD0">
        <w:t>If previously treated with ESAs or G-CSF/granulocyte-macrophage colony-stimulating factor (GM-CSF), both agents must have been discontinued ≥</w:t>
      </w:r>
      <w:r w:rsidR="00073B4A">
        <w:t> </w:t>
      </w:r>
      <w:r w:rsidRPr="00DA3BD0">
        <w:t>4 weeks prior to the date of randomisation</w:t>
      </w:r>
    </w:p>
    <w:p w14:paraId="64097EB2" w14:textId="6ADC33EB" w:rsidR="00DA3BD0" w:rsidRPr="00DA3BD0" w:rsidRDefault="00DA3BD0" w:rsidP="00094F65">
      <w:pPr>
        <w:pStyle w:val="ListBullet"/>
      </w:pPr>
      <w:r w:rsidRPr="00DA3BD0">
        <w:t xml:space="preserve">Required </w:t>
      </w:r>
      <w:r w:rsidR="001F1EA6">
        <w:t>red blood cell transfusions</w:t>
      </w:r>
      <w:r w:rsidRPr="00DA3BD0">
        <w:t>, as documented by the following criteria:</w:t>
      </w:r>
    </w:p>
    <w:p w14:paraId="5B4E587E" w14:textId="44825970" w:rsidR="00DA3BD0" w:rsidRPr="00DA3BD0" w:rsidRDefault="001F1EA6" w:rsidP="00094F65">
      <w:pPr>
        <w:pStyle w:val="ListBullet2"/>
      </w:pPr>
      <w:r>
        <w:t>a</w:t>
      </w:r>
      <w:r w:rsidR="00DA3BD0" w:rsidRPr="00DA3BD0">
        <w:t>verage transfusion requirement of ≥</w:t>
      </w:r>
      <w:r w:rsidR="00073B4A">
        <w:t> </w:t>
      </w:r>
      <w:r w:rsidR="00DA3BD0" w:rsidRPr="00DA3BD0">
        <w:t xml:space="preserve">2 units/8 weeks of packed </w:t>
      </w:r>
      <w:r>
        <w:t>red blood cells</w:t>
      </w:r>
      <w:r w:rsidR="00DA3BD0" w:rsidRPr="00DA3BD0">
        <w:t xml:space="preserve"> confirmed for a minimum of 16 weeks immediately preceding randomisation.</w:t>
      </w:r>
    </w:p>
    <w:p w14:paraId="67A5ADD7" w14:textId="373B478D" w:rsidR="00DA3BD0" w:rsidRPr="00DA3BD0" w:rsidRDefault="001F1EA6" w:rsidP="00094F65">
      <w:pPr>
        <w:pStyle w:val="ListBullet2"/>
      </w:pPr>
      <w:r>
        <w:t>h</w:t>
      </w:r>
      <w:r w:rsidR="00DA3BD0" w:rsidRPr="00DA3BD0">
        <w:t xml:space="preserve">aemoglobin levels at the time of or within 7 days prior to administration of </w:t>
      </w:r>
      <w:r>
        <w:t xml:space="preserve">red blood cell </w:t>
      </w:r>
      <w:r w:rsidR="00DA3BD0" w:rsidRPr="00DA3BD0">
        <w:t>transfusion must have been ≤</w:t>
      </w:r>
      <w:r w:rsidR="00B67203">
        <w:t> </w:t>
      </w:r>
      <w:r w:rsidR="00DA3BD0" w:rsidRPr="00DA3BD0">
        <w:t xml:space="preserve">10.0 g/dL </w:t>
      </w:r>
      <w:proofErr w:type="gramStart"/>
      <w:r w:rsidR="00DA3BD0" w:rsidRPr="00DA3BD0">
        <w:t>in order for</w:t>
      </w:r>
      <w:proofErr w:type="gramEnd"/>
      <w:r w:rsidR="00DA3BD0" w:rsidRPr="00DA3BD0">
        <w:t xml:space="preserve"> the transfusion to be counted towards meeting eligibility criteria. Red blood cell transfusions administered when Hgb levels were &gt;</w:t>
      </w:r>
      <w:r w:rsidR="00B67203">
        <w:t> </w:t>
      </w:r>
      <w:r w:rsidR="00DA3BD0" w:rsidRPr="00DA3BD0">
        <w:t xml:space="preserve">10 g/dL and/or </w:t>
      </w:r>
      <w:r>
        <w:t>red blood cell</w:t>
      </w:r>
      <w:r w:rsidR="00DA3BD0" w:rsidRPr="00DA3BD0">
        <w:t xml:space="preserve"> transfusions administered for elective surgery did not qualify as a required transfusion for the purpose of meeting eligibility criteria.</w:t>
      </w:r>
    </w:p>
    <w:p w14:paraId="5A0B09AA" w14:textId="2F7DD0A3" w:rsidR="00DA3BD0" w:rsidRPr="00DA3BD0" w:rsidRDefault="001F1EA6" w:rsidP="00094F65">
      <w:pPr>
        <w:pStyle w:val="ListBullet2"/>
      </w:pPr>
      <w:r>
        <w:t>n</w:t>
      </w:r>
      <w:r w:rsidR="00DA3BD0" w:rsidRPr="00DA3BD0">
        <w:t xml:space="preserve">o consecutive 56-day </w:t>
      </w:r>
      <w:r>
        <w:t>p</w:t>
      </w:r>
      <w:r w:rsidR="00F60F0D" w:rsidRPr="00DA3BD0">
        <w:t xml:space="preserve">eriod </w:t>
      </w:r>
      <w:r w:rsidR="00DA3BD0" w:rsidRPr="00DA3BD0">
        <w:t xml:space="preserve">that was </w:t>
      </w:r>
      <w:r>
        <w:t>red blood cell</w:t>
      </w:r>
      <w:r w:rsidR="00DA3BD0" w:rsidRPr="00DA3BD0">
        <w:t xml:space="preserve"> transfusion free during the 16 weeks immediately preceding randomisation.</w:t>
      </w:r>
    </w:p>
    <w:p w14:paraId="747EA28F" w14:textId="77777777" w:rsidR="00DA3BD0" w:rsidRPr="001F1EA6" w:rsidRDefault="00DA3BD0" w:rsidP="001F1EA6">
      <w:r w:rsidRPr="001F1EA6">
        <w:t>The main exclusion criteria were:</w:t>
      </w:r>
    </w:p>
    <w:p w14:paraId="392F460E" w14:textId="235F5A40" w:rsidR="00DA3BD0" w:rsidRPr="00DA3BD0" w:rsidRDefault="00DA3BD0" w:rsidP="001F1EA6">
      <w:pPr>
        <w:pStyle w:val="ListBullet"/>
      </w:pPr>
      <w:r w:rsidRPr="00DA3BD0">
        <w:t>Prior therapy with disease</w:t>
      </w:r>
      <w:r w:rsidR="00DF160B">
        <w:t xml:space="preserve"> </w:t>
      </w:r>
      <w:r w:rsidRPr="00DA3BD0">
        <w:t xml:space="preserve">modifying agents for underlying </w:t>
      </w:r>
      <w:r w:rsidR="00C838D7">
        <w:t>myelodysplastic syndrome</w:t>
      </w:r>
      <w:r w:rsidR="001F1EA6">
        <w:t xml:space="preserve"> disease f</w:t>
      </w:r>
      <w:r w:rsidR="00DF160B">
        <w:t>or example</w:t>
      </w:r>
      <w:r w:rsidRPr="00DA3BD0">
        <w:t xml:space="preserve">, immunomodulatory drugs </w:t>
      </w:r>
      <w:r w:rsidR="001F1EA6">
        <w:t>(such as lenalidomide</w:t>
      </w:r>
      <w:r w:rsidRPr="00DA3BD0">
        <w:t xml:space="preserve">, </w:t>
      </w:r>
      <w:r w:rsidR="001F1EA6">
        <w:t>hypomethylating agents</w:t>
      </w:r>
      <w:r w:rsidRPr="00DA3BD0">
        <w:t xml:space="preserve">, or immunosuppressive therapy). Subjects who previously received </w:t>
      </w:r>
      <w:r w:rsidR="001F1EA6">
        <w:t>h</w:t>
      </w:r>
      <w:r w:rsidR="001F1EA6" w:rsidRPr="001F1EA6">
        <w:t>ypomethylating agents </w:t>
      </w:r>
      <w:r w:rsidRPr="001F1EA6">
        <w:t>or lenalidomide may have been enrolled at the investigator’s discretion contingent that</w:t>
      </w:r>
      <w:r w:rsidRPr="00DA3BD0">
        <w:t xml:space="preserve"> the subject received no more than </w:t>
      </w:r>
      <w:r w:rsidR="00444F7A">
        <w:t>two</w:t>
      </w:r>
      <w:r w:rsidR="00444F7A" w:rsidRPr="00DA3BD0">
        <w:t xml:space="preserve"> </w:t>
      </w:r>
      <w:r w:rsidRPr="00DA3BD0">
        <w:t xml:space="preserve">doses of </w:t>
      </w:r>
      <w:r w:rsidR="001F1EA6">
        <w:t>h</w:t>
      </w:r>
      <w:r w:rsidR="001F1EA6" w:rsidRPr="001F1EA6">
        <w:t>ypomethylating agents </w:t>
      </w:r>
      <w:r w:rsidRPr="00DA3BD0">
        <w:t xml:space="preserve">or no more than </w:t>
      </w:r>
      <w:r w:rsidR="00444F7A">
        <w:t>one</w:t>
      </w:r>
      <w:r w:rsidR="00444F7A" w:rsidRPr="00DA3BD0">
        <w:t xml:space="preserve"> </w:t>
      </w:r>
      <w:r w:rsidRPr="00DA3BD0">
        <w:t xml:space="preserve">calendar week of treatment with lenalidomide. The last dose must have been </w:t>
      </w:r>
      <w:r w:rsidR="00444F7A" w:rsidRPr="00DA3BD0">
        <w:t>≥</w:t>
      </w:r>
      <w:r w:rsidR="00444F7A">
        <w:t> </w:t>
      </w:r>
      <w:r w:rsidRPr="00DA3BD0">
        <w:t>5 weeks from the date of randomisation.</w:t>
      </w:r>
    </w:p>
    <w:p w14:paraId="659F5589" w14:textId="1C54FA3C" w:rsidR="00DA3BD0" w:rsidRPr="00DA3BD0" w:rsidRDefault="00DA3BD0" w:rsidP="00DF160B">
      <w:pPr>
        <w:pStyle w:val="ListBullet"/>
      </w:pPr>
      <w:r w:rsidRPr="00DA3BD0">
        <w:t>Previously treated with eith</w:t>
      </w:r>
      <w:r w:rsidR="001F1EA6">
        <w:t xml:space="preserve">er </w:t>
      </w:r>
      <w:proofErr w:type="spellStart"/>
      <w:r w:rsidR="001F1EA6">
        <w:t>luspatercept</w:t>
      </w:r>
      <w:proofErr w:type="spellEnd"/>
      <w:r w:rsidR="001F1EA6">
        <w:t xml:space="preserve"> or </w:t>
      </w:r>
      <w:proofErr w:type="spellStart"/>
      <w:r w:rsidR="001F1EA6">
        <w:t>sotatercept</w:t>
      </w:r>
      <w:proofErr w:type="spellEnd"/>
      <w:r w:rsidR="001F1EA6">
        <w:t>.</w:t>
      </w:r>
    </w:p>
    <w:p w14:paraId="2CA1496E" w14:textId="41C40D19" w:rsidR="00DA3BD0" w:rsidRPr="00DA3BD0" w:rsidRDefault="001F1EA6" w:rsidP="00DF160B">
      <w:pPr>
        <w:pStyle w:val="ListBullet"/>
      </w:pPr>
      <w:r>
        <w:t>Myelodysplastic syndrome</w:t>
      </w:r>
      <w:r w:rsidR="00DA3BD0" w:rsidRPr="00DA3BD0">
        <w:t xml:space="preserve"> associated with del(5q) cytogenetic abnormality.</w:t>
      </w:r>
    </w:p>
    <w:p w14:paraId="428AC093" w14:textId="1C1620C5" w:rsidR="00DA3BD0" w:rsidRPr="00DA3BD0" w:rsidRDefault="00DA3BD0" w:rsidP="00DF160B">
      <w:pPr>
        <w:pStyle w:val="ListBullet"/>
      </w:pPr>
      <w:r w:rsidRPr="00DA3BD0">
        <w:t xml:space="preserve">Secondary </w:t>
      </w:r>
      <w:r w:rsidR="00C838D7">
        <w:t>myelodysplastic syndrome</w:t>
      </w:r>
      <w:r w:rsidRPr="00DA3BD0">
        <w:t xml:space="preserve">, </w:t>
      </w:r>
      <w:r w:rsidR="000116FE">
        <w:t>that is</w:t>
      </w:r>
      <w:r w:rsidRPr="00DA3BD0">
        <w:t xml:space="preserve">, </w:t>
      </w:r>
      <w:r w:rsidR="00C838D7">
        <w:t>myelodysplastic syndrome</w:t>
      </w:r>
      <w:r w:rsidRPr="00DA3BD0">
        <w:t xml:space="preserve"> that was known to have arisen as the result of chemical injury or treatment with chemotherapy and/or radiation for other diseases.</w:t>
      </w:r>
    </w:p>
    <w:p w14:paraId="600AA968" w14:textId="47BD2CC3" w:rsidR="00DA3BD0" w:rsidRPr="00DA3BD0" w:rsidRDefault="00DA3BD0" w:rsidP="00DF160B">
      <w:pPr>
        <w:pStyle w:val="ListBullet"/>
      </w:pPr>
      <w:r w:rsidRPr="00DA3BD0">
        <w:t xml:space="preserve">Known clinically significant anaemia due to iron, vitamin B12, or folate deficiencies, or autoimmune or hereditary haemolytic anaemia, or gastrointestinal bleeding. Iron deficiency to be determined by serum ferritin </w:t>
      </w:r>
      <w:r w:rsidR="00270C00" w:rsidRPr="00DA3BD0">
        <w:t>≤</w:t>
      </w:r>
      <w:r w:rsidR="00270C00">
        <w:t> </w:t>
      </w:r>
      <w:r w:rsidRPr="00DA3BD0">
        <w:t>15</w:t>
      </w:r>
      <w:r w:rsidRPr="001F1EA6">
        <w:t xml:space="preserve"> </w:t>
      </w:r>
      <w:proofErr w:type="spellStart"/>
      <w:r w:rsidR="0079570F" w:rsidRPr="001F1EA6">
        <w:t>μ</w:t>
      </w:r>
      <w:r w:rsidRPr="001F1EA6">
        <w:t>g</w:t>
      </w:r>
      <w:proofErr w:type="spellEnd"/>
      <w:r w:rsidRPr="00DA3BD0">
        <w:t>/L and additional testing if clinically indicated (</w:t>
      </w:r>
      <w:r w:rsidR="001F1EA6">
        <w:t>f</w:t>
      </w:r>
      <w:r w:rsidR="00270C00">
        <w:t>or example</w:t>
      </w:r>
      <w:r w:rsidRPr="00DA3BD0">
        <w:t>, cal</w:t>
      </w:r>
      <w:r w:rsidR="001F1EA6">
        <w:t>culated transferrin saturation (</w:t>
      </w:r>
      <w:r w:rsidRPr="00DA3BD0">
        <w:t xml:space="preserve">iron/total iron binding capacity </w:t>
      </w:r>
      <w:r w:rsidR="00270C00" w:rsidRPr="00DA3BD0">
        <w:t>≤</w:t>
      </w:r>
      <w:r w:rsidR="00270C00">
        <w:t> </w:t>
      </w:r>
      <w:r w:rsidR="001F1EA6">
        <w:t>20%)</w:t>
      </w:r>
      <w:r w:rsidRPr="00DA3BD0">
        <w:t xml:space="preserve"> or bone marrow aspirate stain for iron).</w:t>
      </w:r>
    </w:p>
    <w:p w14:paraId="1411EB1A" w14:textId="495785A9" w:rsidR="00DA3BD0" w:rsidRPr="00DA3BD0" w:rsidRDefault="00DA3BD0" w:rsidP="00DF160B">
      <w:pPr>
        <w:pStyle w:val="ListBullet"/>
      </w:pPr>
      <w:r w:rsidRPr="00DA3BD0">
        <w:t>Prior allogeneic or autologous stem cell transplant.</w:t>
      </w:r>
    </w:p>
    <w:p w14:paraId="0E7502A4" w14:textId="409EF568" w:rsidR="00DA3BD0" w:rsidRPr="00DA3BD0" w:rsidRDefault="00DA3BD0" w:rsidP="00DF160B">
      <w:pPr>
        <w:pStyle w:val="ListBullet"/>
      </w:pPr>
      <w:r w:rsidRPr="00DA3BD0">
        <w:t xml:space="preserve">Known history of diagnosis of </w:t>
      </w:r>
      <w:r w:rsidR="001F1EA6">
        <w:t>acute myeloid leukaemia.</w:t>
      </w:r>
    </w:p>
    <w:p w14:paraId="6E684F43" w14:textId="77777777" w:rsidR="000A5E1B" w:rsidRDefault="00DA3BD0" w:rsidP="00DF160B">
      <w:pPr>
        <w:pStyle w:val="ListBullet"/>
      </w:pPr>
      <w:r w:rsidRPr="00DA3BD0">
        <w:t xml:space="preserve">Use of any of the following within 5 weeks prior to randomisation: </w:t>
      </w:r>
    </w:p>
    <w:p w14:paraId="03770330" w14:textId="2DE08075" w:rsidR="000A5E1B" w:rsidRDefault="001F1EA6" w:rsidP="000A5E1B">
      <w:pPr>
        <w:pStyle w:val="ListBullet2"/>
      </w:pPr>
      <w:r>
        <w:t>a</w:t>
      </w:r>
      <w:r w:rsidR="00DA3BD0" w:rsidRPr="00DA3BD0">
        <w:t xml:space="preserve">nticancer cytotoxic chemotherapeutic agent or </w:t>
      </w:r>
      <w:proofErr w:type="gramStart"/>
      <w:r w:rsidR="00DA3BD0" w:rsidRPr="00DA3BD0">
        <w:t>treatment;</w:t>
      </w:r>
      <w:proofErr w:type="gramEnd"/>
      <w:r w:rsidR="00DA3BD0" w:rsidRPr="00DA3BD0">
        <w:t xml:space="preserve"> </w:t>
      </w:r>
    </w:p>
    <w:p w14:paraId="7E6822E9" w14:textId="143D9027" w:rsidR="000A5E1B" w:rsidRDefault="001F1EA6" w:rsidP="000A5E1B">
      <w:pPr>
        <w:pStyle w:val="ListBullet2"/>
      </w:pPr>
      <w:r>
        <w:t>c</w:t>
      </w:r>
      <w:r w:rsidR="00DA3BD0" w:rsidRPr="00DA3BD0">
        <w:t>orticosteroid</w:t>
      </w:r>
      <w:r>
        <w:t>s</w:t>
      </w:r>
      <w:r w:rsidR="00DA3BD0" w:rsidRPr="00DA3BD0">
        <w:t>, except for subjects on a stable or decreasing dose for ≥</w:t>
      </w:r>
      <w:r w:rsidR="00057C9F">
        <w:t> </w:t>
      </w:r>
      <w:r w:rsidR="00DA3BD0" w:rsidRPr="00DA3BD0">
        <w:t xml:space="preserve">1 week prior to randomisation for medical conditions other than </w:t>
      </w:r>
      <w:r w:rsidR="00C838D7">
        <w:t xml:space="preserve">myelodysplastic </w:t>
      </w:r>
      <w:proofErr w:type="gramStart"/>
      <w:r w:rsidR="00C838D7">
        <w:t>syndrome</w:t>
      </w:r>
      <w:r w:rsidR="00DA3BD0" w:rsidRPr="00DA3BD0">
        <w:t>;</w:t>
      </w:r>
      <w:proofErr w:type="gramEnd"/>
    </w:p>
    <w:p w14:paraId="3F32E1D6" w14:textId="3BF56C6A" w:rsidR="000A5E1B" w:rsidRDefault="001F1EA6" w:rsidP="000A5E1B">
      <w:pPr>
        <w:pStyle w:val="ListBullet2"/>
      </w:pPr>
      <w:r>
        <w:t>i</w:t>
      </w:r>
      <w:r w:rsidR="00DA3BD0" w:rsidRPr="00DA3BD0">
        <w:t>ron chelation therapy, except for subjects on a stable or decreasing dose for at least 8</w:t>
      </w:r>
      <w:r w:rsidR="00057C9F">
        <w:t> </w:t>
      </w:r>
      <w:r w:rsidR="00DA3BD0" w:rsidRPr="00DA3BD0">
        <w:t xml:space="preserve">weeks prior to </w:t>
      </w:r>
      <w:proofErr w:type="gramStart"/>
      <w:r w:rsidR="00DA3BD0" w:rsidRPr="00DA3BD0">
        <w:t>randomisation;</w:t>
      </w:r>
      <w:proofErr w:type="gramEnd"/>
    </w:p>
    <w:p w14:paraId="44E32D38" w14:textId="0BDF5234" w:rsidR="000A5E1B" w:rsidRDefault="001F1EA6" w:rsidP="000A5E1B">
      <w:pPr>
        <w:pStyle w:val="ListBullet2"/>
      </w:pPr>
      <w:r>
        <w:t>other red blood cell</w:t>
      </w:r>
      <w:r w:rsidR="00DA3BD0" w:rsidRPr="00DA3BD0">
        <w:t xml:space="preserve"> haematopoietic growth factors (</w:t>
      </w:r>
      <w:r>
        <w:t>f</w:t>
      </w:r>
      <w:r w:rsidR="00057C9F">
        <w:t>or example</w:t>
      </w:r>
      <w:r>
        <w:t>, interleukin (IL)</w:t>
      </w:r>
      <w:r>
        <w:noBreakHyphen/>
      </w:r>
      <w:r w:rsidR="00DA3BD0" w:rsidRPr="00DA3BD0">
        <w:t>3</w:t>
      </w:r>
      <w:proofErr w:type="gramStart"/>
      <w:r w:rsidR="00DA3BD0" w:rsidRPr="00DA3BD0">
        <w:t>);</w:t>
      </w:r>
      <w:proofErr w:type="gramEnd"/>
    </w:p>
    <w:p w14:paraId="3F2698D4" w14:textId="5EA0331C" w:rsidR="00DA3BD0" w:rsidRDefault="00DA3BD0" w:rsidP="000A5E1B">
      <w:pPr>
        <w:pStyle w:val="ListBullet2"/>
      </w:pPr>
      <w:r w:rsidRPr="00DA3BD0">
        <w:t xml:space="preserve">Investigational drug or device, or approved therapy for investigational use. If the half-life of the previous study drug was known, the use of it within </w:t>
      </w:r>
      <w:r w:rsidR="00057C9F">
        <w:t>five</w:t>
      </w:r>
      <w:r w:rsidR="00057C9F" w:rsidRPr="00DA3BD0">
        <w:t xml:space="preserve"> </w:t>
      </w:r>
      <w:r w:rsidRPr="00DA3BD0">
        <w:t xml:space="preserve">times the half-life prior to randomisation or within </w:t>
      </w:r>
      <w:r w:rsidR="004F3115">
        <w:t>five</w:t>
      </w:r>
      <w:r w:rsidR="004F3115" w:rsidRPr="00DA3BD0">
        <w:t xml:space="preserve"> </w:t>
      </w:r>
      <w:r w:rsidRPr="00DA3BD0">
        <w:t>weeks, whichever is longer, was excluded.</w:t>
      </w:r>
    </w:p>
    <w:p w14:paraId="5EDEAE70" w14:textId="59C617D7" w:rsidR="003A581A" w:rsidRPr="00DA3BD0" w:rsidRDefault="001F1EA6" w:rsidP="001F1EA6">
      <w:r>
        <w:t>P</w:t>
      </w:r>
      <w:r w:rsidR="003A581A">
        <w:t xml:space="preserve">articipant flow </w:t>
      </w:r>
      <w:r>
        <w:t xml:space="preserve">for this study </w:t>
      </w:r>
      <w:r w:rsidR="003A581A">
        <w:t xml:space="preserve">is depicted in </w:t>
      </w:r>
      <w:r w:rsidR="003A581A">
        <w:fldChar w:fldCharType="begin"/>
      </w:r>
      <w:r w:rsidR="003A581A">
        <w:instrText xml:space="preserve"> REF _Ref90298259 \h </w:instrText>
      </w:r>
      <w:r w:rsidR="003A581A">
        <w:fldChar w:fldCharType="separate"/>
      </w:r>
      <w:r w:rsidR="003A581A">
        <w:t xml:space="preserve">Figure </w:t>
      </w:r>
      <w:r w:rsidR="003A581A">
        <w:rPr>
          <w:noProof/>
        </w:rPr>
        <w:t>2</w:t>
      </w:r>
      <w:r w:rsidR="003A581A">
        <w:fldChar w:fldCharType="end"/>
      </w:r>
      <w:r>
        <w:t>, below</w:t>
      </w:r>
      <w:r w:rsidR="002B6D44">
        <w:t>.</w:t>
      </w:r>
    </w:p>
    <w:p w14:paraId="5699DAFE" w14:textId="42D59868" w:rsidR="00DA3BD0" w:rsidRDefault="004F3115" w:rsidP="00F44A28">
      <w:pPr>
        <w:pStyle w:val="FigureTitle"/>
      </w:pPr>
      <w:bookmarkStart w:id="55" w:name="_Ref90298259"/>
      <w:r>
        <w:t xml:space="preserve">Figure </w:t>
      </w:r>
      <w:fldSimple w:instr=" SEQ Figure \* ARABIC ">
        <w:r w:rsidR="001B11D8">
          <w:rPr>
            <w:noProof/>
          </w:rPr>
          <w:t>2</w:t>
        </w:r>
      </w:fldSimple>
      <w:bookmarkEnd w:id="55"/>
      <w:r>
        <w:t xml:space="preserve">: </w:t>
      </w:r>
      <w:r w:rsidR="00665782">
        <w:t>S</w:t>
      </w:r>
      <w:r w:rsidR="004333ED" w:rsidRPr="004333ED">
        <w:t>tudy ACE-536-MDS-001</w:t>
      </w:r>
      <w:r w:rsidR="00F44A28">
        <w:t xml:space="preserve"> </w:t>
      </w:r>
      <w:r w:rsidR="00DA3BD0" w:rsidRPr="00DA3BD0">
        <w:t xml:space="preserve">Participant </w:t>
      </w:r>
      <w:r w:rsidR="00AA0C32">
        <w:t>f</w:t>
      </w:r>
      <w:r w:rsidR="00AA0C32" w:rsidRPr="00DA3BD0">
        <w:t>low</w:t>
      </w:r>
    </w:p>
    <w:p w14:paraId="609F8612" w14:textId="57B9FC21" w:rsidR="004F3115" w:rsidRDefault="004F3115" w:rsidP="004F4A0F">
      <w:r>
        <w:rPr>
          <w:noProof/>
          <w:lang w:val="en-GB" w:eastAsia="en-GB"/>
        </w:rPr>
        <w:drawing>
          <wp:inline distT="0" distB="0" distL="0" distR="0" wp14:anchorId="34E4D832" wp14:editId="7F6B57E4">
            <wp:extent cx="5342890" cy="4746556"/>
            <wp:effectExtent l="0" t="0" r="0" b="0"/>
            <wp:docPr id="2" name="Picture 2" descr="Diagram detailing the allocation of participants in the Phase 3 Study ACE-536-MDS-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tailing the allocation of participants in the Phase 3 Study ACE-536-MDS-001 "/>
                    <pic:cNvPicPr/>
                  </pic:nvPicPr>
                  <pic:blipFill rotWithShape="1">
                    <a:blip r:embed="rId18">
                      <a:extLst>
                        <a:ext uri="{28A0092B-C50C-407E-A947-70E740481C1C}">
                          <a14:useLocalDpi xmlns:a14="http://schemas.microsoft.com/office/drawing/2010/main" val="0"/>
                        </a:ext>
                      </a:extLst>
                    </a:blip>
                    <a:srcRect t="494" r="1051" b="1196"/>
                    <a:stretch/>
                  </pic:blipFill>
                  <pic:spPr bwMode="auto">
                    <a:xfrm>
                      <a:off x="0" y="0"/>
                      <a:ext cx="5343308" cy="4746927"/>
                    </a:xfrm>
                    <a:prstGeom prst="rect">
                      <a:avLst/>
                    </a:prstGeom>
                    <a:ln>
                      <a:noFill/>
                    </a:ln>
                    <a:extLst>
                      <a:ext uri="{53640926-AAD7-44D8-BBD7-CCE9431645EC}">
                        <a14:shadowObscured xmlns:a14="http://schemas.microsoft.com/office/drawing/2010/main"/>
                      </a:ext>
                    </a:extLst>
                  </pic:spPr>
                </pic:pic>
              </a:graphicData>
            </a:graphic>
          </wp:inline>
        </w:drawing>
      </w:r>
    </w:p>
    <w:p w14:paraId="28B9AF6F" w14:textId="77777777" w:rsidR="004B345A" w:rsidRPr="00A6678C" w:rsidRDefault="004B345A" w:rsidP="00133DA9">
      <w:pPr>
        <w:pStyle w:val="Heading6"/>
      </w:pPr>
      <w:r w:rsidRPr="00A6678C">
        <w:t>Results for the primary and key secondary efficacy outcomes</w:t>
      </w:r>
    </w:p>
    <w:p w14:paraId="768BF1F0" w14:textId="3C230142" w:rsidR="004B345A" w:rsidRDefault="00133DA9" w:rsidP="004B345A">
      <w:r w:rsidRPr="00133DA9">
        <w:rPr>
          <w:bCs/>
          <w:i/>
        </w:rPr>
        <w:t>Red blood cell transfusion independence for 8 or more weeks</w:t>
      </w:r>
      <w:r w:rsidR="004B345A">
        <w:t xml:space="preserve">: A statistically significantly and clinically meaningfully greater proportion of </w:t>
      </w:r>
      <w:proofErr w:type="spellStart"/>
      <w:r w:rsidR="004B345A">
        <w:t>luspatercept</w:t>
      </w:r>
      <w:proofErr w:type="spellEnd"/>
      <w:r w:rsidR="004B345A">
        <w:t xml:space="preserve">-treated subjects achieved </w:t>
      </w:r>
      <w:r>
        <w:t>red blood cell transfusion independence</w:t>
      </w:r>
      <w:r w:rsidR="004B345A">
        <w:t xml:space="preserve"> ≥</w:t>
      </w:r>
      <w:r w:rsidR="005477FA">
        <w:t> </w:t>
      </w:r>
      <w:r w:rsidR="004B345A">
        <w:t xml:space="preserve">8 weeks from Week 1 through Week 24 compared with placebo (37.91% </w:t>
      </w:r>
      <w:r w:rsidR="005477FA">
        <w:t xml:space="preserve">versus </w:t>
      </w:r>
      <w:r w:rsidR="004B345A">
        <w:t>13.16%, p</w:t>
      </w:r>
      <w:r w:rsidR="005477FA">
        <w:t> </w:t>
      </w:r>
      <w:r w:rsidR="004B345A">
        <w:t>&lt;</w:t>
      </w:r>
      <w:r w:rsidR="005477FA">
        <w:t> </w:t>
      </w:r>
      <w:r w:rsidR="004B345A">
        <w:t xml:space="preserve">0.0001). This benefit was also observed when measured from Week 1 through Week 48 (45.10% </w:t>
      </w:r>
      <w:r w:rsidR="00552BB8">
        <w:t xml:space="preserve">versus </w:t>
      </w:r>
      <w:r w:rsidR="004B345A">
        <w:t xml:space="preserve">15.79%, p &lt; 0.0001) see </w:t>
      </w:r>
      <w:r w:rsidR="002D343A">
        <w:fldChar w:fldCharType="begin"/>
      </w:r>
      <w:r w:rsidR="002D343A">
        <w:instrText xml:space="preserve"> REF _Ref90298531 \h </w:instrText>
      </w:r>
      <w:r w:rsidR="002D343A">
        <w:fldChar w:fldCharType="separate"/>
      </w:r>
      <w:r w:rsidR="002D343A">
        <w:t xml:space="preserve">Table </w:t>
      </w:r>
      <w:r w:rsidR="002D343A">
        <w:rPr>
          <w:noProof/>
        </w:rPr>
        <w:t>4</w:t>
      </w:r>
      <w:r w:rsidR="002D343A">
        <w:fldChar w:fldCharType="end"/>
      </w:r>
      <w:r w:rsidR="004B345A">
        <w:t>.</w:t>
      </w:r>
    </w:p>
    <w:p w14:paraId="71CD825D" w14:textId="04BBA970" w:rsidR="004B345A" w:rsidRDefault="004B345A" w:rsidP="004B345A">
      <w:r>
        <w:t xml:space="preserve">A rapid onset of effect with </w:t>
      </w:r>
      <w:proofErr w:type="spellStart"/>
      <w:r>
        <w:t>luspatercept</w:t>
      </w:r>
      <w:proofErr w:type="spellEnd"/>
      <w:r>
        <w:t xml:space="preserve"> was observed among the subjects who achieved </w:t>
      </w:r>
      <w:r w:rsidR="00133DA9">
        <w:t xml:space="preserve">red blood cell transfusion independence </w:t>
      </w:r>
      <w:r>
        <w:t>of ≥</w:t>
      </w:r>
      <w:r w:rsidR="00F86E9A">
        <w:t> </w:t>
      </w:r>
      <w:r>
        <w:t>8 weeks du</w:t>
      </w:r>
      <w:r w:rsidR="00133DA9">
        <w:t>ring Week 1 to Week 24 in Study </w:t>
      </w:r>
      <w:r>
        <w:t>ACE-536-MDS-001 (start of the response period occ</w:t>
      </w:r>
      <w:r w:rsidR="00133DA9">
        <w:t>urred in a median of 1.0 and 17 </w:t>
      </w:r>
      <w:r>
        <w:t xml:space="preserve">days after the first dose in the </w:t>
      </w:r>
      <w:proofErr w:type="spellStart"/>
      <w:r>
        <w:t>luspatercept</w:t>
      </w:r>
      <w:proofErr w:type="spellEnd"/>
      <w:r>
        <w:t xml:space="preserve"> and placebo groups, respectively).</w:t>
      </w:r>
    </w:p>
    <w:p w14:paraId="740F257D" w14:textId="3F0FA75A" w:rsidR="004B345A" w:rsidRDefault="004B345A" w:rsidP="004B345A">
      <w:r>
        <w:t xml:space="preserve">Among the subjects who achieved </w:t>
      </w:r>
      <w:r w:rsidR="008F26A5">
        <w:t>red blood cell transfusion independence</w:t>
      </w:r>
      <w:r>
        <w:t xml:space="preserve"> of ≥</w:t>
      </w:r>
      <w:r w:rsidR="008F26A5">
        <w:t> </w:t>
      </w:r>
      <w:r>
        <w:t>8</w:t>
      </w:r>
      <w:r w:rsidR="008F26A5">
        <w:t> </w:t>
      </w:r>
      <w:r>
        <w:t xml:space="preserve">weeks during Week 1 to Week 24, 34.5% (20/58) of subjects in the </w:t>
      </w:r>
      <w:proofErr w:type="spellStart"/>
      <w:r>
        <w:t>luspatercept</w:t>
      </w:r>
      <w:proofErr w:type="spellEnd"/>
      <w:r>
        <w:t xml:space="preserve"> </w:t>
      </w:r>
      <w:proofErr w:type="gramStart"/>
      <w:r>
        <w:t>group maintained</w:t>
      </w:r>
      <w:proofErr w:type="gramEnd"/>
      <w:r>
        <w:t xml:space="preserve"> response at the last evaluation; the Kaplan-Meier estimate of the median duration of </w:t>
      </w:r>
      <w:r w:rsidR="00133DA9">
        <w:t xml:space="preserve">red blood cell transfusion independence </w:t>
      </w:r>
      <w:r>
        <w:t xml:space="preserve">based on the longest single episode of </w:t>
      </w:r>
      <w:r w:rsidR="00133DA9">
        <w:t>red blood cell transfusion independence was 30.6 weeks (</w:t>
      </w:r>
      <w:r>
        <w:t>95%</w:t>
      </w:r>
      <w:r w:rsidR="00F47507">
        <w:t> </w:t>
      </w:r>
      <w:r w:rsidR="00133DA9">
        <w:t>CI: 20.6, 40.6)</w:t>
      </w:r>
      <w:r>
        <w:t xml:space="preserve"> in the </w:t>
      </w:r>
      <w:proofErr w:type="spellStart"/>
      <w:r>
        <w:t>luspatercept</w:t>
      </w:r>
      <w:proofErr w:type="spellEnd"/>
      <w:r>
        <w:t xml:space="preserve"> group.</w:t>
      </w:r>
    </w:p>
    <w:p w14:paraId="44821B4A" w14:textId="0B0C0545" w:rsidR="000951EE" w:rsidRDefault="000951EE" w:rsidP="000951EE">
      <w:pPr>
        <w:pStyle w:val="TableTitle"/>
      </w:pPr>
      <w:bookmarkStart w:id="56" w:name="_Ref90298531"/>
      <w:r>
        <w:t xml:space="preserve">Table </w:t>
      </w:r>
      <w:fldSimple w:instr=" SEQ Table \* ARABIC ">
        <w:r w:rsidR="001B11D8">
          <w:rPr>
            <w:noProof/>
          </w:rPr>
          <w:t>4</w:t>
        </w:r>
      </w:fldSimple>
      <w:bookmarkEnd w:id="56"/>
      <w:r>
        <w:t xml:space="preserve">: </w:t>
      </w:r>
      <w:r w:rsidR="00133DA9">
        <w:t>Study ACE-536-MDS-001</w:t>
      </w:r>
      <w:r w:rsidR="001D23CC">
        <w:t xml:space="preserve"> </w:t>
      </w:r>
      <w:r>
        <w:t xml:space="preserve">Summary of </w:t>
      </w:r>
      <w:r w:rsidR="001D23CC">
        <w:t>o</w:t>
      </w:r>
      <w:r>
        <w:t xml:space="preserve">verall </w:t>
      </w:r>
      <w:r w:rsidR="001D23CC">
        <w:t>e</w:t>
      </w:r>
      <w:r>
        <w:t xml:space="preserve">fficacy </w:t>
      </w:r>
      <w:r w:rsidR="001D23CC">
        <w:t>d</w:t>
      </w:r>
      <w:r>
        <w:t xml:space="preserve">ata </w:t>
      </w:r>
    </w:p>
    <w:p w14:paraId="538BFCD8" w14:textId="5409539E" w:rsidR="000951EE" w:rsidRDefault="00793F76" w:rsidP="004F4A0F">
      <w:r>
        <w:rPr>
          <w:noProof/>
          <w:lang w:val="en-GB" w:eastAsia="en-GB"/>
        </w:rPr>
        <w:drawing>
          <wp:inline distT="0" distB="0" distL="0" distR="0" wp14:anchorId="04D9C1B9" wp14:editId="3D5A2510">
            <wp:extent cx="5400040" cy="5076190"/>
            <wp:effectExtent l="0" t="0" r="0" b="0"/>
            <wp:docPr id="18" name="Picture 18" descr="Summary of overall efficacy data of the Study ACE-536-MD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mmary of overall efficacy data of the Study ACE-536-MDS-001"/>
                    <pic:cNvPicPr/>
                  </pic:nvPicPr>
                  <pic:blipFill>
                    <a:blip r:embed="rId19">
                      <a:extLst>
                        <a:ext uri="{28A0092B-C50C-407E-A947-70E740481C1C}">
                          <a14:useLocalDpi xmlns:a14="http://schemas.microsoft.com/office/drawing/2010/main" val="0"/>
                        </a:ext>
                      </a:extLst>
                    </a:blip>
                    <a:stretch>
                      <a:fillRect/>
                    </a:stretch>
                  </pic:blipFill>
                  <pic:spPr>
                    <a:xfrm>
                      <a:off x="0" y="0"/>
                      <a:ext cx="5400040" cy="5076190"/>
                    </a:xfrm>
                    <a:prstGeom prst="rect">
                      <a:avLst/>
                    </a:prstGeom>
                  </pic:spPr>
                </pic:pic>
              </a:graphicData>
            </a:graphic>
          </wp:inline>
        </w:drawing>
      </w:r>
    </w:p>
    <w:p w14:paraId="041E286C" w14:textId="25F41BB7" w:rsidR="004B345A" w:rsidRDefault="00133DA9" w:rsidP="004B345A">
      <w:r w:rsidRPr="00133DA9">
        <w:rPr>
          <w:i/>
        </w:rPr>
        <w:t>Red blood cell transfusion independence of 12 or more weeks</w:t>
      </w:r>
      <w:r w:rsidR="004B345A">
        <w:t xml:space="preserve">: A statistically significantly greater proportion of </w:t>
      </w:r>
      <w:proofErr w:type="spellStart"/>
      <w:r w:rsidR="004B345A">
        <w:t>luspate</w:t>
      </w:r>
      <w:r>
        <w:t>rcept</w:t>
      </w:r>
      <w:proofErr w:type="spellEnd"/>
      <w:r>
        <w:t xml:space="preserve">-treated subjects achieved red blood cell transfusion independence </w:t>
      </w:r>
      <w:r w:rsidR="004B345A">
        <w:t>of ≥</w:t>
      </w:r>
      <w:r w:rsidR="00FE38C3">
        <w:t> </w:t>
      </w:r>
      <w:r w:rsidR="004B345A">
        <w:t>12 weeks from Week 1 through Week 24 compared with placebo (28.10% versus 7.89%, respectively; p</w:t>
      </w:r>
      <w:r w:rsidR="00FE38C3">
        <w:t> </w:t>
      </w:r>
      <w:r w:rsidR="004B345A">
        <w:t xml:space="preserve">= 0.0002). This benefit was also observed when measured from Week 1 through Week 48 (33.33% </w:t>
      </w:r>
      <w:r w:rsidR="00FE38C3">
        <w:t xml:space="preserve">versus </w:t>
      </w:r>
      <w:r w:rsidR="004B345A">
        <w:t>11.84%, p</w:t>
      </w:r>
      <w:r w:rsidR="00FE38C3">
        <w:t> </w:t>
      </w:r>
      <w:r w:rsidR="004B345A">
        <w:t>= 0.0003).</w:t>
      </w:r>
    </w:p>
    <w:p w14:paraId="14015C07" w14:textId="283E6846" w:rsidR="004B345A" w:rsidRDefault="004B345A" w:rsidP="004B345A">
      <w:r w:rsidRPr="00133DA9">
        <w:rPr>
          <w:bCs/>
          <w:i/>
        </w:rPr>
        <w:t>Modified Haematologic Improvement – Erythroid (</w:t>
      </w:r>
      <w:proofErr w:type="spellStart"/>
      <w:r w:rsidRPr="00133DA9">
        <w:rPr>
          <w:bCs/>
          <w:i/>
        </w:rPr>
        <w:t>mHI</w:t>
      </w:r>
      <w:proofErr w:type="spellEnd"/>
      <w:r w:rsidRPr="00133DA9">
        <w:rPr>
          <w:bCs/>
          <w:i/>
        </w:rPr>
        <w:t>-E</w:t>
      </w:r>
      <w:r w:rsidRPr="00133DA9">
        <w:rPr>
          <w:bCs/>
        </w:rPr>
        <w:t>)</w:t>
      </w:r>
      <w:r>
        <w:t xml:space="preserve">: For subjects with baseline </w:t>
      </w:r>
      <w:r w:rsidR="00133DA9">
        <w:t>red blood cell</w:t>
      </w:r>
      <w:r>
        <w:t xml:space="preserve"> transfusion burden of ≥</w:t>
      </w:r>
      <w:r w:rsidR="00D14739">
        <w:t> </w:t>
      </w:r>
      <w:r>
        <w:t xml:space="preserve">4 units/8 weeks, </w:t>
      </w:r>
      <w:proofErr w:type="spellStart"/>
      <w:r>
        <w:t>mHI</w:t>
      </w:r>
      <w:proofErr w:type="spellEnd"/>
      <w:r>
        <w:t xml:space="preserve">-E was defined as a reduction in </w:t>
      </w:r>
      <w:r w:rsidR="00133DA9">
        <w:t>red blood cell</w:t>
      </w:r>
      <w:r>
        <w:t xml:space="preserve"> transfusion of at least 4</w:t>
      </w:r>
      <w:r w:rsidR="00D808EE">
        <w:t> </w:t>
      </w:r>
      <w:r>
        <w:t xml:space="preserve">units/8 weeks; for subjects with baseline </w:t>
      </w:r>
      <w:r w:rsidR="00133DA9">
        <w:t>red blood cell</w:t>
      </w:r>
      <w:r>
        <w:t xml:space="preserve"> transfusion burden of &lt;</w:t>
      </w:r>
      <w:r w:rsidR="00D808EE">
        <w:t> </w:t>
      </w:r>
      <w:r>
        <w:t xml:space="preserve">4 units/8 weeks, </w:t>
      </w:r>
      <w:proofErr w:type="spellStart"/>
      <w:r>
        <w:t>mHI</w:t>
      </w:r>
      <w:proofErr w:type="spellEnd"/>
      <w:r>
        <w:t>-E was defined as a mean increase in haemoglobin of ≥</w:t>
      </w:r>
      <w:r w:rsidR="00D808EE">
        <w:t> </w:t>
      </w:r>
      <w:r>
        <w:t xml:space="preserve">1.5 g/dL for 8 weeks in the absence of </w:t>
      </w:r>
      <w:r w:rsidR="00133DA9">
        <w:t>red blood cell</w:t>
      </w:r>
      <w:r>
        <w:t xml:space="preserve"> transfusions.</w:t>
      </w:r>
    </w:p>
    <w:p w14:paraId="13343324" w14:textId="1C85DEA9" w:rsidR="004B345A" w:rsidRDefault="004B345A" w:rsidP="004B345A">
      <w:r>
        <w:t xml:space="preserve">A significantly greater proportion of subjects in the </w:t>
      </w:r>
      <w:proofErr w:type="spellStart"/>
      <w:r>
        <w:t>luspatercept</w:t>
      </w:r>
      <w:proofErr w:type="spellEnd"/>
      <w:r>
        <w:t xml:space="preserve"> treatment group than in the placebo group achieved </w:t>
      </w:r>
      <w:proofErr w:type="spellStart"/>
      <w:r>
        <w:t>mHI</w:t>
      </w:r>
      <w:proofErr w:type="spellEnd"/>
      <w:r>
        <w:t xml:space="preserve">-E between Weeks 1 through 24 (52.9% </w:t>
      </w:r>
      <w:r w:rsidR="00D808EE">
        <w:t xml:space="preserve">versus </w:t>
      </w:r>
      <w:r>
        <w:t>11.8%, nominal p</w:t>
      </w:r>
      <w:r w:rsidR="003F3BC4">
        <w:t> </w:t>
      </w:r>
      <w:r>
        <w:t>&lt;</w:t>
      </w:r>
      <w:r w:rsidR="003F3BC4">
        <w:t> </w:t>
      </w:r>
      <w:r>
        <w:t xml:space="preserve">0.0001) and between Weeks 1 through 48 (58.8% </w:t>
      </w:r>
      <w:r w:rsidR="003F3BC4">
        <w:t xml:space="preserve">versus </w:t>
      </w:r>
      <w:r>
        <w:t>17.1%, nominal p</w:t>
      </w:r>
      <w:r w:rsidR="003F3BC4">
        <w:t> </w:t>
      </w:r>
      <w:r>
        <w:t>&lt;</w:t>
      </w:r>
      <w:r w:rsidR="003F3BC4">
        <w:t> </w:t>
      </w:r>
      <w:r>
        <w:t xml:space="preserve">0.0001). Among subjects who achieved </w:t>
      </w:r>
      <w:proofErr w:type="spellStart"/>
      <w:r>
        <w:t>mHI</w:t>
      </w:r>
      <w:proofErr w:type="spellEnd"/>
      <w:r>
        <w:t xml:space="preserve">-E during Weeks 1 through 24 or Weeks 1 through 48, the median time to achieve </w:t>
      </w:r>
      <w:proofErr w:type="spellStart"/>
      <w:r>
        <w:t>mHI</w:t>
      </w:r>
      <w:proofErr w:type="spellEnd"/>
      <w:r>
        <w:t xml:space="preserve">-E was shorter in the </w:t>
      </w:r>
      <w:proofErr w:type="spellStart"/>
      <w:r>
        <w:t>luspatercept</w:t>
      </w:r>
      <w:proofErr w:type="spellEnd"/>
      <w:r>
        <w:t xml:space="preserve"> treatment group (1.0 and 3.0 days, respectively) than the placebo group (22.0 and 81.0 days, respectively).</w:t>
      </w:r>
    </w:p>
    <w:p w14:paraId="150A5D26" w14:textId="16921742" w:rsidR="004D2A3E" w:rsidRPr="00340956" w:rsidRDefault="00340956" w:rsidP="004B345A">
      <w:pPr>
        <w:rPr>
          <w:bCs/>
          <w:i/>
        </w:rPr>
      </w:pPr>
      <w:r>
        <w:rPr>
          <w:bCs/>
          <w:i/>
        </w:rPr>
        <w:t>Serum ferritin l</w:t>
      </w:r>
      <w:r w:rsidR="004B345A" w:rsidRPr="00340956">
        <w:rPr>
          <w:bCs/>
          <w:i/>
        </w:rPr>
        <w:t>evels</w:t>
      </w:r>
      <w:r>
        <w:rPr>
          <w:bCs/>
          <w:i/>
        </w:rPr>
        <w:t xml:space="preserve">: </w:t>
      </w:r>
      <w:r w:rsidR="004B345A">
        <w:t xml:space="preserve">A reduction in mean serum ferritin levels was observed from baseline in the </w:t>
      </w:r>
      <w:proofErr w:type="spellStart"/>
      <w:r w:rsidR="004B345A">
        <w:t>luspatercept</w:t>
      </w:r>
      <w:proofErr w:type="spellEnd"/>
      <w:r w:rsidR="004B345A">
        <w:t xml:space="preserve"> arm compared to an increase in the </w:t>
      </w:r>
      <w:r>
        <w:t>placebo at both Weeks 9 through 24 (-2.7 </w:t>
      </w:r>
      <w:proofErr w:type="spellStart"/>
      <w:r w:rsidR="0079570F" w:rsidRPr="00340956">
        <w:rPr>
          <w:iCs/>
        </w:rPr>
        <w:t>μ</w:t>
      </w:r>
      <w:r w:rsidR="004B345A">
        <w:t>g</w:t>
      </w:r>
      <w:proofErr w:type="spellEnd"/>
      <w:r w:rsidR="004B345A">
        <w:t xml:space="preserve">/L versus +226.5 </w:t>
      </w:r>
      <w:proofErr w:type="spellStart"/>
      <w:r w:rsidR="0079570F" w:rsidRPr="00340956">
        <w:rPr>
          <w:iCs/>
        </w:rPr>
        <w:t>μ</w:t>
      </w:r>
      <w:r w:rsidR="004B345A">
        <w:t>g</w:t>
      </w:r>
      <w:proofErr w:type="spellEnd"/>
      <w:r w:rsidR="004B345A">
        <w:t>/L, p</w:t>
      </w:r>
      <w:r w:rsidR="00A45DB5">
        <w:t> </w:t>
      </w:r>
      <w:r w:rsidR="004B345A">
        <w:t>=</w:t>
      </w:r>
      <w:r w:rsidR="00A45DB5">
        <w:t> </w:t>
      </w:r>
      <w:r w:rsidR="004B345A">
        <w:t>0.0024) and Week</w:t>
      </w:r>
      <w:r>
        <w:t xml:space="preserve">s 33 through </w:t>
      </w:r>
      <w:r w:rsidR="004B345A">
        <w:t xml:space="preserve">48 (-72.0 </w:t>
      </w:r>
      <w:proofErr w:type="spellStart"/>
      <w:r w:rsidR="0079570F" w:rsidRPr="00340956">
        <w:rPr>
          <w:iCs/>
        </w:rPr>
        <w:t>μ</w:t>
      </w:r>
      <w:r w:rsidR="004B345A">
        <w:t>g</w:t>
      </w:r>
      <w:proofErr w:type="spellEnd"/>
      <w:r w:rsidR="004B345A">
        <w:t xml:space="preserve">/L versus +247.4 </w:t>
      </w:r>
      <w:proofErr w:type="spellStart"/>
      <w:r w:rsidR="0079570F" w:rsidRPr="00340956">
        <w:rPr>
          <w:iCs/>
        </w:rPr>
        <w:t>μ</w:t>
      </w:r>
      <w:r w:rsidR="004B345A">
        <w:t>g</w:t>
      </w:r>
      <w:proofErr w:type="spellEnd"/>
      <w:r w:rsidR="004B345A">
        <w:t>/L, p</w:t>
      </w:r>
      <w:r w:rsidR="00A45DB5">
        <w:t> </w:t>
      </w:r>
      <w:r w:rsidR="004B345A">
        <w:t>=</w:t>
      </w:r>
      <w:r w:rsidR="00A45DB5">
        <w:t> </w:t>
      </w:r>
      <w:r w:rsidR="004B345A">
        <w:t xml:space="preserve">0.0294) which resulted in a least square mean treatment difference of -229.1 </w:t>
      </w:r>
      <w:proofErr w:type="spellStart"/>
      <w:r w:rsidR="0079570F" w:rsidRPr="00340956">
        <w:rPr>
          <w:iCs/>
        </w:rPr>
        <w:t>μ</w:t>
      </w:r>
      <w:r w:rsidR="004B345A">
        <w:t>g</w:t>
      </w:r>
      <w:proofErr w:type="spellEnd"/>
      <w:r w:rsidR="004B345A">
        <w:t>/L (95% CI: -375.8, -82.4) and -319.5</w:t>
      </w:r>
      <w:r w:rsidR="004B345A" w:rsidRPr="00340956">
        <w:t xml:space="preserve"> </w:t>
      </w:r>
      <w:proofErr w:type="spellStart"/>
      <w:r w:rsidR="0079570F" w:rsidRPr="00340956">
        <w:rPr>
          <w:iCs/>
        </w:rPr>
        <w:t>μ</w:t>
      </w:r>
      <w:r w:rsidR="004B345A" w:rsidRPr="00340956">
        <w:t>g</w:t>
      </w:r>
      <w:proofErr w:type="spellEnd"/>
      <w:r w:rsidR="004B345A">
        <w:t>/L (95% CI: -606.3, -32.7), respectively.</w:t>
      </w:r>
    </w:p>
    <w:p w14:paraId="4E690630" w14:textId="71D9D931" w:rsidR="00944B68" w:rsidRDefault="00944B68" w:rsidP="004B345A">
      <w:r w:rsidRPr="00944B68">
        <w:t xml:space="preserve">Shown </w:t>
      </w:r>
      <w:r w:rsidR="008A6093">
        <w:t xml:space="preserve">in </w:t>
      </w:r>
      <w:r w:rsidR="008A6093">
        <w:fldChar w:fldCharType="begin"/>
      </w:r>
      <w:r w:rsidR="008A6093">
        <w:instrText xml:space="preserve"> REF _Ref90299668 \h </w:instrText>
      </w:r>
      <w:r w:rsidR="008A6093">
        <w:fldChar w:fldCharType="separate"/>
      </w:r>
      <w:r w:rsidR="008A6093">
        <w:t xml:space="preserve">Figure </w:t>
      </w:r>
      <w:r w:rsidR="008A6093">
        <w:rPr>
          <w:noProof/>
        </w:rPr>
        <w:t>3</w:t>
      </w:r>
      <w:r w:rsidR="008A6093">
        <w:fldChar w:fldCharType="end"/>
      </w:r>
      <w:r w:rsidR="008A6093" w:rsidRPr="00944B68">
        <w:t xml:space="preserve"> </w:t>
      </w:r>
      <w:r w:rsidRPr="00944B68">
        <w:t>are the percentages of patients who had independence from red</w:t>
      </w:r>
      <w:r w:rsidR="008A6093">
        <w:t xml:space="preserve"> </w:t>
      </w:r>
      <w:r w:rsidRPr="00944B68">
        <w:t>cell transfusion (defined as the absence of a red</w:t>
      </w:r>
      <w:r w:rsidR="00391F49">
        <w:t xml:space="preserve"> </w:t>
      </w:r>
      <w:r w:rsidRPr="00944B68">
        <w:t>cell transfusion) for the indicated time periods in each trial group. In the analysis of the primary end point (transfusion independence for ≥</w:t>
      </w:r>
      <w:r w:rsidR="00391F49">
        <w:t> </w:t>
      </w:r>
      <w:r w:rsidR="00340956">
        <w:t>8 weeks during W</w:t>
      </w:r>
      <w:r w:rsidRPr="00944B68">
        <w:t xml:space="preserve">eeks 1 through 24), the odds ratio for </w:t>
      </w:r>
      <w:proofErr w:type="spellStart"/>
      <w:r w:rsidRPr="00944B68">
        <w:t>luspatercept</w:t>
      </w:r>
      <w:proofErr w:type="spellEnd"/>
      <w:r w:rsidRPr="00944B68">
        <w:t xml:space="preserve"> as compared with placebo was 5.07 (95% CI</w:t>
      </w:r>
      <w:r w:rsidR="00FC1CAA" w:rsidRPr="00944B68">
        <w:t xml:space="preserve">, </w:t>
      </w:r>
      <w:r w:rsidRPr="00944B68">
        <w:t>2.28 to 11.26). For the key secondary end point of transfusion independence for 12</w:t>
      </w:r>
      <w:r w:rsidR="00D63C03">
        <w:t> </w:t>
      </w:r>
      <w:r w:rsidRPr="00944B68">
        <w:t>weeks or longer, the odds ratio was 5.07 (95% CI, 2.00 to 12.</w:t>
      </w:r>
      <w:r w:rsidR="00340956">
        <w:t>84) for the analysis period of W</w:t>
      </w:r>
      <w:r w:rsidRPr="00944B68">
        <w:t xml:space="preserve">eeks 1 through 24 and 4.05 (95% CI, 1.83 to 8.96) for the analysis </w:t>
      </w:r>
      <w:r w:rsidR="00340956">
        <w:t>period of Weeks 1 through 48. P</w:t>
      </w:r>
      <w:r w:rsidR="00340956">
        <w:noBreakHyphen/>
      </w:r>
      <w:r w:rsidRPr="00944B68">
        <w:t>values were determined with the use of a Cochran–Mantel–Haenszel test with stratification for average baseline red-cell transfusion burden (≥</w:t>
      </w:r>
      <w:r w:rsidR="00FC1CAA">
        <w:t> </w:t>
      </w:r>
      <w:r w:rsidRPr="00944B68">
        <w:t>6 units per 8</w:t>
      </w:r>
      <w:r w:rsidR="004E27FF">
        <w:t> </w:t>
      </w:r>
      <w:r w:rsidRPr="00944B68">
        <w:t xml:space="preserve">weeks </w:t>
      </w:r>
      <w:r w:rsidR="00FC1CAA">
        <w:t>versus</w:t>
      </w:r>
      <w:r w:rsidRPr="00944B68">
        <w:t xml:space="preserve"> &lt;</w:t>
      </w:r>
      <w:r w:rsidR="00FC1CAA">
        <w:t> </w:t>
      </w:r>
      <w:r w:rsidRPr="00944B68">
        <w:t>6 units per 8</w:t>
      </w:r>
      <w:r w:rsidR="004E27FF">
        <w:t> </w:t>
      </w:r>
      <w:r w:rsidRPr="00944B68">
        <w:t xml:space="preserve">weeks) and baseline </w:t>
      </w:r>
      <w:r w:rsidR="004E27FF">
        <w:t>r</w:t>
      </w:r>
      <w:r w:rsidR="004E27FF" w:rsidRPr="00944B68">
        <w:t xml:space="preserve">evised </w:t>
      </w:r>
      <w:r w:rsidR="004E27FF">
        <w:t>i</w:t>
      </w:r>
      <w:r w:rsidR="004E27FF" w:rsidRPr="00944B68">
        <w:t xml:space="preserve">nternational </w:t>
      </w:r>
      <w:r w:rsidR="004E27FF">
        <w:t>p</w:t>
      </w:r>
      <w:r w:rsidR="004E27FF" w:rsidRPr="00944B68">
        <w:t xml:space="preserve">rognostic </w:t>
      </w:r>
      <w:r w:rsidR="004E27FF">
        <w:t>s</w:t>
      </w:r>
      <w:r w:rsidR="004E27FF" w:rsidRPr="00944B68">
        <w:t xml:space="preserve">coring </w:t>
      </w:r>
      <w:r w:rsidR="004E27FF">
        <w:t>s</w:t>
      </w:r>
      <w:r w:rsidR="004E27FF" w:rsidRPr="00944B68">
        <w:t xml:space="preserve">ystem </w:t>
      </w:r>
      <w:r w:rsidRPr="00944B68">
        <w:t xml:space="preserve">score (very low or low risk </w:t>
      </w:r>
      <w:r w:rsidR="004E27FF">
        <w:t>versus</w:t>
      </w:r>
      <w:r w:rsidRPr="00944B68">
        <w:t xml:space="preserve"> intermediate risk). An analysis that applied the new </w:t>
      </w:r>
      <w:r w:rsidR="008C48BF">
        <w:t>IWG</w:t>
      </w:r>
      <w:r w:rsidRPr="00944B68">
        <w:t xml:space="preserve"> 2018 response criteria</w:t>
      </w:r>
      <w:r w:rsidR="008C48BF">
        <w:t> </w:t>
      </w:r>
      <w:r w:rsidRPr="00944B68">
        <w:t>33 with transfusion independence for 16 weeks or longer was also conducted.</w:t>
      </w:r>
    </w:p>
    <w:p w14:paraId="4045D2E5" w14:textId="17E2E68C" w:rsidR="00944B68" w:rsidRDefault="003829EE" w:rsidP="008A6093">
      <w:pPr>
        <w:pStyle w:val="FigureTitle"/>
      </w:pPr>
      <w:bookmarkStart w:id="57" w:name="_Ref90299668"/>
      <w:r>
        <w:t xml:space="preserve">Figure </w:t>
      </w:r>
      <w:fldSimple w:instr=" SEQ Figure \* ARABIC ">
        <w:r w:rsidR="001B11D8">
          <w:rPr>
            <w:noProof/>
          </w:rPr>
          <w:t>3</w:t>
        </w:r>
      </w:fldSimple>
      <w:bookmarkEnd w:id="57"/>
      <w:r>
        <w:t xml:space="preserve">: </w:t>
      </w:r>
      <w:bookmarkStart w:id="58" w:name="_Hlk90631111"/>
      <w:r w:rsidR="00B2692B" w:rsidRPr="00B2692B">
        <w:t>Study ACE-536-MDS-001</w:t>
      </w:r>
      <w:bookmarkEnd w:id="58"/>
      <w:r w:rsidR="00B2692B">
        <w:t xml:space="preserve"> </w:t>
      </w:r>
      <w:r w:rsidR="00944B68" w:rsidRPr="00944B68">
        <w:t xml:space="preserve">Independence from </w:t>
      </w:r>
      <w:r w:rsidR="00B2692B">
        <w:t>r</w:t>
      </w:r>
      <w:r w:rsidR="00944B68" w:rsidRPr="00944B68">
        <w:t>ed-</w:t>
      </w:r>
      <w:r w:rsidR="00B2692B">
        <w:t>c</w:t>
      </w:r>
      <w:r w:rsidR="00944B68" w:rsidRPr="00944B68">
        <w:t xml:space="preserve">ell </w:t>
      </w:r>
      <w:r w:rsidR="00B2692B">
        <w:t>t</w:t>
      </w:r>
      <w:r w:rsidR="00340956">
        <w:t>ransfusion</w:t>
      </w:r>
    </w:p>
    <w:p w14:paraId="144289BA" w14:textId="24CAEDA9" w:rsidR="00944B68" w:rsidRDefault="008C48BF" w:rsidP="004B345A">
      <w:r>
        <w:rPr>
          <w:noProof/>
          <w:lang w:val="en-GB" w:eastAsia="en-GB"/>
        </w:rPr>
        <w:drawing>
          <wp:inline distT="0" distB="0" distL="0" distR="0" wp14:anchorId="180C3095" wp14:editId="25C3198A">
            <wp:extent cx="5400040" cy="2759103"/>
            <wp:effectExtent l="0" t="0" r="0" b="3175"/>
            <wp:docPr id="5" name="Picture 5" descr="Percentages of patients who did not have  a red cell transfusion (independence from red cell transfusion) for the indicated time periods in each trial group of Study ACE-536-MDS-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rcentages of patients who did not have  a red cell transfusion (independence from red cell transfusion) for the indicated time periods in each trial group of Study ACE-536-MDS-001. "/>
                    <pic:cNvPicPr/>
                  </pic:nvPicPr>
                  <pic:blipFill rotWithShape="1">
                    <a:blip r:embed="rId20">
                      <a:extLst>
                        <a:ext uri="{28A0092B-C50C-407E-A947-70E740481C1C}">
                          <a14:useLocalDpi xmlns:a14="http://schemas.microsoft.com/office/drawing/2010/main" val="0"/>
                        </a:ext>
                      </a:extLst>
                    </a:blip>
                    <a:srcRect b="1338"/>
                    <a:stretch/>
                  </pic:blipFill>
                  <pic:spPr bwMode="auto">
                    <a:xfrm>
                      <a:off x="0" y="0"/>
                      <a:ext cx="5400040" cy="2759103"/>
                    </a:xfrm>
                    <a:prstGeom prst="rect">
                      <a:avLst/>
                    </a:prstGeom>
                    <a:ln>
                      <a:noFill/>
                    </a:ln>
                    <a:extLst>
                      <a:ext uri="{53640926-AAD7-44D8-BBD7-CCE9431645EC}">
                        <a14:shadowObscured xmlns:a14="http://schemas.microsoft.com/office/drawing/2010/main"/>
                      </a:ext>
                    </a:extLst>
                  </pic:spPr>
                </pic:pic>
              </a:graphicData>
            </a:graphic>
          </wp:inline>
        </w:drawing>
      </w:r>
    </w:p>
    <w:p w14:paraId="37092B8F" w14:textId="1573E01D" w:rsidR="00944B68" w:rsidRDefault="00944B68" w:rsidP="00944B68">
      <w:r>
        <w:t xml:space="preserve">In Study ACE-536-MDS-001, a significantly greater proportion of subjects had a mean </w:t>
      </w:r>
      <w:r w:rsidR="00340956">
        <w:t>haemoglobin</w:t>
      </w:r>
      <w:r>
        <w:t xml:space="preserve"> increase of ≥</w:t>
      </w:r>
      <w:r w:rsidR="002F1F43">
        <w:t> </w:t>
      </w:r>
      <w:r>
        <w:t>1.0 g/dL sustained for ≥</w:t>
      </w:r>
      <w:r w:rsidR="002F1F43">
        <w:t> </w:t>
      </w:r>
      <w:r>
        <w:t xml:space="preserve">8 weeks in the absence of </w:t>
      </w:r>
      <w:r w:rsidR="00340956">
        <w:t>red blood cell</w:t>
      </w:r>
      <w:r>
        <w:t xml:space="preserve"> transfusion in the </w:t>
      </w:r>
      <w:proofErr w:type="spellStart"/>
      <w:r>
        <w:t>luspatercept</w:t>
      </w:r>
      <w:proofErr w:type="spellEnd"/>
      <w:r>
        <w:t xml:space="preserve"> group than in the placebo </w:t>
      </w:r>
      <w:r w:rsidR="00340956">
        <w:t>group during Week 1 to Week 24 (</w:t>
      </w:r>
      <w:r>
        <w:t xml:space="preserve">35.3% (54/153) </w:t>
      </w:r>
      <w:r w:rsidR="002F1F43">
        <w:t xml:space="preserve">versus </w:t>
      </w:r>
      <w:r w:rsidR="00340956">
        <w:t>7.9% (6/76)) and during Week 1 to Week 48 (</w:t>
      </w:r>
      <w:r>
        <w:t xml:space="preserve">41.2% (63/153) </w:t>
      </w:r>
      <w:r w:rsidR="002F1F43">
        <w:t xml:space="preserve">versus </w:t>
      </w:r>
      <w:r w:rsidR="00340956">
        <w:t>10.5% (8/76)).</w:t>
      </w:r>
    </w:p>
    <w:p w14:paraId="3CF5168D" w14:textId="19698437" w:rsidR="00944B68" w:rsidRDefault="003829EE" w:rsidP="008A6093">
      <w:pPr>
        <w:pStyle w:val="FigureTitle"/>
      </w:pPr>
      <w:r>
        <w:t xml:space="preserve">Figure </w:t>
      </w:r>
      <w:fldSimple w:instr=" SEQ Figure \* ARABIC ">
        <w:r w:rsidR="001B11D8">
          <w:rPr>
            <w:noProof/>
          </w:rPr>
          <w:t>4</w:t>
        </w:r>
      </w:fldSimple>
      <w:r>
        <w:t xml:space="preserve">: </w:t>
      </w:r>
      <w:r w:rsidR="00DC2794" w:rsidRPr="00B2692B">
        <w:t>Study ACE-536-MDS-001</w:t>
      </w:r>
      <w:r w:rsidR="00DC2794">
        <w:t xml:space="preserve"> </w:t>
      </w:r>
      <w:r w:rsidR="00944B68">
        <w:t xml:space="preserve">Mean (+/- </w:t>
      </w:r>
      <w:r w:rsidR="00A37085">
        <w:t>standard error</w:t>
      </w:r>
      <w:r w:rsidR="00944B68">
        <w:t>) observed values in haemoglobin by time point from baseline through week</w:t>
      </w:r>
      <w:r w:rsidR="00D63C03">
        <w:t> </w:t>
      </w:r>
      <w:r w:rsidR="00340956">
        <w:t>48 (intention to treat population)</w:t>
      </w:r>
    </w:p>
    <w:p w14:paraId="3D853DEF" w14:textId="7963DE68" w:rsidR="007351F8" w:rsidRDefault="003C5AA6" w:rsidP="004F4A0F">
      <w:r>
        <w:rPr>
          <w:noProof/>
          <w:lang w:val="en-GB" w:eastAsia="en-GB"/>
        </w:rPr>
        <w:drawing>
          <wp:inline distT="0" distB="0" distL="0" distR="0" wp14:anchorId="32390655" wp14:editId="22D3DB4C">
            <wp:extent cx="5324475" cy="3736975"/>
            <wp:effectExtent l="0" t="0" r="9525" b="0"/>
            <wp:docPr id="1" name="Picture 1" descr="Examination of haemoglobin values over time in Study ACE-536-MDS-001 showed that subjects in the &#10;luspatercept group had greater and sustained increases in haemoglobin levels starting at eight days after the &#10;first dose compared with the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ination of haemoglobin values over time in Study ACE-536-MDS-001 showed that subjects in the &#10;luspatercept group had greater and sustained increases in haemoglobin levels starting at eight days after the &#10;first dose compared with the placebo group."/>
                    <pic:cNvPicPr/>
                  </pic:nvPicPr>
                  <pic:blipFill rotWithShape="1">
                    <a:blip r:embed="rId21"/>
                    <a:srcRect l="1059" t="2243" r="341"/>
                    <a:stretch/>
                  </pic:blipFill>
                  <pic:spPr bwMode="auto">
                    <a:xfrm>
                      <a:off x="0" y="0"/>
                      <a:ext cx="5324475" cy="3736975"/>
                    </a:xfrm>
                    <a:prstGeom prst="rect">
                      <a:avLst/>
                    </a:prstGeom>
                    <a:ln>
                      <a:noFill/>
                    </a:ln>
                    <a:extLst>
                      <a:ext uri="{53640926-AAD7-44D8-BBD7-CCE9431645EC}">
                        <a14:shadowObscured xmlns:a14="http://schemas.microsoft.com/office/drawing/2010/main"/>
                      </a:ext>
                    </a:extLst>
                  </pic:spPr>
                </pic:pic>
              </a:graphicData>
            </a:graphic>
          </wp:inline>
        </w:drawing>
      </w:r>
    </w:p>
    <w:p w14:paraId="07583DB6" w14:textId="45D497E0" w:rsidR="00FE0D3A" w:rsidRDefault="00FE0D3A" w:rsidP="00353711">
      <w:pPr>
        <w:pStyle w:val="FigureDescription"/>
      </w:pPr>
      <w:r>
        <w:t xml:space="preserve">C= Cycle; D = Day; Ext = Extension; ITT = </w:t>
      </w:r>
      <w:r w:rsidR="00353711">
        <w:t>Intent-to-treat; SE = Standard error of the mean</w:t>
      </w:r>
      <w:r w:rsidR="00A7019F">
        <w:t>.</w:t>
      </w:r>
    </w:p>
    <w:p w14:paraId="00C042F7" w14:textId="090E3F4C" w:rsidR="00A7019F" w:rsidRDefault="00A7019F" w:rsidP="00A7019F">
      <w:pPr>
        <w:pStyle w:val="FigureDescription"/>
      </w:pPr>
      <w:r>
        <w:t xml:space="preserve">Note: Baseline was defined (after applying the </w:t>
      </w:r>
      <w:proofErr w:type="gramStart"/>
      <w:r>
        <w:t>14/3 day</w:t>
      </w:r>
      <w:proofErr w:type="gramEnd"/>
      <w:r>
        <w:t xml:space="preserve"> rule) as the lowest of the </w:t>
      </w:r>
      <w:proofErr w:type="spellStart"/>
      <w:r>
        <w:t>pretreatment</w:t>
      </w:r>
      <w:proofErr w:type="spellEnd"/>
      <w:r>
        <w:t xml:space="preserve"> and/or baseline values from the central, local laboratory, or pretransfusion </w:t>
      </w:r>
      <w:r w:rsidR="00B5608B">
        <w:t>haemoglobin</w:t>
      </w:r>
      <w:r>
        <w:t xml:space="preserve"> from transfusion records that were within </w:t>
      </w:r>
      <w:r w:rsidR="00B5608B">
        <w:t>35 </w:t>
      </w:r>
      <w:r>
        <w:t xml:space="preserve">days on or prior to the first dose of investigational product. </w:t>
      </w:r>
      <w:r w:rsidR="00B5608B">
        <w:t>Haemoglobin</w:t>
      </w:r>
      <w:r>
        <w:t xml:space="preserve"> values within </w:t>
      </w:r>
      <w:r w:rsidR="00B5608B">
        <w:t>14 </w:t>
      </w:r>
      <w:r>
        <w:t xml:space="preserve">days after </w:t>
      </w:r>
      <w:proofErr w:type="gramStart"/>
      <w:r>
        <w:t>an</w:t>
      </w:r>
      <w:proofErr w:type="gramEnd"/>
      <w:r>
        <w:t xml:space="preserve"> </w:t>
      </w:r>
      <w:r w:rsidR="008F26A5">
        <w:t xml:space="preserve">red blood cell </w:t>
      </w:r>
      <w:r>
        <w:t xml:space="preserve">transfusion were excluded from the analysis unless the value was within </w:t>
      </w:r>
      <w:r w:rsidR="00B5608B">
        <w:t>3 </w:t>
      </w:r>
      <w:r>
        <w:t xml:space="preserve">days prior to another </w:t>
      </w:r>
      <w:r w:rsidR="008F26A5">
        <w:t xml:space="preserve">red blood cell </w:t>
      </w:r>
      <w:r>
        <w:t>transfusion.</w:t>
      </w:r>
    </w:p>
    <w:p w14:paraId="440B9081" w14:textId="16ECD1CC" w:rsidR="003C5AA6" w:rsidRDefault="00A7019F" w:rsidP="00340956">
      <w:pPr>
        <w:pStyle w:val="FigureDescription"/>
      </w:pPr>
      <w:r>
        <w:t xml:space="preserve">Note: As per protocol, entry into the Extension Phase was restricted to subjects who did not progress and demonstrated evidence of clinical benefit at </w:t>
      </w:r>
      <w:r w:rsidR="00AB162E">
        <w:t>Week </w:t>
      </w:r>
      <w:r>
        <w:t>25; thus, the few placebo</w:t>
      </w:r>
      <w:r w:rsidR="00AB162E">
        <w:t xml:space="preserve"> </w:t>
      </w:r>
      <w:r>
        <w:t>treated subjects who entered the Extension Phase (</w:t>
      </w:r>
      <w:r w:rsidR="00AB162E">
        <w:t>That is</w:t>
      </w:r>
      <w:r>
        <w:t>, beyond Week 25) represented a well</w:t>
      </w:r>
      <w:r w:rsidR="00AB162E">
        <w:t xml:space="preserve"> </w:t>
      </w:r>
      <w:r w:rsidR="00340956">
        <w:t>performing subset of subjects.</w:t>
      </w:r>
    </w:p>
    <w:p w14:paraId="304D1FDA" w14:textId="2EC04EDA" w:rsidR="00944B68" w:rsidRPr="008E5AF9" w:rsidRDefault="00944B68" w:rsidP="00340956">
      <w:pPr>
        <w:pStyle w:val="Heading6"/>
      </w:pPr>
      <w:r w:rsidRPr="008E5AF9">
        <w:t xml:space="preserve">Health-related </w:t>
      </w:r>
      <w:r w:rsidR="008E5AF9">
        <w:t>q</w:t>
      </w:r>
      <w:r w:rsidRPr="008E5AF9">
        <w:t xml:space="preserve">uality of </w:t>
      </w:r>
      <w:r w:rsidR="008E5AF9">
        <w:t>l</w:t>
      </w:r>
      <w:r w:rsidRPr="008E5AF9">
        <w:t xml:space="preserve">ife and </w:t>
      </w:r>
      <w:r w:rsidR="008E5AF9">
        <w:t>h</w:t>
      </w:r>
      <w:r w:rsidRPr="008E5AF9">
        <w:t xml:space="preserve">ealthcare </w:t>
      </w:r>
      <w:r w:rsidR="008E5AF9">
        <w:t>r</w:t>
      </w:r>
      <w:r w:rsidRPr="008E5AF9">
        <w:t xml:space="preserve">esource </w:t>
      </w:r>
      <w:r w:rsidR="008E5AF9">
        <w:t>u</w:t>
      </w:r>
      <w:r w:rsidR="008E5AF9" w:rsidRPr="008E5AF9">
        <w:t>tili</w:t>
      </w:r>
      <w:r w:rsidR="008E5AF9">
        <w:t>s</w:t>
      </w:r>
      <w:r w:rsidR="008E5AF9" w:rsidRPr="008E5AF9">
        <w:t xml:space="preserve">ation </w:t>
      </w:r>
      <w:r w:rsidR="008E5AF9">
        <w:t>e</w:t>
      </w:r>
      <w:r w:rsidRPr="008E5AF9">
        <w:t>ndpoints</w:t>
      </w:r>
    </w:p>
    <w:p w14:paraId="19CBC33E" w14:textId="760A7DFA" w:rsidR="00944B68" w:rsidRDefault="00944B68" w:rsidP="00944B68">
      <w:r>
        <w:t xml:space="preserve">The main </w:t>
      </w:r>
      <w:r w:rsidR="00340956">
        <w:t xml:space="preserve">health-related quality of life </w:t>
      </w:r>
      <w:r>
        <w:t>questionnaire used was the EORTC QLQ-C30.</w:t>
      </w:r>
      <w:r w:rsidR="00340956">
        <w:rPr>
          <w:rStyle w:val="FootnoteReference"/>
        </w:rPr>
        <w:footnoteReference w:id="46"/>
      </w:r>
    </w:p>
    <w:p w14:paraId="390DF239" w14:textId="1D56A957" w:rsidR="00944B68" w:rsidRDefault="00944B68" w:rsidP="00944B68">
      <w:r>
        <w:t>The</w:t>
      </w:r>
      <w:r w:rsidR="00340956" w:rsidRPr="00340956">
        <w:t xml:space="preserve"> </w:t>
      </w:r>
      <w:r w:rsidR="00340956">
        <w:t>health-related quality of life</w:t>
      </w:r>
      <w:r>
        <w:t xml:space="preserve">-evaluable population consisted of 225 subjects, 149 in the </w:t>
      </w:r>
      <w:proofErr w:type="spellStart"/>
      <w:r>
        <w:t>luspatercept</w:t>
      </w:r>
      <w:proofErr w:type="spellEnd"/>
      <w:r>
        <w:t xml:space="preserve"> group and 76 in the placebo group (only 4 subjects from the </w:t>
      </w:r>
      <w:proofErr w:type="spellStart"/>
      <w:r>
        <w:t>luspatercept</w:t>
      </w:r>
      <w:proofErr w:type="spellEnd"/>
      <w:r>
        <w:t xml:space="preserve"> treatment group were excluded).</w:t>
      </w:r>
    </w:p>
    <w:p w14:paraId="63E66075" w14:textId="46DAF655" w:rsidR="00944B68" w:rsidRDefault="00944B68" w:rsidP="00944B68">
      <w:r>
        <w:t xml:space="preserve">Mean scores were comparable at baseline between treatment groups across all domains of the EORTC QLQ-C30. No clinically meaningful changes from baseline were observed for both treatment groups across all the primary domains of interest over the </w:t>
      </w:r>
      <w:proofErr w:type="gramStart"/>
      <w:r>
        <w:t>24</w:t>
      </w:r>
      <w:r w:rsidR="004E0322">
        <w:t> </w:t>
      </w:r>
      <w:r>
        <w:t>week</w:t>
      </w:r>
      <w:proofErr w:type="gramEnd"/>
      <w:r>
        <w:t xml:space="preserve"> treatment </w:t>
      </w:r>
      <w:r w:rsidR="00340956">
        <w:t>p</w:t>
      </w:r>
      <w:r w:rsidR="00C93ED7">
        <w:t>hase</w:t>
      </w:r>
      <w:r>
        <w:t xml:space="preserve">. The distributions of observed change scores across the 5 primary domains of interest (fatigue, </w:t>
      </w:r>
      <w:r w:rsidR="004E0322">
        <w:t>dyspnoea</w:t>
      </w:r>
      <w:r>
        <w:t xml:space="preserve">, global health status, physical functioning, emotional functioning) and the scheduled visits within the </w:t>
      </w:r>
      <w:proofErr w:type="gramStart"/>
      <w:r>
        <w:t>24</w:t>
      </w:r>
      <w:r w:rsidR="00C93ED7">
        <w:t> </w:t>
      </w:r>
      <w:r>
        <w:t>week</w:t>
      </w:r>
      <w:proofErr w:type="gramEnd"/>
      <w:r>
        <w:t xml:space="preserve"> treatment </w:t>
      </w:r>
      <w:r w:rsidR="00340956">
        <w:t>p</w:t>
      </w:r>
      <w:r w:rsidR="00C93ED7">
        <w:t xml:space="preserve">hase </w:t>
      </w:r>
      <w:r>
        <w:t xml:space="preserve">showed that </w:t>
      </w:r>
      <w:r w:rsidR="00340956">
        <w:t>health-related quality of life</w:t>
      </w:r>
      <w:r>
        <w:t xml:space="preserve"> was maintained over time and comparable between treatment groups (</w:t>
      </w:r>
      <w:r w:rsidR="00C93ED7">
        <w:t>That is</w:t>
      </w:r>
      <w:r>
        <w:t>, no clinically meaningful changes).</w:t>
      </w:r>
    </w:p>
    <w:p w14:paraId="180F5C45" w14:textId="1609E872" w:rsidR="00944B68" w:rsidRDefault="00944B68" w:rsidP="00944B68">
      <w:r>
        <w:t xml:space="preserve">According to the applicant, maintenance of </w:t>
      </w:r>
      <w:r w:rsidR="00340956">
        <w:t>health-related quality of life</w:t>
      </w:r>
      <w:r>
        <w:t xml:space="preserve"> is a clinically relevant outcome in this population since </w:t>
      </w:r>
      <w:r w:rsidR="00340956">
        <w:t xml:space="preserve">health-related quality of life </w:t>
      </w:r>
      <w:r>
        <w:t xml:space="preserve">is expected to worsen over time in </w:t>
      </w:r>
      <w:r w:rsidR="00C838D7">
        <w:t>myelodysplastic syndrome</w:t>
      </w:r>
      <w:r>
        <w:t xml:space="preserve"> patients due to chronic transfusions.</w:t>
      </w:r>
      <w:r w:rsidR="002D4326">
        <w:rPr>
          <w:rStyle w:val="FootnoteReference"/>
        </w:rPr>
        <w:footnoteReference w:id="47"/>
      </w:r>
    </w:p>
    <w:p w14:paraId="7E7F81E8" w14:textId="408EDE83" w:rsidR="00C104CB" w:rsidRDefault="00C104CB" w:rsidP="00340956">
      <w:pPr>
        <w:pStyle w:val="Heading5"/>
      </w:pPr>
      <w:r>
        <w:t>Other supportive studies</w:t>
      </w:r>
    </w:p>
    <w:p w14:paraId="20538EE5" w14:textId="005090C9" w:rsidR="00944B68" w:rsidRDefault="00F00ED4" w:rsidP="00944B68">
      <w:r>
        <w:t>The Phase II, open-label, ascending dose s</w:t>
      </w:r>
      <w:r w:rsidR="00944B68">
        <w:t xml:space="preserve">tudy and </w:t>
      </w:r>
      <w:r>
        <w:t xml:space="preserve">Study </w:t>
      </w:r>
      <w:r w:rsidR="00377CE0">
        <w:t xml:space="preserve">A536-05, </w:t>
      </w:r>
      <w:r>
        <w:t>an open-label extension study, were evaluated and</w:t>
      </w:r>
      <w:r w:rsidR="00944B68">
        <w:t xml:space="preserve"> are considered supportive evidence for the efficacy of </w:t>
      </w:r>
      <w:proofErr w:type="spellStart"/>
      <w:r w:rsidR="00944B68">
        <w:t>luspatercept</w:t>
      </w:r>
      <w:proofErr w:type="spellEnd"/>
      <w:r w:rsidR="00944B68">
        <w:t xml:space="preserve"> by the clinical evaluator.</w:t>
      </w:r>
    </w:p>
    <w:p w14:paraId="409DBA23" w14:textId="5325A152" w:rsidR="00944B68" w:rsidRPr="002D24E3" w:rsidRDefault="00F00ED4" w:rsidP="00340956">
      <w:pPr>
        <w:pStyle w:val="Heading5"/>
      </w:pPr>
      <w:r>
        <w:t>Clinical evaluator’s conclusions</w:t>
      </w:r>
      <w:r w:rsidR="00377CE0">
        <w:t xml:space="preserve"> on efficacy</w:t>
      </w:r>
    </w:p>
    <w:p w14:paraId="7DFAAD79" w14:textId="15271E3B" w:rsidR="00944B68" w:rsidRDefault="00944B68" w:rsidP="00944B68">
      <w:r>
        <w:t xml:space="preserve">In </w:t>
      </w:r>
      <w:r w:rsidR="002D24E3">
        <w:t xml:space="preserve">the </w:t>
      </w:r>
      <w:r w:rsidR="00F00ED4">
        <w:t>Phase III</w:t>
      </w:r>
      <w:r>
        <w:t xml:space="preserve"> trial involving patients with lower-risk myelodysplastic syndromes with ring </w:t>
      </w:r>
      <w:proofErr w:type="spellStart"/>
      <w:r>
        <w:t>sideroblasts</w:t>
      </w:r>
      <w:proofErr w:type="spellEnd"/>
      <w:r>
        <w:t xml:space="preserve"> who had been receiving regular red cell transfusions and had disease that was refractory to or unlikely to respond to erythropoiesis stimulating agents or who had discontinued such agents owing to an adverse event, 38% of the patients in the </w:t>
      </w:r>
      <w:proofErr w:type="spellStart"/>
      <w:r>
        <w:t>luspatercept</w:t>
      </w:r>
      <w:proofErr w:type="spellEnd"/>
      <w:r>
        <w:t xml:space="preserve"> group met the primary end point of transfusion independence for 8 weeks or longer, as compared with 13% </w:t>
      </w:r>
      <w:r w:rsidR="00F00ED4">
        <w:t>of those in the placebo group (p</w:t>
      </w:r>
      <w:r w:rsidR="002D24E3">
        <w:t> </w:t>
      </w:r>
      <w:r>
        <w:t>&lt;</w:t>
      </w:r>
      <w:r w:rsidR="002D24E3">
        <w:t> </w:t>
      </w:r>
      <w:r>
        <w:t>0.001).</w:t>
      </w:r>
    </w:p>
    <w:p w14:paraId="14DDF638" w14:textId="77777777" w:rsidR="00944B68" w:rsidRDefault="00944B68" w:rsidP="00944B68">
      <w:r>
        <w:t xml:space="preserve">The median duration of the longest single continuous period of response to </w:t>
      </w:r>
      <w:proofErr w:type="spellStart"/>
      <w:r>
        <w:t>luspatercept</w:t>
      </w:r>
      <w:proofErr w:type="spellEnd"/>
      <w:r>
        <w:t xml:space="preserve"> was 30.6 weeks.</w:t>
      </w:r>
    </w:p>
    <w:p w14:paraId="223B6E2E" w14:textId="18BF757C" w:rsidR="00944B68" w:rsidRDefault="00944B68" w:rsidP="00944B68">
      <w:r>
        <w:t xml:space="preserve">A significantly greater proportion of subjects in the </w:t>
      </w:r>
      <w:proofErr w:type="spellStart"/>
      <w:r>
        <w:t>luspatercept</w:t>
      </w:r>
      <w:proofErr w:type="spellEnd"/>
      <w:r>
        <w:t xml:space="preserve"> treatment group than in the placebo group achieved modified haematologic improvement – erythroid (</w:t>
      </w:r>
      <w:proofErr w:type="spellStart"/>
      <w:r>
        <w:t>mHI</w:t>
      </w:r>
      <w:proofErr w:type="spellEnd"/>
      <w:r>
        <w:t xml:space="preserve">-E) between Weeks 1 through 24 (52.9% </w:t>
      </w:r>
      <w:r w:rsidR="00E54E33">
        <w:t xml:space="preserve">versus </w:t>
      </w:r>
      <w:r>
        <w:t>11.8%, nominal p</w:t>
      </w:r>
      <w:r w:rsidR="00E54E33">
        <w:t> </w:t>
      </w:r>
      <w:r>
        <w:t>&lt;</w:t>
      </w:r>
      <w:r w:rsidR="00E54E33">
        <w:t> </w:t>
      </w:r>
      <w:r>
        <w:t>0.0001).</w:t>
      </w:r>
    </w:p>
    <w:p w14:paraId="6D13D4AE" w14:textId="250EC26F" w:rsidR="00F44A28" w:rsidRDefault="00944B68" w:rsidP="00377CE0">
      <w:r>
        <w:t xml:space="preserve">In conclusion, the rapid onset of treatment effect, extended duration of transfusion independence, erythroid response, and increased haemoglobin levels suggest that </w:t>
      </w:r>
      <w:proofErr w:type="spellStart"/>
      <w:r>
        <w:t>luspatercept</w:t>
      </w:r>
      <w:proofErr w:type="spellEnd"/>
      <w:r>
        <w:t xml:space="preserve"> had useful clinical effects in these patients.</w:t>
      </w:r>
    </w:p>
    <w:p w14:paraId="3910D8D2" w14:textId="2C1E7426" w:rsidR="00190849" w:rsidRPr="00377CE0" w:rsidRDefault="00190849" w:rsidP="00377CE0">
      <w:pPr>
        <w:pStyle w:val="Heading4"/>
      </w:pPr>
      <w:r w:rsidRPr="00E56CE5">
        <w:t>Indica</w:t>
      </w:r>
      <w:r w:rsidR="00377CE0">
        <w:t xml:space="preserve">tion: </w:t>
      </w:r>
      <w:r>
        <w:t>Treatment of patients with transfusion</w:t>
      </w:r>
      <w:r w:rsidR="008B595E">
        <w:t xml:space="preserve"> </w:t>
      </w:r>
      <w:r>
        <w:t xml:space="preserve">dependent anaemia associated with </w:t>
      </w:r>
      <w:r w:rsidR="00377CE0" w:rsidRPr="00377CE0">
        <w:rPr>
          <w:iCs/>
        </w:rPr>
        <w:t>beta</w:t>
      </w:r>
      <w:r w:rsidR="00377CE0">
        <w:rPr>
          <w:i/>
          <w:iCs/>
        </w:rPr>
        <w:t>-</w:t>
      </w:r>
      <w:r>
        <w:t>thalassaemia</w:t>
      </w:r>
    </w:p>
    <w:p w14:paraId="565ABB71" w14:textId="77777777" w:rsidR="00190849" w:rsidRPr="008B595E" w:rsidRDefault="00190849" w:rsidP="00377CE0">
      <w:pPr>
        <w:pStyle w:val="Heading5"/>
      </w:pPr>
      <w:r w:rsidRPr="008B595E">
        <w:t>Studies providing evaluable efficacy data</w:t>
      </w:r>
    </w:p>
    <w:p w14:paraId="300D8B37" w14:textId="275A9486" w:rsidR="00190849" w:rsidRDefault="00377CE0" w:rsidP="00377CE0">
      <w:pPr>
        <w:pStyle w:val="ListBullet"/>
      </w:pPr>
      <w:r w:rsidRPr="00377CE0">
        <w:t xml:space="preserve">Study </w:t>
      </w:r>
      <w:r w:rsidR="00190849" w:rsidRPr="00377CE0">
        <w:t>ACE</w:t>
      </w:r>
      <w:r w:rsidR="00190849">
        <w:t>-536-B-THAL-001 (</w:t>
      </w:r>
      <w:r>
        <w:t xml:space="preserve">also known as the </w:t>
      </w:r>
      <w:r w:rsidR="00190849">
        <w:t>BELIEVE</w:t>
      </w:r>
      <w:r>
        <w:t xml:space="preserve"> trial; considered pivotal for this indication): A Phase III</w:t>
      </w:r>
      <w:r w:rsidR="00190849">
        <w:t xml:space="preserve">, double-blind, randomised, placebo-controlled, multicentre study to determine the efficacy and safety of </w:t>
      </w:r>
      <w:proofErr w:type="spellStart"/>
      <w:r w:rsidR="00190849">
        <w:t>luspatercept</w:t>
      </w:r>
      <w:proofErr w:type="spellEnd"/>
      <w:r w:rsidR="00190849">
        <w:t xml:space="preserve"> (ACE-536) versus placebo in adults who require regular red blood cell transfusions due to </w:t>
      </w:r>
      <w:r>
        <w:t>beta-</w:t>
      </w:r>
      <w:r w:rsidR="00190849">
        <w:t>thalassaemia</w:t>
      </w:r>
      <w:r w:rsidR="00A9517D">
        <w:t>.</w:t>
      </w:r>
      <w:bookmarkStart w:id="59" w:name="_Ref90373070"/>
      <w:r w:rsidR="00A9517D">
        <w:rPr>
          <w:rStyle w:val="FootnoteReference"/>
        </w:rPr>
        <w:footnoteReference w:id="48"/>
      </w:r>
      <w:bookmarkEnd w:id="59"/>
    </w:p>
    <w:p w14:paraId="3F4281C9" w14:textId="4BD920A0" w:rsidR="00190849" w:rsidRDefault="00377CE0" w:rsidP="00377CE0">
      <w:pPr>
        <w:pStyle w:val="ListBullet"/>
      </w:pPr>
      <w:r>
        <w:t>Study A536-04 (supportive study): A Phase II</w:t>
      </w:r>
      <w:r w:rsidR="00190849">
        <w:t>, Open-</w:t>
      </w:r>
      <w:r>
        <w:t xml:space="preserve">label, ascending dose study to </w:t>
      </w:r>
      <w:r w:rsidR="00275316">
        <w:t xml:space="preserve">evaluate </w:t>
      </w:r>
      <w:r w:rsidR="00190849">
        <w:t xml:space="preserve">the </w:t>
      </w:r>
      <w:r w:rsidR="00275316">
        <w:t xml:space="preserve">effects </w:t>
      </w:r>
      <w:r w:rsidR="00190849">
        <w:t xml:space="preserve">of ACE-536 </w:t>
      </w:r>
      <w:r>
        <w:t>[</w:t>
      </w:r>
      <w:proofErr w:type="spellStart"/>
      <w:r>
        <w:t>luspatercept</w:t>
      </w:r>
      <w:proofErr w:type="spellEnd"/>
      <w:r>
        <w:t xml:space="preserve">] </w:t>
      </w:r>
      <w:r w:rsidR="00190849">
        <w:t xml:space="preserve">in </w:t>
      </w:r>
      <w:r w:rsidR="00275316">
        <w:t xml:space="preserve">patients </w:t>
      </w:r>
      <w:r w:rsidR="00190849">
        <w:t xml:space="preserve">with </w:t>
      </w:r>
      <w:r>
        <w:t>beta-</w:t>
      </w:r>
      <w:r w:rsidR="00476810">
        <w:t>thalassaemia</w:t>
      </w:r>
      <w:r w:rsidR="00190849">
        <w:t>.</w:t>
      </w:r>
    </w:p>
    <w:p w14:paraId="586A90A3" w14:textId="3E5789AD" w:rsidR="00190849" w:rsidRDefault="00377CE0" w:rsidP="00377CE0">
      <w:pPr>
        <w:pStyle w:val="ListBullet"/>
      </w:pPr>
      <w:r>
        <w:t xml:space="preserve">Study </w:t>
      </w:r>
      <w:r w:rsidR="00190849">
        <w:t>-536-06</w:t>
      </w:r>
      <w:r>
        <w:t xml:space="preserve"> (supportive study)</w:t>
      </w:r>
      <w:r w:rsidR="00190849">
        <w:t xml:space="preserve">: An </w:t>
      </w:r>
      <w:r>
        <w:t xml:space="preserve">open-label extension study to evaluate the </w:t>
      </w:r>
      <w:r w:rsidR="00476810">
        <w:t>long</w:t>
      </w:r>
      <w:r w:rsidR="00190849">
        <w:t>-</w:t>
      </w:r>
      <w:r w:rsidR="00476810">
        <w:t xml:space="preserve">term effects </w:t>
      </w:r>
      <w:r w:rsidR="00190849">
        <w:t>of ACE-536</w:t>
      </w:r>
      <w:r>
        <w:t xml:space="preserve"> [</w:t>
      </w:r>
      <w:proofErr w:type="spellStart"/>
      <w:r>
        <w:t>luspatercept</w:t>
      </w:r>
      <w:proofErr w:type="spellEnd"/>
      <w:r>
        <w:t>]</w:t>
      </w:r>
      <w:r w:rsidR="00190849">
        <w:t xml:space="preserve"> in </w:t>
      </w:r>
      <w:r w:rsidR="00476810">
        <w:t xml:space="preserve">patients </w:t>
      </w:r>
      <w:r w:rsidR="00190849">
        <w:t xml:space="preserve">with </w:t>
      </w:r>
      <w:r>
        <w:t>beta-</w:t>
      </w:r>
      <w:r w:rsidR="00476810">
        <w:t xml:space="preserve">thalassaemia previously enrolled </w:t>
      </w:r>
      <w:r w:rsidR="00190849">
        <w:t>in Study A536-04.</w:t>
      </w:r>
    </w:p>
    <w:p w14:paraId="4EE11BAC" w14:textId="113A3399" w:rsidR="00190849" w:rsidRPr="00476810" w:rsidRDefault="00377CE0" w:rsidP="00377CE0">
      <w:pPr>
        <w:pStyle w:val="Heading5"/>
      </w:pPr>
      <w:r>
        <w:t>Study</w:t>
      </w:r>
      <w:r w:rsidR="00190849" w:rsidRPr="00476810">
        <w:t xml:space="preserve"> ACE-536-</w:t>
      </w:r>
      <w:r w:rsidR="00226235" w:rsidRPr="00704E63">
        <w:rPr>
          <w:iCs/>
        </w:rPr>
        <w:t>β</w:t>
      </w:r>
      <w:r w:rsidR="00190849" w:rsidRPr="00476810">
        <w:t>-THAL-001</w:t>
      </w:r>
    </w:p>
    <w:p w14:paraId="2CEF6270" w14:textId="77777777" w:rsidR="00190849" w:rsidRPr="00476810" w:rsidRDefault="00190849" w:rsidP="00377CE0">
      <w:pPr>
        <w:pStyle w:val="Heading6"/>
      </w:pPr>
      <w:r w:rsidRPr="00476810">
        <w:t>Study design</w:t>
      </w:r>
    </w:p>
    <w:p w14:paraId="76A02B11" w14:textId="3F497E33" w:rsidR="00190849" w:rsidRDefault="00377CE0" w:rsidP="00190849">
      <w:r>
        <w:t>This is an ongoing Phase III</w:t>
      </w:r>
      <w:r w:rsidR="00190849">
        <w:t xml:space="preserve">, double-blind, randomised, placebo-controlled, multicentre study designed to determine the efficacy and safety of </w:t>
      </w:r>
      <w:proofErr w:type="spellStart"/>
      <w:r w:rsidR="00190849">
        <w:t>luspatercept</w:t>
      </w:r>
      <w:proofErr w:type="spellEnd"/>
      <w:r w:rsidR="00190849">
        <w:t xml:space="preserve"> + </w:t>
      </w:r>
      <w:r w:rsidR="004805CE" w:rsidRPr="004805CE">
        <w:t>best supportive care</w:t>
      </w:r>
      <w:r w:rsidR="00190849">
        <w:t xml:space="preserve"> versus placebo + </w:t>
      </w:r>
      <w:r w:rsidR="004B5C82">
        <w:t>best supportive care</w:t>
      </w:r>
      <w:r w:rsidR="00190849">
        <w:t xml:space="preserve"> in approximately 300 subjects aged ≥</w:t>
      </w:r>
      <w:r w:rsidR="006D390B">
        <w:t> </w:t>
      </w:r>
      <w:r w:rsidR="00190849">
        <w:t xml:space="preserve">18 years who require regular </w:t>
      </w:r>
      <w:r>
        <w:t>red blood cell transfusions due to beta-</w:t>
      </w:r>
      <w:r w:rsidR="00190849">
        <w:t>thalassaemia (</w:t>
      </w:r>
      <w:r>
        <w:t xml:space="preserve">see </w:t>
      </w:r>
      <w:r w:rsidR="006D390B">
        <w:fldChar w:fldCharType="begin"/>
      </w:r>
      <w:r w:rsidR="006D390B">
        <w:instrText xml:space="preserve"> REF _Ref90367200 \h </w:instrText>
      </w:r>
      <w:r w:rsidR="006D390B">
        <w:fldChar w:fldCharType="separate"/>
      </w:r>
      <w:r w:rsidR="006D390B">
        <w:t xml:space="preserve">Figure </w:t>
      </w:r>
      <w:r w:rsidR="006D390B">
        <w:rPr>
          <w:noProof/>
        </w:rPr>
        <w:t>5</w:t>
      </w:r>
      <w:r w:rsidR="006D390B">
        <w:fldChar w:fldCharType="end"/>
      </w:r>
      <w:r>
        <w:t>, below</w:t>
      </w:r>
      <w:r w:rsidR="00190849">
        <w:t>).</w:t>
      </w:r>
    </w:p>
    <w:p w14:paraId="79A116D8" w14:textId="77777777" w:rsidR="00190849" w:rsidRDefault="00190849" w:rsidP="00190849">
      <w:r>
        <w:t xml:space="preserve">The first subject visit was on 2 May 2016 and the last subject completed Week 48 visit on 14 May 2018. The study was conducted at 65 sites in 15 countries (Australia, Malaysia, Taiwan, Thailand, Israel, Lebanon, Tunisia, Turkey, Bulgaria, Canada, France, Greece, Italy, </w:t>
      </w:r>
      <w:proofErr w:type="gramStart"/>
      <w:r>
        <w:t>UK</w:t>
      </w:r>
      <w:proofErr w:type="gramEnd"/>
      <w:r>
        <w:t xml:space="preserve"> and USA).</w:t>
      </w:r>
    </w:p>
    <w:p w14:paraId="3F26DA13" w14:textId="7371DE4E" w:rsidR="00190849" w:rsidRDefault="00392EC2" w:rsidP="00392EC2">
      <w:pPr>
        <w:pStyle w:val="FigureTitle"/>
      </w:pPr>
      <w:bookmarkStart w:id="60" w:name="_Ref90367200"/>
      <w:r>
        <w:t xml:space="preserve">Figure </w:t>
      </w:r>
      <w:fldSimple w:instr=" SEQ Figure \* ARABIC ">
        <w:r w:rsidR="001B11D8">
          <w:rPr>
            <w:noProof/>
          </w:rPr>
          <w:t>5</w:t>
        </w:r>
      </w:fldSimple>
      <w:bookmarkEnd w:id="60"/>
      <w:r>
        <w:t>:</w:t>
      </w:r>
      <w:r w:rsidR="00190849">
        <w:t xml:space="preserve"> </w:t>
      </w:r>
      <w:r w:rsidR="00377CE0">
        <w:t xml:space="preserve">Study </w:t>
      </w:r>
      <w:r w:rsidR="002B571C" w:rsidRPr="002B571C">
        <w:t>ACE-536-B-THAL-001</w:t>
      </w:r>
      <w:r w:rsidR="002B571C">
        <w:t xml:space="preserve"> </w:t>
      </w:r>
      <w:r w:rsidR="00377CE0">
        <w:t>Study design</w:t>
      </w:r>
    </w:p>
    <w:p w14:paraId="53C54EB2" w14:textId="425697EF" w:rsidR="00190849" w:rsidRDefault="00321901" w:rsidP="00190849">
      <w:r>
        <w:rPr>
          <w:noProof/>
          <w:lang w:val="en-GB" w:eastAsia="en-GB"/>
        </w:rPr>
        <w:drawing>
          <wp:inline distT="0" distB="0" distL="0" distR="0" wp14:anchorId="21007633" wp14:editId="01647D4D">
            <wp:extent cx="5335326" cy="1701165"/>
            <wp:effectExtent l="0" t="0" r="0" b="0"/>
            <wp:docPr id="11" name="Picture 11" descr="Trial design of ACE-536-B-THAL-001 Study β-Thalassaem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ial design of ACE-536-B-THAL-001 Study β-Thalassaemia "/>
                    <pic:cNvPicPr/>
                  </pic:nvPicPr>
                  <pic:blipFill rotWithShape="1">
                    <a:blip r:embed="rId22">
                      <a:extLst>
                        <a:ext uri="{28A0092B-C50C-407E-A947-70E740481C1C}">
                          <a14:useLocalDpi xmlns:a14="http://schemas.microsoft.com/office/drawing/2010/main" val="0"/>
                        </a:ext>
                      </a:extLst>
                    </a:blip>
                    <a:srcRect t="3832" r="1164" b="5046"/>
                    <a:stretch/>
                  </pic:blipFill>
                  <pic:spPr bwMode="auto">
                    <a:xfrm>
                      <a:off x="0" y="0"/>
                      <a:ext cx="5337201" cy="1701763"/>
                    </a:xfrm>
                    <a:prstGeom prst="rect">
                      <a:avLst/>
                    </a:prstGeom>
                    <a:ln>
                      <a:noFill/>
                    </a:ln>
                    <a:extLst>
                      <a:ext uri="{53640926-AAD7-44D8-BBD7-CCE9431645EC}">
                        <a14:shadowObscured xmlns:a14="http://schemas.microsoft.com/office/drawing/2010/main"/>
                      </a:ext>
                    </a:extLst>
                  </pic:spPr>
                </pic:pic>
              </a:graphicData>
            </a:graphic>
          </wp:inline>
        </w:drawing>
      </w:r>
    </w:p>
    <w:p w14:paraId="0F0F89CA" w14:textId="39967AE8" w:rsidR="00D824A3" w:rsidRDefault="00D824A3" w:rsidP="00080AD9">
      <w:pPr>
        <w:pStyle w:val="FigureDescription"/>
      </w:pPr>
      <w:r>
        <w:t xml:space="preserve">BSC </w:t>
      </w:r>
      <w:r w:rsidR="00377CE0">
        <w:t>=</w:t>
      </w:r>
      <w:r>
        <w:t xml:space="preserve"> best supportive care; RBC </w:t>
      </w:r>
      <w:r w:rsidR="00377CE0">
        <w:t xml:space="preserve">= </w:t>
      </w:r>
      <w:r>
        <w:t xml:space="preserve">red blood cells; </w:t>
      </w:r>
      <w:proofErr w:type="spellStart"/>
      <w:r w:rsidR="00080AD9">
        <w:t>s.c.</w:t>
      </w:r>
      <w:proofErr w:type="spellEnd"/>
      <w:r w:rsidR="00080AD9">
        <w:t xml:space="preserve"> subcutaneously.</w:t>
      </w:r>
    </w:p>
    <w:p w14:paraId="036C696B" w14:textId="14B0C8FC" w:rsidR="00E8415D" w:rsidRDefault="00E8415D" w:rsidP="00080AD9">
      <w:pPr>
        <w:pStyle w:val="FigureDescription"/>
      </w:pPr>
      <w:r>
        <w:t xml:space="preserve">* Regular RBC transfusions defined as </w:t>
      </w:r>
      <w:r w:rsidR="00751C8F">
        <w:t>6-20 RBC units in the 24</w:t>
      </w:r>
      <w:r w:rsidR="00633EDA">
        <w:t> </w:t>
      </w:r>
      <w:r w:rsidR="00751C8F">
        <w:t>weeks prior to randomisation with no ≥ </w:t>
      </w:r>
      <w:proofErr w:type="gramStart"/>
      <w:r w:rsidR="00751C8F">
        <w:t>35</w:t>
      </w:r>
      <w:r w:rsidR="0028353E">
        <w:t> </w:t>
      </w:r>
      <w:r w:rsidR="00751C8F">
        <w:t>day</w:t>
      </w:r>
      <w:proofErr w:type="gramEnd"/>
      <w:r w:rsidR="00751C8F">
        <w:t xml:space="preserve"> transfusion free period </w:t>
      </w:r>
      <w:r w:rsidR="000C37EB">
        <w:t>during that tim</w:t>
      </w:r>
      <w:r w:rsidR="00080AD9">
        <w:t>e.</w:t>
      </w:r>
    </w:p>
    <w:p w14:paraId="3E40C500" w14:textId="19953EAA" w:rsidR="000C37EB" w:rsidRDefault="000C37EB" w:rsidP="00080AD9">
      <w:pPr>
        <w:pStyle w:val="FigureDescription"/>
      </w:pPr>
      <w:r w:rsidRPr="00BD648F">
        <w:rPr>
          <w:vertAlign w:val="superscript"/>
        </w:rPr>
        <w:t>†</w:t>
      </w:r>
      <w:r>
        <w:t xml:space="preserve"> RBC transfusions </w:t>
      </w:r>
      <w:r w:rsidR="00BD648F">
        <w:t>and iron chelation therapy to maintain each patient’s baseline haemoglobin level</w:t>
      </w:r>
      <w:r w:rsidR="00080AD9">
        <w:t>.</w:t>
      </w:r>
    </w:p>
    <w:p w14:paraId="2B6F64C4" w14:textId="79EDA2D3" w:rsidR="008652C0" w:rsidRPr="003567D9" w:rsidRDefault="00377CE0" w:rsidP="00377CE0">
      <w:pPr>
        <w:pStyle w:val="Heading6"/>
      </w:pPr>
      <w:r>
        <w:t>Primary o</w:t>
      </w:r>
      <w:r w:rsidR="008652C0" w:rsidRPr="003567D9">
        <w:t>bjective</w:t>
      </w:r>
    </w:p>
    <w:p w14:paraId="6B7986E5" w14:textId="7181B5BD" w:rsidR="008652C0" w:rsidRDefault="008652C0" w:rsidP="008652C0">
      <w:r>
        <w:t xml:space="preserve">The primary objective of the study was to determine the proportion of subjects treated with </w:t>
      </w:r>
      <w:proofErr w:type="spellStart"/>
      <w:r>
        <w:t>luspatercept</w:t>
      </w:r>
      <w:proofErr w:type="spellEnd"/>
      <w:r>
        <w:t xml:space="preserve"> + </w:t>
      </w:r>
      <w:r w:rsidR="00377CE0">
        <w:t>best supportive care</w:t>
      </w:r>
      <w:r>
        <w:t xml:space="preserve"> versus placebo + </w:t>
      </w:r>
      <w:r w:rsidR="00377CE0">
        <w:t>best supportive care</w:t>
      </w:r>
      <w:r>
        <w:t xml:space="preserve"> who achieved erythroid response, defined as ≥</w:t>
      </w:r>
      <w:r w:rsidR="009C0954">
        <w:t> </w:t>
      </w:r>
      <w:r w:rsidR="00377CE0">
        <w:t>33% reduction from B</w:t>
      </w:r>
      <w:r>
        <w:t>aseline in transfusion burden (</w:t>
      </w:r>
      <w:r w:rsidR="00377CE0">
        <w:t>red blood cells</w:t>
      </w:r>
      <w:r>
        <w:t xml:space="preserve">/time) with a reduction of at least </w:t>
      </w:r>
      <w:r w:rsidR="00270930">
        <w:t xml:space="preserve">two </w:t>
      </w:r>
      <w:r>
        <w:t>units, from Week</w:t>
      </w:r>
      <w:r w:rsidR="00270930">
        <w:t> </w:t>
      </w:r>
      <w:r>
        <w:t>13 to Week</w:t>
      </w:r>
      <w:r w:rsidR="00270930">
        <w:t> </w:t>
      </w:r>
      <w:r>
        <w:t>24.</w:t>
      </w:r>
    </w:p>
    <w:p w14:paraId="44B813F6" w14:textId="77777777" w:rsidR="00377CE0" w:rsidRDefault="00377CE0" w:rsidP="008652C0">
      <w:r>
        <w:t>Note, t</w:t>
      </w:r>
      <w:r w:rsidR="008652C0">
        <w:t xml:space="preserve">he following rationale for choosing a 33% or greater reduction in </w:t>
      </w:r>
      <w:r>
        <w:t>red blood cell</w:t>
      </w:r>
      <w:r w:rsidR="008652C0">
        <w:t xml:space="preserve"> transfusion burden as clinically meaningfu</w:t>
      </w:r>
      <w:r>
        <w:t>l was provided by the sponsor:</w:t>
      </w:r>
    </w:p>
    <w:p w14:paraId="3038FB46" w14:textId="39B543CB" w:rsidR="008652C0" w:rsidRPr="005E17E0" w:rsidRDefault="008652C0" w:rsidP="00377CE0">
      <w:pPr>
        <w:ind w:left="720"/>
        <w:rPr>
          <w:vertAlign w:val="superscript"/>
        </w:rPr>
      </w:pPr>
      <w:r>
        <w:t>A 33% or greater reduction in RBC</w:t>
      </w:r>
      <w:r w:rsidR="00147445">
        <w:t xml:space="preserve"> [red blood cell]</w:t>
      </w:r>
      <w:r>
        <w:t xml:space="preserve"> transfusion burden </w:t>
      </w:r>
      <w:proofErr w:type="gramStart"/>
      <w:r>
        <w:t>is considered to be</w:t>
      </w:r>
      <w:proofErr w:type="gramEnd"/>
      <w:r>
        <w:t xml:space="preserve"> clinically meaningful for patients transfused based on the decrease in </w:t>
      </w:r>
      <w:proofErr w:type="spellStart"/>
      <w:r>
        <w:t>transfusional</w:t>
      </w:r>
      <w:proofErr w:type="spellEnd"/>
      <w:r>
        <w:t xml:space="preserve"> iron accumulation and related complications. It was estimated that a patient who requires 2</w:t>
      </w:r>
      <w:r w:rsidR="00EF235A">
        <w:t> </w:t>
      </w:r>
      <w:r>
        <w:t>RBC units every 4</w:t>
      </w:r>
      <w:r w:rsidR="00EF235A">
        <w:t> </w:t>
      </w:r>
      <w:r>
        <w:t xml:space="preserve">weeks </w:t>
      </w:r>
      <w:proofErr w:type="spellStart"/>
      <w:r>
        <w:t>pretreatment</w:t>
      </w:r>
      <w:proofErr w:type="spellEnd"/>
      <w:r>
        <w:t xml:space="preserve"> and reduced frequency to 2</w:t>
      </w:r>
      <w:r w:rsidR="00EF235A">
        <w:t> </w:t>
      </w:r>
      <w:r>
        <w:t>RBC units every 6</w:t>
      </w:r>
      <w:r w:rsidR="00EF235A">
        <w:t> </w:t>
      </w:r>
      <w:r>
        <w:t xml:space="preserve">weeks would benefit from a reduction in </w:t>
      </w:r>
      <w:proofErr w:type="spellStart"/>
      <w:r>
        <w:t>transfusional</w:t>
      </w:r>
      <w:proofErr w:type="spellEnd"/>
      <w:r>
        <w:t xml:space="preserve"> iron intake of approximately 1700</w:t>
      </w:r>
      <w:r w:rsidR="00EF235A">
        <w:t> </w:t>
      </w:r>
      <w:r>
        <w:t>mg/year, based on an estimated 200</w:t>
      </w:r>
      <w:r w:rsidR="00EF235A">
        <w:t> </w:t>
      </w:r>
      <w:r>
        <w:t>mg iron/RBC unit.</w:t>
      </w:r>
      <w:r w:rsidR="0043009C">
        <w:rPr>
          <w:rStyle w:val="FootnoteReference"/>
        </w:rPr>
        <w:footnoteReference w:id="49"/>
      </w:r>
      <w:r w:rsidR="005E17E0">
        <w:rPr>
          <w:vertAlign w:val="superscript"/>
        </w:rPr>
        <w:t>,</w:t>
      </w:r>
      <w:r w:rsidR="005E17E0">
        <w:rPr>
          <w:rStyle w:val="FootnoteReference"/>
        </w:rPr>
        <w:footnoteReference w:id="50"/>
      </w:r>
    </w:p>
    <w:p w14:paraId="150C7E7B" w14:textId="0CBCE616" w:rsidR="008652C0" w:rsidRDefault="00147445" w:rsidP="00147445">
      <w:pPr>
        <w:pStyle w:val="Heading6"/>
      </w:pPr>
      <w:r>
        <w:t>Secondary o</w:t>
      </w:r>
      <w:r w:rsidR="008652C0" w:rsidRPr="00B26641">
        <w:t>bjectives</w:t>
      </w:r>
    </w:p>
    <w:p w14:paraId="45D39902" w14:textId="04475703" w:rsidR="00147445" w:rsidRPr="00147445" w:rsidRDefault="00147445" w:rsidP="00147445">
      <w:r>
        <w:t>Secondary objectives were:</w:t>
      </w:r>
    </w:p>
    <w:p w14:paraId="1B5CE431" w14:textId="7F9F0A7B" w:rsidR="008652C0" w:rsidRDefault="00147445" w:rsidP="00B26641">
      <w:pPr>
        <w:pStyle w:val="ListBullet"/>
      </w:pPr>
      <w:r>
        <w:t>t</w:t>
      </w:r>
      <w:r w:rsidR="008652C0">
        <w:t>o evaluate the proportion of subjects who achieved ≥</w:t>
      </w:r>
      <w:r w:rsidR="00B240C9">
        <w:t> </w:t>
      </w:r>
      <w:r>
        <w:t>33% reduction from B</w:t>
      </w:r>
      <w:r w:rsidR="008652C0">
        <w:t>aseline in transfusion burden from Week</w:t>
      </w:r>
      <w:r w:rsidR="00B240C9">
        <w:t> </w:t>
      </w:r>
      <w:r w:rsidR="008652C0">
        <w:t>37 to Week</w:t>
      </w:r>
      <w:r w:rsidR="00B240C9">
        <w:t> </w:t>
      </w:r>
      <w:r w:rsidR="008652C0">
        <w:t xml:space="preserve">48 versus </w:t>
      </w:r>
      <w:proofErr w:type="gramStart"/>
      <w:r w:rsidR="008652C0">
        <w:t>placebo</w:t>
      </w:r>
      <w:r>
        <w:t>;</w:t>
      </w:r>
      <w:proofErr w:type="gramEnd"/>
    </w:p>
    <w:p w14:paraId="7CD3E502" w14:textId="3BB5DA04" w:rsidR="00190849" w:rsidRDefault="00147445" w:rsidP="00B26641">
      <w:pPr>
        <w:pStyle w:val="ListBullet"/>
      </w:pPr>
      <w:r>
        <w:t>t</w:t>
      </w:r>
      <w:r w:rsidR="008652C0">
        <w:t>o evaluate the proportion of subjects who achieved ≥</w:t>
      </w:r>
      <w:r w:rsidR="00B240C9">
        <w:t> </w:t>
      </w:r>
      <w:r>
        <w:t>50% reduction from B</w:t>
      </w:r>
      <w:r w:rsidR="008652C0">
        <w:t>aseline in transfusion burden from Week</w:t>
      </w:r>
      <w:r w:rsidR="00B240C9">
        <w:t> </w:t>
      </w:r>
      <w:r w:rsidR="008652C0">
        <w:t>13 to Week</w:t>
      </w:r>
      <w:r w:rsidR="00B240C9">
        <w:t> </w:t>
      </w:r>
      <w:r w:rsidR="008652C0">
        <w:t xml:space="preserve">24 versus </w:t>
      </w:r>
      <w:proofErr w:type="gramStart"/>
      <w:r w:rsidR="008652C0">
        <w:t>placebo</w:t>
      </w:r>
      <w:r>
        <w:t>;</w:t>
      </w:r>
      <w:proofErr w:type="gramEnd"/>
    </w:p>
    <w:p w14:paraId="51787634" w14:textId="0DAF638A" w:rsidR="008652C0" w:rsidRDefault="00147445" w:rsidP="00B26641">
      <w:pPr>
        <w:pStyle w:val="ListBullet"/>
      </w:pPr>
      <w:r>
        <w:t>t</w:t>
      </w:r>
      <w:r w:rsidR="008652C0">
        <w:t>o evaluate the proportion of subjects who achieved ≥</w:t>
      </w:r>
      <w:r w:rsidR="00B240C9">
        <w:t> </w:t>
      </w:r>
      <w:r>
        <w:t>50% reduction from B</w:t>
      </w:r>
      <w:r w:rsidR="008652C0">
        <w:t>aseline in transfusion burden from Week</w:t>
      </w:r>
      <w:r w:rsidR="00B240C9">
        <w:t> </w:t>
      </w:r>
      <w:r w:rsidR="008652C0">
        <w:t>37 to Week</w:t>
      </w:r>
      <w:r w:rsidR="00B240C9">
        <w:t> </w:t>
      </w:r>
      <w:r w:rsidR="008652C0">
        <w:t xml:space="preserve">48 versus </w:t>
      </w:r>
      <w:proofErr w:type="gramStart"/>
      <w:r w:rsidR="008652C0">
        <w:t>placebo</w:t>
      </w:r>
      <w:r>
        <w:t>;</w:t>
      </w:r>
      <w:proofErr w:type="gramEnd"/>
    </w:p>
    <w:p w14:paraId="155B80EF" w14:textId="32B215C5" w:rsidR="008652C0" w:rsidRDefault="00147445" w:rsidP="00B26641">
      <w:pPr>
        <w:pStyle w:val="ListBullet"/>
      </w:pPr>
      <w:r>
        <w:t xml:space="preserve">to </w:t>
      </w:r>
      <w:r w:rsidR="008652C0">
        <w:t>evaluate t</w:t>
      </w:r>
      <w:r>
        <w:t>he mean change from B</w:t>
      </w:r>
      <w:r w:rsidR="008652C0">
        <w:t>aseline in transfusion burden from Week</w:t>
      </w:r>
      <w:r w:rsidR="00B240C9">
        <w:t> </w:t>
      </w:r>
      <w:r w:rsidR="008652C0">
        <w:t>13 to Week</w:t>
      </w:r>
      <w:r w:rsidR="00B240C9">
        <w:t> </w:t>
      </w:r>
      <w:proofErr w:type="gramStart"/>
      <w:r w:rsidR="008652C0">
        <w:t>24</w:t>
      </w:r>
      <w:r>
        <w:t>;</w:t>
      </w:r>
      <w:proofErr w:type="gramEnd"/>
    </w:p>
    <w:p w14:paraId="726E14B5" w14:textId="690458AE" w:rsidR="008652C0" w:rsidRDefault="00147445" w:rsidP="00B26641">
      <w:pPr>
        <w:pStyle w:val="ListBullet"/>
      </w:pPr>
      <w:r>
        <w:t>t</w:t>
      </w:r>
      <w:r w:rsidR="008652C0">
        <w:t>o</w:t>
      </w:r>
      <w:r>
        <w:t xml:space="preserve"> evaluate the mean change from Baseline in liver iron concentration</w:t>
      </w:r>
      <w:r w:rsidR="008652C0">
        <w:t xml:space="preserve"> versus </w:t>
      </w:r>
      <w:proofErr w:type="gramStart"/>
      <w:r w:rsidR="008652C0">
        <w:t>placebo</w:t>
      </w:r>
      <w:r>
        <w:t>;</w:t>
      </w:r>
      <w:proofErr w:type="gramEnd"/>
    </w:p>
    <w:p w14:paraId="041D5353" w14:textId="79F69BE8" w:rsidR="008652C0" w:rsidRDefault="00147445" w:rsidP="00B26641">
      <w:pPr>
        <w:pStyle w:val="ListBullet"/>
      </w:pPr>
      <w:r>
        <w:t>t</w:t>
      </w:r>
      <w:r w:rsidR="008652C0">
        <w:t>o</w:t>
      </w:r>
      <w:r>
        <w:t xml:space="preserve"> evaluate the mean change from B</w:t>
      </w:r>
      <w:r w:rsidR="008652C0">
        <w:t xml:space="preserve">aseline in mean daily dose of </w:t>
      </w:r>
      <w:r>
        <w:t>iron chelation therapy</w:t>
      </w:r>
      <w:r w:rsidR="008652C0">
        <w:t xml:space="preserve"> used versus placebo</w:t>
      </w:r>
      <w:r>
        <w:t>; and</w:t>
      </w:r>
    </w:p>
    <w:p w14:paraId="74125C75" w14:textId="4CF1838D" w:rsidR="008652C0" w:rsidRDefault="00147445" w:rsidP="00B26641">
      <w:pPr>
        <w:pStyle w:val="ListBullet"/>
      </w:pPr>
      <w:r>
        <w:t>t</w:t>
      </w:r>
      <w:r w:rsidR="008652C0">
        <w:t>o</w:t>
      </w:r>
      <w:r>
        <w:t xml:space="preserve"> evaluate the mean change from B</w:t>
      </w:r>
      <w:r w:rsidR="008652C0">
        <w:t>aseline in serum ferritin versus placebo</w:t>
      </w:r>
      <w:r>
        <w:t>.</w:t>
      </w:r>
    </w:p>
    <w:p w14:paraId="13D96517" w14:textId="50206932" w:rsidR="00147445" w:rsidRDefault="008652C0" w:rsidP="00704E63">
      <w:pPr>
        <w:pStyle w:val="Heading6"/>
      </w:pPr>
      <w:r w:rsidRPr="00E95290">
        <w:t>Inclusion criteria</w:t>
      </w:r>
    </w:p>
    <w:p w14:paraId="06708F4A" w14:textId="6428D1F5" w:rsidR="00147445" w:rsidRPr="00147445" w:rsidRDefault="00147445" w:rsidP="00147445">
      <w:r>
        <w:t>Key inclusion criteria were:</w:t>
      </w:r>
    </w:p>
    <w:p w14:paraId="047C0915" w14:textId="04C81955" w:rsidR="008652C0" w:rsidRDefault="00147445" w:rsidP="00147445">
      <w:pPr>
        <w:pStyle w:val="ListBullet"/>
      </w:pPr>
      <w:r>
        <w:t>m</w:t>
      </w:r>
      <w:r w:rsidR="008652C0">
        <w:t>ale or female, ≥</w:t>
      </w:r>
      <w:r w:rsidR="00365DB0">
        <w:t> </w:t>
      </w:r>
      <w:r w:rsidR="008652C0">
        <w:t>18 years of ag</w:t>
      </w:r>
      <w:r>
        <w:t xml:space="preserve">e at the time of signing the informed consent </w:t>
      </w:r>
      <w:proofErr w:type="gramStart"/>
      <w:r>
        <w:t>form;</w:t>
      </w:r>
      <w:proofErr w:type="gramEnd"/>
    </w:p>
    <w:p w14:paraId="25751CD5" w14:textId="0B8083B6" w:rsidR="008652C0" w:rsidRDefault="00147445" w:rsidP="00704E63">
      <w:pPr>
        <w:pStyle w:val="ListBullet"/>
      </w:pPr>
      <w:r>
        <w:t>d</w:t>
      </w:r>
      <w:r w:rsidR="008652C0">
        <w:t xml:space="preserve">ocumented diagnosis of </w:t>
      </w:r>
      <w:r>
        <w:t>beta-</w:t>
      </w:r>
      <w:r w:rsidR="008652C0">
        <w:t>thalass</w:t>
      </w:r>
      <w:r>
        <w:t>aemia or haemoglobin E beta-thalassaemia (beta-</w:t>
      </w:r>
      <w:r w:rsidR="008652C0">
        <w:t>thalass</w:t>
      </w:r>
      <w:r>
        <w:t>a</w:t>
      </w:r>
      <w:r w:rsidR="008652C0">
        <w:t>emia with mu</w:t>
      </w:r>
      <w:r>
        <w:t>tation and/or multiplication of alpha-</w:t>
      </w:r>
      <w:r w:rsidR="008652C0">
        <w:t>globin was allowed</w:t>
      </w:r>
      <w:proofErr w:type="gramStart"/>
      <w:r w:rsidR="008652C0">
        <w:t>)</w:t>
      </w:r>
      <w:r>
        <w:t>;</w:t>
      </w:r>
      <w:proofErr w:type="gramEnd"/>
    </w:p>
    <w:p w14:paraId="18DFE5AF" w14:textId="0C0956BB" w:rsidR="008652C0" w:rsidRDefault="00147445" w:rsidP="00704E63">
      <w:pPr>
        <w:pStyle w:val="ListBullet"/>
      </w:pPr>
      <w:r>
        <w:t>r</w:t>
      </w:r>
      <w:r w:rsidR="008652C0">
        <w:t>egularly transfused, defined as 6 to 20</w:t>
      </w:r>
      <w:r w:rsidR="00365DB0">
        <w:t> </w:t>
      </w:r>
      <w:r>
        <w:t>red blood cell</w:t>
      </w:r>
      <w:r w:rsidR="008652C0">
        <w:t xml:space="preserve"> units in the 24</w:t>
      </w:r>
      <w:r w:rsidR="00365DB0">
        <w:t> </w:t>
      </w:r>
      <w:r>
        <w:t>weeks prior to randomis</w:t>
      </w:r>
      <w:r w:rsidR="008652C0">
        <w:t>ation and no transfusion</w:t>
      </w:r>
      <w:r w:rsidR="00F715AB">
        <w:t xml:space="preserve"> </w:t>
      </w:r>
      <w:r w:rsidR="008652C0">
        <w:t>free period for &gt;</w:t>
      </w:r>
      <w:r w:rsidR="00BD4CF7">
        <w:t> </w:t>
      </w:r>
      <w:r w:rsidR="008652C0">
        <w:t>35</w:t>
      </w:r>
      <w:r w:rsidR="005B2FFA">
        <w:t> </w:t>
      </w:r>
      <w:r w:rsidR="008652C0">
        <w:t>days during that period</w:t>
      </w:r>
      <w:r>
        <w:t>; and</w:t>
      </w:r>
    </w:p>
    <w:p w14:paraId="607B16EE" w14:textId="5D5109EA" w:rsidR="008652C0" w:rsidRDefault="008652C0" w:rsidP="00704E63">
      <w:pPr>
        <w:pStyle w:val="ListBullet"/>
      </w:pPr>
      <w:r>
        <w:t xml:space="preserve">Eastern Cooperative Oncology Group (ECOG) </w:t>
      </w:r>
      <w:r w:rsidR="00147445">
        <w:t xml:space="preserve">performance status </w:t>
      </w:r>
      <w:r>
        <w:t>score of 0 or 1</w:t>
      </w:r>
    </w:p>
    <w:p w14:paraId="03AF21F3" w14:textId="11634B6D" w:rsidR="00147445" w:rsidRDefault="00147445" w:rsidP="00704E63">
      <w:pPr>
        <w:pStyle w:val="Heading6"/>
      </w:pPr>
      <w:r>
        <w:t>Exclusion c</w:t>
      </w:r>
      <w:r w:rsidR="008652C0" w:rsidRPr="001117BF">
        <w:t>riteria</w:t>
      </w:r>
    </w:p>
    <w:p w14:paraId="29515753" w14:textId="2EB12576" w:rsidR="00147445" w:rsidRPr="00147445" w:rsidRDefault="00147445" w:rsidP="00147445">
      <w:r>
        <w:t>Key exclusion criteria were:</w:t>
      </w:r>
    </w:p>
    <w:p w14:paraId="3C407278" w14:textId="6B567E4F" w:rsidR="008652C0" w:rsidRDefault="00147445" w:rsidP="00147445">
      <w:pPr>
        <w:pStyle w:val="ListBullet"/>
      </w:pPr>
      <w:r>
        <w:t>a</w:t>
      </w:r>
      <w:r w:rsidR="008652C0">
        <w:t xml:space="preserve"> diagnosis of </w:t>
      </w:r>
      <w:r>
        <w:t xml:space="preserve">sickle beta-thalassaemia </w:t>
      </w:r>
      <w:r w:rsidR="00A55CE1">
        <w:t>or alpha</w:t>
      </w:r>
      <w:r w:rsidR="008652C0">
        <w:t>-thalass</w:t>
      </w:r>
      <w:r w:rsidR="00A55CE1">
        <w:t>a</w:t>
      </w:r>
      <w:r w:rsidR="008652C0">
        <w:t>emia (</w:t>
      </w:r>
      <w:r w:rsidR="00074C77">
        <w:t>For example</w:t>
      </w:r>
      <w:r w:rsidR="008652C0">
        <w:t xml:space="preserve">, </w:t>
      </w:r>
      <w:r w:rsidR="00A55CE1">
        <w:t>haemoglobin H disease</w:t>
      </w:r>
      <w:proofErr w:type="gramStart"/>
      <w:r w:rsidR="008652C0">
        <w:t>)</w:t>
      </w:r>
      <w:r w:rsidR="00A55CE1">
        <w:t>;</w:t>
      </w:r>
      <w:proofErr w:type="gramEnd"/>
    </w:p>
    <w:p w14:paraId="0F7436BF" w14:textId="70387ABB" w:rsidR="008652C0" w:rsidRDefault="00A55CE1" w:rsidP="00704E63">
      <w:pPr>
        <w:pStyle w:val="ListBullet"/>
      </w:pPr>
      <w:r>
        <w:t>e</w:t>
      </w:r>
      <w:r w:rsidR="008652C0">
        <w:t xml:space="preserve">vidence of active </w:t>
      </w:r>
      <w:r w:rsidR="008652C0" w:rsidRPr="00147445">
        <w:t>hepatitis</w:t>
      </w:r>
      <w:r>
        <w:t xml:space="preserve"> C virus, hepatitis B virus,</w:t>
      </w:r>
      <w:r w:rsidR="008652C0">
        <w:t xml:space="preserve"> or known positi</w:t>
      </w:r>
      <w:r>
        <w:t xml:space="preserve">ve human immunodeficiency </w:t>
      </w:r>
      <w:proofErr w:type="gramStart"/>
      <w:r>
        <w:t>virus;</w:t>
      </w:r>
      <w:proofErr w:type="gramEnd"/>
    </w:p>
    <w:p w14:paraId="7864E5FF" w14:textId="41C956A3" w:rsidR="008652C0" w:rsidRDefault="00A55CE1" w:rsidP="00704E63">
      <w:pPr>
        <w:pStyle w:val="ListBullet"/>
      </w:pPr>
      <w:r>
        <w:t>u</w:t>
      </w:r>
      <w:r w:rsidR="008652C0">
        <w:t>se of chronic anticoagulant therapy was excluded, unless the treatment stopped at least</w:t>
      </w:r>
      <w:r>
        <w:t xml:space="preserve"> 28 days prior to </w:t>
      </w:r>
      <w:proofErr w:type="gramStart"/>
      <w:r>
        <w:t>randomisation;</w:t>
      </w:r>
      <w:proofErr w:type="gramEnd"/>
    </w:p>
    <w:p w14:paraId="51D852B5" w14:textId="640D8B0C" w:rsidR="008652C0" w:rsidRDefault="00A55CE1" w:rsidP="00704E63">
      <w:pPr>
        <w:pStyle w:val="ListBullet"/>
      </w:pPr>
      <w:r>
        <w:t>p</w:t>
      </w:r>
      <w:r w:rsidR="008652C0">
        <w:t>latelet count &gt;</w:t>
      </w:r>
      <w:r w:rsidR="00BD4CF7">
        <w:t> </w:t>
      </w:r>
      <w:r w:rsidR="008652C0">
        <w:t>1000</w:t>
      </w:r>
      <w:r w:rsidR="00BD4CF7">
        <w:t> </w:t>
      </w:r>
      <w:r w:rsidR="008652C0">
        <w:t>x</w:t>
      </w:r>
      <w:r w:rsidR="00BD4CF7">
        <w:t> </w:t>
      </w:r>
      <w:r w:rsidR="008652C0">
        <w:t>109/</w:t>
      </w:r>
      <w:proofErr w:type="gramStart"/>
      <w:r w:rsidR="008652C0">
        <w:t>L</w:t>
      </w:r>
      <w:r>
        <w:t>;</w:t>
      </w:r>
      <w:proofErr w:type="gramEnd"/>
    </w:p>
    <w:p w14:paraId="72E9D952" w14:textId="769C3169" w:rsidR="008652C0" w:rsidRDefault="00A55CE1" w:rsidP="00704E63">
      <w:pPr>
        <w:pStyle w:val="ListBullet"/>
      </w:pPr>
      <w:r>
        <w:t>t</w:t>
      </w:r>
      <w:r w:rsidR="008652C0">
        <w:t>reatment with another investigational drug or device ≤</w:t>
      </w:r>
      <w:r w:rsidR="00BD4CF7">
        <w:t> </w:t>
      </w:r>
      <w:r w:rsidR="008652C0">
        <w:t xml:space="preserve">28 days prior to </w:t>
      </w:r>
      <w:proofErr w:type="gramStart"/>
      <w:r w:rsidR="008652C0">
        <w:t>randomisation</w:t>
      </w:r>
      <w:r>
        <w:t>;</w:t>
      </w:r>
      <w:proofErr w:type="gramEnd"/>
    </w:p>
    <w:p w14:paraId="10430A64" w14:textId="6120721E" w:rsidR="008652C0" w:rsidRDefault="00A55CE1" w:rsidP="00704E63">
      <w:pPr>
        <w:pStyle w:val="ListBullet"/>
      </w:pPr>
      <w:r>
        <w:t>p</w:t>
      </w:r>
      <w:r w:rsidR="008652C0">
        <w:t xml:space="preserve">rior exposure to </w:t>
      </w:r>
      <w:proofErr w:type="spellStart"/>
      <w:r w:rsidR="008652C0">
        <w:t>sotatercept</w:t>
      </w:r>
      <w:proofErr w:type="spellEnd"/>
      <w:r w:rsidR="008652C0">
        <w:t xml:space="preserve"> (ACE-011) or </w:t>
      </w:r>
      <w:proofErr w:type="spellStart"/>
      <w:r w:rsidR="008652C0">
        <w:t>luspatercept</w:t>
      </w:r>
      <w:proofErr w:type="spellEnd"/>
      <w:r w:rsidR="008652C0">
        <w:t xml:space="preserve"> (ACE-536)</w:t>
      </w:r>
    </w:p>
    <w:p w14:paraId="76F24B82" w14:textId="4AECBE84" w:rsidR="008652C0" w:rsidRDefault="00A55CE1" w:rsidP="00704E63">
      <w:pPr>
        <w:pStyle w:val="ListBullet"/>
      </w:pPr>
      <w:r>
        <w:t>u</w:t>
      </w:r>
      <w:r w:rsidR="008652C0">
        <w:t xml:space="preserve">sed an </w:t>
      </w:r>
      <w:r>
        <w:t>erythropoietic stimulating agent</w:t>
      </w:r>
      <w:r w:rsidR="008652C0">
        <w:t xml:space="preserve"> ≤</w:t>
      </w:r>
      <w:r w:rsidR="002F5A0F">
        <w:t> </w:t>
      </w:r>
      <w:r w:rsidR="008652C0">
        <w:t>24 weeks prior to randomisation</w:t>
      </w:r>
      <w:r>
        <w:t>; or</w:t>
      </w:r>
    </w:p>
    <w:p w14:paraId="0B5C31A8" w14:textId="7755BD5E" w:rsidR="008652C0" w:rsidRDefault="00A55CE1">
      <w:pPr>
        <w:pStyle w:val="ListBullet"/>
      </w:pPr>
      <w:r>
        <w:t>i</w:t>
      </w:r>
      <w:r w:rsidR="008652C0">
        <w:t>ron chelation therapy, if initiated ≤</w:t>
      </w:r>
      <w:r w:rsidR="002F5A0F">
        <w:t> </w:t>
      </w:r>
      <w:r w:rsidR="008652C0">
        <w:t>24 weeks prior to randomisation (allowed if initiated &gt; 24 weeks before or during treatment)</w:t>
      </w:r>
      <w:r>
        <w:t>.</w:t>
      </w:r>
    </w:p>
    <w:p w14:paraId="50DE0A52" w14:textId="69831EAC" w:rsidR="0018032E" w:rsidRDefault="00882DF4" w:rsidP="0018032E">
      <w:pPr>
        <w:pStyle w:val="ListBullet"/>
        <w:numPr>
          <w:ilvl w:val="0"/>
          <w:numId w:val="0"/>
        </w:numPr>
        <w:ind w:left="360"/>
      </w:pPr>
      <w:r>
        <w:fldChar w:fldCharType="begin"/>
      </w:r>
      <w:r>
        <w:instrText xml:space="preserve"> REF _Ref90648921 \h </w:instrText>
      </w:r>
      <w:r>
        <w:fldChar w:fldCharType="separate"/>
      </w:r>
      <w:r>
        <w:t xml:space="preserve">Table </w:t>
      </w:r>
      <w:r>
        <w:rPr>
          <w:noProof/>
        </w:rPr>
        <w:t>5</w:t>
      </w:r>
      <w:r>
        <w:fldChar w:fldCharType="end"/>
      </w:r>
      <w:r>
        <w:t xml:space="preserve"> lists the b</w:t>
      </w:r>
      <w:r w:rsidRPr="00882DF4">
        <w:t xml:space="preserve">aseline </w:t>
      </w:r>
      <w:r>
        <w:t>c</w:t>
      </w:r>
      <w:r w:rsidRPr="00882DF4">
        <w:t>haracteristics</w:t>
      </w:r>
      <w:r>
        <w:t xml:space="preserve"> of</w:t>
      </w:r>
      <w:r w:rsidR="00A55CE1">
        <w:t xml:space="preserve"> the </w:t>
      </w:r>
      <w:r>
        <w:t>Study</w:t>
      </w:r>
      <w:r w:rsidRPr="00882DF4">
        <w:t xml:space="preserve"> ACE-536-</w:t>
      </w:r>
      <w:r w:rsidRPr="00704E63">
        <w:rPr>
          <w:i/>
          <w:iCs/>
        </w:rPr>
        <w:t>β</w:t>
      </w:r>
      <w:r w:rsidRPr="00882DF4">
        <w:t>-THAL-001</w:t>
      </w:r>
      <w:r w:rsidR="00A55CE1">
        <w:t xml:space="preserve"> study population</w:t>
      </w:r>
    </w:p>
    <w:p w14:paraId="78973354" w14:textId="2F4EC32C" w:rsidR="008652C0" w:rsidRDefault="006A1D6C" w:rsidP="006A1D6C">
      <w:pPr>
        <w:pStyle w:val="FigureTitle"/>
      </w:pPr>
      <w:r>
        <w:t xml:space="preserve">Figure </w:t>
      </w:r>
      <w:fldSimple w:instr=" SEQ Figure \* ARABIC ">
        <w:r w:rsidR="001B11D8">
          <w:rPr>
            <w:noProof/>
          </w:rPr>
          <w:t>6</w:t>
        </w:r>
      </w:fldSimple>
      <w:r>
        <w:t xml:space="preserve">: </w:t>
      </w:r>
      <w:r w:rsidR="00A55CE1">
        <w:t xml:space="preserve">Study </w:t>
      </w:r>
      <w:r w:rsidR="008652C0" w:rsidRPr="008652C0">
        <w:t>ACE-536-</w:t>
      </w:r>
      <w:r w:rsidR="005F03FC" w:rsidRPr="005F03FC">
        <w:rPr>
          <w:i/>
          <w:iCs/>
        </w:rPr>
        <w:t>β</w:t>
      </w:r>
      <w:r w:rsidR="008652C0" w:rsidRPr="008652C0">
        <w:t>-THAL-001</w:t>
      </w:r>
      <w:r w:rsidR="00FC1F8A" w:rsidRPr="00FC1F8A">
        <w:t xml:space="preserve"> </w:t>
      </w:r>
      <w:r w:rsidR="00A55CE1">
        <w:t>P</w:t>
      </w:r>
      <w:r w:rsidR="00FC1F8A" w:rsidRPr="008652C0">
        <w:t xml:space="preserve">articipant </w:t>
      </w:r>
      <w:r w:rsidR="00FC1F8A">
        <w:t>f</w:t>
      </w:r>
      <w:r w:rsidR="00FC1F8A" w:rsidRPr="008652C0">
        <w:t>low</w:t>
      </w:r>
    </w:p>
    <w:p w14:paraId="125CB39F" w14:textId="096395F5" w:rsidR="00897EDA" w:rsidRDefault="006A1D6C" w:rsidP="008652C0">
      <w:r>
        <w:rPr>
          <w:noProof/>
          <w:lang w:val="en-GB" w:eastAsia="en-GB"/>
        </w:rPr>
        <w:drawing>
          <wp:inline distT="0" distB="0" distL="0" distR="0" wp14:anchorId="7EBFF52E" wp14:editId="4B9FD1D6">
            <wp:extent cx="5310715" cy="4428877"/>
            <wp:effectExtent l="0" t="0" r="4445" b="0"/>
            <wp:docPr id="12" name="Picture 12" descr="Diagram detailing the allocation of participants in the Study ACE-536-β-THAL-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detailing the allocation of participants in the Study ACE-536-β-THAL-001 "/>
                    <pic:cNvPicPr/>
                  </pic:nvPicPr>
                  <pic:blipFill rotWithShape="1">
                    <a:blip r:embed="rId23">
                      <a:extLst>
                        <a:ext uri="{28A0092B-C50C-407E-A947-70E740481C1C}">
                          <a14:useLocalDpi xmlns:a14="http://schemas.microsoft.com/office/drawing/2010/main" val="0"/>
                        </a:ext>
                      </a:extLst>
                    </a:blip>
                    <a:srcRect l="1032" t="3603" r="609" b="828"/>
                    <a:stretch/>
                  </pic:blipFill>
                  <pic:spPr bwMode="auto">
                    <a:xfrm>
                      <a:off x="0" y="0"/>
                      <a:ext cx="5311502" cy="4429533"/>
                    </a:xfrm>
                    <a:prstGeom prst="rect">
                      <a:avLst/>
                    </a:prstGeom>
                    <a:ln>
                      <a:noFill/>
                    </a:ln>
                    <a:extLst>
                      <a:ext uri="{53640926-AAD7-44D8-BBD7-CCE9431645EC}">
                        <a14:shadowObscured xmlns:a14="http://schemas.microsoft.com/office/drawing/2010/main"/>
                      </a:ext>
                    </a:extLst>
                  </pic:spPr>
                </pic:pic>
              </a:graphicData>
            </a:graphic>
          </wp:inline>
        </w:drawing>
      </w:r>
    </w:p>
    <w:p w14:paraId="240C4436" w14:textId="7BA24AEB" w:rsidR="00D3012B" w:rsidRPr="00D3012B" w:rsidRDefault="00897EDA" w:rsidP="00897EDA">
      <w:pPr>
        <w:pStyle w:val="FigureTitle"/>
      </w:pPr>
      <w:bookmarkStart w:id="61" w:name="_Ref90648921"/>
      <w:r>
        <w:t xml:space="preserve">Table </w:t>
      </w:r>
      <w:fldSimple w:instr=" SEQ Table \* ARABIC ">
        <w:r w:rsidR="001B11D8">
          <w:rPr>
            <w:noProof/>
          </w:rPr>
          <w:t>5</w:t>
        </w:r>
      </w:fldSimple>
      <w:bookmarkEnd w:id="61"/>
      <w:r>
        <w:t xml:space="preserve">: </w:t>
      </w:r>
      <w:r w:rsidR="00A55CE1">
        <w:t xml:space="preserve">Study </w:t>
      </w:r>
      <w:r w:rsidR="008652C0" w:rsidRPr="008652C0">
        <w:t>ACE-536-B-THAL-001</w:t>
      </w:r>
      <w:r w:rsidR="00FC1F8A" w:rsidRPr="00FC1F8A">
        <w:t xml:space="preserve"> </w:t>
      </w:r>
      <w:r w:rsidR="00E65C1D">
        <w:t>Baseline demographic and disease characteristics</w:t>
      </w:r>
    </w:p>
    <w:p w14:paraId="283E9F13" w14:textId="0E9FD071" w:rsidR="00D3012B" w:rsidRDefault="00D3012B" w:rsidP="004F4A0F">
      <w:r>
        <w:rPr>
          <w:noProof/>
          <w:lang w:val="en-GB" w:eastAsia="en-GB"/>
        </w:rPr>
        <w:drawing>
          <wp:inline distT="0" distB="0" distL="0" distR="0" wp14:anchorId="19AD463E" wp14:editId="47F4FB4C">
            <wp:extent cx="5399405" cy="4469957"/>
            <wp:effectExtent l="0" t="0" r="0" b="6985"/>
            <wp:docPr id="3" name="Picture 3" descr="https://www.nejm.org/na101/home/literatum/publisher/mms/journals/content/nejm/2020/nejm_2020.382.issue-13/nejmoa1910182/20210610/images/img_xlarge/nejmoa1910182_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jm.org/na101/home/literatum/publisher/mms/journals/content/nejm/2020/nejm_2020.382.issue-13/nejmoa1910182/20210610/images/img_xlarge/nejmoa1910182_t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92" b="21866"/>
                    <a:stretch/>
                  </pic:blipFill>
                  <pic:spPr bwMode="auto">
                    <a:xfrm>
                      <a:off x="0" y="0"/>
                      <a:ext cx="5400040" cy="4470483"/>
                    </a:xfrm>
                    <a:prstGeom prst="rect">
                      <a:avLst/>
                    </a:prstGeom>
                    <a:noFill/>
                    <a:ln>
                      <a:noFill/>
                    </a:ln>
                    <a:extLst>
                      <a:ext uri="{53640926-AAD7-44D8-BBD7-CCE9431645EC}">
                        <a14:shadowObscured xmlns:a14="http://schemas.microsoft.com/office/drawing/2010/main"/>
                      </a:ext>
                    </a:extLst>
                  </pic:spPr>
                </pic:pic>
              </a:graphicData>
            </a:graphic>
          </wp:inline>
        </w:drawing>
      </w:r>
    </w:p>
    <w:p w14:paraId="26B8DF8A" w14:textId="4BBB02D5" w:rsidR="00D3012B" w:rsidRDefault="00D3012B" w:rsidP="00D3012B">
      <w:pPr>
        <w:pStyle w:val="TableDescription"/>
        <w:rPr>
          <w:rFonts w:eastAsia="Times New Roman"/>
        </w:rPr>
      </w:pPr>
      <w:r>
        <w:t xml:space="preserve">* Data on all baseline demographics and disease characteristics, except current iron-chelation therapy, are shown for the intention-to-treat population (all patients who underwent randomisation). Percentages may not total 100 because of rounding. To convert the values for bilirubin to milligrams per </w:t>
      </w:r>
      <w:proofErr w:type="spellStart"/>
      <w:r>
        <w:t>deciliter</w:t>
      </w:r>
      <w:proofErr w:type="spellEnd"/>
      <w:r>
        <w:t>, divide by 17.1. NA denotes not available.</w:t>
      </w:r>
    </w:p>
    <w:p w14:paraId="1D647C70" w14:textId="5EDC466A" w:rsidR="00D3012B" w:rsidRDefault="00D3012B" w:rsidP="00D3012B">
      <w:pPr>
        <w:pStyle w:val="TableDescription"/>
      </w:pPr>
      <w:r>
        <w:t xml:space="preserve">† The baseline pretransfusion haemoglobin level in a patient was defined as the median of all documented pretransfusion haemoglobin levels measured in the 24 weeks (12 weeks of historical information plus 12 weeks of prospectively collected run-in data) before the first dose of </w:t>
      </w:r>
      <w:proofErr w:type="spellStart"/>
      <w:r>
        <w:t>luspatercept</w:t>
      </w:r>
      <w:proofErr w:type="spellEnd"/>
      <w:r>
        <w:t xml:space="preserve"> or placebo.</w:t>
      </w:r>
    </w:p>
    <w:p w14:paraId="33069D38" w14:textId="77777777" w:rsidR="00D3012B" w:rsidRDefault="00D3012B" w:rsidP="00D3012B">
      <w:pPr>
        <w:pStyle w:val="TableDescription"/>
      </w:pPr>
      <w:r>
        <w:t xml:space="preserve">‡ The baseline transfusion burden was defined as the number of red-cell units transfused in the 24 weeks before the first dose of </w:t>
      </w:r>
      <w:proofErr w:type="spellStart"/>
      <w:r>
        <w:t>luspatercept</w:t>
      </w:r>
      <w:proofErr w:type="spellEnd"/>
      <w:r>
        <w:t xml:space="preserve"> or placebo; red-cell units transfused on the day of the first dose of were considered part of the baseline transfusion burden.</w:t>
      </w:r>
    </w:p>
    <w:p w14:paraId="1FCA4097" w14:textId="1ABCFD67" w:rsidR="00D3012B" w:rsidRDefault="00D3012B" w:rsidP="00D3012B">
      <w:pPr>
        <w:pStyle w:val="TableDescription"/>
      </w:pPr>
      <w:r>
        <w:t>§ Myocardial iron deposition was assessed by means of T2*-weighted magnetic resonance imaging (which allows for distortions in the magnetic field due to haemosiderin or ferritin to quantify effective T2); a value higher than 10 msec indicates minimal risk of heart failure. (</w:t>
      </w:r>
      <w:r w:rsidRPr="00D3012B">
        <w:t xml:space="preserve">Coates TD. Physiology and pathophysiology of iron in </w:t>
      </w:r>
      <w:proofErr w:type="spellStart"/>
      <w:r w:rsidRPr="00D3012B">
        <w:t>hemoglobin</w:t>
      </w:r>
      <w:proofErr w:type="spellEnd"/>
      <w:r w:rsidRPr="00D3012B">
        <w:t>-associated diseases. Fr</w:t>
      </w:r>
      <w:r>
        <w:t xml:space="preserve">ee </w:t>
      </w:r>
      <w:proofErr w:type="spellStart"/>
      <w:r>
        <w:t>Radic</w:t>
      </w:r>
      <w:proofErr w:type="spellEnd"/>
      <w:r>
        <w:t xml:space="preserve"> Biol Med </w:t>
      </w:r>
      <w:proofErr w:type="gramStart"/>
      <w:r>
        <w:t>2014;72:23</w:t>
      </w:r>
      <w:proofErr w:type="gramEnd"/>
      <w:r>
        <w:t>-40).</w:t>
      </w:r>
    </w:p>
    <w:p w14:paraId="08B966DB" w14:textId="691057BD" w:rsidR="008652C0" w:rsidRDefault="00D3012B" w:rsidP="00D3012B">
      <w:pPr>
        <w:pStyle w:val="TableDescription"/>
      </w:pPr>
      <w:r>
        <w:t xml:space="preserve">¶ Current iron-chelation therapy was assessed in the safety population (all patients who underwent randomisation and received ≥1 dose of </w:t>
      </w:r>
      <w:proofErr w:type="spellStart"/>
      <w:r>
        <w:t>luspatercept</w:t>
      </w:r>
      <w:proofErr w:type="spellEnd"/>
      <w:r>
        <w:t xml:space="preserve"> or placebo — 223 in the </w:t>
      </w:r>
      <w:proofErr w:type="spellStart"/>
      <w:r>
        <w:t>luspatercept</w:t>
      </w:r>
      <w:proofErr w:type="spellEnd"/>
      <w:r>
        <w:t xml:space="preserve"> group and 109 in the placebo group). Combination iron-chelation therapy was permitted.</w:t>
      </w:r>
    </w:p>
    <w:p w14:paraId="407A7A5B" w14:textId="1E8A9CB4" w:rsidR="00E65C1D" w:rsidRDefault="00E65C1D" w:rsidP="00E65C1D">
      <w:pPr>
        <w:pStyle w:val="TableDescription"/>
      </w:pPr>
      <w:r>
        <w:t xml:space="preserve">Reproduced from </w:t>
      </w:r>
      <w:proofErr w:type="spellStart"/>
      <w:r w:rsidRPr="00E65C1D">
        <w:t>Cappellini</w:t>
      </w:r>
      <w:proofErr w:type="spellEnd"/>
      <w:r w:rsidRPr="00E65C1D">
        <w:t xml:space="preserve">, M. et al. A Phase 3 Trial of </w:t>
      </w:r>
      <w:proofErr w:type="spellStart"/>
      <w:r w:rsidRPr="00E65C1D">
        <w:t>Luspatercept</w:t>
      </w:r>
      <w:proofErr w:type="spellEnd"/>
      <w:r w:rsidRPr="00E65C1D">
        <w:t xml:space="preserve"> in Patients with Transfusion-Dependent β-Thalassemia, N </w:t>
      </w:r>
      <w:proofErr w:type="spellStart"/>
      <w:r w:rsidRPr="00E65C1D">
        <w:t>Engl</w:t>
      </w:r>
      <w:proofErr w:type="spellEnd"/>
      <w:r w:rsidRPr="00E65C1D">
        <w:t xml:space="preserve"> J Med, 2020; 382: 1219-1231</w:t>
      </w:r>
    </w:p>
    <w:p w14:paraId="2AE51DFA" w14:textId="77777777" w:rsidR="00F419E9" w:rsidRPr="006D5ED8" w:rsidRDefault="00F419E9" w:rsidP="00567536">
      <w:pPr>
        <w:pStyle w:val="Heading6"/>
      </w:pPr>
      <w:r w:rsidRPr="006D5ED8">
        <w:t>Results</w:t>
      </w:r>
    </w:p>
    <w:p w14:paraId="32BBD551" w14:textId="6894859C" w:rsidR="00F419E9" w:rsidRDefault="00F419E9" w:rsidP="00F419E9">
      <w:r>
        <w:t>The study was unblinded for analyses when all patients had received at least 48</w:t>
      </w:r>
      <w:r w:rsidR="008C173C">
        <w:t> </w:t>
      </w:r>
      <w:r>
        <w:t>weeks of treatment or discontinued treatment.</w:t>
      </w:r>
    </w:p>
    <w:p w14:paraId="6AF34191" w14:textId="3D230A13" w:rsidR="00F419E9" w:rsidRDefault="00F419E9" w:rsidP="00F419E9">
      <w:r>
        <w:t xml:space="preserve">Efficacy was based on the primary endpoint of </w:t>
      </w:r>
      <w:r w:rsidR="00D3012B">
        <w:t>red blood cell</w:t>
      </w:r>
      <w:r>
        <w:t xml:space="preserve"> transfusion burden reduction (≥</w:t>
      </w:r>
      <w:r w:rsidR="008C173C">
        <w:t> </w:t>
      </w:r>
      <w:r w:rsidR="00D3012B">
        <w:t>33% reduction from B</w:t>
      </w:r>
      <w:r>
        <w:t xml:space="preserve">aseline) with a reduction of at least </w:t>
      </w:r>
      <w:r w:rsidR="008C173C">
        <w:t xml:space="preserve">two </w:t>
      </w:r>
      <w:r>
        <w:t>units from Week</w:t>
      </w:r>
      <w:r w:rsidR="008C173C">
        <w:t> </w:t>
      </w:r>
      <w:r>
        <w:t>13 to Week</w:t>
      </w:r>
      <w:r w:rsidR="008C173C">
        <w:t> </w:t>
      </w:r>
      <w:r>
        <w:t xml:space="preserve">24. There were significantly more patients taking </w:t>
      </w:r>
      <w:proofErr w:type="spellStart"/>
      <w:r>
        <w:t>luspatercept</w:t>
      </w:r>
      <w:proofErr w:type="spellEnd"/>
      <w:r>
        <w:t xml:space="preserve"> (</w:t>
      </w:r>
      <w:proofErr w:type="spellStart"/>
      <w:r>
        <w:t>Reblozyl</w:t>
      </w:r>
      <w:proofErr w:type="spellEnd"/>
      <w:r>
        <w:t xml:space="preserve">) who achieved the primary endpoint compared to placebo (21.4% </w:t>
      </w:r>
      <w:r w:rsidR="001E77B1">
        <w:t>versus</w:t>
      </w:r>
      <w:r>
        <w:t xml:space="preserve"> 4.5%, respectively; p</w:t>
      </w:r>
      <w:r w:rsidR="008C173C">
        <w:t> </w:t>
      </w:r>
      <w:r>
        <w:t>&lt;</w:t>
      </w:r>
      <w:r w:rsidR="008C173C">
        <w:t> </w:t>
      </w:r>
      <w:r w:rsidR="00D3012B">
        <w:t xml:space="preserve">0.0001; </w:t>
      </w:r>
      <w:r>
        <w:t xml:space="preserve">see </w:t>
      </w:r>
      <w:r w:rsidR="001E77B1">
        <w:fldChar w:fldCharType="begin"/>
      </w:r>
      <w:r w:rsidR="001E77B1">
        <w:instrText xml:space="preserve"> REF _Ref90373327 \h </w:instrText>
      </w:r>
      <w:r w:rsidR="001E77B1">
        <w:fldChar w:fldCharType="separate"/>
      </w:r>
      <w:r w:rsidR="001E77B1">
        <w:t xml:space="preserve">Table </w:t>
      </w:r>
      <w:r w:rsidR="001E77B1">
        <w:rPr>
          <w:noProof/>
        </w:rPr>
        <w:t>6</w:t>
      </w:r>
      <w:r w:rsidR="001E77B1">
        <w:fldChar w:fldCharType="end"/>
      </w:r>
      <w:r>
        <w:t xml:space="preserve"> and </w:t>
      </w:r>
      <w:r w:rsidR="00B8753D">
        <w:fldChar w:fldCharType="begin"/>
      </w:r>
      <w:r w:rsidR="00B8753D">
        <w:instrText xml:space="preserve"> REF _Ref90373367 \h </w:instrText>
      </w:r>
      <w:r w:rsidR="00B8753D">
        <w:fldChar w:fldCharType="separate"/>
      </w:r>
      <w:r w:rsidR="00B8753D">
        <w:t xml:space="preserve">Figure </w:t>
      </w:r>
      <w:r w:rsidR="00B8753D">
        <w:rPr>
          <w:noProof/>
        </w:rPr>
        <w:t>7</w:t>
      </w:r>
      <w:r w:rsidR="00B8753D">
        <w:fldChar w:fldCharType="end"/>
      </w:r>
      <w:r>
        <w:t xml:space="preserve"> below for a summary of efficacy data</w:t>
      </w:r>
      <w:r w:rsidR="00D3012B">
        <w:t>)</w:t>
      </w:r>
      <w:r>
        <w:t>.</w:t>
      </w:r>
    </w:p>
    <w:p w14:paraId="112739E9" w14:textId="0DBCB361" w:rsidR="00F419E9" w:rsidRDefault="00F419E9" w:rsidP="00F419E9">
      <w:r>
        <w:t xml:space="preserve">More than 65% of the </w:t>
      </w:r>
      <w:proofErr w:type="spellStart"/>
      <w:r>
        <w:t>luspatercept</w:t>
      </w:r>
      <w:proofErr w:type="spellEnd"/>
      <w:r>
        <w:t xml:space="preserve"> responders who achieved at least a 33% reduction in transfusion burden during any consecutive </w:t>
      </w:r>
      <w:proofErr w:type="gramStart"/>
      <w:r>
        <w:t>12</w:t>
      </w:r>
      <w:r w:rsidR="00B8753D">
        <w:t> </w:t>
      </w:r>
      <w:r>
        <w:t>week</w:t>
      </w:r>
      <w:proofErr w:type="gramEnd"/>
      <w:r>
        <w:t xml:space="preserve"> interval achieved </w:t>
      </w:r>
      <w:r w:rsidR="00B8753D">
        <w:t xml:space="preserve">two </w:t>
      </w:r>
      <w:r>
        <w:t xml:space="preserve">or more episodes of response within the treatment exposure period of </w:t>
      </w:r>
      <w:r w:rsidR="00B8753D">
        <w:t>64 </w:t>
      </w:r>
      <w:r>
        <w:t>weeks.</w:t>
      </w:r>
    </w:p>
    <w:p w14:paraId="28E55838" w14:textId="446222CF" w:rsidR="00F419E9" w:rsidRDefault="00F419E9" w:rsidP="00F419E9">
      <w:r>
        <w:t xml:space="preserve">A treatment effect in favour of </w:t>
      </w:r>
      <w:proofErr w:type="spellStart"/>
      <w:r>
        <w:t>luspatercept</w:t>
      </w:r>
      <w:proofErr w:type="spellEnd"/>
      <w:r>
        <w:t xml:space="preserve"> over placebo was observed in all subgroups analysed, including patients with a severe disease condition, such as patients with the </w:t>
      </w:r>
      <w:r w:rsidR="00226235" w:rsidRPr="00226235">
        <w:rPr>
          <w:i/>
          <w:iCs/>
        </w:rPr>
        <w:t>β</w:t>
      </w:r>
      <w:r>
        <w:t>0/</w:t>
      </w:r>
      <w:r w:rsidR="00226235" w:rsidRPr="00226235">
        <w:rPr>
          <w:i/>
          <w:iCs/>
        </w:rPr>
        <w:t>β</w:t>
      </w:r>
      <w:r>
        <w:t>0 gene mutation or with a high transfusion burden (&gt;</w:t>
      </w:r>
      <w:r w:rsidR="0079570F">
        <w:t> </w:t>
      </w:r>
      <w:r w:rsidR="00D3012B">
        <w:t>6 units/12 week) at B</w:t>
      </w:r>
      <w:r>
        <w:t>aseline.</w:t>
      </w:r>
    </w:p>
    <w:p w14:paraId="4037406F" w14:textId="0904C5B5" w:rsidR="00F419E9" w:rsidRPr="00D3012B" w:rsidRDefault="00F419E9" w:rsidP="00F419E9">
      <w:r>
        <w:t>A reduction in mean serum fer</w:t>
      </w:r>
      <w:r w:rsidR="00D3012B">
        <w:t>ritin levels was observed from B</w:t>
      </w:r>
      <w:r>
        <w:t xml:space="preserve">aseline in the </w:t>
      </w:r>
      <w:proofErr w:type="spellStart"/>
      <w:r>
        <w:t>luspatercept</w:t>
      </w:r>
      <w:proofErr w:type="spellEnd"/>
      <w:r>
        <w:t xml:space="preserve"> arm compared to an increase in the placebo arm at Week</w:t>
      </w:r>
      <w:r w:rsidR="0079570F">
        <w:t> </w:t>
      </w:r>
      <w:r>
        <w:t xml:space="preserve">48 (-248.02 </w:t>
      </w:r>
      <w:proofErr w:type="spellStart"/>
      <w:r w:rsidR="0079570F" w:rsidRPr="00D3012B">
        <w:rPr>
          <w:iCs/>
        </w:rPr>
        <w:t>μ</w:t>
      </w:r>
      <w:r w:rsidRPr="00D3012B">
        <w:t>g</w:t>
      </w:r>
      <w:proofErr w:type="spellEnd"/>
      <w:r w:rsidRPr="00D3012B">
        <w:t xml:space="preserve">/L versus </w:t>
      </w:r>
      <w:r w:rsidR="00D3012B">
        <w:t>+106.62 </w:t>
      </w:r>
      <w:proofErr w:type="spellStart"/>
      <w:r w:rsidR="0079570F" w:rsidRPr="00D3012B">
        <w:rPr>
          <w:iCs/>
        </w:rPr>
        <w:t>μ</w:t>
      </w:r>
      <w:r w:rsidRPr="00D3012B">
        <w:t>g</w:t>
      </w:r>
      <w:proofErr w:type="spellEnd"/>
      <w:r w:rsidRPr="00D3012B">
        <w:t>/L p</w:t>
      </w:r>
      <w:r w:rsidR="00332EF3" w:rsidRPr="00D3012B">
        <w:t> </w:t>
      </w:r>
      <w:r w:rsidRPr="00D3012B">
        <w:t>=</w:t>
      </w:r>
      <w:r w:rsidR="00332EF3" w:rsidRPr="00D3012B">
        <w:t> </w:t>
      </w:r>
      <w:r w:rsidRPr="00D3012B">
        <w:t>0.0024) which resulted in a least squar</w:t>
      </w:r>
      <w:r w:rsidR="00D3012B">
        <w:t xml:space="preserve">e mean treatment difference of </w:t>
      </w:r>
      <w:r w:rsidR="00D3012B">
        <w:noBreakHyphen/>
      </w:r>
      <w:r w:rsidRPr="00D3012B">
        <w:t xml:space="preserve">347.8 </w:t>
      </w:r>
      <w:proofErr w:type="spellStart"/>
      <w:r w:rsidR="0079570F" w:rsidRPr="00D3012B">
        <w:rPr>
          <w:iCs/>
        </w:rPr>
        <w:t>μ</w:t>
      </w:r>
      <w:r w:rsidRPr="00D3012B">
        <w:t>g</w:t>
      </w:r>
      <w:proofErr w:type="spellEnd"/>
      <w:r w:rsidRPr="00D3012B">
        <w:t>/L (95% CI: -516.95, -178.65).</w:t>
      </w:r>
    </w:p>
    <w:p w14:paraId="22AFAC81" w14:textId="1B3A3BC6" w:rsidR="00F419E9" w:rsidRDefault="00F419E9" w:rsidP="00F419E9">
      <w:r>
        <w:t xml:space="preserve">The onset of action was rapid with the median time from first dose to first erythroid response ranging from 12 to 25 days in the </w:t>
      </w:r>
      <w:proofErr w:type="spellStart"/>
      <w:r>
        <w:t>luspatercept</w:t>
      </w:r>
      <w:proofErr w:type="spellEnd"/>
      <w:r w:rsidR="003F2A9B">
        <w:t> </w:t>
      </w:r>
      <w:r>
        <w:t>+</w:t>
      </w:r>
      <w:r w:rsidR="003F2A9B">
        <w:t> </w:t>
      </w:r>
      <w:r w:rsidR="00171C04">
        <w:t>best supportive care</w:t>
      </w:r>
      <w:r>
        <w:t xml:space="preserve"> group compared to 43</w:t>
      </w:r>
      <w:r w:rsidR="003F2A9B">
        <w:t> to </w:t>
      </w:r>
      <w:r w:rsidR="00D3012B">
        <w:t>1</w:t>
      </w:r>
      <w:r>
        <w:t>07 days in the placebo group.</w:t>
      </w:r>
    </w:p>
    <w:p w14:paraId="4879A3F5" w14:textId="07EB0AFE" w:rsidR="00F419E9" w:rsidRDefault="00F419E9" w:rsidP="00F419E9">
      <w:r>
        <w:t xml:space="preserve">No clinically meaningful change in </w:t>
      </w:r>
      <w:r w:rsidR="00171C04">
        <w:t>liver iron concentration was observed in beta</w:t>
      </w:r>
      <w:r w:rsidR="00171C04">
        <w:noBreakHyphen/>
      </w:r>
      <w:r>
        <w:t xml:space="preserve">thalassaemia patients treated with </w:t>
      </w:r>
      <w:proofErr w:type="spellStart"/>
      <w:r>
        <w:t>luspatercept</w:t>
      </w:r>
      <w:proofErr w:type="spellEnd"/>
      <w:r>
        <w:t xml:space="preserve"> plus </w:t>
      </w:r>
      <w:r w:rsidR="00171C04">
        <w:t>best supportive care</w:t>
      </w:r>
      <w:r>
        <w:t xml:space="preserve"> compared to patients treated with placebo plus </w:t>
      </w:r>
      <w:r w:rsidR="00171C04">
        <w:t>best supportive care</w:t>
      </w:r>
      <w:r>
        <w:t xml:space="preserve"> at </w:t>
      </w:r>
      <w:r w:rsidR="001D1228">
        <w:t>48 </w:t>
      </w:r>
      <w:r>
        <w:t>weeks.</w:t>
      </w:r>
    </w:p>
    <w:p w14:paraId="0F573BE7" w14:textId="5F115557" w:rsidR="008652C0" w:rsidRDefault="001B11D8" w:rsidP="004F4A0F">
      <w:pPr>
        <w:pStyle w:val="TableTitle"/>
      </w:pPr>
      <w:bookmarkStart w:id="62" w:name="_Ref90373327"/>
      <w:r>
        <w:t xml:space="preserve">Table </w:t>
      </w:r>
      <w:fldSimple w:instr=" SEQ Table \* ARABIC ">
        <w:r>
          <w:rPr>
            <w:noProof/>
          </w:rPr>
          <w:t>6</w:t>
        </w:r>
      </w:fldSimple>
      <w:bookmarkEnd w:id="62"/>
      <w:r>
        <w:t xml:space="preserve">: </w:t>
      </w:r>
      <w:r w:rsidR="00171C04">
        <w:t xml:space="preserve">Study </w:t>
      </w:r>
      <w:r w:rsidR="00F419E9">
        <w:t>ACE-536-B-THAL-001</w:t>
      </w:r>
      <w:r w:rsidR="00171C04">
        <w:t xml:space="preserve"> </w:t>
      </w:r>
      <w:r w:rsidR="001D1228">
        <w:t>Summary of overall efficacy data</w:t>
      </w:r>
    </w:p>
    <w:p w14:paraId="4771FEF1" w14:textId="6B530EC3" w:rsidR="00F419E9" w:rsidRDefault="009F12A6" w:rsidP="00F419E9">
      <w:r>
        <w:rPr>
          <w:noProof/>
          <w:lang w:val="en-GB" w:eastAsia="en-GB"/>
        </w:rPr>
        <w:drawing>
          <wp:inline distT="0" distB="0" distL="0" distR="0" wp14:anchorId="2FD38FB2" wp14:editId="4D3B3913">
            <wp:extent cx="5335326" cy="4897755"/>
            <wp:effectExtent l="0" t="0" r="0" b="0"/>
            <wp:docPr id="14" name="Picture 14" descr="Summary of overall efficacy data of Study ACE-536-B-THA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mmary of overall efficacy data of Study ACE-536-B-THAL-001"/>
                    <pic:cNvPicPr/>
                  </pic:nvPicPr>
                  <pic:blipFill rotWithShape="1">
                    <a:blip r:embed="rId25">
                      <a:extLst>
                        <a:ext uri="{28A0092B-C50C-407E-A947-70E740481C1C}">
                          <a14:useLocalDpi xmlns:a14="http://schemas.microsoft.com/office/drawing/2010/main" val="0"/>
                        </a:ext>
                      </a:extLst>
                    </a:blip>
                    <a:srcRect r="1194" b="486"/>
                    <a:stretch/>
                  </pic:blipFill>
                  <pic:spPr bwMode="auto">
                    <a:xfrm>
                      <a:off x="0" y="0"/>
                      <a:ext cx="5335597" cy="4898004"/>
                    </a:xfrm>
                    <a:prstGeom prst="rect">
                      <a:avLst/>
                    </a:prstGeom>
                    <a:ln>
                      <a:noFill/>
                    </a:ln>
                    <a:extLst>
                      <a:ext uri="{53640926-AAD7-44D8-BBD7-CCE9431645EC}">
                        <a14:shadowObscured xmlns:a14="http://schemas.microsoft.com/office/drawing/2010/main"/>
                      </a:ext>
                    </a:extLst>
                  </pic:spPr>
                </pic:pic>
              </a:graphicData>
            </a:graphic>
          </wp:inline>
        </w:drawing>
      </w:r>
    </w:p>
    <w:p w14:paraId="6C6A31D1" w14:textId="20A048F5" w:rsidR="00171C04" w:rsidRDefault="00171C04" w:rsidP="00171C04">
      <w:pPr>
        <w:pStyle w:val="TableDescription"/>
      </w:pPr>
      <w:r>
        <w:t>CI = confidence intervals; RBC = red blood cell</w:t>
      </w:r>
    </w:p>
    <w:p w14:paraId="42405C50" w14:textId="2D11F63E" w:rsidR="00F92BA2" w:rsidRDefault="00F92BA2" w:rsidP="004B6AE3">
      <w:pPr>
        <w:pStyle w:val="FigureDescription"/>
      </w:pPr>
      <w:r w:rsidRPr="00DF1AD4">
        <w:rPr>
          <w:vertAlign w:val="superscript"/>
        </w:rPr>
        <w:t>a</w:t>
      </w:r>
      <w:r>
        <w:t xml:space="preserve"> </w:t>
      </w:r>
      <w:r w:rsidR="00DF1AD4">
        <w:t>Difference</w:t>
      </w:r>
      <w:r w:rsidR="00635834">
        <w:t xml:space="preserve"> in proportions (</w:t>
      </w:r>
      <w:proofErr w:type="spellStart"/>
      <w:r w:rsidR="00635834">
        <w:t>luspatercept</w:t>
      </w:r>
      <w:proofErr w:type="spellEnd"/>
      <w:r w:rsidR="00635834">
        <w:t xml:space="preserve"> + </w:t>
      </w:r>
      <w:r w:rsidR="00171C04">
        <w:t>best supportive care versus</w:t>
      </w:r>
      <w:r w:rsidR="00635834">
        <w:t xml:space="preserve"> placebo + </w:t>
      </w:r>
      <w:r w:rsidR="00171C04">
        <w:t>best supportive care) and 95% confidence interval</w:t>
      </w:r>
      <w:r w:rsidR="00635834">
        <w:t xml:space="preserve">s </w:t>
      </w:r>
      <w:r w:rsidR="00DF1AD4">
        <w:t>estimated from the unconditional exact test.</w:t>
      </w:r>
    </w:p>
    <w:p w14:paraId="00D82AAF" w14:textId="5AAC071C" w:rsidR="00DF1AD4" w:rsidRDefault="00DF1AD4" w:rsidP="004B6AE3">
      <w:pPr>
        <w:pStyle w:val="FigureDescription"/>
      </w:pPr>
      <w:r w:rsidRPr="004B6AE3">
        <w:rPr>
          <w:vertAlign w:val="superscript"/>
        </w:rPr>
        <w:t>b</w:t>
      </w:r>
      <w:r>
        <w:t xml:space="preserve"> P-value from the </w:t>
      </w:r>
      <w:r w:rsidR="00171C04">
        <w:t>Cochran-Mantel-Haenszel</w:t>
      </w:r>
      <w:r>
        <w:t xml:space="preserve"> test stratified by the </w:t>
      </w:r>
      <w:r w:rsidR="00673F57">
        <w:t>geographical region.</w:t>
      </w:r>
    </w:p>
    <w:p w14:paraId="2DC91564" w14:textId="791A9CC0" w:rsidR="00673F57" w:rsidRDefault="00673F57" w:rsidP="004B6AE3">
      <w:pPr>
        <w:pStyle w:val="FigureDescription"/>
      </w:pPr>
      <w:r w:rsidRPr="004B6AE3">
        <w:rPr>
          <w:vertAlign w:val="superscript"/>
        </w:rPr>
        <w:t>C</w:t>
      </w:r>
      <w:r>
        <w:t xml:space="preserve"> Response assessed over any consecutive </w:t>
      </w:r>
      <w:proofErr w:type="gramStart"/>
      <w:r>
        <w:t>12 or 24</w:t>
      </w:r>
      <w:r w:rsidR="004B6AE3">
        <w:t> </w:t>
      </w:r>
      <w:r>
        <w:t>week</w:t>
      </w:r>
      <w:proofErr w:type="gramEnd"/>
      <w:r>
        <w:t xml:space="preserve"> interval showing the proportion of patients achieving treatment benefit </w:t>
      </w:r>
      <w:r w:rsidR="004B6AE3">
        <w:t>at any time.</w:t>
      </w:r>
    </w:p>
    <w:p w14:paraId="040611F6" w14:textId="254130DD" w:rsidR="00F419E9" w:rsidRDefault="001B11D8" w:rsidP="001B11D8">
      <w:pPr>
        <w:pStyle w:val="FigureTitle"/>
      </w:pPr>
      <w:bookmarkStart w:id="63" w:name="_Ref90373367"/>
      <w:r>
        <w:t xml:space="preserve">Figure </w:t>
      </w:r>
      <w:fldSimple w:instr=" SEQ Figure \* ARABIC ">
        <w:r>
          <w:rPr>
            <w:noProof/>
          </w:rPr>
          <w:t>7</w:t>
        </w:r>
      </w:fldSimple>
      <w:bookmarkEnd w:id="63"/>
      <w:r>
        <w:t xml:space="preserve">: </w:t>
      </w:r>
      <w:r w:rsidR="00171C04">
        <w:t xml:space="preserve">Study ACE-536-β-THAL-001 </w:t>
      </w:r>
      <w:r w:rsidR="00F419E9" w:rsidRPr="00F419E9">
        <w:t xml:space="preserve">Percentage of </w:t>
      </w:r>
      <w:r w:rsidR="00370FB0">
        <w:t>p</w:t>
      </w:r>
      <w:r w:rsidR="00F419E9" w:rsidRPr="00F419E9">
        <w:t xml:space="preserve">atients </w:t>
      </w:r>
      <w:r w:rsidR="00370FB0">
        <w:t>w</w:t>
      </w:r>
      <w:r w:rsidR="00F419E9" w:rsidRPr="00F419E9">
        <w:t xml:space="preserve">ho </w:t>
      </w:r>
      <w:r w:rsidR="00370FB0">
        <w:t>h</w:t>
      </w:r>
      <w:r w:rsidR="00F419E9" w:rsidRPr="00F419E9">
        <w:t xml:space="preserve">ad a </w:t>
      </w:r>
      <w:r w:rsidR="00370FB0">
        <w:t>r</w:t>
      </w:r>
      <w:r w:rsidR="00F419E9" w:rsidRPr="00F419E9">
        <w:t xml:space="preserve">eduction in the </w:t>
      </w:r>
      <w:r w:rsidR="00370FB0">
        <w:t>t</w:t>
      </w:r>
      <w:r w:rsidR="00F419E9" w:rsidRPr="00F419E9">
        <w:t xml:space="preserve">ransfusion </w:t>
      </w:r>
      <w:r w:rsidR="00370FB0">
        <w:t>b</w:t>
      </w:r>
      <w:r w:rsidR="00F419E9" w:rsidRPr="00F419E9">
        <w:t xml:space="preserve">urden of at </w:t>
      </w:r>
      <w:r w:rsidR="00370FB0">
        <w:t>l</w:t>
      </w:r>
      <w:r w:rsidR="00F419E9" w:rsidRPr="00F419E9">
        <w:t xml:space="preserve">east 33% or at </w:t>
      </w:r>
      <w:r w:rsidR="00370FB0">
        <w:t>l</w:t>
      </w:r>
      <w:r w:rsidR="00F419E9" w:rsidRPr="00F419E9">
        <w:t xml:space="preserve">east 50% from </w:t>
      </w:r>
      <w:r w:rsidR="00171C04">
        <w:t>Baseline</w:t>
      </w:r>
    </w:p>
    <w:p w14:paraId="1E735478" w14:textId="1478CAA1" w:rsidR="00F419E9" w:rsidRDefault="00171C04" w:rsidP="00F419E9">
      <w:r>
        <w:rPr>
          <w:noProof/>
          <w:lang w:val="en-GB" w:eastAsia="en-GB"/>
        </w:rPr>
        <w:drawing>
          <wp:inline distT="0" distB="0" distL="0" distR="0" wp14:anchorId="55BAA134" wp14:editId="4FAD662E">
            <wp:extent cx="5400040" cy="5615474"/>
            <wp:effectExtent l="0" t="0" r="0" b="4445"/>
            <wp:docPr id="4" name="Picture 4" descr="https://www.nejm.org/na101/home/literatum/publisher/mms/journals/content/nejm/2020/nejm_2020.382.issue-13/nejmoa1910182/20210610/images/img_xlarge/nejmoa1910182_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jm.org/na101/home/literatum/publisher/mms/journals/content/nejm/2020/nejm_2020.382.issue-13/nejmoa1910182/20210610/images/img_xlarge/nejmoa1910182_f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5615474"/>
                    </a:xfrm>
                    <a:prstGeom prst="rect">
                      <a:avLst/>
                    </a:prstGeom>
                    <a:noFill/>
                    <a:ln>
                      <a:noFill/>
                    </a:ln>
                  </pic:spPr>
                </pic:pic>
              </a:graphicData>
            </a:graphic>
          </wp:inline>
        </w:drawing>
      </w:r>
    </w:p>
    <w:p w14:paraId="710C4EB2" w14:textId="599295B1" w:rsidR="00171C04" w:rsidRDefault="00171C04" w:rsidP="004F4A0F">
      <w:pPr>
        <w:pStyle w:val="FigureDescription"/>
      </w:pPr>
      <w:r>
        <w:t xml:space="preserve">CI = confidence interval; </w:t>
      </w:r>
      <w:proofErr w:type="spellStart"/>
      <w:r>
        <w:t>Wk</w:t>
      </w:r>
      <w:proofErr w:type="spellEnd"/>
      <w:r>
        <w:t xml:space="preserve"> = week.</w:t>
      </w:r>
    </w:p>
    <w:p w14:paraId="710F0469" w14:textId="2E6B129B" w:rsidR="00F419E9" w:rsidRDefault="00F419E9" w:rsidP="004F4A0F">
      <w:pPr>
        <w:pStyle w:val="FigureDescription"/>
      </w:pPr>
      <w:r>
        <w:t>Reductions in the transfusion burden (defined as the total number of red</w:t>
      </w:r>
      <w:r w:rsidR="006D4663">
        <w:t xml:space="preserve"> </w:t>
      </w:r>
      <w:r>
        <w:t xml:space="preserve">cell units transfused in a specified time interval) were assessed in the intention-to-treat population. Panel A shows the percentages of patients who had a reduction in the transfusion burden of at least 33% from baseline during </w:t>
      </w:r>
      <w:r w:rsidR="006D4663">
        <w:t>weeks </w:t>
      </w:r>
      <w:r>
        <w:t xml:space="preserve">13 through 24 (primary end point), during </w:t>
      </w:r>
      <w:r w:rsidR="006D4663">
        <w:t>weeks </w:t>
      </w:r>
      <w:r>
        <w:t>37 through 48 (first key secondary end point), and during any 12</w:t>
      </w:r>
      <w:r w:rsidR="006D4663">
        <w:t> </w:t>
      </w:r>
      <w:r>
        <w:t xml:space="preserve">week or </w:t>
      </w:r>
      <w:proofErr w:type="gramStart"/>
      <w:r>
        <w:t>24</w:t>
      </w:r>
      <w:r w:rsidR="006D4663">
        <w:t> </w:t>
      </w:r>
      <w:r>
        <w:t>week</w:t>
      </w:r>
      <w:proofErr w:type="gramEnd"/>
      <w:r>
        <w:t xml:space="preserve"> interval. Panel B shows the percentages of patients who had a reduction in the transfusion burden of at least 50% from baseline during </w:t>
      </w:r>
      <w:r w:rsidR="007022A7">
        <w:t>weeks </w:t>
      </w:r>
      <w:r>
        <w:t xml:space="preserve">13 through 24 (second key secondary end point), during </w:t>
      </w:r>
      <w:r w:rsidR="007022A7">
        <w:t>weeks </w:t>
      </w:r>
      <w:r>
        <w:t>37 through 48 (third key secondary end point), and during any 12</w:t>
      </w:r>
      <w:r w:rsidR="007022A7">
        <w:t> </w:t>
      </w:r>
      <w:r>
        <w:t xml:space="preserve">week or </w:t>
      </w:r>
      <w:proofErr w:type="gramStart"/>
      <w:r>
        <w:t>24</w:t>
      </w:r>
      <w:r w:rsidR="007022A7">
        <w:t> </w:t>
      </w:r>
      <w:r>
        <w:t>week</w:t>
      </w:r>
      <w:proofErr w:type="gramEnd"/>
      <w:r>
        <w:t xml:space="preserve"> interval. A reduction of at least </w:t>
      </w:r>
      <w:r w:rsidR="007022A7">
        <w:t xml:space="preserve">two </w:t>
      </w:r>
      <w:r>
        <w:t>red</w:t>
      </w:r>
      <w:r w:rsidR="007022A7">
        <w:t xml:space="preserve"> </w:t>
      </w:r>
      <w:r>
        <w:t xml:space="preserve">cell units over the fixed and nonfixed </w:t>
      </w:r>
      <w:proofErr w:type="gramStart"/>
      <w:r>
        <w:t>12</w:t>
      </w:r>
      <w:r w:rsidR="007022A7">
        <w:t> </w:t>
      </w:r>
      <w:r>
        <w:t>week</w:t>
      </w:r>
      <w:proofErr w:type="gramEnd"/>
      <w:r>
        <w:t xml:space="preserve"> intervals was also required for those end points. To control for multiple comparisons, key secondary end points were evaluated in sequential order once the primary efficacy analysis had shown statistical significance.</w:t>
      </w:r>
    </w:p>
    <w:p w14:paraId="3DCE3F0E" w14:textId="3CD77C9E" w:rsidR="00F419E9" w:rsidRDefault="00F419E9" w:rsidP="00F419E9">
      <w:r>
        <w:t>Reductions in the transfusion burden of at least 33% and at least 50% from baseline were estimated to avoid the need for approximately 7 and 8 red</w:t>
      </w:r>
      <w:r w:rsidR="0066472E">
        <w:t xml:space="preserve"> </w:t>
      </w:r>
      <w:r>
        <w:t>cell units, respectively, per patient over 6 months. In practice, patients could receive fewer red</w:t>
      </w:r>
      <w:r w:rsidR="0066472E">
        <w:t xml:space="preserve"> </w:t>
      </w:r>
      <w:r>
        <w:t>cell units per visit or have a longer duration between transfusion visits. Either of these outcomes may reduce the iron load, improve patient convenience, and reduce the associated burden of disease.</w:t>
      </w:r>
    </w:p>
    <w:p w14:paraId="0BE0A7D0" w14:textId="187C9F78" w:rsidR="00171C04" w:rsidRDefault="00171C04" w:rsidP="00171C04">
      <w:pPr>
        <w:pStyle w:val="Heading5"/>
      </w:pPr>
      <w:r>
        <w:t>Supportive studies</w:t>
      </w:r>
    </w:p>
    <w:p w14:paraId="60C0BCDE" w14:textId="598AA981" w:rsidR="008B5921" w:rsidRDefault="008B5921" w:rsidP="008B5921">
      <w:r>
        <w:t>The supportive studies</w:t>
      </w:r>
      <w:r w:rsidR="00171C04">
        <w:t>, Study A536-04 (a Phase II, open-label, ascending dose study to</w:t>
      </w:r>
      <w:r>
        <w:t xml:space="preserve"> </w:t>
      </w:r>
      <w:r w:rsidR="0066472E">
        <w:t xml:space="preserve">evaluate </w:t>
      </w:r>
      <w:r>
        <w:t xml:space="preserve">the </w:t>
      </w:r>
      <w:r w:rsidR="0066472E">
        <w:t xml:space="preserve">effects </w:t>
      </w:r>
      <w:r>
        <w:t xml:space="preserve">of ACE-536 in </w:t>
      </w:r>
      <w:r w:rsidR="0066472E">
        <w:t xml:space="preserve">patients </w:t>
      </w:r>
      <w:r w:rsidR="005443BB">
        <w:t>with beta-</w:t>
      </w:r>
      <w:r w:rsidR="0066472E">
        <w:t>thalassaemia</w:t>
      </w:r>
      <w:r w:rsidR="005443BB">
        <w:t>);</w:t>
      </w:r>
      <w:r w:rsidR="0066472E">
        <w:t xml:space="preserve"> </w:t>
      </w:r>
      <w:r>
        <w:t xml:space="preserve">and </w:t>
      </w:r>
      <w:r w:rsidR="005443BB">
        <w:t xml:space="preserve">Study ACE-536-06 (an open-label extension study </w:t>
      </w:r>
      <w:r>
        <w:t xml:space="preserve">to </w:t>
      </w:r>
      <w:r w:rsidR="0066472E">
        <w:t xml:space="preserve">evaluate </w:t>
      </w:r>
      <w:r>
        <w:t xml:space="preserve">the </w:t>
      </w:r>
      <w:r w:rsidR="0066472E">
        <w:t>long</w:t>
      </w:r>
      <w:r>
        <w:t>-</w:t>
      </w:r>
      <w:r w:rsidR="0066472E">
        <w:t xml:space="preserve">term effects </w:t>
      </w:r>
      <w:r>
        <w:t xml:space="preserve">of ACE-536 in </w:t>
      </w:r>
      <w:r w:rsidR="0066472E">
        <w:t xml:space="preserve">patients </w:t>
      </w:r>
      <w:r>
        <w:t xml:space="preserve">with </w:t>
      </w:r>
      <w:r w:rsidR="005443BB">
        <w:t>beta-</w:t>
      </w:r>
      <w:r w:rsidR="0066472E">
        <w:t xml:space="preserve">thalassaemia previously enrolled </w:t>
      </w:r>
      <w:r>
        <w:t>in Study A536-04</w:t>
      </w:r>
      <w:r w:rsidR="005443BB">
        <w:t>)</w:t>
      </w:r>
      <w:r>
        <w:t xml:space="preserve"> are considered supportive of efficacy by the clinical evaluator.</w:t>
      </w:r>
    </w:p>
    <w:p w14:paraId="5D1A7966" w14:textId="40887A14" w:rsidR="008B5921" w:rsidRPr="00A47E23" w:rsidRDefault="005443BB" w:rsidP="005443BB">
      <w:pPr>
        <w:pStyle w:val="Heading5"/>
      </w:pPr>
      <w:r>
        <w:t>Clinical evaluator’s c</w:t>
      </w:r>
      <w:r w:rsidR="008B5921" w:rsidRPr="00A47E23">
        <w:t>onclusion</w:t>
      </w:r>
      <w:r>
        <w:t>s on e</w:t>
      </w:r>
      <w:r w:rsidR="008B5921" w:rsidRPr="00A47E23">
        <w:t>fficacy</w:t>
      </w:r>
    </w:p>
    <w:p w14:paraId="0123F781" w14:textId="0186A419" w:rsidR="008B5921" w:rsidRPr="00DA3BD0" w:rsidRDefault="008B5921" w:rsidP="008B5921">
      <w:r>
        <w:t>In conclusion, available data from the pivotal study (</w:t>
      </w:r>
      <w:r w:rsidR="005443BB">
        <w:t xml:space="preserve">Study </w:t>
      </w:r>
      <w:r>
        <w:t>ACE-536-B-THAL-001) supports a clinically meaningful effect on reduction in transfusion burden in adult patients with transfusion</w:t>
      </w:r>
      <w:r w:rsidR="00A47E23">
        <w:t xml:space="preserve"> </w:t>
      </w:r>
      <w:r>
        <w:t>de</w:t>
      </w:r>
      <w:r w:rsidR="005443BB">
        <w:t>pendent anaemia associated with beta-</w:t>
      </w:r>
      <w:r>
        <w:t>thalassaemia</w:t>
      </w:r>
      <w:r w:rsidR="00C82543">
        <w:t xml:space="preserve"> </w:t>
      </w:r>
      <w:r>
        <w:t xml:space="preserve">in a relatively small number of patients taking </w:t>
      </w:r>
      <w:proofErr w:type="spellStart"/>
      <w:r>
        <w:t>luspatercept</w:t>
      </w:r>
      <w:proofErr w:type="spellEnd"/>
      <w:r>
        <w:t xml:space="preserve"> (21.4%) compared to placebo (4.5%).</w:t>
      </w:r>
    </w:p>
    <w:p w14:paraId="0C287318" w14:textId="151CE19F" w:rsidR="000F308D" w:rsidRDefault="005443BB" w:rsidP="005443BB">
      <w:pPr>
        <w:pStyle w:val="Heading4"/>
      </w:pPr>
      <w:r>
        <w:t>S</w:t>
      </w:r>
      <w:r w:rsidR="000F308D">
        <w:t>afety</w:t>
      </w:r>
    </w:p>
    <w:p w14:paraId="3085D1EC" w14:textId="77777777" w:rsidR="00802343" w:rsidRPr="00615718" w:rsidRDefault="00802343" w:rsidP="00802343">
      <w:pPr>
        <w:pStyle w:val="Heading5"/>
      </w:pPr>
      <w:r w:rsidRPr="00615718">
        <w:t>Exposure</w:t>
      </w:r>
    </w:p>
    <w:p w14:paraId="18D31D15" w14:textId="77777777" w:rsidR="00802343" w:rsidRPr="00615718" w:rsidRDefault="00802343" w:rsidP="00802343">
      <w:r w:rsidRPr="00615718">
        <w:t xml:space="preserve">The safety of </w:t>
      </w:r>
      <w:proofErr w:type="spellStart"/>
      <w:r w:rsidRPr="00615718">
        <w:t>luspatercept</w:t>
      </w:r>
      <w:proofErr w:type="spellEnd"/>
      <w:r w:rsidRPr="00615718">
        <w:t xml:space="preserve"> was evaluated in a clinical development program consisting of 571 subjects exposed to </w:t>
      </w:r>
      <w:proofErr w:type="spellStart"/>
      <w:r w:rsidRPr="00615718">
        <w:t>luspatercept</w:t>
      </w:r>
      <w:proofErr w:type="spellEnd"/>
      <w:r w:rsidRPr="00615718">
        <w:t xml:space="preserve"> including 260 subjects with </w:t>
      </w:r>
      <w:r>
        <w:t>myelodysplastic syndrome</w:t>
      </w:r>
      <w:r w:rsidRPr="00615718">
        <w:t xml:space="preserve">, 287 subjects with </w:t>
      </w:r>
      <w:r>
        <w:t>beta-</w:t>
      </w:r>
      <w:r w:rsidRPr="00615718">
        <w:t xml:space="preserve">thalassemia, and 24 healthy, postmenopausal females. </w:t>
      </w:r>
    </w:p>
    <w:p w14:paraId="760F7A01" w14:textId="77777777" w:rsidR="00802343" w:rsidRDefault="00802343" w:rsidP="00802343">
      <w:pPr>
        <w:pStyle w:val="Heading6"/>
      </w:pPr>
      <w:r>
        <w:t>Myelodysplastic syndrome</w:t>
      </w:r>
    </w:p>
    <w:p w14:paraId="4AC86E3A" w14:textId="77777777" w:rsidR="00802343" w:rsidRPr="00615718" w:rsidRDefault="00802343" w:rsidP="00802343">
      <w:r w:rsidRPr="00615718">
        <w:t xml:space="preserve">Overall, </w:t>
      </w:r>
      <w:r>
        <w:t>260 subjects received at least one</w:t>
      </w:r>
      <w:r w:rsidRPr="00615718">
        <w:t xml:space="preserve"> dose of </w:t>
      </w:r>
      <w:proofErr w:type="spellStart"/>
      <w:r w:rsidRPr="00615718">
        <w:t>luspatercept</w:t>
      </w:r>
      <w:proofErr w:type="spellEnd"/>
      <w:r w:rsidRPr="00615718">
        <w:t>, representing an overall exposure of 244.</w:t>
      </w:r>
      <w:r>
        <w:t>13 subject-years. In the Phase III</w:t>
      </w:r>
      <w:r w:rsidRPr="00615718">
        <w:t xml:space="preserve"> </w:t>
      </w:r>
      <w:r>
        <w:t>myelodysplastic syndrome study (Study ACE-536-MDS-001) 153 </w:t>
      </w:r>
      <w:r w:rsidRPr="00615718">
        <w:t xml:space="preserve">subjects received at least 1 dose of </w:t>
      </w:r>
      <w:proofErr w:type="spellStart"/>
      <w:r w:rsidRPr="00615718">
        <w:t>luspatercept</w:t>
      </w:r>
      <w:proofErr w:type="spellEnd"/>
      <w:r w:rsidRPr="00615718">
        <w:t xml:space="preserve"> for an overall cumulative exposure of 136.7 subject-years, compared with 76 </w:t>
      </w:r>
      <w:r>
        <w:t>subjects who received at least one</w:t>
      </w:r>
      <w:r w:rsidRPr="00615718">
        <w:t xml:space="preserve"> dose of placebo for an overall cumulative exposure of 44.5 subject-years. Exposure to study treatment was approximately twice as long in the </w:t>
      </w:r>
      <w:proofErr w:type="spellStart"/>
      <w:r w:rsidRPr="00615718">
        <w:t>luspatercept</w:t>
      </w:r>
      <w:proofErr w:type="spellEnd"/>
      <w:r w:rsidRPr="00615718">
        <w:t xml:space="preserve"> treatment group compared to the placebo treatment group; median treatment duration was 49.0 and 24 weeks, respectively and the median number of doses received was 16.0 and 8.0, respectively</w:t>
      </w:r>
      <w:r w:rsidRPr="00615718">
        <w:rPr>
          <w:b/>
          <w:bCs/>
        </w:rPr>
        <w:t xml:space="preserve">. </w:t>
      </w:r>
    </w:p>
    <w:p w14:paraId="06397646" w14:textId="67CB1A30" w:rsidR="00802343" w:rsidRPr="00615718" w:rsidRDefault="00802343" w:rsidP="00802343">
      <w:r w:rsidRPr="00615718">
        <w:t xml:space="preserve">During the study, compared with placebo, fewer patients in the </w:t>
      </w:r>
      <w:proofErr w:type="spellStart"/>
      <w:r w:rsidRPr="00615718">
        <w:t>luspatercept</w:t>
      </w:r>
      <w:proofErr w:type="spellEnd"/>
      <w:r w:rsidRPr="00615718">
        <w:t xml:space="preserve"> group had their IP dose titrated at least once from 1.0 to 1.33 mg/kg (</w:t>
      </w:r>
      <w:proofErr w:type="spellStart"/>
      <w:r w:rsidRPr="00615718">
        <w:t>luspatercept</w:t>
      </w:r>
      <w:proofErr w:type="spellEnd"/>
      <w:r w:rsidRPr="00615718">
        <w:t xml:space="preserve"> </w:t>
      </w:r>
      <w:r>
        <w:t>versus</w:t>
      </w:r>
      <w:r w:rsidRPr="00615718">
        <w:t xml:space="preserve"> placebo: 77.1% </w:t>
      </w:r>
      <w:r>
        <w:t>versus</w:t>
      </w:r>
      <w:r w:rsidRPr="00615718">
        <w:t xml:space="preserve"> 93.4%) and from 1.33 to 1.75 mg/kg (58.8% </w:t>
      </w:r>
      <w:r>
        <w:t>versus</w:t>
      </w:r>
      <w:r w:rsidRPr="00615718">
        <w:t xml:space="preserve"> 82.9%). A higher proportion of subjects in the </w:t>
      </w:r>
      <w:proofErr w:type="spellStart"/>
      <w:r w:rsidRPr="00615718">
        <w:t>luspatercept</w:t>
      </w:r>
      <w:proofErr w:type="spellEnd"/>
      <w:r w:rsidRPr="00615718">
        <w:t xml:space="preserve"> treatment group than the placebo group remained at the 1.0 mg/kg dose level for the duration</w:t>
      </w:r>
      <w:r>
        <w:t xml:space="preserve"> of their study participation (primary phase and/or extension p</w:t>
      </w:r>
      <w:r w:rsidRPr="00615718">
        <w:t xml:space="preserve">hase) through the </w:t>
      </w:r>
      <w:proofErr w:type="spellStart"/>
      <w:r w:rsidRPr="00615718">
        <w:t>cutoff</w:t>
      </w:r>
      <w:proofErr w:type="spellEnd"/>
      <w:r w:rsidRPr="00615718">
        <w:t xml:space="preserve"> date (22.9% </w:t>
      </w:r>
      <w:r>
        <w:t>versus</w:t>
      </w:r>
      <w:r w:rsidRPr="00615718">
        <w:t xml:space="preserve"> 6.6%)</w:t>
      </w:r>
      <w:r w:rsidRPr="00615718">
        <w:rPr>
          <w:b/>
          <w:bCs/>
        </w:rPr>
        <w:t xml:space="preserve">. </w:t>
      </w:r>
      <w:r>
        <w:t>Overall, 72 </w:t>
      </w:r>
      <w:r w:rsidRPr="00615718">
        <w:t xml:space="preserve">subjects (31.4%) had their IP dose delayed at least once during the study: 63/153 subjects (41.2%) in the </w:t>
      </w:r>
      <w:proofErr w:type="spellStart"/>
      <w:r w:rsidRPr="00615718">
        <w:t>luspatercept</w:t>
      </w:r>
      <w:proofErr w:type="spellEnd"/>
      <w:r w:rsidRPr="00615718">
        <w:t xml:space="preserve"> treatment group and 9/76 subjects (11.8%) in the placebo group and </w:t>
      </w:r>
      <w:r>
        <w:t>most common reasons were Other</w:t>
      </w:r>
      <w:r w:rsidRPr="00615718">
        <w:t xml:space="preserve">, </w:t>
      </w:r>
      <w:proofErr w:type="spellStart"/>
      <w:r w:rsidRPr="00615718">
        <w:t>predose</w:t>
      </w:r>
      <w:proofErr w:type="spellEnd"/>
      <w:r>
        <w:t xml:space="preserve"> haemoglobin </w:t>
      </w:r>
      <w:r w:rsidRPr="00615718">
        <w:t>&gt;</w:t>
      </w:r>
      <w:r>
        <w:t> 11.5g/dL</w:t>
      </w:r>
      <w:r w:rsidRPr="00615718">
        <w:t xml:space="preserve"> and suspected related </w:t>
      </w:r>
      <w:r>
        <w:t>adverse event </w:t>
      </w:r>
      <w:r w:rsidRPr="00615718">
        <w:t>&gt;</w:t>
      </w:r>
      <w:r>
        <w:t> </w:t>
      </w:r>
      <w:r w:rsidRPr="00615718">
        <w:t>Grade 3</w:t>
      </w:r>
      <w:r w:rsidRPr="00615718">
        <w:rPr>
          <w:b/>
          <w:bCs/>
        </w:rPr>
        <w:t xml:space="preserve">. </w:t>
      </w:r>
      <w:r w:rsidRPr="00615718">
        <w:t xml:space="preserve">A lower proportion of subjects discontinued treatment in the </w:t>
      </w:r>
      <w:proofErr w:type="spellStart"/>
      <w:r w:rsidRPr="00615718">
        <w:t>luspatercept</w:t>
      </w:r>
      <w:proofErr w:type="spellEnd"/>
      <w:r w:rsidRPr="00615718">
        <w:t xml:space="preserve"> compared to placebo group (54.2% </w:t>
      </w:r>
      <w:r>
        <w:t>versus</w:t>
      </w:r>
      <w:r w:rsidRPr="00615718">
        <w:t xml:space="preserve"> 92.1%) and lack of efficacy was most common reason for treatment discontinuation (33.3% </w:t>
      </w:r>
      <w:r>
        <w:t>versus</w:t>
      </w:r>
      <w:r w:rsidRPr="00615718">
        <w:t xml:space="preserve"> 65.8%). Similarly, proportion of subject who discontinued the study was lower in the </w:t>
      </w:r>
      <w:proofErr w:type="spellStart"/>
      <w:r w:rsidRPr="00615718">
        <w:t>luspatercept</w:t>
      </w:r>
      <w:proofErr w:type="spellEnd"/>
      <w:r w:rsidRPr="00615718">
        <w:t xml:space="preserve"> group (19.6% </w:t>
      </w:r>
      <w:r>
        <w:t>versus</w:t>
      </w:r>
      <w:r w:rsidRPr="00615718">
        <w:t xml:space="preserve"> 25%) and most frequent reasons for study discontinuation was death (7.8% </w:t>
      </w:r>
      <w:r>
        <w:t>versus</w:t>
      </w:r>
      <w:r w:rsidRPr="00615718">
        <w:t xml:space="preserve"> 11.8%). </w:t>
      </w:r>
    </w:p>
    <w:p w14:paraId="657B0EAE" w14:textId="77777777" w:rsidR="00802343" w:rsidRPr="00615718" w:rsidRDefault="00802343" w:rsidP="00802343">
      <w:r w:rsidRPr="00615718">
        <w:t>In the Ph</w:t>
      </w:r>
      <w:r>
        <w:t>ase II</w:t>
      </w:r>
      <w:r w:rsidRPr="00615718">
        <w:t xml:space="preserve"> </w:t>
      </w:r>
      <w:r>
        <w:t>myelodysplastic syndrome</w:t>
      </w:r>
      <w:r w:rsidRPr="00615718">
        <w:t xml:space="preserve"> studies, 107 subjects received at least one dose of </w:t>
      </w:r>
      <w:proofErr w:type="spellStart"/>
      <w:r w:rsidRPr="00615718">
        <w:t>luspatercept</w:t>
      </w:r>
      <w:proofErr w:type="spellEnd"/>
      <w:r w:rsidRPr="00615718">
        <w:t>; 40.2% discontinued study treatment (3.7% due to lack of efficacy) and 17.8% discontinued the study (1.9% due to deaths)</w:t>
      </w:r>
      <w:r w:rsidRPr="00615718">
        <w:rPr>
          <w:b/>
          <w:bCs/>
        </w:rPr>
        <w:t xml:space="preserve">. </w:t>
      </w:r>
    </w:p>
    <w:p w14:paraId="3CEF0C57" w14:textId="77777777" w:rsidR="00802343" w:rsidRDefault="00802343" w:rsidP="00802343">
      <w:r w:rsidRPr="00615718">
        <w:t xml:space="preserve">Baseline demographics and disease characteristics were generally similar between </w:t>
      </w:r>
      <w:proofErr w:type="spellStart"/>
      <w:r w:rsidRPr="00615718">
        <w:t>luspatercept</w:t>
      </w:r>
      <w:proofErr w:type="spellEnd"/>
      <w:r w:rsidRPr="00615718">
        <w:t xml:space="preserve"> a</w:t>
      </w:r>
      <w:r>
        <w:t>nd placebo groups in the Phase III</w:t>
      </w:r>
      <w:r w:rsidRPr="00615718">
        <w:t xml:space="preserve"> studies with similar demograph</w:t>
      </w:r>
      <w:r>
        <w:t>ics also observed in the Phase II studies. However, the Phase II</w:t>
      </w:r>
      <w:r w:rsidRPr="00615718">
        <w:t xml:space="preserve"> patient population had more indicators of severe disease such as higher IPSS-R scores, lower rate of </w:t>
      </w:r>
      <w:r w:rsidRPr="004B5C82">
        <w:rPr>
          <w:i/>
        </w:rPr>
        <w:t>SF3B1</w:t>
      </w:r>
      <w:r w:rsidRPr="00615718">
        <w:t xml:space="preserve"> mutation (indicator of lower risk), 35.5% were ring </w:t>
      </w:r>
      <w:proofErr w:type="spellStart"/>
      <w:r w:rsidRPr="00615718">
        <w:t>sideroblast</w:t>
      </w:r>
      <w:proofErr w:type="spellEnd"/>
      <w:r w:rsidRPr="00615718">
        <w:t xml:space="preserve"> negative (which is not proposed indication). Furthermore, prior </w:t>
      </w:r>
      <w:r>
        <w:t>erythropoiesis stimulating agent</w:t>
      </w:r>
      <w:r w:rsidRPr="00615718">
        <w:t xml:space="preserve"> use (46.7%) and </w:t>
      </w:r>
      <w:r>
        <w:t>iron chelation therapy (28%) use at Baseline in the Phase II</w:t>
      </w:r>
      <w:r w:rsidRPr="00615718">
        <w:t xml:space="preserve"> studies was lower than in the Ph</w:t>
      </w:r>
      <w:r>
        <w:t>ase III</w:t>
      </w:r>
      <w:r w:rsidRPr="00615718">
        <w:t xml:space="preserve"> study.</w:t>
      </w:r>
    </w:p>
    <w:p w14:paraId="39B94B5C" w14:textId="75B8A37D" w:rsidR="00802343" w:rsidRDefault="00802343" w:rsidP="00802343">
      <w:pPr>
        <w:pStyle w:val="Heading6"/>
      </w:pPr>
      <w:r>
        <w:t>Beta-t</w:t>
      </w:r>
      <w:r w:rsidRPr="00615718">
        <w:t>halass</w:t>
      </w:r>
      <w:r>
        <w:t>a</w:t>
      </w:r>
      <w:r w:rsidRPr="00615718">
        <w:t>emia</w:t>
      </w:r>
    </w:p>
    <w:p w14:paraId="148CD587" w14:textId="6C33ED65" w:rsidR="00802343" w:rsidRPr="00615718" w:rsidRDefault="00802343" w:rsidP="00802343">
      <w:r w:rsidRPr="00615718">
        <w:t xml:space="preserve">Overall, 287 subjects received at least </w:t>
      </w:r>
      <w:r>
        <w:t>one</w:t>
      </w:r>
      <w:r w:rsidRPr="00615718">
        <w:t xml:space="preserve"> dose of </w:t>
      </w:r>
      <w:proofErr w:type="spellStart"/>
      <w:r w:rsidRPr="00615718">
        <w:t>luspatercept</w:t>
      </w:r>
      <w:proofErr w:type="spellEnd"/>
      <w:r w:rsidRPr="00615718">
        <w:t xml:space="preserve">, representing an overall exposure of 355.7 subject-years. The median treatment duration and median number of doses received was similar between the </w:t>
      </w:r>
      <w:proofErr w:type="spellStart"/>
      <w:r w:rsidRPr="00615718">
        <w:t>luspatercept</w:t>
      </w:r>
      <w:proofErr w:type="spellEnd"/>
      <w:r w:rsidRPr="00615718">
        <w:t xml:space="preserve"> (63.3 weeks and 21.0 doses, respectively) and the placebo (62.1 weeks and 21.0 doses, respectively) treatment groups</w:t>
      </w:r>
      <w:r>
        <w:t>.</w:t>
      </w:r>
      <w:r w:rsidRPr="00615718">
        <w:rPr>
          <w:b/>
          <w:bCs/>
        </w:rPr>
        <w:t xml:space="preserve"> </w:t>
      </w:r>
    </w:p>
    <w:p w14:paraId="79E84BFE" w14:textId="76674D9B" w:rsidR="00802343" w:rsidRDefault="00802343" w:rsidP="00802343">
      <w:r w:rsidRPr="004B5C82">
        <w:t>In the Phase III beta-thalassaemia study (Study ACE-536-</w:t>
      </w:r>
      <w:r w:rsidRPr="001117BF">
        <w:t>β</w:t>
      </w:r>
      <w:r w:rsidRPr="004B5C82">
        <w:t xml:space="preserve">-THAL-001) </w:t>
      </w:r>
      <w:r>
        <w:t>223 subjects received at least one</w:t>
      </w:r>
      <w:r w:rsidRPr="004B5C82">
        <w:t xml:space="preserve"> dose of </w:t>
      </w:r>
      <w:proofErr w:type="spellStart"/>
      <w:r w:rsidRPr="004B5C82">
        <w:t>luspatercept</w:t>
      </w:r>
      <w:proofErr w:type="spellEnd"/>
      <w:r w:rsidRPr="004B5C82">
        <w:t xml:space="preserve"> (overall cumulative exposure of 259.8 subject-years) compared with 109 subjects who received at least 1 dose of placebo (overall cumulative exposure of 123.0 subject-years). A similar proportion of subjects in the </w:t>
      </w:r>
      <w:proofErr w:type="spellStart"/>
      <w:r w:rsidRPr="004B5C82">
        <w:t>luspatercept</w:t>
      </w:r>
      <w:proofErr w:type="spellEnd"/>
      <w:r w:rsidRPr="004B5C82">
        <w:t xml:space="preserve"> and placebo groups discontinued treatment (18.8% versus 22%) and discontinued the study (8.5% versus 4.6%); withdrawal by subject was most frequent for treatment/study discontinuation. The proporti</w:t>
      </w:r>
      <w:r>
        <w:t>on of subjects who had at least one</w:t>
      </w:r>
      <w:r w:rsidRPr="004B5C82">
        <w:t xml:space="preserve"> dose titration was lower in the </w:t>
      </w:r>
      <w:proofErr w:type="spellStart"/>
      <w:r w:rsidRPr="004B5C82">
        <w:t>luspatercept</w:t>
      </w:r>
      <w:proofErr w:type="spellEnd"/>
      <w:r w:rsidRPr="004B5C82">
        <w:t xml:space="preserve"> + </w:t>
      </w:r>
      <w:r>
        <w:t>best supportive care</w:t>
      </w:r>
      <w:r w:rsidRPr="004B5C82">
        <w:t xml:space="preserve"> than in the placebo + </w:t>
      </w:r>
      <w:r>
        <w:t>best supportive care</w:t>
      </w:r>
      <w:r w:rsidRPr="004B5C82">
        <w:t xml:space="preserve"> treatment group (48% versus </w:t>
      </w:r>
      <w:r>
        <w:t>67.9%) (d</w:t>
      </w:r>
      <w:r w:rsidRPr="004B5C82">
        <w:t xml:space="preserve">ose titration due to &lt; 33% </w:t>
      </w:r>
      <w:r>
        <w:t>red blood cell</w:t>
      </w:r>
      <w:r w:rsidRPr="004B5C82">
        <w:t xml:space="preserve"> transfusion burden reduction (26.9% versus 42.2%), ≥ 33% and &lt; 50% </w:t>
      </w:r>
      <w:r>
        <w:t>red blood cell</w:t>
      </w:r>
      <w:r w:rsidRPr="004B5C82">
        <w:t xml:space="preserve"> transfusion burden reduction (22.4% versus </w:t>
      </w:r>
      <w:r>
        <w:t>26.6%)).</w:t>
      </w:r>
    </w:p>
    <w:p w14:paraId="10084C2F" w14:textId="5067BA0B" w:rsidR="00802343" w:rsidRPr="00802343" w:rsidRDefault="00802343" w:rsidP="00802343">
      <w:r w:rsidRPr="00615718">
        <w:t>I</w:t>
      </w:r>
      <w:r>
        <w:t>n the Phase II</w:t>
      </w:r>
      <w:r w:rsidRPr="00615718">
        <w:t xml:space="preserve"> studies, a total of 64</w:t>
      </w:r>
      <w:r>
        <w:t xml:space="preserve"> subjects received at least one</w:t>
      </w:r>
      <w:r w:rsidRPr="00615718">
        <w:t xml:space="preserve"> dose of </w:t>
      </w:r>
      <w:proofErr w:type="spellStart"/>
      <w:r w:rsidRPr="00615718">
        <w:t>luspatercept</w:t>
      </w:r>
      <w:proofErr w:type="spellEnd"/>
      <w:r w:rsidRPr="00615718">
        <w:t xml:space="preserve"> and 45.3% of subjects discontinued treatment (most frequently due to protocol deviation and withdrawal by subject)</w:t>
      </w:r>
      <w:r>
        <w:t>.</w:t>
      </w:r>
      <w:r w:rsidRPr="00615718">
        <w:t xml:space="preserve"> Baseline disease characteristics were similar between the </w:t>
      </w:r>
      <w:proofErr w:type="spellStart"/>
      <w:r w:rsidRPr="00615718">
        <w:t>luspatercept</w:t>
      </w:r>
      <w:proofErr w:type="spellEnd"/>
      <w:r w:rsidRPr="00615718">
        <w:t xml:space="preserve"> a</w:t>
      </w:r>
      <w:r>
        <w:t>nd placebo groups in the Phase III study. The Phase II</w:t>
      </w:r>
      <w:r w:rsidRPr="00615718">
        <w:t xml:space="preserve"> studies had similar baselin</w:t>
      </w:r>
      <w:r>
        <w:t>e characteristics to the Phase III</w:t>
      </w:r>
      <w:r w:rsidRPr="00615718">
        <w:t xml:space="preserve"> study with similar baseline haemoglobin and </w:t>
      </w:r>
      <w:r>
        <w:t>liver iron content</w:t>
      </w:r>
      <w:r w:rsidRPr="00615718">
        <w:t xml:space="preserve"> levels; majo</w:t>
      </w:r>
      <w:r>
        <w:t>rity of subjects in both Phase III and II</w:t>
      </w:r>
      <w:r w:rsidRPr="00615718">
        <w:t xml:space="preserve"> studies had ECOG performance status of 0 </w:t>
      </w:r>
      <w:r>
        <w:t xml:space="preserve">(61%) and had a splenectomy (57 to </w:t>
      </w:r>
      <w:r w:rsidRPr="00615718">
        <w:t>67%) prior to study</w:t>
      </w:r>
      <w:r>
        <w:t>.</w:t>
      </w:r>
    </w:p>
    <w:p w14:paraId="757D81DF" w14:textId="499A7F33" w:rsidR="00802343" w:rsidRDefault="00802343" w:rsidP="007E4AE8">
      <w:pPr>
        <w:pStyle w:val="Heading5"/>
      </w:pPr>
      <w:r>
        <w:t>Summary of safety</w:t>
      </w:r>
    </w:p>
    <w:p w14:paraId="2C7B22D9" w14:textId="05B7C141" w:rsidR="007E4AE8" w:rsidRDefault="007E4AE8" w:rsidP="00802343">
      <w:pPr>
        <w:pStyle w:val="Heading6"/>
      </w:pPr>
      <w:r>
        <w:t>Myelodysplastic syndrome</w:t>
      </w:r>
    </w:p>
    <w:p w14:paraId="4A4265E9" w14:textId="1F0A5CE2" w:rsidR="007E4AE8" w:rsidRDefault="007E4AE8" w:rsidP="007E4AE8">
      <w:r>
        <w:t>The following is a summary of the clinical evaluator’s conclusions on safety for the following proposed indication:</w:t>
      </w:r>
    </w:p>
    <w:p w14:paraId="126706F1" w14:textId="77777777" w:rsidR="007E4AE8" w:rsidRPr="00E40D7B" w:rsidRDefault="007E4AE8" w:rsidP="007E4AE8">
      <w:pPr>
        <w:pStyle w:val="Instructions"/>
        <w:ind w:left="720"/>
        <w:rPr>
          <w:color w:val="auto"/>
        </w:rPr>
      </w:pPr>
      <w:proofErr w:type="spellStart"/>
      <w:r w:rsidRPr="00E40D7B">
        <w:rPr>
          <w:color w:val="auto"/>
        </w:rPr>
        <w:t>Reblozyl</w:t>
      </w:r>
      <w:proofErr w:type="spellEnd"/>
      <w:r w:rsidRPr="00E40D7B">
        <w:rPr>
          <w:color w:val="auto"/>
        </w:rPr>
        <w:t xml:space="preserve"> is indicated for the treatment of adult patients with transfusion-dependent anaemia (requiring 2 or more RBC units over 8 weeks) due to very low, low and intermediate-risk myelodysplastic syndromes with ring </w:t>
      </w:r>
      <w:proofErr w:type="spellStart"/>
      <w:r w:rsidRPr="00E40D7B">
        <w:rPr>
          <w:color w:val="auto"/>
        </w:rPr>
        <w:t>sideroblasts</w:t>
      </w:r>
      <w:proofErr w:type="spellEnd"/>
      <w:r w:rsidRPr="00E40D7B">
        <w:rPr>
          <w:color w:val="auto"/>
        </w:rPr>
        <w:t xml:space="preserve"> (MDS-RS) who had an unsatisfactory response to or are ineligible for erythropoietin-based therapy.</w:t>
      </w:r>
    </w:p>
    <w:p w14:paraId="26F0E05A" w14:textId="593FEBC5" w:rsidR="007E4AE8" w:rsidRDefault="007E4AE8" w:rsidP="007E4AE8">
      <w:r>
        <w:t xml:space="preserve">The exposure of patients to </w:t>
      </w:r>
      <w:proofErr w:type="spellStart"/>
      <w:r>
        <w:t>luspatercept</w:t>
      </w:r>
      <w:proofErr w:type="spellEnd"/>
      <w:r>
        <w:t xml:space="preserve"> was adequate to assess safety in proposed indications. In the Phase III Study ACE-536-MDS-001 (MEDALIST trial), a slightly higher proportion of patients in the </w:t>
      </w:r>
      <w:proofErr w:type="spellStart"/>
      <w:r>
        <w:t>luspatercept</w:t>
      </w:r>
      <w:proofErr w:type="spellEnd"/>
      <w:r>
        <w:t xml:space="preserve"> group experienced at least one treatment-emergent adverse event compared with placebo group (98% versus 92%). After adjustment for exposure, the incidence per 100 subject-years of any treatment-emergent adverse event, treatment-emergent adverse events leading to dose interruption; and treatment-emergent adverse events leading to dose reduction were higher in the </w:t>
      </w:r>
      <w:proofErr w:type="spellStart"/>
      <w:r>
        <w:t>luspatercept</w:t>
      </w:r>
      <w:proofErr w:type="spellEnd"/>
      <w:r>
        <w:t xml:space="preserve"> group, and serious treatment-emergent adverse events; treatment-emergent adverse events leading to death; and Grade 3 or 4 treatment-emergent adverse events were higher in the placebo group. The most frequently reported treatment-emergent adverse event with higher incidence in the </w:t>
      </w:r>
      <w:proofErr w:type="spellStart"/>
      <w:r>
        <w:t>luspatercept</w:t>
      </w:r>
      <w:proofErr w:type="spellEnd"/>
      <w:r>
        <w:t xml:space="preserve"> compared to placebo group (&gt;</w:t>
      </w:r>
      <w:r w:rsidR="0014669F">
        <w:t> </w:t>
      </w:r>
      <w:r>
        <w:t>5% higher incidence) were fatigue (26.8% v</w:t>
      </w:r>
      <w:r w:rsidR="0014669F">
        <w:t>ersu</w:t>
      </w:r>
      <w:r>
        <w:t>s 13.2%), diarrhoea (22.2% v</w:t>
      </w:r>
      <w:r w:rsidR="0014669F">
        <w:t>ersu</w:t>
      </w:r>
      <w:r>
        <w:t>s 9.2%), asthenia (20.3% v</w:t>
      </w:r>
      <w:r w:rsidR="0014669F">
        <w:t>ersu</w:t>
      </w:r>
      <w:r>
        <w:t>s 11.8%), nausea (20.3% v</w:t>
      </w:r>
      <w:r w:rsidR="0014669F">
        <w:t>ersu</w:t>
      </w:r>
      <w:r>
        <w:t xml:space="preserve">s 7.9%), dizziness, back pain, headache, </w:t>
      </w:r>
      <w:r w:rsidR="008447B3">
        <w:t>dyspnoea</w:t>
      </w:r>
      <w:r>
        <w:t>, urinary tract infection, bronchitis, upper respiratory tract infection, influenza, syncope/presyncope, and vertigo/vertigo positional.</w:t>
      </w:r>
    </w:p>
    <w:p w14:paraId="01DBA11C" w14:textId="0FD567D7" w:rsidR="007E4AE8" w:rsidRDefault="007E4AE8" w:rsidP="007E4AE8">
      <w:r>
        <w:t xml:space="preserve">In both the </w:t>
      </w:r>
      <w:proofErr w:type="spellStart"/>
      <w:r>
        <w:t>luspatercept</w:t>
      </w:r>
      <w:proofErr w:type="spellEnd"/>
      <w:r>
        <w:t xml:space="preserve"> and placebo treatment groups, the highest incidence of </w:t>
      </w:r>
      <w:r w:rsidR="0014669F">
        <w:t xml:space="preserve">treatment-emergent adverse events </w:t>
      </w:r>
      <w:r>
        <w:t xml:space="preserve">generally occurred during Cycles 1 through 4 and decreased thereafter in each successive 4-cycle </w:t>
      </w:r>
      <w:r w:rsidR="0014669F">
        <w:t xml:space="preserve">dosing interval. </w:t>
      </w:r>
      <w:r>
        <w:t>Similar tre</w:t>
      </w:r>
      <w:r w:rsidR="0014669F">
        <w:t xml:space="preserve">nds were observed for all Grades 3 or 4 adverse events. </w:t>
      </w:r>
      <w:r>
        <w:t xml:space="preserve">The incidence of </w:t>
      </w:r>
      <w:r w:rsidR="0014669F">
        <w:t>treatment-emergent adverse events</w:t>
      </w:r>
      <w:r>
        <w:t xml:space="preserve"> was not related to dose of </w:t>
      </w:r>
      <w:proofErr w:type="spellStart"/>
      <w:r>
        <w:t>luspatercept</w:t>
      </w:r>
      <w:proofErr w:type="spellEnd"/>
      <w:r>
        <w:t xml:space="preserve">: proportion of subjects with at least one </w:t>
      </w:r>
      <w:r w:rsidR="0014669F">
        <w:t xml:space="preserve">treatment-emergent adverse event </w:t>
      </w:r>
      <w:r>
        <w:t xml:space="preserve">was 82.4% (126/153), 70.3% (83/118) and 83.3% (75/90) at the </w:t>
      </w:r>
      <w:proofErr w:type="spellStart"/>
      <w:r>
        <w:t>luspatercept</w:t>
      </w:r>
      <w:proofErr w:type="spellEnd"/>
      <w:r>
        <w:t xml:space="preserve"> 1</w:t>
      </w:r>
      <w:r w:rsidR="0014669F">
        <w:t xml:space="preserve"> </w:t>
      </w:r>
      <w:r>
        <w:t>mg/kg, 1.33</w:t>
      </w:r>
      <w:r w:rsidR="0014669F">
        <w:t xml:space="preserve"> </w:t>
      </w:r>
      <w:r>
        <w:t>mg/</w:t>
      </w:r>
      <w:proofErr w:type="gramStart"/>
      <w:r>
        <w:t>kg</w:t>
      </w:r>
      <w:proofErr w:type="gramEnd"/>
      <w:r>
        <w:t xml:space="preserve"> and 1.75</w:t>
      </w:r>
      <w:r w:rsidR="0014669F">
        <w:t xml:space="preserve"> mg/kg dose levels, respectively.</w:t>
      </w:r>
    </w:p>
    <w:p w14:paraId="61C05C6D" w14:textId="700E1DCD" w:rsidR="007E4AE8" w:rsidRDefault="007E4AE8" w:rsidP="007E4AE8">
      <w:r>
        <w:t xml:space="preserve">Overall, 24 subjects died: 15 subjects (5.8%) in the pooled </w:t>
      </w:r>
      <w:proofErr w:type="spellStart"/>
      <w:r>
        <w:t>luspatercept</w:t>
      </w:r>
      <w:proofErr w:type="spellEnd"/>
      <w:r>
        <w:t xml:space="preserve"> treatment group and 9 subjects (11.8%) in the placebo treatment group. Approximately half of the deaths occurred while subjects were off study </w:t>
      </w:r>
      <w:r w:rsidR="008447B3">
        <w:t>treatment,</w:t>
      </w:r>
      <w:r>
        <w:t xml:space="preserve"> and the causes of death were as expected in this predominantly elderly </w:t>
      </w:r>
      <w:r w:rsidR="0014669F">
        <w:t>myelodysplastic syndrome</w:t>
      </w:r>
      <w:r>
        <w:t xml:space="preserve"> population. There was no notable association between </w:t>
      </w:r>
      <w:proofErr w:type="spellStart"/>
      <w:r>
        <w:t>luspatercept</w:t>
      </w:r>
      <w:proofErr w:type="spellEnd"/>
      <w:r>
        <w:t xml:space="preserve"> treatment and type or frequency of events with fatal outcomes. All deaths were assessed as not related or unlikely related to </w:t>
      </w:r>
      <w:proofErr w:type="spellStart"/>
      <w:r>
        <w:t>luspatercept</w:t>
      </w:r>
      <w:proofErr w:type="spellEnd"/>
      <w:r>
        <w:t xml:space="preserve"> by the investigators. In the </w:t>
      </w:r>
      <w:r w:rsidR="0014669F">
        <w:t>myelodysplasia data pool, serious adverse events</w:t>
      </w:r>
      <w:r>
        <w:t xml:space="preserve"> were reported for 37.7% of subjects in the </w:t>
      </w:r>
      <w:proofErr w:type="spellStart"/>
      <w:r>
        <w:t>luspatercept</w:t>
      </w:r>
      <w:proofErr w:type="spellEnd"/>
      <w:r>
        <w:t xml:space="preserve"> treatment group, and when adjusted for exposure, the incidence was 51.9/100 subject-years.</w:t>
      </w:r>
    </w:p>
    <w:p w14:paraId="2BA6B6B7" w14:textId="701DA9E5" w:rsidR="007E4AE8" w:rsidRDefault="007E4AE8" w:rsidP="007E4AE8">
      <w:r>
        <w:t xml:space="preserve">There were no notable differences in the incidence of study treatment discontinuation or treatment interruptions. There were no notable clinically significant trends in haematology (other than haemoglobin) or chemistry laboratory values over the course of the studies. There was no evidence of an increased risk for thromboembolic events in </w:t>
      </w:r>
      <w:proofErr w:type="spellStart"/>
      <w:r>
        <w:t>luspatercept</w:t>
      </w:r>
      <w:proofErr w:type="spellEnd"/>
      <w:r>
        <w:t xml:space="preserve">-treated subjects with </w:t>
      </w:r>
      <w:r w:rsidR="0014669F">
        <w:t>myelodysplastic syndrome</w:t>
      </w:r>
      <w:r>
        <w:t>.</w:t>
      </w:r>
    </w:p>
    <w:p w14:paraId="35BC514A" w14:textId="601CA710" w:rsidR="007E4AE8" w:rsidRDefault="007E4AE8" w:rsidP="007E4AE8">
      <w:r>
        <w:t xml:space="preserve">Three subjects progressed to </w:t>
      </w:r>
      <w:r w:rsidR="0014669F">
        <w:t>acute myeloid leukaemia (2/153 (1.3%)</w:t>
      </w:r>
      <w:r>
        <w:t xml:space="preserve"> subjects in the </w:t>
      </w:r>
      <w:proofErr w:type="spellStart"/>
      <w:r>
        <w:t>luspatercept</w:t>
      </w:r>
      <w:proofErr w:type="spellEnd"/>
      <w:r>
        <w:t xml:space="preserve"> treat</w:t>
      </w:r>
      <w:r w:rsidR="0014669F">
        <w:t>ment group and 1/76 (1.3%)</w:t>
      </w:r>
      <w:r>
        <w:t xml:space="preserve"> subject in</w:t>
      </w:r>
      <w:r w:rsidR="0014669F">
        <w:t xml:space="preserve"> the placebo group). Overall, 7 </w:t>
      </w:r>
      <w:r>
        <w:t xml:space="preserve">malignancies were reported in 6 subjects in </w:t>
      </w:r>
      <w:proofErr w:type="spellStart"/>
      <w:r>
        <w:t>luspatercept</w:t>
      </w:r>
      <w:proofErr w:type="spellEnd"/>
      <w:r>
        <w:t xml:space="preserve"> (3.9%, 4.4 </w:t>
      </w:r>
      <w:r w:rsidR="0014669F">
        <w:t>exposure adjusted incidence rate</w:t>
      </w:r>
      <w:r w:rsidR="00E13FF5">
        <w:t>) and one</w:t>
      </w:r>
      <w:r>
        <w:t xml:space="preserve"> subject in the placebo group (1.3%, 2.2 </w:t>
      </w:r>
      <w:r w:rsidR="0014669F">
        <w:t>exposure adjusted incidence rate</w:t>
      </w:r>
      <w:r>
        <w:t xml:space="preserve">). Although the incidence was numerically greater in the </w:t>
      </w:r>
      <w:proofErr w:type="spellStart"/>
      <w:r>
        <w:t>luspat</w:t>
      </w:r>
      <w:r w:rsidR="0014669F">
        <w:t>ercept</w:t>
      </w:r>
      <w:proofErr w:type="spellEnd"/>
      <w:r w:rsidR="0014669F">
        <w:t xml:space="preserve"> group, 95% confidence intervals</w:t>
      </w:r>
      <w:r>
        <w:t xml:space="preserve"> were overlapping for the </w:t>
      </w:r>
      <w:proofErr w:type="spellStart"/>
      <w:r>
        <w:t>luspatercept</w:t>
      </w:r>
      <w:proofErr w:type="spellEnd"/>
      <w:r>
        <w:t xml:space="preserve"> and placebo treatment groups for the </w:t>
      </w:r>
      <w:r w:rsidR="0014669F">
        <w:t>exposure adjusted incidence rates of malignancy event</w:t>
      </w:r>
      <w:r>
        <w:t>s</w:t>
      </w:r>
      <w:r w:rsidR="0014669F">
        <w:t xml:space="preserve"> of interest</w:t>
      </w:r>
      <w:r>
        <w:t xml:space="preserve"> and the rates appear to be within the expected range for an elderly </w:t>
      </w:r>
      <w:r w:rsidR="0014669F">
        <w:t>myelodysplastic syndrome</w:t>
      </w:r>
      <w:r>
        <w:t xml:space="preserve"> population.</w:t>
      </w:r>
    </w:p>
    <w:p w14:paraId="6B99FE19" w14:textId="0CFB4BED" w:rsidR="007E4AE8" w:rsidRDefault="0014669F" w:rsidP="007E4AE8">
      <w:r>
        <w:t>In the Phase III myelodysplastic syndrome</w:t>
      </w:r>
      <w:r w:rsidR="007E4AE8">
        <w:t xml:space="preserve"> study, the proportion of patients with kidney injury was higher in the </w:t>
      </w:r>
      <w:proofErr w:type="spellStart"/>
      <w:r w:rsidR="007E4AE8">
        <w:t>luspatercept</w:t>
      </w:r>
      <w:proofErr w:type="spellEnd"/>
      <w:r w:rsidR="007E4AE8">
        <w:t xml:space="preserve"> compared to placebo group (9.8% v</w:t>
      </w:r>
      <w:r>
        <w:t>ersu</w:t>
      </w:r>
      <w:r w:rsidR="007E4AE8">
        <w:t xml:space="preserve">s 5.3%) and the most frequently reported kidney </w:t>
      </w:r>
      <w:r>
        <w:t>event of interest</w:t>
      </w:r>
      <w:r w:rsidR="007E4AE8">
        <w:t xml:space="preserve"> was renal failure (4.6% v</w:t>
      </w:r>
      <w:r>
        <w:t>ersu</w:t>
      </w:r>
      <w:r w:rsidR="007E4AE8">
        <w:t>s 2.6%).</w:t>
      </w:r>
    </w:p>
    <w:p w14:paraId="12E7652D" w14:textId="51DED95B" w:rsidR="007E4AE8" w:rsidRDefault="0014669F" w:rsidP="00802343">
      <w:pPr>
        <w:pStyle w:val="Heading6"/>
      </w:pPr>
      <w:r>
        <w:t>Beta-thalassaemia</w:t>
      </w:r>
    </w:p>
    <w:p w14:paraId="13022367" w14:textId="776C8DD9" w:rsidR="0014669F" w:rsidRPr="0014669F" w:rsidRDefault="0014669F" w:rsidP="0014669F">
      <w:r w:rsidRPr="0014669F">
        <w:t xml:space="preserve">In the Phase III Study ACE-536-β-THAL-001, treatment-emergent adverse events reported in at least 15% of subjects in the </w:t>
      </w:r>
      <w:proofErr w:type="spellStart"/>
      <w:r w:rsidRPr="0014669F">
        <w:t>luspatercept</w:t>
      </w:r>
      <w:proofErr w:type="spellEnd"/>
      <w:r w:rsidRPr="0014669F">
        <w:t xml:space="preserve"> group included back pain, bone pain, arthralgia, pyrexia, upper respiratory tract infection, and headache. The most frequently reported all-grade treatment-emergent adverse events (in ≥ 20% of subjects) in the </w:t>
      </w:r>
      <w:proofErr w:type="spellStart"/>
      <w:r w:rsidRPr="0014669F">
        <w:t>luspatercept</w:t>
      </w:r>
      <w:proofErr w:type="spellEnd"/>
      <w:r w:rsidRPr="0014669F">
        <w:t xml:space="preserve"> + best sup</w:t>
      </w:r>
      <w:r w:rsidR="00E13FF5">
        <w:t>po</w:t>
      </w:r>
      <w:r w:rsidRPr="0014669F">
        <w:t xml:space="preserve">rtive care treatment group were back pain, upper respiratory tract infection, and headache. Treatment-emergent adverse events (all grades) that were reported by ≥ 5% of subjects in the </w:t>
      </w:r>
      <w:proofErr w:type="spellStart"/>
      <w:r w:rsidRPr="0014669F">
        <w:t>luspatercept</w:t>
      </w:r>
      <w:proofErr w:type="spellEnd"/>
      <w:r w:rsidRPr="0014669F">
        <w:t xml:space="preserve"> + best supportive care treatment group and at a ≥ 5% higher incidence than in the placebo + best supportive care treatment group were bone pain (19.7% v</w:t>
      </w:r>
      <w:r w:rsidR="00E13FF5">
        <w:t>ersu</w:t>
      </w:r>
      <w:r w:rsidRPr="0014669F">
        <w:t>s 8.3%), arthralgia (19.3%</w:t>
      </w:r>
      <w:r w:rsidR="00E13FF5">
        <w:t xml:space="preserve"> </w:t>
      </w:r>
      <w:r w:rsidRPr="0014669F">
        <w:t>v</w:t>
      </w:r>
      <w:r w:rsidR="00E13FF5">
        <w:t>ersu</w:t>
      </w:r>
      <w:r w:rsidRPr="0014669F">
        <w:t>s 11.9%), hyperuricemia (7.2% v</w:t>
      </w:r>
      <w:r w:rsidR="00E13FF5">
        <w:t>ersu</w:t>
      </w:r>
      <w:r w:rsidRPr="0014669F">
        <w:t>s 0%), dizziness (11.2% v</w:t>
      </w:r>
      <w:r w:rsidR="00E13FF5">
        <w:t>ersu</w:t>
      </w:r>
      <w:r w:rsidRPr="0014669F">
        <w:t>s 4.6%) and hypertension (8.1% v</w:t>
      </w:r>
      <w:r w:rsidR="00E13FF5">
        <w:t>ersu</w:t>
      </w:r>
      <w:r w:rsidRPr="0014669F">
        <w:t xml:space="preserve">s 2.8%). </w:t>
      </w:r>
    </w:p>
    <w:p w14:paraId="5414EE46" w14:textId="7F946A99" w:rsidR="0014669F" w:rsidRPr="0014669F" w:rsidRDefault="00E13FF5" w:rsidP="0014669F">
      <w:r>
        <w:t>The Phase II</w:t>
      </w:r>
      <w:r w:rsidR="0014669F" w:rsidRPr="0014669F">
        <w:t xml:space="preserve"> studies showed a similar distribution of </w:t>
      </w:r>
      <w:r>
        <w:t>treatment-emergent adverse events</w:t>
      </w:r>
      <w:r w:rsidR="0014669F" w:rsidRPr="0014669F">
        <w:t xml:space="preserve"> with high rates (˃ 40% as well as </w:t>
      </w:r>
      <w:r>
        <w:t>an exposure adjusted incidence rate of more than 40/100 </w:t>
      </w:r>
      <w:r w:rsidR="0014669F" w:rsidRPr="0014669F">
        <w:t xml:space="preserve">subject-years) for the following events: bone pain, arthralgia, myalgia, pyrexia, asthenia, headache. </w:t>
      </w:r>
    </w:p>
    <w:p w14:paraId="4205D4B0" w14:textId="178B83CE" w:rsidR="0014669F" w:rsidRPr="0014669F" w:rsidRDefault="0014669F" w:rsidP="0014669F">
      <w:r w:rsidRPr="0014669F">
        <w:t>O</w:t>
      </w:r>
      <w:r w:rsidR="00E13FF5">
        <w:t>verall, 3 subjects in the beta</w:t>
      </w:r>
      <w:r w:rsidRPr="0014669F">
        <w:t>-thalass</w:t>
      </w:r>
      <w:r w:rsidR="00E13FF5">
        <w:t>aemia data p</w:t>
      </w:r>
      <w:r w:rsidRPr="0014669F">
        <w:t xml:space="preserve">ool died: 2 subjects (0.7%) in the pooled </w:t>
      </w:r>
      <w:proofErr w:type="spellStart"/>
      <w:r w:rsidRPr="0014669F">
        <w:t>lu</w:t>
      </w:r>
      <w:r w:rsidR="00E13FF5">
        <w:t>spatercept</w:t>
      </w:r>
      <w:proofErr w:type="spellEnd"/>
      <w:r w:rsidR="00E13FF5">
        <w:t xml:space="preserve"> treatment group and one</w:t>
      </w:r>
      <w:r w:rsidRPr="0014669F">
        <w:t xml:space="preserve"> subject (0.9%) in the placebo </w:t>
      </w:r>
      <w:r w:rsidR="00E13FF5">
        <w:t>treatment group. None of the adverse</w:t>
      </w:r>
      <w:r w:rsidRPr="0014669F">
        <w:t xml:space="preserve"> leading to death were considered related to treatment. The incidence of </w:t>
      </w:r>
      <w:r w:rsidR="00E13FF5">
        <w:t>serious adverse events in the Phase III</w:t>
      </w:r>
      <w:r w:rsidRPr="0014669F">
        <w:t xml:space="preserve"> study was higher with 15.2% (</w:t>
      </w:r>
      <w:r w:rsidR="00E13FF5">
        <w:t xml:space="preserve">exposure adjusted incidence rate </w:t>
      </w:r>
      <w:r w:rsidR="00802343">
        <w:t xml:space="preserve">of </w:t>
      </w:r>
      <w:r w:rsidRPr="0014669F">
        <w:t xml:space="preserve">14.1/100 subject-years) in the </w:t>
      </w:r>
      <w:proofErr w:type="spellStart"/>
      <w:r w:rsidRPr="0014669F">
        <w:t>luspatercept</w:t>
      </w:r>
      <w:proofErr w:type="spellEnd"/>
      <w:r w:rsidRPr="0014669F">
        <w:t xml:space="preserve"> treatment group compared to 5.5% (</w:t>
      </w:r>
      <w:r w:rsidR="00802343">
        <w:t xml:space="preserve">exposure adjusted incidence rate </w:t>
      </w:r>
      <w:r w:rsidRPr="0014669F">
        <w:t xml:space="preserve">5.0/100 subject-years) in the placebo group. This difference was evenly distributed amongst </w:t>
      </w:r>
      <w:r w:rsidR="00802343">
        <w:t>System Organ Classes</w:t>
      </w:r>
      <w:r w:rsidRPr="0014669F">
        <w:t xml:space="preserve"> with no </w:t>
      </w:r>
      <w:proofErr w:type="gramStart"/>
      <w:r w:rsidRPr="0014669F">
        <w:t>particular pattern</w:t>
      </w:r>
      <w:proofErr w:type="gramEnd"/>
      <w:r w:rsidRPr="0014669F">
        <w:t xml:space="preserve">. The </w:t>
      </w:r>
      <w:proofErr w:type="gramStart"/>
      <w:r w:rsidRPr="0014669F">
        <w:t>most commonly reported</w:t>
      </w:r>
      <w:proofErr w:type="gramEnd"/>
      <w:r w:rsidRPr="0014669F">
        <w:t xml:space="preserve"> </w:t>
      </w:r>
      <w:r w:rsidR="00802343">
        <w:t>serious adverse events</w:t>
      </w:r>
      <w:r w:rsidRPr="0014669F">
        <w:t xml:space="preserve"> in the </w:t>
      </w:r>
      <w:proofErr w:type="spellStart"/>
      <w:r w:rsidRPr="0014669F">
        <w:t>luspatercept</w:t>
      </w:r>
      <w:proofErr w:type="spellEnd"/>
      <w:r w:rsidRPr="0014669F">
        <w:t xml:space="preserve"> group was anaemia in 3 (1.3%) subjects, followed by cellulitis, cerebrovascular accident, cholangitis, deep vein thrombosis, pyrexia, and septic shock in 2 (1.8%) subjects each. The incidence of </w:t>
      </w:r>
      <w:r w:rsidR="00802343">
        <w:t>serious adverse events</w:t>
      </w:r>
      <w:r w:rsidRPr="0014669F">
        <w:t xml:space="preserve"> for </w:t>
      </w:r>
      <w:proofErr w:type="spellStart"/>
      <w:r w:rsidRPr="0014669F">
        <w:t>luspatercept</w:t>
      </w:r>
      <w:proofErr w:type="spellEnd"/>
      <w:r w:rsidR="00802343">
        <w:t>-treated subjects in the Phase II</w:t>
      </w:r>
      <w:r w:rsidRPr="0014669F">
        <w:t xml:space="preserve"> studies (6.3%; </w:t>
      </w:r>
      <w:r w:rsidR="00802343">
        <w:t xml:space="preserve">exposure adjusted incidence rate of </w:t>
      </w:r>
      <w:r w:rsidRPr="0014669F">
        <w:t>4.3/100 subject-years) was lo</w:t>
      </w:r>
      <w:r w:rsidR="00802343">
        <w:t>wer than in Phase III and in the beta-thalassemia data p</w:t>
      </w:r>
      <w:r w:rsidRPr="0014669F">
        <w:t xml:space="preserve">ool (13.2%; </w:t>
      </w:r>
      <w:r w:rsidR="00802343">
        <w:t xml:space="preserve">exposure adjusted incidence rate of </w:t>
      </w:r>
      <w:r w:rsidRPr="0014669F">
        <w:t xml:space="preserve">11.4/100 subject-years). There were no notable differences in incidence of study treatment discontinuation or treatment interruptions. There were no notable clinically significant trends in haematology (other than haemoglobin) or chemistry laboratory values over the course of the studies. </w:t>
      </w:r>
    </w:p>
    <w:p w14:paraId="74BD34EF" w14:textId="0A3A0D48" w:rsidR="0014669F" w:rsidRPr="0014669F" w:rsidRDefault="0014669F" w:rsidP="0014669F">
      <w:r w:rsidRPr="0014669F">
        <w:t xml:space="preserve">More thromboembolic events were observed in subjects treated with </w:t>
      </w:r>
      <w:proofErr w:type="spellStart"/>
      <w:r w:rsidRPr="0014669F">
        <w:t>luspatercept</w:t>
      </w:r>
      <w:proofErr w:type="spellEnd"/>
      <w:r w:rsidRPr="0014669F">
        <w:t xml:space="preserve"> compared with placebo in subjects with β-thalassemia. These thromboembolic events were observed in subjects with splenectomy and other recognised risk factors, and the overall incidence and adjusted incidence rates in the </w:t>
      </w:r>
      <w:proofErr w:type="spellStart"/>
      <w:r w:rsidRPr="0014669F">
        <w:t>luspatercept</w:t>
      </w:r>
      <w:proofErr w:type="spellEnd"/>
      <w:r w:rsidRPr="0014669F">
        <w:t xml:space="preserve"> treatment group. Thromboembolic events were not associated with elevated haemoglobin (haemoglobin above 11.5 g/dL). The risk of thromboembolic events in</w:t>
      </w:r>
      <w:r w:rsidR="00802343">
        <w:t xml:space="preserve"> splenectomised patients with beta-</w:t>
      </w:r>
      <w:r w:rsidRPr="0014669F">
        <w:t xml:space="preserve">thalassemia is adequately highlighted in PI. </w:t>
      </w:r>
    </w:p>
    <w:p w14:paraId="665555E7" w14:textId="029EF0DF" w:rsidR="007E4AE8" w:rsidRPr="0014669F" w:rsidRDefault="0014669F" w:rsidP="0014669F">
      <w:r w:rsidRPr="0014669F">
        <w:t>The incidence of Gr</w:t>
      </w:r>
      <w:r w:rsidR="00802343">
        <w:t xml:space="preserve">ade 3 or </w:t>
      </w:r>
      <w:r w:rsidRPr="0014669F">
        <w:t xml:space="preserve">4 hyperuricemia was higher in the </w:t>
      </w:r>
      <w:proofErr w:type="spellStart"/>
      <w:r w:rsidRPr="0014669F">
        <w:t>luspatercept</w:t>
      </w:r>
      <w:proofErr w:type="spellEnd"/>
      <w:r w:rsidRPr="0014669F">
        <w:t xml:space="preserve"> group compared to placebo in both the pivotal </w:t>
      </w:r>
      <w:r w:rsidR="00802343">
        <w:t>myelodysplastic syndrome and b</w:t>
      </w:r>
      <w:r w:rsidRPr="0014669F">
        <w:t>eta-thalass</w:t>
      </w:r>
      <w:r w:rsidR="00802343">
        <w:t>a</w:t>
      </w:r>
      <w:r w:rsidRPr="0014669F">
        <w:t xml:space="preserve">emia studies. The sponsors have stated that there does not appear to be any biologic basis for </w:t>
      </w:r>
      <w:proofErr w:type="spellStart"/>
      <w:r w:rsidRPr="0014669F">
        <w:t>luspatercept</w:t>
      </w:r>
      <w:proofErr w:type="spellEnd"/>
      <w:r w:rsidRPr="0014669F">
        <w:t xml:space="preserve"> treatment to result in increased serum uric acid and that none of the subjects with </w:t>
      </w:r>
      <w:r w:rsidR="00802343">
        <w:t>treatment-emergent adverse event</w:t>
      </w:r>
      <w:r w:rsidRPr="0014669F">
        <w:t xml:space="preserve"> of hyperuricemia or blood uric acid increased had complications such as gout or nephrolithiasis. However, due to consistently higher </w:t>
      </w:r>
      <w:r w:rsidR="00802343">
        <w:t>incidence especially of Grade 3 or 4 adverse event</w:t>
      </w:r>
      <w:r w:rsidRPr="0014669F">
        <w:t>s of hyperuricemia obse</w:t>
      </w:r>
      <w:r w:rsidR="00802343">
        <w:t>rved in both Phase III</w:t>
      </w:r>
      <w:r w:rsidRPr="0014669F">
        <w:t xml:space="preserve"> studies, it is recommended that this </w:t>
      </w:r>
      <w:r w:rsidR="00802343">
        <w:t>adverse event be monitored.</w:t>
      </w:r>
    </w:p>
    <w:p w14:paraId="793C23AE" w14:textId="3B6B6C40" w:rsidR="00CB0C2D" w:rsidRDefault="00802343" w:rsidP="000F6EA9">
      <w:pPr>
        <w:pStyle w:val="Heading5"/>
      </w:pPr>
      <w:r>
        <w:t>Safety from the US FDA-approved Product Information</w:t>
      </w:r>
    </w:p>
    <w:p w14:paraId="2651189A" w14:textId="0C9880FE" w:rsidR="000F6EA9" w:rsidRPr="000F6EA9" w:rsidRDefault="000F6EA9" w:rsidP="000F6EA9">
      <w:r>
        <w:t>The following is extracted from the US FDA-approved PI.</w:t>
      </w:r>
    </w:p>
    <w:p w14:paraId="3100108D" w14:textId="45DD57B6" w:rsidR="00802343" w:rsidRDefault="00802343" w:rsidP="000F6EA9">
      <w:pPr>
        <w:pStyle w:val="Heading6"/>
      </w:pPr>
      <w:r>
        <w:t>Myelodysplastic syndrome</w:t>
      </w:r>
    </w:p>
    <w:p w14:paraId="174953DC" w14:textId="77777777" w:rsidR="00802343" w:rsidRDefault="00802343" w:rsidP="00802343">
      <w:r>
        <w:t>For the indication of:</w:t>
      </w:r>
    </w:p>
    <w:p w14:paraId="097ADE77" w14:textId="5C969119" w:rsidR="004F5859" w:rsidRPr="00802343" w:rsidRDefault="004F5859" w:rsidP="00802343">
      <w:pPr>
        <w:ind w:left="720"/>
        <w:rPr>
          <w:i/>
        </w:rPr>
      </w:pPr>
      <w:r w:rsidRPr="00802343">
        <w:rPr>
          <w:i/>
        </w:rPr>
        <w:t xml:space="preserve">Myelodysplastic </w:t>
      </w:r>
      <w:r w:rsidR="000F6EA9" w:rsidRPr="00802343">
        <w:rPr>
          <w:i/>
        </w:rPr>
        <w:t xml:space="preserve">syndromes with ring </w:t>
      </w:r>
      <w:proofErr w:type="spellStart"/>
      <w:r w:rsidR="000F6EA9" w:rsidRPr="00802343">
        <w:rPr>
          <w:i/>
        </w:rPr>
        <w:t>sideroblasts</w:t>
      </w:r>
      <w:proofErr w:type="spellEnd"/>
      <w:r w:rsidR="000F6EA9" w:rsidRPr="00802343">
        <w:rPr>
          <w:i/>
        </w:rPr>
        <w:t xml:space="preserve"> or myelodysplastic / myeloproliferative neoplasm with ring </w:t>
      </w:r>
      <w:proofErr w:type="spellStart"/>
      <w:r w:rsidR="000F6EA9" w:rsidRPr="00802343">
        <w:rPr>
          <w:i/>
        </w:rPr>
        <w:t>sideroblasts</w:t>
      </w:r>
      <w:proofErr w:type="spellEnd"/>
      <w:r w:rsidR="000F6EA9" w:rsidRPr="00802343">
        <w:rPr>
          <w:i/>
        </w:rPr>
        <w:t xml:space="preserve"> and thrombocytosis associated anaemia </w:t>
      </w:r>
    </w:p>
    <w:p w14:paraId="49B539DF" w14:textId="7B290144" w:rsidR="004F5859" w:rsidRDefault="004F5859" w:rsidP="00AA1835">
      <w:r>
        <w:t xml:space="preserve">The </w:t>
      </w:r>
      <w:r w:rsidRPr="00AA1835">
        <w:t>safety</w:t>
      </w:r>
      <w:r>
        <w:t xml:space="preserve"> of </w:t>
      </w:r>
      <w:proofErr w:type="spellStart"/>
      <w:r>
        <w:t>luspatercept</w:t>
      </w:r>
      <w:proofErr w:type="spellEnd"/>
      <w:r>
        <w:t xml:space="preserve"> at the recommended dose an</w:t>
      </w:r>
      <w:r w:rsidR="00AA1835">
        <w:t>d schedule was evaluated in 242 </w:t>
      </w:r>
      <w:r>
        <w:t xml:space="preserve">patients with </w:t>
      </w:r>
      <w:r w:rsidR="00AA1835">
        <w:t>myelodysplastic syndrome</w:t>
      </w:r>
      <w:r>
        <w:t xml:space="preserve"> with ring </w:t>
      </w:r>
      <w:proofErr w:type="spellStart"/>
      <w:r>
        <w:t>sideroblasts</w:t>
      </w:r>
      <w:proofErr w:type="spellEnd"/>
      <w:r>
        <w:t xml:space="preserve"> (n</w:t>
      </w:r>
      <w:r w:rsidR="00AA1835">
        <w:t xml:space="preserve"> </w:t>
      </w:r>
      <w:r>
        <w:t>=</w:t>
      </w:r>
      <w:r w:rsidR="00AA1835">
        <w:t xml:space="preserve"> </w:t>
      </w:r>
      <w:r>
        <w:t>192) or other myeloid neoplasms (n</w:t>
      </w:r>
      <w:r w:rsidR="00AA1835">
        <w:t xml:space="preserve"> </w:t>
      </w:r>
      <w:r>
        <w:t>=</w:t>
      </w:r>
      <w:r w:rsidR="00AA1835">
        <w:t xml:space="preserve"> </w:t>
      </w:r>
      <w:r>
        <w:t xml:space="preserve">50). The safety population included 63% males and 37% females of </w:t>
      </w:r>
      <w:r w:rsidR="00AA1835">
        <w:t>median age 72 years (range, 30 to</w:t>
      </w:r>
      <w:r>
        <w:t xml:space="preserve"> 95 years); of these patients, 81% were White, 0.4% Black, 0.4% Other, and race was not reported in 18.2% of patients. The median time on treatment with </w:t>
      </w:r>
      <w:proofErr w:type="spellStart"/>
      <w:r w:rsidR="00AA1835">
        <w:t>luspatercept</w:t>
      </w:r>
      <w:proofErr w:type="spellEnd"/>
      <w:r>
        <w:t xml:space="preserve"> was 50.4 weeks (range, 3 – 221 weeks); 67% of patients were exposed for 6 months or longer and 49% were exposed for greater than one year. </w:t>
      </w:r>
    </w:p>
    <w:p w14:paraId="4F26D5A9" w14:textId="77777777" w:rsidR="00AA1835" w:rsidRDefault="004F5859" w:rsidP="004F5859">
      <w:r>
        <w:t xml:space="preserve">Among the 242 patients treated with </w:t>
      </w:r>
      <w:proofErr w:type="spellStart"/>
      <w:r>
        <w:t>luspatercept</w:t>
      </w:r>
      <w:proofErr w:type="spellEnd"/>
      <w:r>
        <w:t>, 5 (2.1%</w:t>
      </w:r>
      <w:r w:rsidR="00AA1835">
        <w:t>) had a fatal adverse event, 11 </w:t>
      </w:r>
      <w:r>
        <w:t>(4.5%) discontinued due to an adverse event, and 7 (2.9%) had a dose reduction due to an adverse event. The most common (&gt;</w:t>
      </w:r>
      <w:r w:rsidR="00AA1835">
        <w:t xml:space="preserve"> </w:t>
      </w:r>
      <w:r>
        <w:t>10%) all-grade adverse events included fatigue, musculoskeletal pain, dizziness, diarrhoea, nausea, hypersensitivity reactions, hypertension, headache, upper respiratory tract infection, bronchitis, and urinary tract infection. The most common (&gt;</w:t>
      </w:r>
      <w:r w:rsidR="00AA1835">
        <w:t xml:space="preserve"> </w:t>
      </w:r>
      <w:r>
        <w:t xml:space="preserve">2%) Grade &gt; 3 adverse events included fatigue, hypertension, </w:t>
      </w:r>
      <w:proofErr w:type="gramStart"/>
      <w:r>
        <w:t>syncope</w:t>
      </w:r>
      <w:proofErr w:type="gramEnd"/>
      <w:r>
        <w:t xml:space="preserve"> and musculoskeletal pain. Selected laboratory abnormal</w:t>
      </w:r>
      <w:r w:rsidR="00AA1835">
        <w:t>ities that changed from Grade 0 or 1 at B</w:t>
      </w:r>
      <w:r>
        <w:t xml:space="preserve">aseline to Grade &gt; 2 at any time during the studies in at least 10% of patients included creatinine clearance decreased, total bilirubin increased, and alanine aminotransferase increased. </w:t>
      </w:r>
    </w:p>
    <w:p w14:paraId="26BEDB45" w14:textId="77777777" w:rsidR="00AC2449" w:rsidRDefault="00AA1835" w:rsidP="004F5859">
      <w:r>
        <w:t>One patient in each group had progression to higher-risk myelodysplastic syndromes, and acute myeloid leukaemia developed in 4 patients (3 patients (2%)</w:t>
      </w:r>
      <w:r w:rsidR="00AC2449">
        <w:t xml:space="preserve"> receiving </w:t>
      </w:r>
      <w:proofErr w:type="spellStart"/>
      <w:r w:rsidR="00AC2449">
        <w:t>luspatercept</w:t>
      </w:r>
      <w:proofErr w:type="spellEnd"/>
      <w:r w:rsidR="00AC2449">
        <w:t xml:space="preserve"> and one patient</w:t>
      </w:r>
      <w:r>
        <w:t xml:space="preserve"> (1%) receiving placebo).</w:t>
      </w:r>
      <w:r w:rsidR="00AC2449" w:rsidRPr="00AC2449">
        <w:t xml:space="preserve"> </w:t>
      </w:r>
    </w:p>
    <w:p w14:paraId="02EEA995" w14:textId="6A6D68B5" w:rsidR="00AC2449" w:rsidRDefault="00AC2449" w:rsidP="00D21BBD">
      <w:pPr>
        <w:pStyle w:val="TableTitle"/>
      </w:pPr>
      <w:r>
        <w:t xml:space="preserve">Table </w:t>
      </w:r>
      <w:fldSimple w:instr=" SEQ Table \* ARABIC ">
        <w:r>
          <w:rPr>
            <w:noProof/>
          </w:rPr>
          <w:t>6</w:t>
        </w:r>
      </w:fldSimple>
      <w:r>
        <w:t xml:space="preserve">: </w:t>
      </w:r>
      <w:r w:rsidR="00D21BBD">
        <w:t>Study ACE-536-MDS-001 Adverse e</w:t>
      </w:r>
      <w:r>
        <w:t>vents (≥</w:t>
      </w:r>
      <w:r w:rsidR="00D21BBD">
        <w:t xml:space="preserve"> 5%) in patients r</w:t>
      </w:r>
      <w:r>
        <w:t xml:space="preserve">eceiving </w:t>
      </w:r>
      <w:proofErr w:type="spellStart"/>
      <w:r w:rsidR="00D21BBD">
        <w:t>Reblozyl</w:t>
      </w:r>
      <w:proofErr w:type="spellEnd"/>
      <w:r w:rsidR="00D21BBD">
        <w:t xml:space="preserve"> (</w:t>
      </w:r>
      <w:proofErr w:type="spellStart"/>
      <w:r w:rsidR="00D21BBD">
        <w:t>luspatercept</w:t>
      </w:r>
      <w:proofErr w:type="spellEnd"/>
      <w:r w:rsidR="00D21BBD">
        <w:t>) with a difference between a</w:t>
      </w:r>
      <w:r>
        <w:t>rms of &gt;</w:t>
      </w:r>
      <w:r w:rsidR="00D21BBD">
        <w:t xml:space="preserve"> </w:t>
      </w:r>
      <w:r>
        <w:t xml:space="preserve">2% </w:t>
      </w:r>
      <w:r w:rsidR="00D21BBD">
        <w:t>t</w:t>
      </w:r>
      <w:r>
        <w:t>hrough Cycle 8</w:t>
      </w:r>
    </w:p>
    <w:p w14:paraId="6F5983D0" w14:textId="258A8772" w:rsidR="00AC2449" w:rsidRDefault="00AC2449" w:rsidP="004F5859">
      <w:r w:rsidRPr="00AC2449">
        <w:rPr>
          <w:noProof/>
          <w:lang w:val="en-GB" w:eastAsia="en-GB"/>
        </w:rPr>
        <w:drawing>
          <wp:inline distT="0" distB="0" distL="0" distR="0" wp14:anchorId="1C912F38" wp14:editId="3012FA98">
            <wp:extent cx="5400040" cy="59062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906216"/>
                    </a:xfrm>
                    <a:prstGeom prst="rect">
                      <a:avLst/>
                    </a:prstGeom>
                    <a:noFill/>
                    <a:ln>
                      <a:noFill/>
                    </a:ln>
                  </pic:spPr>
                </pic:pic>
              </a:graphicData>
            </a:graphic>
          </wp:inline>
        </w:drawing>
      </w:r>
    </w:p>
    <w:p w14:paraId="7214F9E8" w14:textId="0718B6F9" w:rsidR="00802343" w:rsidRPr="00802343" w:rsidRDefault="00D21BBD" w:rsidP="00802343">
      <w:pPr>
        <w:pStyle w:val="TableTitle"/>
      </w:pPr>
      <w:r w:rsidRPr="00D21BBD">
        <w:t xml:space="preserve">Table </w:t>
      </w:r>
      <w:fldSimple w:instr=" SEQ Table \* ARABIC ">
        <w:r w:rsidRPr="00D21BBD">
          <w:t>7</w:t>
        </w:r>
      </w:fldSimple>
      <w:r w:rsidRPr="00D21BBD">
        <w:t xml:space="preserve">: Study ACE-536-MDS-001 Adverse events (≥ 5%) in patients receiving </w:t>
      </w:r>
      <w:proofErr w:type="spellStart"/>
      <w:r w:rsidRPr="00D21BBD">
        <w:t>Reblozyl</w:t>
      </w:r>
      <w:proofErr w:type="spellEnd"/>
      <w:r w:rsidRPr="00D21BBD">
        <w:t xml:space="preserve"> (</w:t>
      </w:r>
      <w:proofErr w:type="spellStart"/>
      <w:r w:rsidRPr="00D21BBD">
        <w:t>luspatercept</w:t>
      </w:r>
      <w:proofErr w:type="spellEnd"/>
      <w:r w:rsidRPr="00D21BBD">
        <w:t>) with a difference between arms of &gt; 2% through Cycle 8</w:t>
      </w:r>
    </w:p>
    <w:p w14:paraId="55241C20" w14:textId="71C01C92" w:rsidR="00D21BBD" w:rsidRDefault="00D21BBD" w:rsidP="004F5859">
      <w:r w:rsidRPr="00D21BBD">
        <w:rPr>
          <w:noProof/>
          <w:lang w:val="en-GB" w:eastAsia="en-GB"/>
        </w:rPr>
        <w:drawing>
          <wp:inline distT="0" distB="0" distL="0" distR="0" wp14:anchorId="31458DA6" wp14:editId="310ED9B6">
            <wp:extent cx="5334635" cy="2327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197" r="-1" b="1381"/>
                    <a:stretch/>
                  </pic:blipFill>
                  <pic:spPr bwMode="auto">
                    <a:xfrm>
                      <a:off x="0" y="0"/>
                      <a:ext cx="5335381" cy="2327889"/>
                    </a:xfrm>
                    <a:prstGeom prst="rect">
                      <a:avLst/>
                    </a:prstGeom>
                    <a:noFill/>
                    <a:ln>
                      <a:noFill/>
                    </a:ln>
                    <a:extLst>
                      <a:ext uri="{53640926-AAD7-44D8-BBD7-CCE9431645EC}">
                        <a14:shadowObscured xmlns:a14="http://schemas.microsoft.com/office/drawing/2010/main"/>
                      </a:ext>
                    </a:extLst>
                  </pic:spPr>
                </pic:pic>
              </a:graphicData>
            </a:graphic>
          </wp:inline>
        </w:drawing>
      </w:r>
    </w:p>
    <w:p w14:paraId="26DA31D9" w14:textId="1901DA8A" w:rsidR="00D21BBD" w:rsidRDefault="00D21BBD" w:rsidP="00E65704">
      <w:pPr>
        <w:pStyle w:val="TableTitle"/>
      </w:pPr>
      <w:r>
        <w:t xml:space="preserve">Table </w:t>
      </w:r>
      <w:fldSimple w:instr=" SEQ Table \* ARABIC ">
        <w:r>
          <w:rPr>
            <w:noProof/>
          </w:rPr>
          <w:t>8</w:t>
        </w:r>
      </w:fldSimple>
      <w:r>
        <w:t>: Study ACE-536-MDS-001 Selected Grades 2 to 4 treatment-emergent laboratory abnormalities through Cycle 8</w:t>
      </w:r>
    </w:p>
    <w:p w14:paraId="2D01C8E3" w14:textId="31117767" w:rsidR="00D21BBD" w:rsidRDefault="00D21BBD" w:rsidP="004F5859">
      <w:r w:rsidRPr="00D21BBD">
        <w:rPr>
          <w:noProof/>
          <w:lang w:val="en-GB" w:eastAsia="en-GB"/>
        </w:rPr>
        <w:drawing>
          <wp:inline distT="0" distB="0" distL="0" distR="0" wp14:anchorId="5E6588DB" wp14:editId="398624C1">
            <wp:extent cx="5401195" cy="1884218"/>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179" cy="1887352"/>
                    </a:xfrm>
                    <a:prstGeom prst="rect">
                      <a:avLst/>
                    </a:prstGeom>
                    <a:noFill/>
                    <a:ln>
                      <a:noFill/>
                    </a:ln>
                  </pic:spPr>
                </pic:pic>
              </a:graphicData>
            </a:graphic>
          </wp:inline>
        </w:drawing>
      </w:r>
    </w:p>
    <w:p w14:paraId="72F7D930" w14:textId="56B7BA34" w:rsidR="00AA1835" w:rsidRDefault="00AC2449" w:rsidP="000F6EA9">
      <w:pPr>
        <w:pStyle w:val="Heading6"/>
      </w:pPr>
      <w:r>
        <w:t>Beta-th</w:t>
      </w:r>
      <w:r w:rsidR="000F6EA9">
        <w:t>alassaemia</w:t>
      </w:r>
    </w:p>
    <w:p w14:paraId="2953F4CF" w14:textId="5D451DA1" w:rsidR="00AA1835" w:rsidRDefault="00AA1835" w:rsidP="00AA1835">
      <w:r>
        <w:t xml:space="preserve">The safety of </w:t>
      </w:r>
      <w:proofErr w:type="spellStart"/>
      <w:r w:rsidRPr="00AA1835">
        <w:t>luspatercept</w:t>
      </w:r>
      <w:proofErr w:type="spellEnd"/>
      <w:r>
        <w:t xml:space="preserve"> in patients with beta </w:t>
      </w:r>
      <w:r w:rsidR="00AC2449">
        <w:t>thalassemia was evaluated in Study ACE</w:t>
      </w:r>
      <w:r w:rsidR="00AC2449">
        <w:noBreakHyphen/>
        <w:t>536-β-THAL-001</w:t>
      </w:r>
      <w:r>
        <w:t xml:space="preserve"> </w:t>
      </w:r>
      <w:r w:rsidR="00AC2449">
        <w:t xml:space="preserve">(the </w:t>
      </w:r>
      <w:r>
        <w:t>BELIEVE trial</w:t>
      </w:r>
      <w:r w:rsidR="00AC2449">
        <w:t>)</w:t>
      </w:r>
      <w:r>
        <w:t xml:space="preserve">. </w:t>
      </w:r>
    </w:p>
    <w:p w14:paraId="14E3721B" w14:textId="77777777" w:rsidR="00AA1835" w:rsidRDefault="00AA1835" w:rsidP="00AA1835">
      <w:r>
        <w:t xml:space="preserve">Among patients </w:t>
      </w:r>
      <w:r w:rsidRPr="00AA1835">
        <w:t>receiving</w:t>
      </w:r>
      <w:r>
        <w:t xml:space="preserve"> </w:t>
      </w:r>
      <w:proofErr w:type="spellStart"/>
      <w:r>
        <w:t>luspatercept</w:t>
      </w:r>
      <w:proofErr w:type="spellEnd"/>
      <w:r>
        <w:t xml:space="preserve">, 94% were exposed for 6 months or longer and 72% were exposed for greater than one year. </w:t>
      </w:r>
    </w:p>
    <w:p w14:paraId="749D4588" w14:textId="5EC6D95B" w:rsidR="00AA1835" w:rsidRDefault="00AA1835" w:rsidP="00AC2449">
      <w:r>
        <w:t xml:space="preserve">Serious adverse events occurred in 3.6% of patients on </w:t>
      </w:r>
      <w:proofErr w:type="spellStart"/>
      <w:r>
        <w:t>luspatercept</w:t>
      </w:r>
      <w:proofErr w:type="spellEnd"/>
      <w:r>
        <w:t xml:space="preserve">. Serious adverse events reported in 1% of patients were cerebrovascular accident and deep vein thrombosis. A fatal adverse event occurred in one patient treated with </w:t>
      </w:r>
      <w:proofErr w:type="spellStart"/>
      <w:r>
        <w:t>luspatercept</w:t>
      </w:r>
      <w:proofErr w:type="spellEnd"/>
      <w:r>
        <w:t xml:space="preserve"> who died due to an unconfirmed case of </w:t>
      </w:r>
      <w:r w:rsidR="00AC2449">
        <w:t>acute myeloid leukaemia</w:t>
      </w:r>
      <w:r>
        <w:t xml:space="preserve">. </w:t>
      </w:r>
    </w:p>
    <w:p w14:paraId="5081566F" w14:textId="72EBA7BB" w:rsidR="00AA1835" w:rsidRPr="00AC2449" w:rsidRDefault="00AA1835" w:rsidP="00AC2449">
      <w:r>
        <w:t>Permanent discontinuation du</w:t>
      </w:r>
      <w:r w:rsidR="00AC2449">
        <w:t xml:space="preserve">e to an adverse event (Grades 1 to </w:t>
      </w:r>
      <w:r>
        <w:t xml:space="preserve">4) occurred in 5.4% of patients who received </w:t>
      </w:r>
      <w:proofErr w:type="spellStart"/>
      <w:r>
        <w:t>luspatercept</w:t>
      </w:r>
      <w:proofErr w:type="spellEnd"/>
      <w:r>
        <w:t xml:space="preserve">. Most frequent adverse events requiring permanent discontinuation in patients who received </w:t>
      </w:r>
      <w:proofErr w:type="spellStart"/>
      <w:r>
        <w:t>luspatercept</w:t>
      </w:r>
      <w:proofErr w:type="spellEnd"/>
      <w:r>
        <w:t xml:space="preserve"> included arthralgia (1%), back pain (1%), bone </w:t>
      </w:r>
      <w:r w:rsidR="00AC2449">
        <w:t>pain (&lt;1%), and headache (&lt;1%).</w:t>
      </w:r>
    </w:p>
    <w:p w14:paraId="0CDDCD0C" w14:textId="1953EDD6" w:rsidR="00AA1835" w:rsidRDefault="00AA1835" w:rsidP="00AC2449">
      <w:r>
        <w:t xml:space="preserve">Dosage reductions due to an adverse event occurred in 2.7% of patients who received </w:t>
      </w:r>
      <w:proofErr w:type="spellStart"/>
      <w:r>
        <w:t>luspatercept</w:t>
      </w:r>
      <w:proofErr w:type="spellEnd"/>
      <w:r>
        <w:t xml:space="preserve">. Most frequent adverse events </w:t>
      </w:r>
      <w:r w:rsidRPr="00AC2449">
        <w:t>requiring</w:t>
      </w:r>
      <w:r>
        <w:t xml:space="preserve"> dosage reduction in &gt;</w:t>
      </w:r>
      <w:r w:rsidR="00AC2449">
        <w:t xml:space="preserve"> </w:t>
      </w:r>
      <w:r>
        <w:t xml:space="preserve">0.5% of patients who received </w:t>
      </w:r>
      <w:proofErr w:type="spellStart"/>
      <w:r>
        <w:t>luspatercept</w:t>
      </w:r>
      <w:proofErr w:type="spellEnd"/>
      <w:r>
        <w:t xml:space="preserve"> included hypertension and headache. </w:t>
      </w:r>
    </w:p>
    <w:p w14:paraId="00A24106" w14:textId="77777777" w:rsidR="00E65704" w:rsidRDefault="00AA1835" w:rsidP="00AC2449">
      <w:r>
        <w:t xml:space="preserve">Dosage interruptions due to an adverse event occurred in 15.2% of patients who received </w:t>
      </w:r>
      <w:proofErr w:type="spellStart"/>
      <w:r>
        <w:t>luspatercept</w:t>
      </w:r>
      <w:proofErr w:type="spellEnd"/>
      <w:r>
        <w:t xml:space="preserve">. Most frequent adverse reactions requiring dosage interruption in &gt;1% of patients who received </w:t>
      </w:r>
      <w:proofErr w:type="spellStart"/>
      <w:r>
        <w:t>luspatercept</w:t>
      </w:r>
      <w:proofErr w:type="spellEnd"/>
      <w:r>
        <w:t xml:space="preserve"> included </w:t>
      </w:r>
      <w:r w:rsidRPr="00AC2449">
        <w:t>upper</w:t>
      </w:r>
      <w:r>
        <w:t xml:space="preserve"> r</w:t>
      </w:r>
      <w:r w:rsidR="00AC2449">
        <w:t xml:space="preserve">espiratory tract infection, alanine transaminase </w:t>
      </w:r>
      <w:r w:rsidR="00E65704">
        <w:t>increase, and cough.</w:t>
      </w:r>
    </w:p>
    <w:p w14:paraId="2899065F" w14:textId="77777777" w:rsidR="00E65704" w:rsidRDefault="00E65704" w:rsidP="00AC2449">
      <w:r>
        <w:t xml:space="preserve">The most common adverse events (at least 10% for </w:t>
      </w:r>
      <w:proofErr w:type="spellStart"/>
      <w:r>
        <w:t>luspatercept</w:t>
      </w:r>
      <w:proofErr w:type="spellEnd"/>
      <w:r>
        <w:t xml:space="preserve"> and 1% more than placebo) were headache (26%), bone pain (20%), arthralgia (19%), fatigue (14%), cough (14%), abdominal pain (14%), diarrhoea (12%), and dizziness (11%).</w:t>
      </w:r>
    </w:p>
    <w:p w14:paraId="656E1257" w14:textId="4B697B78" w:rsidR="00E65704" w:rsidRDefault="00E65704" w:rsidP="00802343">
      <w:pPr>
        <w:pStyle w:val="TableTitle"/>
      </w:pPr>
      <w:r>
        <w:t xml:space="preserve">Table </w:t>
      </w:r>
      <w:fldSimple w:instr=" SEQ Table \* ARABIC ">
        <w:r>
          <w:rPr>
            <w:noProof/>
          </w:rPr>
          <w:t>9</w:t>
        </w:r>
      </w:fldSimple>
      <w:r>
        <w:t>: Study ACE-536-β-THAL-001 Adverse e</w:t>
      </w:r>
      <w:r w:rsidRPr="00D143C9">
        <w:t>vents (&gt;</w:t>
      </w:r>
      <w:r w:rsidR="00802343">
        <w:t xml:space="preserve"> 5%) in patients with beta</w:t>
      </w:r>
      <w:r w:rsidR="00802343">
        <w:noBreakHyphen/>
      </w:r>
      <w:r>
        <w:t>t</w:t>
      </w:r>
      <w:r w:rsidRPr="00D143C9">
        <w:t>halass</w:t>
      </w:r>
      <w:r>
        <w:t>a</w:t>
      </w:r>
      <w:r w:rsidRPr="00D143C9">
        <w:t xml:space="preserve">emia receiving </w:t>
      </w:r>
      <w:proofErr w:type="spellStart"/>
      <w:r w:rsidRPr="00D143C9">
        <w:t>luspatercept</w:t>
      </w:r>
      <w:proofErr w:type="spellEnd"/>
      <w:r w:rsidRPr="00D143C9">
        <w:t xml:space="preserve"> with </w:t>
      </w:r>
      <w:r>
        <w:t>a difference between arms of 1%</w:t>
      </w:r>
    </w:p>
    <w:p w14:paraId="10DB5647" w14:textId="77777777" w:rsidR="00E65704" w:rsidRDefault="00E65704" w:rsidP="00AC2449">
      <w:pPr>
        <w:rPr>
          <w:b/>
          <w:bCs/>
        </w:rPr>
      </w:pPr>
      <w:r w:rsidRPr="00E65704">
        <w:rPr>
          <w:b/>
          <w:bCs/>
          <w:noProof/>
          <w:lang w:val="en-GB" w:eastAsia="en-GB"/>
        </w:rPr>
        <w:drawing>
          <wp:inline distT="0" distB="0" distL="0" distR="0" wp14:anchorId="5B1A9A20" wp14:editId="165D45DA">
            <wp:extent cx="5172075" cy="6677660"/>
            <wp:effectExtent l="0" t="0" r="952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2075" cy="6677660"/>
                    </a:xfrm>
                    <a:prstGeom prst="rect">
                      <a:avLst/>
                    </a:prstGeom>
                    <a:noFill/>
                    <a:ln>
                      <a:noFill/>
                    </a:ln>
                  </pic:spPr>
                </pic:pic>
              </a:graphicData>
            </a:graphic>
          </wp:inline>
        </w:drawing>
      </w:r>
      <w:r w:rsidRPr="00E65704" w:rsidDel="00A16B7E">
        <w:rPr>
          <w:b/>
          <w:bCs/>
        </w:rPr>
        <w:t xml:space="preserve"> </w:t>
      </w:r>
    </w:p>
    <w:p w14:paraId="55164E47" w14:textId="6BFABBD0" w:rsidR="00E65704" w:rsidRDefault="00E65704" w:rsidP="00E65704">
      <w:pPr>
        <w:pStyle w:val="TableTitle"/>
      </w:pPr>
      <w:r>
        <w:t xml:space="preserve">Table </w:t>
      </w:r>
      <w:fldSimple w:instr=" SEQ Table \* ARABIC ">
        <w:r>
          <w:rPr>
            <w:noProof/>
          </w:rPr>
          <w:t>10</w:t>
        </w:r>
      </w:fldSimple>
      <w:r>
        <w:t>: Study ACE-536-β-THAL-001 L</w:t>
      </w:r>
      <w:r w:rsidRPr="00433398">
        <w:t>iver function laboratory abno</w:t>
      </w:r>
      <w:r>
        <w:t>rmalities in patients with beta</w:t>
      </w:r>
      <w:r>
        <w:noBreakHyphen/>
      </w:r>
      <w:r w:rsidRPr="00433398">
        <w:t>thalass</w:t>
      </w:r>
      <w:r>
        <w:t>aemia</w:t>
      </w:r>
    </w:p>
    <w:p w14:paraId="064F8D25" w14:textId="36218680" w:rsidR="00E65704" w:rsidRDefault="00E65704" w:rsidP="00AC2449">
      <w:pPr>
        <w:rPr>
          <w:b/>
          <w:bCs/>
        </w:rPr>
      </w:pPr>
      <w:r w:rsidRPr="00E65704">
        <w:rPr>
          <w:b/>
          <w:bCs/>
          <w:noProof/>
          <w:lang w:val="en-GB" w:eastAsia="en-GB"/>
        </w:rPr>
        <w:drawing>
          <wp:inline distT="0" distB="0" distL="0" distR="0" wp14:anchorId="62EF20B0" wp14:editId="75460E7B">
            <wp:extent cx="4350385" cy="20872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2282"/>
                    <a:stretch/>
                  </pic:blipFill>
                  <pic:spPr bwMode="auto">
                    <a:xfrm>
                      <a:off x="0" y="0"/>
                      <a:ext cx="4350385" cy="2087245"/>
                    </a:xfrm>
                    <a:prstGeom prst="rect">
                      <a:avLst/>
                    </a:prstGeom>
                    <a:noFill/>
                    <a:ln>
                      <a:noFill/>
                    </a:ln>
                    <a:extLst>
                      <a:ext uri="{53640926-AAD7-44D8-BBD7-CCE9431645EC}">
                        <a14:shadowObscured xmlns:a14="http://schemas.microsoft.com/office/drawing/2010/main"/>
                      </a:ext>
                    </a:extLst>
                  </pic:spPr>
                </pic:pic>
              </a:graphicData>
            </a:graphic>
          </wp:inline>
        </w:drawing>
      </w:r>
      <w:r w:rsidRPr="00E65704" w:rsidDel="00A16B7E">
        <w:rPr>
          <w:b/>
          <w:bCs/>
        </w:rPr>
        <w:t xml:space="preserve"> </w:t>
      </w:r>
    </w:p>
    <w:p w14:paraId="3F31AC4D" w14:textId="7C11B789" w:rsidR="00A9665B" w:rsidRDefault="000F6EA9" w:rsidP="000F6EA9">
      <w:pPr>
        <w:pStyle w:val="Heading5"/>
      </w:pPr>
      <w:r>
        <w:t>Comments on the Product Information</w:t>
      </w:r>
    </w:p>
    <w:p w14:paraId="4EBAF46F" w14:textId="4DDF5E4B" w:rsidR="000F6EA9" w:rsidRPr="000F6EA9" w:rsidRDefault="000F6EA9" w:rsidP="000F6EA9">
      <w:r>
        <w:t>The Delegate highlighted the following warnings and that they should be included in the Australian PI.</w:t>
      </w:r>
    </w:p>
    <w:p w14:paraId="266C4600" w14:textId="77777777" w:rsidR="00E65704" w:rsidRPr="00E65704" w:rsidRDefault="00E65704" w:rsidP="000F6EA9">
      <w:pPr>
        <w:pStyle w:val="Heading6"/>
      </w:pPr>
      <w:r w:rsidRPr="00E65704">
        <w:t>Thrombosis/Thromboembolism</w:t>
      </w:r>
    </w:p>
    <w:p w14:paraId="22C62779" w14:textId="30282445" w:rsidR="00E65704" w:rsidRPr="00E65704" w:rsidRDefault="00E65704" w:rsidP="00E65704">
      <w:r w:rsidRPr="00E65704">
        <w:t xml:space="preserve">In adult patients with beta thalassaemia, thromboembolic events (TEE) were reported in 8/223 (3.6%) </w:t>
      </w:r>
      <w:proofErr w:type="spellStart"/>
      <w:r w:rsidR="000B32E8" w:rsidRPr="00E65704">
        <w:t>Reblozyl</w:t>
      </w:r>
      <w:proofErr w:type="spellEnd"/>
      <w:r w:rsidRPr="00E65704">
        <w:t xml:space="preserve">-treated patients. Reported TEEs included deep vein thromboses, pulmonary embolus, portal vein thrombosis, and ischemic strokes. Patients with known risk factors for thromboembolism, </w:t>
      </w:r>
      <w:r w:rsidR="000B32E8">
        <w:t>for example,</w:t>
      </w:r>
      <w:r w:rsidRPr="00E65704">
        <w:t xml:space="preserve"> splenectomy or concomitant use of hormone replacement therapy, may be at further increased risk of thromboembolic conditions. Consider thrombo-prophylaxis in patients with beta thalassemia at increased risk of TEE. Monitor patients receiving </w:t>
      </w:r>
      <w:proofErr w:type="spellStart"/>
      <w:r w:rsidR="000B32E8" w:rsidRPr="00E65704">
        <w:t>Reblozyl</w:t>
      </w:r>
      <w:proofErr w:type="spellEnd"/>
      <w:r w:rsidR="000B32E8" w:rsidRPr="00E65704">
        <w:t xml:space="preserve"> </w:t>
      </w:r>
      <w:r w:rsidRPr="00E65704">
        <w:t>for signs and symptoms of thromboembolic events and institute treatment promptly.</w:t>
      </w:r>
    </w:p>
    <w:p w14:paraId="26E50CA6" w14:textId="77777777" w:rsidR="00E65704" w:rsidRPr="00E65704" w:rsidRDefault="00E65704" w:rsidP="000B32E8">
      <w:pPr>
        <w:pStyle w:val="Heading6"/>
      </w:pPr>
      <w:r w:rsidRPr="00E65704">
        <w:t>Hypertension</w:t>
      </w:r>
    </w:p>
    <w:p w14:paraId="3C22FEEB" w14:textId="1F81B136" w:rsidR="00E65704" w:rsidRPr="00E65704" w:rsidRDefault="00E65704" w:rsidP="00E65704">
      <w:r w:rsidRPr="00E65704">
        <w:t xml:space="preserve">Hypertension was reported in 10.7% (61/571) of </w:t>
      </w:r>
      <w:proofErr w:type="spellStart"/>
      <w:r w:rsidR="000B32E8" w:rsidRPr="00E65704">
        <w:t>Reblozyl</w:t>
      </w:r>
      <w:proofErr w:type="spellEnd"/>
      <w:r w:rsidRPr="00E65704">
        <w:t>-treated patients. Across clinical studies, the incidence of grade 3-4 hypertension ranged from 1.8% to 8.6%. In adult patients with beta thalassemia with normal baseline blood pressure, 13 (6.2%) patients developed systolic blood pressure (SBP) ≥</w:t>
      </w:r>
      <w:r w:rsidR="000B32E8">
        <w:t xml:space="preserve"> 130 mm</w:t>
      </w:r>
      <w:r w:rsidRPr="00E65704">
        <w:t>Hg and 33 (16.6%) patients developed diastolic blood pressure (DBP) ≥</w:t>
      </w:r>
      <w:r w:rsidR="000B32E8">
        <w:t xml:space="preserve"> </w:t>
      </w:r>
      <w:r w:rsidRPr="00E65704">
        <w:t>80 m</w:t>
      </w:r>
      <w:r w:rsidR="000B32E8">
        <w:t>m</w:t>
      </w:r>
      <w:r w:rsidRPr="00E65704">
        <w:t>Hg. In adult patients with MDS with normal baseline blood pressure, 26 (29.9%) patients developed SBP ≥</w:t>
      </w:r>
      <w:r w:rsidR="000B32E8">
        <w:t xml:space="preserve"> 130 mmHg and 23 </w:t>
      </w:r>
      <w:r w:rsidRPr="00E65704">
        <w:t>(16.4%) patients developed DBP ≥</w:t>
      </w:r>
      <w:r w:rsidR="000B32E8">
        <w:t xml:space="preserve"> </w:t>
      </w:r>
      <w:r w:rsidRPr="00E65704">
        <w:t>80 mm Hg.</w:t>
      </w:r>
    </w:p>
    <w:p w14:paraId="259A4335" w14:textId="77777777" w:rsidR="00E65704" w:rsidRPr="00E65704" w:rsidRDefault="00E65704" w:rsidP="00E65704">
      <w:r w:rsidRPr="00E65704">
        <w:t>Monitor blood pressure prior to each administration. Manage new-onset hypertension or exacerbations of pre-existing hypertension using anti-hypertensive agents.</w:t>
      </w:r>
    </w:p>
    <w:p w14:paraId="2A1106D2" w14:textId="77777777" w:rsidR="00E65704" w:rsidRPr="00E65704" w:rsidRDefault="00E65704" w:rsidP="000B32E8">
      <w:pPr>
        <w:pStyle w:val="Heading6"/>
      </w:pPr>
      <w:r w:rsidRPr="00E65704">
        <w:t>Immunogenicity</w:t>
      </w:r>
    </w:p>
    <w:p w14:paraId="62EF8292" w14:textId="77777777" w:rsidR="000B32E8" w:rsidRDefault="00E65704" w:rsidP="00E65704">
      <w:r w:rsidRPr="00E65704">
        <w:t xml:space="preserve">As with all therapeutic proteins, there is potential for immunogenicity. The detection of antibody formation is highly dependent on the sensitivity and specificity of the assay. Additionally, the observed incidence of antibody (including neutralising antibody) positivity in an assay may be influenced by several factors including assay methodology, sample handling, timing of sample collection, concomitant medications, and underlying disease. For these reasons, comparison of the incidence of antibodies to </w:t>
      </w:r>
      <w:proofErr w:type="spellStart"/>
      <w:r w:rsidRPr="00E65704">
        <w:t>luspatercept</w:t>
      </w:r>
      <w:proofErr w:type="spellEnd"/>
      <w:r w:rsidRPr="00E65704">
        <w:t xml:space="preserve"> in the studies described below with the incidence of antibodies in other studies or to other products may be misleading.</w:t>
      </w:r>
    </w:p>
    <w:p w14:paraId="5988C206" w14:textId="505A1C77" w:rsidR="000B32E8" w:rsidRDefault="000B32E8" w:rsidP="000B32E8">
      <w:r>
        <w:t xml:space="preserve">Of 284 patients with beta thalassemia who were treated with </w:t>
      </w:r>
      <w:proofErr w:type="spellStart"/>
      <w:r>
        <w:t>luspatercept</w:t>
      </w:r>
      <w:proofErr w:type="spellEnd"/>
      <w:r>
        <w:t xml:space="preserve"> and evaluable for the presence of anti-</w:t>
      </w:r>
      <w:proofErr w:type="spellStart"/>
      <w:r>
        <w:t>luspatercept</w:t>
      </w:r>
      <w:proofErr w:type="spellEnd"/>
      <w:r>
        <w:t>-</w:t>
      </w:r>
      <w:proofErr w:type="spellStart"/>
      <w:r>
        <w:t>aamt</w:t>
      </w:r>
      <w:proofErr w:type="spellEnd"/>
      <w:r>
        <w:t xml:space="preserve"> antibodies, 4 patients (1.4%) tested positive for treatment</w:t>
      </w:r>
      <w:r w:rsidR="00296781">
        <w:t xml:space="preserve"> emergent anti-</w:t>
      </w:r>
      <w:proofErr w:type="spellStart"/>
      <w:r w:rsidR="00296781">
        <w:t>luspatercept</w:t>
      </w:r>
      <w:proofErr w:type="spellEnd"/>
      <w:r>
        <w:t xml:space="preserve"> antibodies, including 2 patients (0.7%) who had neutralising antibodies.</w:t>
      </w:r>
    </w:p>
    <w:p w14:paraId="6E88488D" w14:textId="26B181A3" w:rsidR="000B32E8" w:rsidRDefault="000B32E8" w:rsidP="000B32E8">
      <w:r>
        <w:t xml:space="preserve">Of 260 patients with MDS who were treated with </w:t>
      </w:r>
      <w:proofErr w:type="spellStart"/>
      <w:r>
        <w:t>luspatercept</w:t>
      </w:r>
      <w:proofErr w:type="spellEnd"/>
      <w:r>
        <w:t xml:space="preserve"> and evaluable for the pr</w:t>
      </w:r>
      <w:r w:rsidR="00296781">
        <w:t>esence of anti-</w:t>
      </w:r>
      <w:proofErr w:type="spellStart"/>
      <w:r w:rsidR="00296781">
        <w:t>luspatercept</w:t>
      </w:r>
      <w:proofErr w:type="spellEnd"/>
      <w:r>
        <w:t xml:space="preserve"> antibodies, 23 patients (8.9%) tested positive for treatment-</w:t>
      </w:r>
      <w:r w:rsidR="00296781">
        <w:t>emergent anti-</w:t>
      </w:r>
      <w:proofErr w:type="spellStart"/>
      <w:r w:rsidR="00296781">
        <w:t>luspatercept</w:t>
      </w:r>
      <w:proofErr w:type="spellEnd"/>
      <w:r>
        <w:t xml:space="preserve"> antibodies, including 9 patients (3.5%) who had neutralising antibodies.</w:t>
      </w:r>
    </w:p>
    <w:p w14:paraId="42155638" w14:textId="5B17A3CA" w:rsidR="00296781" w:rsidRDefault="00296781" w:rsidP="00296781">
      <w:proofErr w:type="spellStart"/>
      <w:r>
        <w:t>Luspatercept</w:t>
      </w:r>
      <w:proofErr w:type="spellEnd"/>
      <w:r w:rsidR="000B32E8">
        <w:t xml:space="preserve"> serum concentration tended to decrease in the presence of neutralising antibodies. There were no severe acute systemic hypersensitivity reactions reported for patients wit</w:t>
      </w:r>
      <w:r>
        <w:t>h anti-</w:t>
      </w:r>
      <w:proofErr w:type="spellStart"/>
      <w:r>
        <w:t>luspatercept</w:t>
      </w:r>
      <w:proofErr w:type="spellEnd"/>
      <w:r w:rsidR="000B32E8">
        <w:t xml:space="preserve"> antibodies in </w:t>
      </w:r>
      <w:proofErr w:type="spellStart"/>
      <w:r w:rsidR="000B32E8">
        <w:t>luspatercept</w:t>
      </w:r>
      <w:proofErr w:type="spellEnd"/>
      <w:r w:rsidR="000B32E8">
        <w:t xml:space="preserve"> clinical trials, and there was no association between hypersensitivity type reaction or injection site reaction and pre</w:t>
      </w:r>
      <w:r>
        <w:t>sence of anti-</w:t>
      </w:r>
      <w:proofErr w:type="spellStart"/>
      <w:r>
        <w:t>luspatercept</w:t>
      </w:r>
      <w:proofErr w:type="spellEnd"/>
      <w:r>
        <w:t xml:space="preserve"> antibodies. </w:t>
      </w:r>
    </w:p>
    <w:p w14:paraId="3CB50F37" w14:textId="77777777" w:rsidR="008E7846" w:rsidRDefault="00386150" w:rsidP="007B6132">
      <w:pPr>
        <w:pStyle w:val="Heading3"/>
        <w:rPr>
          <w:lang w:eastAsia="en-AU"/>
        </w:rPr>
      </w:pPr>
      <w:bookmarkStart w:id="64" w:name="_Toc102045193"/>
      <w:r>
        <w:rPr>
          <w:lang w:eastAsia="en-AU"/>
        </w:rPr>
        <w:t>Risk m</w:t>
      </w:r>
      <w:r w:rsidR="008E7846">
        <w:rPr>
          <w:lang w:eastAsia="en-AU"/>
        </w:rPr>
        <w:t xml:space="preserve">anagement </w:t>
      </w:r>
      <w:r>
        <w:rPr>
          <w:lang w:eastAsia="en-AU"/>
        </w:rPr>
        <w:t>p</w:t>
      </w:r>
      <w:r w:rsidR="008E7846">
        <w:rPr>
          <w:lang w:eastAsia="en-AU"/>
        </w:rPr>
        <w:t>lan</w:t>
      </w:r>
      <w:bookmarkEnd w:id="51"/>
      <w:bookmarkEnd w:id="64"/>
    </w:p>
    <w:p w14:paraId="26059169" w14:textId="206D93FE" w:rsidR="005504BA" w:rsidRDefault="00802343" w:rsidP="005504BA">
      <w:r>
        <w:t>The sponsor</w:t>
      </w:r>
      <w:r w:rsidR="005504BA">
        <w:t xml:space="preserve"> has submitted EU-</w:t>
      </w:r>
      <w:r>
        <w:t>risk management plan (</w:t>
      </w:r>
      <w:r w:rsidR="005504BA">
        <w:t>RMP</w:t>
      </w:r>
      <w:r>
        <w:t>)</w:t>
      </w:r>
      <w:r w:rsidR="005504BA">
        <w:t xml:space="preserve"> version 0.3 (dated 24 March 2020; </w:t>
      </w:r>
      <w:r>
        <w:t>data lock point (</w:t>
      </w:r>
      <w:r w:rsidR="005504BA">
        <w:t>DLP</w:t>
      </w:r>
      <w:r>
        <w:t>)</w:t>
      </w:r>
      <w:r w:rsidR="005504BA">
        <w:t xml:space="preserve"> May 2018) and </w:t>
      </w:r>
      <w:r w:rsidR="004169C4">
        <w:t>Australian specific annex (</w:t>
      </w:r>
      <w:r w:rsidR="005504BA">
        <w:t>ASA</w:t>
      </w:r>
      <w:r w:rsidR="004169C4">
        <w:t>)</w:t>
      </w:r>
      <w:r w:rsidR="005504BA">
        <w:t xml:space="preserve"> version 1.0 (dated 3 April 2020) in support of this application. At </w:t>
      </w:r>
      <w:r w:rsidR="004169C4">
        <w:t>the second round of evaluation,</w:t>
      </w:r>
      <w:r w:rsidR="005504BA">
        <w:t xml:space="preserve"> the sponsor provided the approved EU-RMP version 1.0 (dated 12 May 2020; DLP May 2018) and an updated ASA version 2.0 (dated 14 December 2020).</w:t>
      </w:r>
    </w:p>
    <w:p w14:paraId="1AA969E5" w14:textId="11C353C8" w:rsidR="007D53B6" w:rsidRDefault="007D53B6" w:rsidP="005504BA">
      <w:r>
        <w:t xml:space="preserve">The summary of safety concerns and their associated risk monitoring and mitigation strategies are summarised in </w:t>
      </w:r>
      <w:r w:rsidR="008C5371">
        <w:fldChar w:fldCharType="begin"/>
      </w:r>
      <w:r w:rsidR="008C5371">
        <w:instrText xml:space="preserve"> REF _Ref89329353 \h </w:instrText>
      </w:r>
      <w:r w:rsidR="008C5371">
        <w:fldChar w:fldCharType="separate"/>
      </w:r>
      <w:r w:rsidR="008C5371">
        <w:t xml:space="preserve">Table </w:t>
      </w:r>
      <w:r w:rsidR="008C5371">
        <w:rPr>
          <w:noProof/>
        </w:rPr>
        <w:t>7</w:t>
      </w:r>
      <w:r w:rsidR="008C5371">
        <w:fldChar w:fldCharType="end"/>
      </w:r>
      <w:r>
        <w:t>.</w:t>
      </w:r>
      <w:r>
        <w:rPr>
          <w:rStyle w:val="FootnoteReference"/>
        </w:rPr>
        <w:footnoteReference w:id="51"/>
      </w:r>
    </w:p>
    <w:p w14:paraId="01014DBE" w14:textId="4CD92948" w:rsidR="00721AA5" w:rsidRDefault="00011CEC" w:rsidP="00796134">
      <w:pPr>
        <w:pStyle w:val="TableTitle"/>
      </w:pPr>
      <w:bookmarkStart w:id="65" w:name="_Ref89329353"/>
      <w:r>
        <w:t xml:space="preserve">Table </w:t>
      </w:r>
      <w:fldSimple w:instr=" SEQ Table \* ARABIC ">
        <w:r w:rsidR="001B11D8">
          <w:rPr>
            <w:noProof/>
          </w:rPr>
          <w:t>7</w:t>
        </w:r>
      </w:fldSimple>
      <w:bookmarkEnd w:id="65"/>
      <w:r w:rsidR="00DF6B38">
        <w:t>: Summary of safety concerns</w:t>
      </w:r>
    </w:p>
    <w:tbl>
      <w:tblPr>
        <w:tblStyle w:val="TableTGAblue"/>
        <w:tblW w:w="9006" w:type="dxa"/>
        <w:tblLayout w:type="fixed"/>
        <w:tblLook w:val="0020" w:firstRow="1" w:lastRow="0" w:firstColumn="0" w:lastColumn="0" w:noHBand="0" w:noVBand="0"/>
      </w:tblPr>
      <w:tblGrid>
        <w:gridCol w:w="1340"/>
        <w:gridCol w:w="2610"/>
        <w:gridCol w:w="1170"/>
        <w:gridCol w:w="1350"/>
        <w:gridCol w:w="1170"/>
        <w:gridCol w:w="1366"/>
      </w:tblGrid>
      <w:tr w:rsidR="00D22AC5" w:rsidRPr="002B48FA" w14:paraId="267BD91F" w14:textId="77777777" w:rsidTr="004169C4">
        <w:trPr>
          <w:cnfStyle w:val="100000000000" w:firstRow="1" w:lastRow="0" w:firstColumn="0" w:lastColumn="0" w:oddVBand="0" w:evenVBand="0" w:oddHBand="0" w:evenHBand="0" w:firstRowFirstColumn="0" w:firstRowLastColumn="0" w:lastRowFirstColumn="0" w:lastRowLastColumn="0"/>
          <w:trHeight w:val="346"/>
        </w:trPr>
        <w:tc>
          <w:tcPr>
            <w:tcW w:w="3950" w:type="dxa"/>
            <w:gridSpan w:val="2"/>
            <w:vMerge w:val="restart"/>
          </w:tcPr>
          <w:p w14:paraId="4E090476" w14:textId="77777777" w:rsidR="00D22AC5" w:rsidRPr="00215C3D" w:rsidRDefault="00D22AC5" w:rsidP="004169C4">
            <w:pPr>
              <w:ind w:left="0"/>
              <w:rPr>
                <w:sz w:val="20"/>
                <w:szCs w:val="20"/>
              </w:rPr>
            </w:pPr>
            <w:r w:rsidRPr="00215C3D">
              <w:rPr>
                <w:sz w:val="20"/>
                <w:szCs w:val="20"/>
              </w:rPr>
              <w:t>Summary of safety concerns</w:t>
            </w:r>
          </w:p>
        </w:tc>
        <w:tc>
          <w:tcPr>
            <w:tcW w:w="2520" w:type="dxa"/>
            <w:gridSpan w:val="2"/>
          </w:tcPr>
          <w:p w14:paraId="4AFD06E5" w14:textId="77777777" w:rsidR="00D22AC5" w:rsidRPr="00215C3D" w:rsidRDefault="00D22AC5" w:rsidP="004169C4">
            <w:pPr>
              <w:ind w:left="0"/>
              <w:rPr>
                <w:sz w:val="20"/>
                <w:szCs w:val="20"/>
              </w:rPr>
            </w:pPr>
            <w:r w:rsidRPr="00215C3D">
              <w:rPr>
                <w:sz w:val="20"/>
                <w:szCs w:val="20"/>
              </w:rPr>
              <w:t xml:space="preserve">Pharmacovigilance </w:t>
            </w:r>
          </w:p>
        </w:tc>
        <w:tc>
          <w:tcPr>
            <w:tcW w:w="2536" w:type="dxa"/>
            <w:gridSpan w:val="2"/>
          </w:tcPr>
          <w:p w14:paraId="67FE6BD6" w14:textId="77777777" w:rsidR="00D22AC5" w:rsidRPr="00215C3D" w:rsidRDefault="00D22AC5" w:rsidP="004169C4">
            <w:pPr>
              <w:ind w:left="0"/>
              <w:rPr>
                <w:sz w:val="20"/>
                <w:szCs w:val="20"/>
              </w:rPr>
            </w:pPr>
            <w:r w:rsidRPr="00215C3D">
              <w:rPr>
                <w:sz w:val="20"/>
                <w:szCs w:val="20"/>
              </w:rPr>
              <w:t>Risk Minimisation</w:t>
            </w:r>
          </w:p>
        </w:tc>
      </w:tr>
      <w:tr w:rsidR="00D22AC5" w:rsidRPr="002B48FA" w14:paraId="46F1CF0A" w14:textId="77777777" w:rsidTr="004169C4">
        <w:trPr>
          <w:trHeight w:val="346"/>
        </w:trPr>
        <w:tc>
          <w:tcPr>
            <w:tcW w:w="3950" w:type="dxa"/>
            <w:gridSpan w:val="2"/>
            <w:vMerge/>
          </w:tcPr>
          <w:p w14:paraId="78452EB5" w14:textId="77777777" w:rsidR="00D22AC5" w:rsidRPr="00614FA2" w:rsidRDefault="00D22AC5" w:rsidP="00056593">
            <w:pPr>
              <w:rPr>
                <w:b/>
                <w:bCs/>
                <w:sz w:val="20"/>
                <w:szCs w:val="20"/>
              </w:rPr>
            </w:pPr>
          </w:p>
        </w:tc>
        <w:tc>
          <w:tcPr>
            <w:tcW w:w="1170" w:type="dxa"/>
            <w:shd w:val="clear" w:color="auto" w:fill="006DA7"/>
          </w:tcPr>
          <w:p w14:paraId="111DDBA7" w14:textId="77777777" w:rsidR="00D22AC5" w:rsidRPr="00215C3D" w:rsidRDefault="00D22AC5" w:rsidP="004169C4">
            <w:pPr>
              <w:ind w:left="0"/>
              <w:rPr>
                <w:color w:val="FFFFFF" w:themeColor="background1"/>
                <w:sz w:val="20"/>
                <w:szCs w:val="20"/>
              </w:rPr>
            </w:pPr>
            <w:r w:rsidRPr="00215C3D">
              <w:rPr>
                <w:color w:val="FFFFFF" w:themeColor="background1"/>
                <w:sz w:val="20"/>
                <w:szCs w:val="20"/>
              </w:rPr>
              <w:t xml:space="preserve">Routine </w:t>
            </w:r>
          </w:p>
        </w:tc>
        <w:tc>
          <w:tcPr>
            <w:tcW w:w="1350" w:type="dxa"/>
            <w:shd w:val="clear" w:color="auto" w:fill="006DA7"/>
          </w:tcPr>
          <w:p w14:paraId="41805FEC" w14:textId="77777777" w:rsidR="00D22AC5" w:rsidRPr="00215C3D" w:rsidRDefault="00D22AC5" w:rsidP="004169C4">
            <w:pPr>
              <w:ind w:left="0"/>
              <w:rPr>
                <w:color w:val="FFFFFF" w:themeColor="background1"/>
                <w:sz w:val="20"/>
                <w:szCs w:val="20"/>
              </w:rPr>
            </w:pPr>
            <w:r w:rsidRPr="00215C3D">
              <w:rPr>
                <w:color w:val="FFFFFF" w:themeColor="background1"/>
                <w:sz w:val="20"/>
                <w:szCs w:val="20"/>
              </w:rPr>
              <w:t xml:space="preserve">Additional </w:t>
            </w:r>
          </w:p>
        </w:tc>
        <w:tc>
          <w:tcPr>
            <w:tcW w:w="1170" w:type="dxa"/>
            <w:shd w:val="clear" w:color="auto" w:fill="006DA7"/>
          </w:tcPr>
          <w:p w14:paraId="74ECBACC" w14:textId="77777777" w:rsidR="00D22AC5" w:rsidRPr="00215C3D" w:rsidRDefault="00D22AC5" w:rsidP="004169C4">
            <w:pPr>
              <w:ind w:left="0"/>
              <w:rPr>
                <w:color w:val="FFFFFF" w:themeColor="background1"/>
                <w:sz w:val="20"/>
                <w:szCs w:val="20"/>
              </w:rPr>
            </w:pPr>
            <w:r w:rsidRPr="00215C3D">
              <w:rPr>
                <w:color w:val="FFFFFF" w:themeColor="background1"/>
                <w:sz w:val="20"/>
                <w:szCs w:val="20"/>
              </w:rPr>
              <w:t xml:space="preserve">Routine </w:t>
            </w:r>
          </w:p>
        </w:tc>
        <w:tc>
          <w:tcPr>
            <w:tcW w:w="1366" w:type="dxa"/>
            <w:shd w:val="clear" w:color="auto" w:fill="006DA7"/>
          </w:tcPr>
          <w:p w14:paraId="38C70AB0" w14:textId="77777777" w:rsidR="00D22AC5" w:rsidRPr="00215C3D" w:rsidRDefault="00D22AC5" w:rsidP="004169C4">
            <w:pPr>
              <w:ind w:left="0"/>
              <w:rPr>
                <w:color w:val="FFFFFF" w:themeColor="background1"/>
                <w:sz w:val="20"/>
                <w:szCs w:val="20"/>
              </w:rPr>
            </w:pPr>
            <w:r w:rsidRPr="00215C3D">
              <w:rPr>
                <w:color w:val="FFFFFF" w:themeColor="background1"/>
                <w:sz w:val="20"/>
                <w:szCs w:val="20"/>
              </w:rPr>
              <w:t xml:space="preserve">Additional </w:t>
            </w:r>
          </w:p>
        </w:tc>
      </w:tr>
      <w:tr w:rsidR="00D22AC5" w:rsidRPr="002B48FA" w14:paraId="26FA12A4" w14:textId="77777777" w:rsidTr="004169C4">
        <w:trPr>
          <w:trHeight w:val="346"/>
        </w:trPr>
        <w:tc>
          <w:tcPr>
            <w:tcW w:w="1340" w:type="dxa"/>
          </w:tcPr>
          <w:p w14:paraId="45A088F3" w14:textId="77777777" w:rsidR="00D22AC5" w:rsidRPr="002B48FA" w:rsidRDefault="00D22AC5" w:rsidP="004169C4">
            <w:pPr>
              <w:ind w:left="0" w:right="0"/>
              <w:rPr>
                <w:sz w:val="20"/>
                <w:szCs w:val="20"/>
              </w:rPr>
            </w:pPr>
            <w:r w:rsidRPr="002B48FA">
              <w:rPr>
                <w:b/>
                <w:bCs/>
                <w:sz w:val="20"/>
                <w:szCs w:val="20"/>
              </w:rPr>
              <w:t xml:space="preserve">Important identified risks </w:t>
            </w:r>
          </w:p>
        </w:tc>
        <w:tc>
          <w:tcPr>
            <w:tcW w:w="2610" w:type="dxa"/>
          </w:tcPr>
          <w:p w14:paraId="3AB2B5B5" w14:textId="1DDEAD8E" w:rsidR="00D22AC5" w:rsidRPr="002B48FA" w:rsidRDefault="00D22AC5" w:rsidP="004169C4">
            <w:pPr>
              <w:ind w:left="0"/>
              <w:rPr>
                <w:sz w:val="20"/>
                <w:szCs w:val="20"/>
              </w:rPr>
            </w:pPr>
            <w:r w:rsidRPr="002B48FA">
              <w:rPr>
                <w:sz w:val="20"/>
                <w:szCs w:val="20"/>
              </w:rPr>
              <w:t>Thromboembolic</w:t>
            </w:r>
            <w:r w:rsidR="004169C4">
              <w:rPr>
                <w:sz w:val="20"/>
                <w:szCs w:val="20"/>
              </w:rPr>
              <w:t xml:space="preserve"> events (TEEs; only in the beta</w:t>
            </w:r>
            <w:r w:rsidR="004169C4">
              <w:rPr>
                <w:sz w:val="20"/>
                <w:szCs w:val="20"/>
              </w:rPr>
              <w:noBreakHyphen/>
            </w:r>
            <w:r w:rsidRPr="002B48FA">
              <w:rPr>
                <w:sz w:val="20"/>
                <w:szCs w:val="20"/>
              </w:rPr>
              <w:t xml:space="preserve">thalassaemia population with splenectomy) </w:t>
            </w:r>
          </w:p>
        </w:tc>
        <w:tc>
          <w:tcPr>
            <w:tcW w:w="1170" w:type="dxa"/>
          </w:tcPr>
          <w:p w14:paraId="74F1BC03"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350" w:type="dxa"/>
          </w:tcPr>
          <w:p w14:paraId="78C6C86E"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170" w:type="dxa"/>
          </w:tcPr>
          <w:p w14:paraId="7D042236" w14:textId="77777777" w:rsidR="00D22AC5" w:rsidRPr="002B48FA" w:rsidRDefault="00D22AC5" w:rsidP="00056593">
            <w:pPr>
              <w:jc w:val="center"/>
              <w:rPr>
                <w:sz w:val="20"/>
                <w:szCs w:val="20"/>
              </w:rPr>
            </w:pPr>
            <w:r w:rsidRPr="002B48FA">
              <w:rPr>
                <w:sz w:val="20"/>
                <w:szCs w:val="20"/>
              </w:rPr>
              <w:sym w:font="Wingdings" w:char="F0FC"/>
            </w:r>
          </w:p>
        </w:tc>
        <w:tc>
          <w:tcPr>
            <w:tcW w:w="1366" w:type="dxa"/>
          </w:tcPr>
          <w:p w14:paraId="22A1745F" w14:textId="77777777" w:rsidR="00D22AC5" w:rsidRPr="002B48FA" w:rsidRDefault="00D22AC5" w:rsidP="00056593">
            <w:pPr>
              <w:jc w:val="center"/>
              <w:rPr>
                <w:sz w:val="20"/>
                <w:szCs w:val="20"/>
              </w:rPr>
            </w:pPr>
            <w:r w:rsidRPr="002B48FA">
              <w:rPr>
                <w:sz w:val="20"/>
                <w:szCs w:val="20"/>
              </w:rPr>
              <w:t>-</w:t>
            </w:r>
          </w:p>
        </w:tc>
      </w:tr>
      <w:tr w:rsidR="00D22AC5" w:rsidRPr="002B48FA" w14:paraId="7504BB8A" w14:textId="77777777" w:rsidTr="004169C4">
        <w:trPr>
          <w:trHeight w:val="345"/>
        </w:trPr>
        <w:tc>
          <w:tcPr>
            <w:tcW w:w="1340" w:type="dxa"/>
            <w:vMerge w:val="restart"/>
          </w:tcPr>
          <w:p w14:paraId="62A9E4E8" w14:textId="77777777" w:rsidR="00D22AC5" w:rsidRPr="002B48FA" w:rsidRDefault="00D22AC5" w:rsidP="004169C4">
            <w:pPr>
              <w:ind w:left="0" w:right="0"/>
              <w:rPr>
                <w:sz w:val="20"/>
                <w:szCs w:val="20"/>
              </w:rPr>
            </w:pPr>
            <w:r w:rsidRPr="002B48FA">
              <w:rPr>
                <w:b/>
                <w:bCs/>
                <w:sz w:val="20"/>
                <w:szCs w:val="20"/>
              </w:rPr>
              <w:t xml:space="preserve">Important potential risks </w:t>
            </w:r>
          </w:p>
        </w:tc>
        <w:tc>
          <w:tcPr>
            <w:tcW w:w="2610" w:type="dxa"/>
          </w:tcPr>
          <w:p w14:paraId="2ABF957D" w14:textId="40A683FB" w:rsidR="00D22AC5" w:rsidRPr="002B48FA" w:rsidRDefault="00D22AC5" w:rsidP="004169C4">
            <w:pPr>
              <w:ind w:left="0"/>
              <w:rPr>
                <w:sz w:val="20"/>
                <w:szCs w:val="20"/>
              </w:rPr>
            </w:pPr>
            <w:r w:rsidRPr="002B48FA">
              <w:rPr>
                <w:sz w:val="20"/>
                <w:szCs w:val="20"/>
              </w:rPr>
              <w:t>Haematologic malignancies (includi</w:t>
            </w:r>
            <w:r w:rsidR="004169C4">
              <w:rPr>
                <w:sz w:val="20"/>
                <w:szCs w:val="20"/>
              </w:rPr>
              <w:t>ng acute myeloid leukaemia</w:t>
            </w:r>
            <w:r w:rsidRPr="002B48FA">
              <w:rPr>
                <w:sz w:val="20"/>
                <w:szCs w:val="20"/>
              </w:rPr>
              <w:t xml:space="preserve">) </w:t>
            </w:r>
          </w:p>
        </w:tc>
        <w:tc>
          <w:tcPr>
            <w:tcW w:w="1170" w:type="dxa"/>
          </w:tcPr>
          <w:p w14:paraId="12D6A3E5"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350" w:type="dxa"/>
          </w:tcPr>
          <w:p w14:paraId="4F5A469B"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170" w:type="dxa"/>
          </w:tcPr>
          <w:p w14:paraId="55538DE9" w14:textId="77777777" w:rsidR="00D22AC5" w:rsidRPr="002B48FA" w:rsidRDefault="00D22AC5" w:rsidP="00056593">
            <w:pPr>
              <w:jc w:val="center"/>
              <w:rPr>
                <w:sz w:val="20"/>
                <w:szCs w:val="20"/>
              </w:rPr>
            </w:pPr>
            <w:r w:rsidRPr="002B48FA">
              <w:rPr>
                <w:sz w:val="20"/>
                <w:szCs w:val="20"/>
              </w:rPr>
              <w:sym w:font="Wingdings" w:char="F0FC"/>
            </w:r>
          </w:p>
        </w:tc>
        <w:tc>
          <w:tcPr>
            <w:tcW w:w="1366" w:type="dxa"/>
          </w:tcPr>
          <w:p w14:paraId="0178092D" w14:textId="77777777" w:rsidR="00D22AC5" w:rsidRPr="002B48FA" w:rsidRDefault="00D22AC5" w:rsidP="00056593">
            <w:pPr>
              <w:jc w:val="center"/>
              <w:rPr>
                <w:sz w:val="20"/>
                <w:szCs w:val="20"/>
              </w:rPr>
            </w:pPr>
            <w:r w:rsidRPr="002B48FA">
              <w:rPr>
                <w:sz w:val="20"/>
                <w:szCs w:val="20"/>
              </w:rPr>
              <w:t>-</w:t>
            </w:r>
          </w:p>
        </w:tc>
      </w:tr>
      <w:tr w:rsidR="00D22AC5" w:rsidRPr="002B48FA" w14:paraId="6B0465D4" w14:textId="77777777" w:rsidTr="004169C4">
        <w:trPr>
          <w:trHeight w:val="223"/>
        </w:trPr>
        <w:tc>
          <w:tcPr>
            <w:tcW w:w="1340" w:type="dxa"/>
            <w:vMerge/>
          </w:tcPr>
          <w:p w14:paraId="519BA62D" w14:textId="77777777" w:rsidR="00D22AC5" w:rsidRPr="002B48FA" w:rsidRDefault="00D22AC5" w:rsidP="004169C4">
            <w:pPr>
              <w:ind w:left="0" w:right="0"/>
              <w:rPr>
                <w:sz w:val="20"/>
                <w:szCs w:val="20"/>
              </w:rPr>
            </w:pPr>
          </w:p>
        </w:tc>
        <w:tc>
          <w:tcPr>
            <w:tcW w:w="2610" w:type="dxa"/>
          </w:tcPr>
          <w:p w14:paraId="5B42FA44" w14:textId="77777777" w:rsidR="00D22AC5" w:rsidRPr="002B48FA" w:rsidRDefault="00D22AC5" w:rsidP="004169C4">
            <w:pPr>
              <w:ind w:left="0"/>
              <w:rPr>
                <w:sz w:val="20"/>
                <w:szCs w:val="20"/>
              </w:rPr>
            </w:pPr>
            <w:r w:rsidRPr="002B48FA">
              <w:rPr>
                <w:sz w:val="20"/>
                <w:szCs w:val="20"/>
              </w:rPr>
              <w:t xml:space="preserve">Off-label use in paediatric patients (developmental toxicity of </w:t>
            </w:r>
            <w:proofErr w:type="spellStart"/>
            <w:r w:rsidRPr="002B48FA">
              <w:rPr>
                <w:sz w:val="20"/>
                <w:szCs w:val="20"/>
              </w:rPr>
              <w:t>luspatercept</w:t>
            </w:r>
            <w:proofErr w:type="spellEnd"/>
            <w:r w:rsidRPr="002B48FA">
              <w:rPr>
                <w:sz w:val="20"/>
                <w:szCs w:val="20"/>
              </w:rPr>
              <w:t xml:space="preserve">) </w:t>
            </w:r>
          </w:p>
        </w:tc>
        <w:tc>
          <w:tcPr>
            <w:tcW w:w="1170" w:type="dxa"/>
          </w:tcPr>
          <w:p w14:paraId="3387EE73" w14:textId="77777777" w:rsidR="00D22AC5" w:rsidRPr="002B48FA" w:rsidRDefault="00D22AC5" w:rsidP="00056593">
            <w:pPr>
              <w:jc w:val="center"/>
              <w:rPr>
                <w:sz w:val="20"/>
                <w:szCs w:val="20"/>
              </w:rPr>
            </w:pPr>
            <w:r w:rsidRPr="002B48FA">
              <w:rPr>
                <w:sz w:val="20"/>
                <w:szCs w:val="20"/>
              </w:rPr>
              <w:sym w:font="Wingdings" w:char="F0FC"/>
            </w:r>
          </w:p>
        </w:tc>
        <w:tc>
          <w:tcPr>
            <w:tcW w:w="1350" w:type="dxa"/>
          </w:tcPr>
          <w:p w14:paraId="00D39343" w14:textId="77777777" w:rsidR="00D22AC5" w:rsidRPr="002B48FA" w:rsidRDefault="00D22AC5" w:rsidP="00056593">
            <w:pPr>
              <w:jc w:val="center"/>
              <w:rPr>
                <w:sz w:val="20"/>
                <w:szCs w:val="20"/>
              </w:rPr>
            </w:pPr>
            <w:r w:rsidRPr="002B48FA">
              <w:rPr>
                <w:sz w:val="20"/>
                <w:szCs w:val="20"/>
              </w:rPr>
              <w:t>-</w:t>
            </w:r>
          </w:p>
        </w:tc>
        <w:tc>
          <w:tcPr>
            <w:tcW w:w="1170" w:type="dxa"/>
          </w:tcPr>
          <w:p w14:paraId="4FC530E1" w14:textId="77777777" w:rsidR="00D22AC5" w:rsidRPr="002B48FA" w:rsidRDefault="00D22AC5" w:rsidP="00056593">
            <w:pPr>
              <w:jc w:val="center"/>
              <w:rPr>
                <w:sz w:val="20"/>
                <w:szCs w:val="20"/>
              </w:rPr>
            </w:pPr>
            <w:r w:rsidRPr="002B48FA">
              <w:rPr>
                <w:sz w:val="20"/>
                <w:szCs w:val="20"/>
              </w:rPr>
              <w:sym w:font="Wingdings" w:char="F0FC"/>
            </w:r>
          </w:p>
        </w:tc>
        <w:tc>
          <w:tcPr>
            <w:tcW w:w="1366" w:type="dxa"/>
          </w:tcPr>
          <w:p w14:paraId="5AF102C7" w14:textId="77777777" w:rsidR="00D22AC5" w:rsidRPr="002B48FA" w:rsidRDefault="00D22AC5" w:rsidP="00056593">
            <w:pPr>
              <w:jc w:val="center"/>
              <w:rPr>
                <w:sz w:val="20"/>
                <w:szCs w:val="20"/>
              </w:rPr>
            </w:pPr>
            <w:r w:rsidRPr="002B48FA">
              <w:rPr>
                <w:sz w:val="20"/>
                <w:szCs w:val="20"/>
              </w:rPr>
              <w:t>-</w:t>
            </w:r>
          </w:p>
        </w:tc>
      </w:tr>
      <w:tr w:rsidR="00D22AC5" w:rsidRPr="002B48FA" w14:paraId="645EDE50" w14:textId="77777777" w:rsidTr="004169C4">
        <w:trPr>
          <w:trHeight w:val="102"/>
        </w:trPr>
        <w:tc>
          <w:tcPr>
            <w:tcW w:w="1340" w:type="dxa"/>
            <w:vMerge/>
          </w:tcPr>
          <w:p w14:paraId="22C3788B" w14:textId="77777777" w:rsidR="00D22AC5" w:rsidRPr="002B48FA" w:rsidRDefault="00D22AC5" w:rsidP="004169C4">
            <w:pPr>
              <w:ind w:left="0" w:right="0"/>
              <w:rPr>
                <w:sz w:val="20"/>
                <w:szCs w:val="20"/>
              </w:rPr>
            </w:pPr>
          </w:p>
        </w:tc>
        <w:tc>
          <w:tcPr>
            <w:tcW w:w="2610" w:type="dxa"/>
          </w:tcPr>
          <w:p w14:paraId="3FF43028" w14:textId="77777777" w:rsidR="00D22AC5" w:rsidRPr="002B48FA" w:rsidRDefault="00D22AC5" w:rsidP="004169C4">
            <w:pPr>
              <w:ind w:left="0"/>
              <w:rPr>
                <w:sz w:val="20"/>
                <w:szCs w:val="20"/>
              </w:rPr>
            </w:pPr>
            <w:r w:rsidRPr="002B48FA">
              <w:rPr>
                <w:sz w:val="20"/>
                <w:szCs w:val="20"/>
              </w:rPr>
              <w:t>Use during pregnancy and lactation</w:t>
            </w:r>
          </w:p>
        </w:tc>
        <w:tc>
          <w:tcPr>
            <w:tcW w:w="1170" w:type="dxa"/>
          </w:tcPr>
          <w:p w14:paraId="15E84933"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350" w:type="dxa"/>
          </w:tcPr>
          <w:p w14:paraId="0B4CD4C4" w14:textId="77777777" w:rsidR="00D22AC5" w:rsidRPr="002B48FA" w:rsidRDefault="00D22AC5" w:rsidP="00056593">
            <w:pPr>
              <w:jc w:val="center"/>
              <w:rPr>
                <w:sz w:val="20"/>
                <w:szCs w:val="20"/>
              </w:rPr>
            </w:pPr>
            <w:r w:rsidRPr="002B48FA">
              <w:rPr>
                <w:sz w:val="20"/>
                <w:szCs w:val="20"/>
              </w:rPr>
              <w:t>-</w:t>
            </w:r>
          </w:p>
        </w:tc>
        <w:tc>
          <w:tcPr>
            <w:tcW w:w="1170" w:type="dxa"/>
          </w:tcPr>
          <w:p w14:paraId="1D8B0F43" w14:textId="77777777" w:rsidR="00D22AC5" w:rsidRPr="002B48FA" w:rsidRDefault="00D22AC5" w:rsidP="00056593">
            <w:pPr>
              <w:jc w:val="center"/>
              <w:rPr>
                <w:sz w:val="20"/>
                <w:szCs w:val="20"/>
              </w:rPr>
            </w:pPr>
            <w:r w:rsidRPr="002B48FA">
              <w:rPr>
                <w:sz w:val="20"/>
                <w:szCs w:val="20"/>
              </w:rPr>
              <w:sym w:font="Wingdings" w:char="F0FC"/>
            </w:r>
          </w:p>
        </w:tc>
        <w:tc>
          <w:tcPr>
            <w:tcW w:w="1366" w:type="dxa"/>
          </w:tcPr>
          <w:p w14:paraId="7AD54FAF"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 xml:space="preserve"> ‡</w:t>
            </w:r>
          </w:p>
        </w:tc>
      </w:tr>
      <w:tr w:rsidR="00D22AC5" w:rsidRPr="002B48FA" w14:paraId="02A604D4" w14:textId="77777777" w:rsidTr="004169C4">
        <w:trPr>
          <w:trHeight w:val="223"/>
        </w:trPr>
        <w:tc>
          <w:tcPr>
            <w:tcW w:w="1340" w:type="dxa"/>
          </w:tcPr>
          <w:p w14:paraId="26839914" w14:textId="77777777" w:rsidR="00D22AC5" w:rsidRPr="002B48FA" w:rsidRDefault="00D22AC5" w:rsidP="004169C4">
            <w:pPr>
              <w:ind w:left="0" w:right="0"/>
              <w:rPr>
                <w:sz w:val="20"/>
                <w:szCs w:val="20"/>
              </w:rPr>
            </w:pPr>
            <w:r w:rsidRPr="002B48FA">
              <w:rPr>
                <w:b/>
                <w:bCs/>
                <w:sz w:val="20"/>
                <w:szCs w:val="20"/>
              </w:rPr>
              <w:t xml:space="preserve">Missing information </w:t>
            </w:r>
          </w:p>
        </w:tc>
        <w:tc>
          <w:tcPr>
            <w:tcW w:w="2610" w:type="dxa"/>
          </w:tcPr>
          <w:p w14:paraId="21944AF7" w14:textId="77777777" w:rsidR="00D22AC5" w:rsidRPr="002B48FA" w:rsidRDefault="00D22AC5" w:rsidP="004169C4">
            <w:pPr>
              <w:ind w:left="0"/>
              <w:rPr>
                <w:sz w:val="20"/>
                <w:szCs w:val="20"/>
              </w:rPr>
            </w:pPr>
            <w:r w:rsidRPr="002B48FA">
              <w:rPr>
                <w:sz w:val="20"/>
                <w:szCs w:val="20"/>
              </w:rPr>
              <w:t xml:space="preserve">Long-term safety </w:t>
            </w:r>
          </w:p>
        </w:tc>
        <w:tc>
          <w:tcPr>
            <w:tcW w:w="1170" w:type="dxa"/>
          </w:tcPr>
          <w:p w14:paraId="510CB022" w14:textId="77777777" w:rsidR="00D22AC5" w:rsidRPr="002B48FA" w:rsidRDefault="00D22AC5" w:rsidP="00056593">
            <w:pPr>
              <w:jc w:val="center"/>
              <w:rPr>
                <w:sz w:val="20"/>
                <w:szCs w:val="20"/>
              </w:rPr>
            </w:pPr>
            <w:r w:rsidRPr="002B48FA">
              <w:rPr>
                <w:sz w:val="20"/>
                <w:szCs w:val="20"/>
              </w:rPr>
              <w:sym w:font="Wingdings" w:char="F0FC"/>
            </w:r>
          </w:p>
        </w:tc>
        <w:tc>
          <w:tcPr>
            <w:tcW w:w="1350" w:type="dxa"/>
          </w:tcPr>
          <w:p w14:paraId="6ECDF059" w14:textId="77777777" w:rsidR="00D22AC5" w:rsidRPr="002B48FA" w:rsidRDefault="00D22AC5" w:rsidP="00056593">
            <w:pPr>
              <w:jc w:val="center"/>
              <w:rPr>
                <w:sz w:val="20"/>
                <w:szCs w:val="20"/>
              </w:rPr>
            </w:pPr>
            <w:r w:rsidRPr="002B48FA">
              <w:rPr>
                <w:sz w:val="20"/>
                <w:szCs w:val="20"/>
              </w:rPr>
              <w:sym w:font="Wingdings" w:char="F0FC"/>
            </w:r>
            <w:r w:rsidRPr="002B48FA">
              <w:rPr>
                <w:sz w:val="20"/>
                <w:szCs w:val="20"/>
              </w:rPr>
              <w:t>†</w:t>
            </w:r>
          </w:p>
        </w:tc>
        <w:tc>
          <w:tcPr>
            <w:tcW w:w="1170" w:type="dxa"/>
          </w:tcPr>
          <w:p w14:paraId="6D8A8B07" w14:textId="77777777" w:rsidR="00D22AC5" w:rsidRPr="002B48FA" w:rsidRDefault="00D22AC5" w:rsidP="00056593">
            <w:pPr>
              <w:jc w:val="center"/>
              <w:rPr>
                <w:sz w:val="20"/>
                <w:szCs w:val="20"/>
              </w:rPr>
            </w:pPr>
            <w:r w:rsidRPr="002B48FA">
              <w:rPr>
                <w:sz w:val="20"/>
                <w:szCs w:val="20"/>
              </w:rPr>
              <w:t>-</w:t>
            </w:r>
          </w:p>
        </w:tc>
        <w:tc>
          <w:tcPr>
            <w:tcW w:w="1366" w:type="dxa"/>
          </w:tcPr>
          <w:p w14:paraId="77047FC1" w14:textId="77777777" w:rsidR="00D22AC5" w:rsidRPr="002B48FA" w:rsidRDefault="00D22AC5" w:rsidP="00056593">
            <w:pPr>
              <w:jc w:val="center"/>
              <w:rPr>
                <w:sz w:val="20"/>
                <w:szCs w:val="20"/>
              </w:rPr>
            </w:pPr>
            <w:r w:rsidRPr="002B48FA">
              <w:rPr>
                <w:sz w:val="20"/>
                <w:szCs w:val="20"/>
              </w:rPr>
              <w:t>-</w:t>
            </w:r>
          </w:p>
        </w:tc>
      </w:tr>
    </w:tbl>
    <w:p w14:paraId="3613FA47" w14:textId="77777777" w:rsidR="00D22AC5" w:rsidRDefault="00D22AC5" w:rsidP="00704E63">
      <w:pPr>
        <w:pStyle w:val="TableDescription"/>
      </w:pPr>
      <w:r>
        <w:t>* Follow-up questionnaires</w:t>
      </w:r>
    </w:p>
    <w:p w14:paraId="377557A7" w14:textId="77777777" w:rsidR="00D22AC5" w:rsidRDefault="00D22AC5" w:rsidP="00704E63">
      <w:pPr>
        <w:pStyle w:val="TableDescription"/>
      </w:pPr>
      <w:r>
        <w:t>† Clinical studies</w:t>
      </w:r>
    </w:p>
    <w:p w14:paraId="2BB074B1" w14:textId="0D71CABE" w:rsidR="00D22AC5" w:rsidRDefault="00D22AC5" w:rsidP="00704E63">
      <w:pPr>
        <w:pStyle w:val="TableDescription"/>
      </w:pPr>
      <w:r>
        <w:t>‡ Healthcare Professional Checklist; Patient Card for women of childbearing potential only</w:t>
      </w:r>
    </w:p>
    <w:p w14:paraId="3274F42F" w14:textId="77777777" w:rsidR="004169C4" w:rsidRDefault="004169C4" w:rsidP="004169C4">
      <w:r>
        <w:t>The summary of safety concerns is the same as that recently approved by the European Medicines Agency (EMA).</w:t>
      </w:r>
    </w:p>
    <w:p w14:paraId="4BC87A60" w14:textId="77777777" w:rsidR="004169C4" w:rsidRDefault="004169C4" w:rsidP="004169C4">
      <w:r>
        <w:t>Routine pharmacovigilance includes follow-up questionnaires; the form(s) for use in pregnancy and lactation require amendment. There is an ongoing (extension) study to obtain further information on long-term safety including haematological malignancy. The paediatric study is currently on hold, as directed by the European regulator.</w:t>
      </w:r>
    </w:p>
    <w:p w14:paraId="4E083B0B" w14:textId="0256FBBB" w:rsidR="004169C4" w:rsidRDefault="004169C4" w:rsidP="004169C4">
      <w:r>
        <w:t xml:space="preserve">Routine risk minimisation documents are generally acceptable from RMP perspective. The sponsor will provide additional risk minimisation documents (prescriber checklist; patient card) to address the risks of use during pregnancy. The </w:t>
      </w:r>
      <w:r w:rsidRPr="008F0E74">
        <w:t xml:space="preserve">Consumer Medicines Information </w:t>
      </w:r>
      <w:r>
        <w:t>(CMI) should be revised to align with the additional risk minimisation documents. The sponsor will conduct a study in Europe on the effectiveness of the prescriber checklist.</w:t>
      </w:r>
    </w:p>
    <w:p w14:paraId="4B5FDFEC" w14:textId="77777777" w:rsidR="008E7846" w:rsidRDefault="00AA0ED0" w:rsidP="008E7846">
      <w:pPr>
        <w:pStyle w:val="Heading3"/>
      </w:pPr>
      <w:bookmarkStart w:id="66" w:name="_Toc247691531"/>
      <w:bookmarkStart w:id="67" w:name="_Toc314842515"/>
      <w:bookmarkStart w:id="68" w:name="_Hlk89151965"/>
      <w:bookmarkStart w:id="69" w:name="_Toc196046505"/>
      <w:bookmarkStart w:id="70" w:name="_Toc196046949"/>
      <w:bookmarkStart w:id="71" w:name="_Toc102045194"/>
      <w:r>
        <w:t>Risk-benefit a</w:t>
      </w:r>
      <w:r w:rsidR="008E7846">
        <w:t>nalysis</w:t>
      </w:r>
      <w:bookmarkEnd w:id="66"/>
      <w:bookmarkEnd w:id="67"/>
      <w:bookmarkEnd w:id="71"/>
    </w:p>
    <w:bookmarkEnd w:id="68"/>
    <w:p w14:paraId="381E393A" w14:textId="77777777" w:rsidR="00D23139" w:rsidRDefault="007D53B6" w:rsidP="00D23139">
      <w:pPr>
        <w:pStyle w:val="Heading4"/>
      </w:pPr>
      <w:r>
        <w:t>Delegate’s considerations</w:t>
      </w:r>
    </w:p>
    <w:p w14:paraId="5D2C7300" w14:textId="64A2202E" w:rsidR="0029144B" w:rsidRPr="00370D2C" w:rsidRDefault="00267586" w:rsidP="00267586">
      <w:pPr>
        <w:pStyle w:val="Heading5"/>
      </w:pPr>
      <w:r>
        <w:t>M</w:t>
      </w:r>
      <w:r w:rsidR="00C838D7">
        <w:t>yelodysplastic syndrome</w:t>
      </w:r>
      <w:r>
        <w:t>s</w:t>
      </w:r>
    </w:p>
    <w:p w14:paraId="0D44AEB4" w14:textId="1B2B3279" w:rsidR="0029144B" w:rsidRDefault="0029144B" w:rsidP="0029144B">
      <w:r>
        <w:t>In the pivotal trial,</w:t>
      </w:r>
      <w:r w:rsidR="00267586">
        <w:t xml:space="preserve"> (Study ACE-536-MDS-001; MEDALIST trial)</w:t>
      </w:r>
      <w:r>
        <w:t xml:space="preserve"> </w:t>
      </w:r>
      <w:proofErr w:type="spellStart"/>
      <w:r>
        <w:t>luspatercept</w:t>
      </w:r>
      <w:proofErr w:type="spellEnd"/>
      <w:r>
        <w:t xml:space="preserve"> showed superiority over placebo in all primary and key secondary analyses. The mean reduction in </w:t>
      </w:r>
      <w:r w:rsidR="00267586">
        <w:t>red blood cell</w:t>
      </w:r>
      <w:r>
        <w:t xml:space="preserve"> units</w:t>
      </w:r>
      <w:r w:rsidR="00267586">
        <w:t xml:space="preserve"> transfused</w:t>
      </w:r>
      <w:r>
        <w:t xml:space="preserve"> was</w:t>
      </w:r>
      <w:r w:rsidR="00267586">
        <w:t xml:space="preserve"> 5.3 units (95% confidence intervals:</w:t>
      </w:r>
      <w:r>
        <w:t xml:space="preserve"> 3.6 to 7.1</w:t>
      </w:r>
      <w:r w:rsidR="00267586">
        <w:t>) compared to placebo during Weeks 1 to 24</w:t>
      </w:r>
      <w:r>
        <w:t>, and the effect was largely maintained in t</w:t>
      </w:r>
      <w:r w:rsidR="00267586">
        <w:t>he second period of the study (W</w:t>
      </w:r>
      <w:r>
        <w:t>eeks 25 to 48). A small proportion of patients achieved a sustained response period of transfusion independence. There is some uncertainty on the long-term treatment effects as a large proportion of patients mainly from the placebo arm discontinued the study after Week</w:t>
      </w:r>
      <w:r w:rsidR="00576C1A">
        <w:t> </w:t>
      </w:r>
      <w:r>
        <w:t xml:space="preserve">24. Secondary analyses of change in transfusion rates and </w:t>
      </w:r>
      <w:r w:rsidR="00267586">
        <w:t>red blood cell</w:t>
      </w:r>
      <w:r>
        <w:t xml:space="preserve"> units as well as in serum ferritin using appropriate imputation methods are in support of the </w:t>
      </w:r>
      <w:r w:rsidR="00267586">
        <w:t xml:space="preserve">primary and </w:t>
      </w:r>
      <w:r>
        <w:t xml:space="preserve">key secondary analyses. Although haemoglobin levels did not increase significantly over time, secondary analyses indicate that the reduction in transfused </w:t>
      </w:r>
      <w:r w:rsidR="00267586">
        <w:t>red blood cell</w:t>
      </w:r>
      <w:r>
        <w:t xml:space="preserve"> units does not come at the expense of a decrease in haemoglobin.</w:t>
      </w:r>
    </w:p>
    <w:p w14:paraId="1EEEF1DB" w14:textId="5C33A12D" w:rsidR="0029144B" w:rsidRDefault="0029144B" w:rsidP="0029144B">
      <w:r>
        <w:t xml:space="preserve">The safety profile of </w:t>
      </w:r>
      <w:proofErr w:type="spellStart"/>
      <w:r>
        <w:t>luspatercept</w:t>
      </w:r>
      <w:proofErr w:type="spellEnd"/>
      <w:r>
        <w:t xml:space="preserve"> shows a manageable adverse event profile. No signal for an increase in progression to/ time to progression to </w:t>
      </w:r>
      <w:proofErr w:type="gramStart"/>
      <w:r>
        <w:t>high risk</w:t>
      </w:r>
      <w:proofErr w:type="gramEnd"/>
      <w:r>
        <w:t xml:space="preserve"> </w:t>
      </w:r>
      <w:r w:rsidR="00C838D7">
        <w:t>myelodysplastic syndrome</w:t>
      </w:r>
      <w:r>
        <w:t xml:space="preserve"> or </w:t>
      </w:r>
      <w:r w:rsidR="00267586">
        <w:t>acute myeloid anaemia</w:t>
      </w:r>
      <w:r>
        <w:t xml:space="preserve"> was identified. However, due to the still limited duration of exposure, uncertainty remains </w:t>
      </w:r>
      <w:proofErr w:type="gramStart"/>
      <w:r>
        <w:t>with regard to</w:t>
      </w:r>
      <w:proofErr w:type="gramEnd"/>
      <w:r>
        <w:t xml:space="preserve"> long-term safety, which has to be addressed by continuing surveillance.</w:t>
      </w:r>
    </w:p>
    <w:p w14:paraId="4FC11674" w14:textId="5EA318D0" w:rsidR="0029144B" w:rsidRPr="00AF4894" w:rsidRDefault="00267586" w:rsidP="00267586">
      <w:pPr>
        <w:pStyle w:val="Heading5"/>
      </w:pPr>
      <w:r>
        <w:t>Beta-t</w:t>
      </w:r>
      <w:r w:rsidR="003E466E" w:rsidRPr="00AF4894">
        <w:t>halassaemia</w:t>
      </w:r>
    </w:p>
    <w:p w14:paraId="3D874D50" w14:textId="1CDDD831" w:rsidR="0029144B" w:rsidRDefault="0029144B" w:rsidP="0029144B">
      <w:r>
        <w:t xml:space="preserve">Superiority of </w:t>
      </w:r>
      <w:proofErr w:type="spellStart"/>
      <w:r>
        <w:t>luspatercept</w:t>
      </w:r>
      <w:proofErr w:type="spellEnd"/>
      <w:r>
        <w:t xml:space="preserve"> over placebo in all primary and key secondary analyses has been established. Some patients, the so called ‘responders’ achieved a substantial reduction in </w:t>
      </w:r>
      <w:r w:rsidR="00267586">
        <w:t>red blood cell</w:t>
      </w:r>
      <w:r>
        <w:t xml:space="preserve"> transfusion needs; the number of responders was only around 20%, however. The effect on </w:t>
      </w:r>
      <w:r w:rsidR="00267586">
        <w:t>red blood cell</w:t>
      </w:r>
      <w:r>
        <w:t xml:space="preserve"> transfusions is considerably smaller in the average patient, but also robust and clinically relevant. The effect appeared durable over the </w:t>
      </w:r>
      <w:r w:rsidR="00AF4894">
        <w:t>96-week</w:t>
      </w:r>
      <w:r>
        <w:t xml:space="preserve"> treatment period.</w:t>
      </w:r>
    </w:p>
    <w:p w14:paraId="470B19BD" w14:textId="597E8BB6" w:rsidR="0029144B" w:rsidRDefault="0029144B" w:rsidP="0029144B">
      <w:r>
        <w:t xml:space="preserve">Responses favouring </w:t>
      </w:r>
      <w:proofErr w:type="spellStart"/>
      <w:r>
        <w:t>luspatercept</w:t>
      </w:r>
      <w:proofErr w:type="spellEnd"/>
      <w:r>
        <w:t xml:space="preserve"> over placebo were </w:t>
      </w:r>
      <w:proofErr w:type="gramStart"/>
      <w:r>
        <w:t>fairly consistent</w:t>
      </w:r>
      <w:proofErr w:type="gramEnd"/>
      <w:r>
        <w:t xml:space="preserve"> across subgroups.</w:t>
      </w:r>
      <w:r w:rsidR="00576C1A">
        <w:t xml:space="preserve"> </w:t>
      </w:r>
      <w:r>
        <w:t xml:space="preserve">There is some uncertainty on the effect on iron overload, as </w:t>
      </w:r>
      <w:r w:rsidR="00267586">
        <w:t>liver iron content</w:t>
      </w:r>
      <w:r>
        <w:t xml:space="preserve"> did not drop considerably during 96</w:t>
      </w:r>
      <w:r w:rsidR="00D4630B">
        <w:t> </w:t>
      </w:r>
      <w:r>
        <w:t xml:space="preserve">weeks of </w:t>
      </w:r>
      <w:proofErr w:type="spellStart"/>
      <w:r>
        <w:t>luspatercept</w:t>
      </w:r>
      <w:proofErr w:type="spellEnd"/>
      <w:r>
        <w:t xml:space="preserve"> treatment. Longer observation might be needed to quantify the effect.</w:t>
      </w:r>
    </w:p>
    <w:p w14:paraId="7A862D66" w14:textId="2B3365E8" w:rsidR="00456765" w:rsidRDefault="0029144B" w:rsidP="0029144B">
      <w:r>
        <w:t xml:space="preserve">The safety data shows a manageable adverse event profile of </w:t>
      </w:r>
      <w:proofErr w:type="spellStart"/>
      <w:r>
        <w:t>luspatercept</w:t>
      </w:r>
      <w:proofErr w:type="spellEnd"/>
      <w:r>
        <w:t xml:space="preserve">. However, duration of exposure is still limited to a median treatment duration of about 84 </w:t>
      </w:r>
      <w:r w:rsidR="00267586">
        <w:t xml:space="preserve">weeks </w:t>
      </w:r>
      <w:r>
        <w:t>(max</w:t>
      </w:r>
      <w:r w:rsidR="00267586">
        <w:t>imum</w:t>
      </w:r>
      <w:r>
        <w:t xml:space="preserve"> 231</w:t>
      </w:r>
      <w:r w:rsidR="00267586">
        <w:t xml:space="preserve"> weeks)</w:t>
      </w:r>
      <w:r>
        <w:t>, while long-term treatment over many years or even decades might be foreseen in a patient population requiring transfusions from a very young age onwards.</w:t>
      </w:r>
    </w:p>
    <w:p w14:paraId="7DC7A911" w14:textId="066F41D6" w:rsidR="0029144B" w:rsidRDefault="0029144B" w:rsidP="0029144B">
      <w:r>
        <w:t xml:space="preserve">The remaining uncertainties with regards to long-term safety and durability of the beneficial effects are especially relevant for this indication considering the rather young population and chronic </w:t>
      </w:r>
      <w:r w:rsidR="00C852EF">
        <w:t>use and</w:t>
      </w:r>
      <w:r>
        <w:t xml:space="preserve"> will need to be addressed by continuing surveillance.</w:t>
      </w:r>
    </w:p>
    <w:p w14:paraId="6FADFF9D" w14:textId="77777777" w:rsidR="0029144B" w:rsidRPr="00B02F09" w:rsidRDefault="0029144B" w:rsidP="00267586">
      <w:pPr>
        <w:pStyle w:val="Heading5"/>
      </w:pPr>
      <w:r w:rsidRPr="00B02F09">
        <w:t>Conclusions</w:t>
      </w:r>
    </w:p>
    <w:p w14:paraId="3CCA643D" w14:textId="31FBD48E" w:rsidR="0029144B" w:rsidRDefault="00267586" w:rsidP="0029144B">
      <w:r>
        <w:t>The overall benefit versus risk balance</w:t>
      </w:r>
      <w:r w:rsidR="0029144B">
        <w:t xml:space="preserve"> of </w:t>
      </w:r>
      <w:proofErr w:type="spellStart"/>
      <w:r w:rsidR="0029144B">
        <w:t>Reblozyl</w:t>
      </w:r>
      <w:proofErr w:type="spellEnd"/>
      <w:r w:rsidR="0029144B">
        <w:t xml:space="preserve"> (</w:t>
      </w:r>
      <w:proofErr w:type="spellStart"/>
      <w:r w:rsidR="0029144B">
        <w:t>luspatercept</w:t>
      </w:r>
      <w:proofErr w:type="spellEnd"/>
      <w:r w:rsidR="0029144B">
        <w:t>) in adult patients with transfusion</w:t>
      </w:r>
      <w:r w:rsidR="003E466E">
        <w:t xml:space="preserve"> </w:t>
      </w:r>
      <w:r w:rsidR="0029144B">
        <w:t xml:space="preserve">dependent </w:t>
      </w:r>
      <w:r w:rsidR="00C838D7">
        <w:t>myelodysplastic syndrome</w:t>
      </w:r>
      <w:r w:rsidR="0029144B">
        <w:t xml:space="preserve"> and </w:t>
      </w:r>
      <w:r>
        <w:t>beta-</w:t>
      </w:r>
      <w:r w:rsidR="0029144B">
        <w:t>thalassaemia is positive.</w:t>
      </w:r>
    </w:p>
    <w:p w14:paraId="3EDA3CE7" w14:textId="1BE2D8B1" w:rsidR="00267586" w:rsidRPr="0029144B" w:rsidRDefault="00267586" w:rsidP="0029144B">
      <w:r>
        <w:t xml:space="preserve">All clinical experts agree (see section: </w:t>
      </w:r>
      <w:r>
        <w:fldChar w:fldCharType="begin"/>
      </w:r>
      <w:r>
        <w:instrText xml:space="preserve"> REF _Ref98829970 \h </w:instrText>
      </w:r>
      <w:r>
        <w:fldChar w:fldCharType="separate"/>
      </w:r>
      <w:r>
        <w:t>Independent expert advice</w:t>
      </w:r>
      <w:r>
        <w:fldChar w:fldCharType="end"/>
      </w:r>
      <w:r>
        <w:t xml:space="preserve">, below) that </w:t>
      </w:r>
      <w:proofErr w:type="spellStart"/>
      <w:r w:rsidR="009D5F18">
        <w:t>l</w:t>
      </w:r>
      <w:r w:rsidR="009D5F18" w:rsidRPr="001B52A0">
        <w:t>uspatercept</w:t>
      </w:r>
      <w:proofErr w:type="spellEnd"/>
      <w:r w:rsidR="009D5F18">
        <w:t xml:space="preserve"> </w:t>
      </w:r>
      <w:r>
        <w:t>has demonstrated clinical benefit in myelodysplastic syndrome and beta-thalassaemia which is relevant in the Australian clinical context.</w:t>
      </w:r>
    </w:p>
    <w:p w14:paraId="08889F43" w14:textId="77777777" w:rsidR="00D23139" w:rsidRDefault="00D23139" w:rsidP="00D23139">
      <w:pPr>
        <w:pStyle w:val="Heading4"/>
      </w:pPr>
      <w:r w:rsidRPr="00D23139">
        <w:t>Proposed action</w:t>
      </w:r>
    </w:p>
    <w:p w14:paraId="764D17E8" w14:textId="7CA42C54" w:rsidR="002169A2" w:rsidRDefault="002169A2" w:rsidP="002169A2">
      <w:r>
        <w:t>The Delegate recommends ap</w:t>
      </w:r>
      <w:r w:rsidR="00267586">
        <w:t xml:space="preserve">proval of </w:t>
      </w:r>
      <w:proofErr w:type="spellStart"/>
      <w:r w:rsidR="00267586">
        <w:t>luspatercept</w:t>
      </w:r>
      <w:proofErr w:type="spellEnd"/>
      <w:r w:rsidR="00267586">
        <w:t xml:space="preserve"> for the i</w:t>
      </w:r>
      <w:r>
        <w:t>ndications below.</w:t>
      </w:r>
    </w:p>
    <w:p w14:paraId="069B1DB0" w14:textId="59802ED4" w:rsidR="002169A2" w:rsidRDefault="002169A2" w:rsidP="002169A2">
      <w:r>
        <w:t xml:space="preserve">After receiving expert clinical advice and noting that erythropoiesis-stimulating agents (ESAs) are not approved for treatment of anaemia associated with </w:t>
      </w:r>
      <w:r w:rsidR="00C838D7">
        <w:t>myelodysplastic syndrome</w:t>
      </w:r>
      <w:r>
        <w:t xml:space="preserve"> in Australia, it is recommended that the indication for </w:t>
      </w:r>
      <w:r w:rsidR="00C838D7">
        <w:t>myelodysplastic syndrome</w:t>
      </w:r>
      <w:r>
        <w:t xml:space="preserve"> is modified based on the rationale below.</w:t>
      </w:r>
    </w:p>
    <w:p w14:paraId="07CEACE7" w14:textId="69963923" w:rsidR="002169A2" w:rsidRDefault="002169A2" w:rsidP="002169A2">
      <w:r>
        <w:t xml:space="preserve">It is reasonable to extrapolate the clinical trial data to include initial therapy (by making the indication neutral on treatment phase), provided the proposed treatment is for intermediate or lower risk </w:t>
      </w:r>
      <w:r w:rsidR="00C838D7">
        <w:t>myelodysplastic syndrome</w:t>
      </w:r>
      <w:r>
        <w:t xml:space="preserve"> with ringed </w:t>
      </w:r>
      <w:proofErr w:type="spellStart"/>
      <w:r>
        <w:t>sideroblasts</w:t>
      </w:r>
      <w:proofErr w:type="spellEnd"/>
      <w:r>
        <w:t>. This would make the indication:</w:t>
      </w:r>
    </w:p>
    <w:p w14:paraId="1ECBC3BB" w14:textId="6A3A61DB" w:rsidR="002169A2" w:rsidRDefault="002169A2" w:rsidP="00267586">
      <w:pPr>
        <w:ind w:left="720"/>
      </w:pPr>
      <w:proofErr w:type="spellStart"/>
      <w:r w:rsidRPr="003F7363">
        <w:rPr>
          <w:i/>
          <w:iCs/>
        </w:rPr>
        <w:t>Reblozyl</w:t>
      </w:r>
      <w:proofErr w:type="spellEnd"/>
      <w:r w:rsidRPr="003F7363">
        <w:rPr>
          <w:i/>
          <w:iCs/>
        </w:rPr>
        <w:t xml:space="preserve"> is indicated for the treatment of adult patients with transfusion-dependent anaemia (requiring 2 or more RBC units over 8 weeks) due to very low, low and intermediate-risk myelodysplastic syndromes with ring </w:t>
      </w:r>
      <w:proofErr w:type="spellStart"/>
      <w:r w:rsidRPr="003F7363">
        <w:rPr>
          <w:i/>
          <w:iCs/>
        </w:rPr>
        <w:t>sideroblasts</w:t>
      </w:r>
      <w:proofErr w:type="spellEnd"/>
      <w:r w:rsidRPr="003F7363">
        <w:rPr>
          <w:i/>
          <w:iCs/>
        </w:rPr>
        <w:t xml:space="preserve"> (MDS-RS).</w:t>
      </w:r>
    </w:p>
    <w:p w14:paraId="5BB0BCFD" w14:textId="71196584" w:rsidR="002169A2" w:rsidRPr="00267586" w:rsidRDefault="002169A2" w:rsidP="00267586">
      <w:pPr>
        <w:ind w:left="720"/>
        <w:rPr>
          <w:i/>
        </w:rPr>
      </w:pPr>
      <w:proofErr w:type="spellStart"/>
      <w:r w:rsidRPr="00267586">
        <w:rPr>
          <w:i/>
        </w:rPr>
        <w:t>Reblozyl</w:t>
      </w:r>
      <w:proofErr w:type="spellEnd"/>
      <w:r w:rsidRPr="00267586">
        <w:rPr>
          <w:i/>
        </w:rPr>
        <w:t xml:space="preserve"> is indicated for the treatment of adult patients with transfusion-dependent anaemia associated with beta thalassaemia.</w:t>
      </w:r>
    </w:p>
    <w:p w14:paraId="3911DB26" w14:textId="1CFDF7A0" w:rsidR="007D53B6" w:rsidRDefault="00744121" w:rsidP="007D53B6">
      <w:pPr>
        <w:pStyle w:val="Heading4"/>
      </w:pPr>
      <w:bookmarkStart w:id="72" w:name="_Ref98829970"/>
      <w:r>
        <w:t>I</w:t>
      </w:r>
      <w:r w:rsidR="007D53B6">
        <w:t>ndependent expert advice</w:t>
      </w:r>
      <w:bookmarkEnd w:id="72"/>
    </w:p>
    <w:p w14:paraId="7D111D90" w14:textId="053D33FD" w:rsidR="00744121" w:rsidRDefault="00744121" w:rsidP="00744121">
      <w:r>
        <w:t>The Delegate received the following independent expert advice.</w:t>
      </w:r>
    </w:p>
    <w:p w14:paraId="1800146E" w14:textId="15F84B8D" w:rsidR="005805E0" w:rsidRPr="005805E0" w:rsidRDefault="005805E0" w:rsidP="00744121">
      <w:pPr>
        <w:rPr>
          <w:b/>
        </w:rPr>
      </w:pPr>
      <w:r w:rsidRPr="005805E0">
        <w:rPr>
          <w:b/>
        </w:rPr>
        <w:t>Advice from the first expert:</w:t>
      </w:r>
    </w:p>
    <w:p w14:paraId="1C7D39AA" w14:textId="4CD8ECBA" w:rsidR="00936F59" w:rsidRPr="004335FA" w:rsidRDefault="00936F59" w:rsidP="00440EF2">
      <w:pPr>
        <w:pStyle w:val="ListParagraph"/>
        <w:numPr>
          <w:ilvl w:val="0"/>
          <w:numId w:val="6"/>
        </w:numPr>
        <w:ind w:left="357" w:hanging="357"/>
        <w:rPr>
          <w:b/>
          <w:bCs/>
          <w:i/>
          <w:iCs/>
        </w:rPr>
      </w:pPr>
      <w:r w:rsidRPr="004335FA">
        <w:rPr>
          <w:b/>
          <w:bCs/>
          <w:i/>
          <w:iCs/>
        </w:rPr>
        <w:t xml:space="preserve">Do you think that the pivotal studies in </w:t>
      </w:r>
      <w:r w:rsidR="00C838D7">
        <w:rPr>
          <w:b/>
          <w:bCs/>
          <w:i/>
          <w:iCs/>
        </w:rPr>
        <w:t>myelodysplastic syndrome</w:t>
      </w:r>
      <w:r w:rsidR="002B1B3D">
        <w:rPr>
          <w:b/>
          <w:bCs/>
          <w:i/>
          <w:iCs/>
        </w:rPr>
        <w:t xml:space="preserve"> and beta</w:t>
      </w:r>
      <w:r w:rsidR="002B1B3D">
        <w:rPr>
          <w:b/>
          <w:bCs/>
          <w:i/>
          <w:iCs/>
        </w:rPr>
        <w:noBreakHyphen/>
      </w:r>
      <w:r w:rsidRPr="004335FA">
        <w:rPr>
          <w:b/>
          <w:bCs/>
          <w:i/>
          <w:iCs/>
        </w:rPr>
        <w:t xml:space="preserve">thalassaemia demonstrate clinically meaningful treatment effects of </w:t>
      </w:r>
      <w:proofErr w:type="spellStart"/>
      <w:r w:rsidRPr="004335FA">
        <w:rPr>
          <w:b/>
          <w:bCs/>
          <w:i/>
          <w:iCs/>
        </w:rPr>
        <w:t>luspatercept</w:t>
      </w:r>
      <w:proofErr w:type="spellEnd"/>
      <w:r w:rsidRPr="004335FA">
        <w:rPr>
          <w:b/>
          <w:bCs/>
          <w:i/>
          <w:iCs/>
        </w:rPr>
        <w:t xml:space="preserve"> which are relevant for the Australian context?</w:t>
      </w:r>
    </w:p>
    <w:p w14:paraId="0B19DD4B" w14:textId="2C9BDA05" w:rsidR="00936F59" w:rsidRDefault="002B1B3D" w:rsidP="00936F59">
      <w:r>
        <w:t>Study</w:t>
      </w:r>
      <w:r w:rsidR="00936F59">
        <w:t xml:space="preserve"> ACE-536-MDS-001 (MEDALIST</w:t>
      </w:r>
      <w:r>
        <w:t xml:space="preserve"> trial)</w:t>
      </w:r>
      <w:r w:rsidR="00936F59">
        <w:t xml:space="preserve"> had the following key characteristics:</w:t>
      </w:r>
    </w:p>
    <w:p w14:paraId="7A4B3200" w14:textId="38CF2E0E" w:rsidR="00936F59" w:rsidRDefault="00936F59" w:rsidP="00936F59">
      <w:r w:rsidRPr="00704E63">
        <w:rPr>
          <w:i/>
          <w:iCs/>
        </w:rPr>
        <w:t>Included population</w:t>
      </w:r>
      <w:r>
        <w:t xml:space="preserve">: The inclusion criteria required failure of or inappropriate for (defined by high erythropoietin levels) </w:t>
      </w:r>
      <w:r w:rsidR="002B1B3D">
        <w:t>erythropoiesis stimulating agent (</w:t>
      </w:r>
      <w:r>
        <w:t>ESA</w:t>
      </w:r>
      <w:r w:rsidR="002B1B3D">
        <w:t>)</w:t>
      </w:r>
      <w:r>
        <w:t xml:space="preserve"> therapy. Patients were required to have at least </w:t>
      </w:r>
      <w:r w:rsidR="00C543FF">
        <w:t xml:space="preserve">two </w:t>
      </w:r>
      <w:r>
        <w:t>units each 8</w:t>
      </w:r>
      <w:r w:rsidR="00C543FF">
        <w:t> </w:t>
      </w:r>
      <w:r>
        <w:t xml:space="preserve">weeks during screening. Erythropoiesis stimulating agents (erythropoietin analogues) are not approved for use in </w:t>
      </w:r>
      <w:r w:rsidR="002B1B3D">
        <w:t>myelodysplastic syndromes</w:t>
      </w:r>
      <w:r>
        <w:t xml:space="preserve"> in Australia. This may have precluded consideration of Australian sites. However, in other respects the population is </w:t>
      </w:r>
      <w:proofErr w:type="gramStart"/>
      <w:r>
        <w:t>similar to</w:t>
      </w:r>
      <w:proofErr w:type="gramEnd"/>
      <w:r>
        <w:t xml:space="preserve"> </w:t>
      </w:r>
      <w:r w:rsidR="002B1B3D">
        <w:t>what would be expected for long</w:t>
      </w:r>
      <w:r w:rsidR="002B1B3D">
        <w:noBreakHyphen/>
      </w:r>
      <w:r>
        <w:t xml:space="preserve">term transfusion dependent low risk </w:t>
      </w:r>
      <w:r w:rsidR="002B1B3D">
        <w:t xml:space="preserve">myelodysplastic syndrome </w:t>
      </w:r>
      <w:r>
        <w:t xml:space="preserve">patients in Australia, including age and male predominance. There was a heterogeneity of baseline pretransfusion haemoglobins, which reflects variability in practice likely to be similar </w:t>
      </w:r>
      <w:r w:rsidR="00C543FF">
        <w:t xml:space="preserve">in </w:t>
      </w:r>
      <w:r>
        <w:t>Australia due to the lack of a firm trigger</w:t>
      </w:r>
      <w:r w:rsidRPr="009F0287">
        <w:t>,</w:t>
      </w:r>
      <w:r w:rsidR="009F0287">
        <w:fldChar w:fldCharType="begin"/>
      </w:r>
      <w:r w:rsidR="009F0287">
        <w:instrText xml:space="preserve"> NOTEREF _Ref90459848 \f \h </w:instrText>
      </w:r>
      <w:r w:rsidR="009F0287">
        <w:fldChar w:fldCharType="separate"/>
      </w:r>
      <w:r w:rsidR="009F0287" w:rsidRPr="00704E63">
        <w:rPr>
          <w:rStyle w:val="FootnoteReference"/>
        </w:rPr>
        <w:t>20</w:t>
      </w:r>
      <w:r w:rsidR="009F0287">
        <w:fldChar w:fldCharType="end"/>
      </w:r>
      <w:r>
        <w:t xml:space="preserve"> but the levels </w:t>
      </w:r>
      <w:r w:rsidR="00EE1C15">
        <w:t xml:space="preserve">were </w:t>
      </w:r>
      <w:r>
        <w:t>within a range recommended by national guidelines.</w:t>
      </w:r>
      <w:r w:rsidR="00764435">
        <w:fldChar w:fldCharType="begin"/>
      </w:r>
      <w:r w:rsidR="00764435">
        <w:instrText xml:space="preserve"> NOTEREF _Ref90459879 \f \h </w:instrText>
      </w:r>
      <w:r w:rsidR="00764435">
        <w:fldChar w:fldCharType="separate"/>
      </w:r>
      <w:r w:rsidR="00764435" w:rsidRPr="00704E63">
        <w:rPr>
          <w:rStyle w:val="FootnoteReference"/>
        </w:rPr>
        <w:t>21</w:t>
      </w:r>
      <w:r w:rsidR="00764435">
        <w:fldChar w:fldCharType="end"/>
      </w:r>
    </w:p>
    <w:p w14:paraId="31CA2D33" w14:textId="3E70F909" w:rsidR="00936F59" w:rsidRDefault="00936F59" w:rsidP="00936F59">
      <w:r w:rsidRPr="00704E63">
        <w:rPr>
          <w:i/>
          <w:iCs/>
        </w:rPr>
        <w:t>Outcomes</w:t>
      </w:r>
      <w:r>
        <w:t>: Transfusion independence is a clinically relevant outcome. Once transfusion dependent, most pat</w:t>
      </w:r>
      <w:r w:rsidR="002B1B3D">
        <w:t xml:space="preserve">ients need transfusions every 3 to </w:t>
      </w:r>
      <w:r>
        <w:t>4 weeks. Shorter intervals are occasionally required. Longer intervals rarely exceed 6</w:t>
      </w:r>
      <w:r w:rsidR="00513B20">
        <w:t> </w:t>
      </w:r>
      <w:r>
        <w:t>weeks, so the endpoint of &gt;</w:t>
      </w:r>
      <w:r w:rsidR="00513B20">
        <w:t> 8 </w:t>
      </w:r>
      <w:r>
        <w:t xml:space="preserve">weeks transfusion free is reasonable. Anaemia has a significant impact on quality of life and so does having transfusion. The mean increase in </w:t>
      </w:r>
      <w:r w:rsidR="002B1B3D">
        <w:t>haemoglobin</w:t>
      </w:r>
      <w:r>
        <w:t xml:space="preserve"> in </w:t>
      </w:r>
      <w:r w:rsidR="002A5295">
        <w:t>‘</w:t>
      </w:r>
      <w:r>
        <w:t>responders</w:t>
      </w:r>
      <w:r w:rsidR="002A5295">
        <w:t>’</w:t>
      </w:r>
      <w:r>
        <w:t xml:space="preserve"> was quite significant at 25.5</w:t>
      </w:r>
      <w:r w:rsidR="00513B20">
        <w:t> </w:t>
      </w:r>
      <w:r>
        <w:t>g/L. While quality of life is not reported, the improvement in haemoglobin is likely to result in improved quality of life as are periods of transfusion independence.</w:t>
      </w:r>
      <w:r w:rsidR="00764435">
        <w:fldChar w:fldCharType="begin"/>
      </w:r>
      <w:r w:rsidR="00764435">
        <w:instrText xml:space="preserve"> NOTEREF _Ref90459904 \f \h </w:instrText>
      </w:r>
      <w:r w:rsidR="00764435">
        <w:fldChar w:fldCharType="separate"/>
      </w:r>
      <w:r w:rsidR="00764435" w:rsidRPr="00704E63">
        <w:rPr>
          <w:rStyle w:val="FootnoteReference"/>
        </w:rPr>
        <w:t>22</w:t>
      </w:r>
      <w:r w:rsidR="00764435">
        <w:fldChar w:fldCharType="end"/>
      </w:r>
      <w:r>
        <w:t xml:space="preserve"> Reduction in transfusion has been considered a meaningful endpoint due to the potential adverse effects of transfusion.</w:t>
      </w:r>
      <w:r w:rsidR="00764435">
        <w:fldChar w:fldCharType="begin"/>
      </w:r>
      <w:r w:rsidR="00764435">
        <w:instrText xml:space="preserve"> NOTEREF _Ref90459915 \f \h </w:instrText>
      </w:r>
      <w:r w:rsidR="00764435">
        <w:fldChar w:fldCharType="separate"/>
      </w:r>
      <w:r w:rsidR="00764435" w:rsidRPr="00704E63">
        <w:rPr>
          <w:rStyle w:val="FootnoteReference"/>
        </w:rPr>
        <w:t>24</w:t>
      </w:r>
      <w:r w:rsidR="00764435">
        <w:fldChar w:fldCharType="end"/>
      </w:r>
    </w:p>
    <w:p w14:paraId="3434D977" w14:textId="132242FD" w:rsidR="00936F59" w:rsidRDefault="00936F59" w:rsidP="00936F59">
      <w:r>
        <w:t xml:space="preserve">Fatigue was higher in treatment group compared with placebo, despite improvements in </w:t>
      </w:r>
      <w:r w:rsidR="002B1B3D">
        <w:t>haemoglobin</w:t>
      </w:r>
      <w:r>
        <w:t xml:space="preserve">. Dizziness, back pain were manageable side effects that decreased over time. No signal for serious adverse events was noted, although the treated population is relatively small. This pivotal study therefore demonstrates clinically meaningful data in a population </w:t>
      </w:r>
      <w:proofErr w:type="gramStart"/>
      <w:r>
        <w:t>similar to</w:t>
      </w:r>
      <w:proofErr w:type="gramEnd"/>
      <w:r>
        <w:t xml:space="preserve"> that observed in Australia, with</w:t>
      </w:r>
      <w:r w:rsidR="002B1B3D">
        <w:t xml:space="preserve"> the significant exception that ESA</w:t>
      </w:r>
      <w:r>
        <w:t xml:space="preserve"> therapy is not standard or common in Australia.</w:t>
      </w:r>
    </w:p>
    <w:p w14:paraId="6A877F32" w14:textId="0F0EB2FA" w:rsidR="00936F59" w:rsidRPr="002B1B3D" w:rsidRDefault="002B1B3D" w:rsidP="002B1B3D">
      <w:r w:rsidRPr="002B1B3D">
        <w:t xml:space="preserve">Study </w:t>
      </w:r>
      <w:r w:rsidR="00936F59" w:rsidRPr="001117BF">
        <w:t>ACE-536-</w:t>
      </w:r>
      <w:r w:rsidR="00226235" w:rsidRPr="002B1B3D">
        <w:t>β</w:t>
      </w:r>
      <w:r w:rsidRPr="002B1B3D">
        <w:t>-THAL-001 (</w:t>
      </w:r>
      <w:r w:rsidR="00936F59" w:rsidRPr="001117BF">
        <w:t>BELIEVE</w:t>
      </w:r>
      <w:r w:rsidRPr="002B1B3D">
        <w:t xml:space="preserve"> trial</w:t>
      </w:r>
      <w:r w:rsidR="00936F59" w:rsidRPr="001117BF">
        <w:t xml:space="preserve">) </w:t>
      </w:r>
      <w:r w:rsidR="00936F59" w:rsidRPr="002B1B3D">
        <w:t>had the following characteristics:</w:t>
      </w:r>
    </w:p>
    <w:p w14:paraId="355371B4" w14:textId="667A0675" w:rsidR="00C42DC5" w:rsidRDefault="00936F59" w:rsidP="008D4F3E">
      <w:r>
        <w:t xml:space="preserve">The included population of </w:t>
      </w:r>
      <w:r w:rsidR="002B1B3D">
        <w:t>beta-</w:t>
      </w:r>
      <w:r>
        <w:t xml:space="preserve">thalassaemia or </w:t>
      </w:r>
      <w:r w:rsidR="002B1B3D">
        <w:t>haemoglobin E beta-</w:t>
      </w:r>
      <w:r>
        <w:t xml:space="preserve">thalassaemia (15.5%) matches the requested indication. </w:t>
      </w:r>
      <w:r w:rsidR="00F5319F">
        <w:t>Beta-t</w:t>
      </w:r>
      <w:r w:rsidR="00B000F9">
        <w:t xml:space="preserve">halassaemia </w:t>
      </w:r>
      <w:r>
        <w:t>is heterogenous, with variable severity and transfusion requirements depending on whether there is any (</w:t>
      </w:r>
      <w:r w:rsidR="005A7DE0" w:rsidRPr="00DB6B62">
        <w:rPr>
          <w:i/>
          <w:iCs/>
        </w:rPr>
        <w:t>β</w:t>
      </w:r>
      <w:r w:rsidRPr="00F5319F">
        <w:rPr>
          <w:vertAlign w:val="superscript"/>
        </w:rPr>
        <w:t>+</w:t>
      </w:r>
      <w:r>
        <w:t>) or no (</w:t>
      </w:r>
      <w:r w:rsidR="005A7DE0" w:rsidRPr="00DB6B62">
        <w:rPr>
          <w:i/>
          <w:iCs/>
        </w:rPr>
        <w:t>β</w:t>
      </w:r>
      <w:r w:rsidRPr="00F5319F">
        <w:rPr>
          <w:vertAlign w:val="superscript"/>
        </w:rPr>
        <w:t>0</w:t>
      </w:r>
      <w:r>
        <w:t xml:space="preserve">) beta globin production. </w:t>
      </w:r>
      <w:r w:rsidR="00F5319F">
        <w:t>–Alpha-t</w:t>
      </w:r>
      <w:r w:rsidR="005A7DE0">
        <w:t xml:space="preserve">halassaemia </w:t>
      </w:r>
      <w:r>
        <w:t xml:space="preserve">is not included in the study population. Patients had to be having transfusions every </w:t>
      </w:r>
      <w:r w:rsidR="005A7DE0">
        <w:t>35 </w:t>
      </w:r>
      <w:r>
        <w:t>days or less. This matches the typical needs of Australian patients. There were four Australian sites included in this study.</w:t>
      </w:r>
    </w:p>
    <w:p w14:paraId="06F0B76A" w14:textId="0286DC9F" w:rsidR="008D4F3E" w:rsidRDefault="008D4F3E" w:rsidP="008D4F3E">
      <w:r w:rsidRPr="00704E63">
        <w:rPr>
          <w:i/>
          <w:iCs/>
        </w:rPr>
        <w:t>Outcomes</w:t>
      </w:r>
      <w:r>
        <w:t>: The primary objective is adequate to (&gt;</w:t>
      </w:r>
      <w:r w:rsidR="00C42DC5">
        <w:t> </w:t>
      </w:r>
      <w:r>
        <w:t xml:space="preserve">33% reduction in transfusion requirements over a </w:t>
      </w:r>
      <w:proofErr w:type="gramStart"/>
      <w:r w:rsidR="00C42DC5">
        <w:t>12 </w:t>
      </w:r>
      <w:r>
        <w:t>week</w:t>
      </w:r>
      <w:proofErr w:type="gramEnd"/>
      <w:r>
        <w:t xml:space="preserve"> period) to demonstrate efficacy, when compared to placebo, indicating a significant reduction in tran</w:t>
      </w:r>
      <w:r w:rsidR="00F5319F">
        <w:t xml:space="preserve">sfusion requirements, however it could be suggested </w:t>
      </w:r>
      <w:r>
        <w:t xml:space="preserve">the magnitude of benefit is best determined over a longer period. The short duration may mean some patients meet the endpoint based on scheduling. For example, a patient with transfusions every </w:t>
      </w:r>
      <w:r w:rsidR="00E442B8">
        <w:t>4 </w:t>
      </w:r>
      <w:r>
        <w:t>weeks would have a 33.3% reduction in the number of red cells transfused if one transfusion was delayed (therefore meeting the primary endpoint in that period). If the therapy was not effective this would lead to an increase in the number of transfusions in the subsequent period as the delayed (rather than reduced) transfusion would be captured in the subsequent period. The converse is also true if a transfusion is brought forward.</w:t>
      </w:r>
    </w:p>
    <w:p w14:paraId="5BB90931" w14:textId="2B6EC066" w:rsidR="008D4F3E" w:rsidRDefault="00F5319F" w:rsidP="008D4F3E">
      <w:r>
        <w:t>A reduction of &gt;</w:t>
      </w:r>
      <w:r w:rsidR="002055B7">
        <w:t> </w:t>
      </w:r>
      <w:r>
        <w:t>33%</w:t>
      </w:r>
      <w:r w:rsidR="008D4F3E">
        <w:t xml:space="preserve"> over a longer period is clinically meaningful as it would be expected to improve quality of life directly through reduced transfusions and to reduce the additional iron burden. The secondary outcomes were dependent on the primary outcome being met. Having sequential </w:t>
      </w:r>
      <w:proofErr w:type="gramStart"/>
      <w:r w:rsidR="002055B7">
        <w:t>12 </w:t>
      </w:r>
      <w:r w:rsidR="008D4F3E">
        <w:t>week</w:t>
      </w:r>
      <w:proofErr w:type="gramEnd"/>
      <w:r w:rsidR="008D4F3E">
        <w:t xml:space="preserve"> periods where the benefit was seen in any </w:t>
      </w:r>
      <w:r w:rsidR="00585D5A">
        <w:t>12 </w:t>
      </w:r>
      <w:r w:rsidR="008D4F3E">
        <w:t>week period is likely to comp</w:t>
      </w:r>
      <w:r>
        <w:t xml:space="preserve">ound the issue noted above and in the </w:t>
      </w:r>
      <w:r w:rsidR="008447B3">
        <w:t>expert’s</w:t>
      </w:r>
      <w:r>
        <w:t xml:space="preserve"> opinion, the expert</w:t>
      </w:r>
      <w:r w:rsidR="008D4F3E">
        <w:t xml:space="preserve"> would consider this a poor indicator of the magnitude of benefit. 29.5% of placebo showed a </w:t>
      </w:r>
      <w:r w:rsidR="002A5295">
        <w:t>‘</w:t>
      </w:r>
      <w:r w:rsidR="008D4F3E">
        <w:t>benefit</w:t>
      </w:r>
      <w:r w:rsidR="002A5295">
        <w:t>’</w:t>
      </w:r>
      <w:r w:rsidR="008D4F3E">
        <w:t xml:space="preserve"> over any </w:t>
      </w:r>
      <w:proofErr w:type="gramStart"/>
      <w:r w:rsidR="00494D58">
        <w:t>12 </w:t>
      </w:r>
      <w:r w:rsidR="008D4F3E">
        <w:t>week</w:t>
      </w:r>
      <w:proofErr w:type="gramEnd"/>
      <w:r w:rsidR="008D4F3E">
        <w:t xml:space="preserve"> period, with this effect largely eliminated over a longer observation period of any </w:t>
      </w:r>
      <w:r w:rsidR="00494D58">
        <w:t>24 </w:t>
      </w:r>
      <w:r w:rsidR="008D4F3E">
        <w:t>week interval (2.7%). This period is likely to</w:t>
      </w:r>
      <w:r w:rsidR="00494D58">
        <w:t xml:space="preserve"> be</w:t>
      </w:r>
      <w:r w:rsidR="008D4F3E">
        <w:t xml:space="preserve"> a better indicator of efficacy (41.1%) than either of the shorter periods (including the primary outcome) or the </w:t>
      </w:r>
      <w:r w:rsidR="002A5295">
        <w:t>‘</w:t>
      </w:r>
      <w:r w:rsidR="008D4F3E">
        <w:t xml:space="preserve">any </w:t>
      </w:r>
      <w:proofErr w:type="gramStart"/>
      <w:r w:rsidR="008D4F3E">
        <w:t>2</w:t>
      </w:r>
      <w:r w:rsidR="00494D58">
        <w:t> </w:t>
      </w:r>
      <w:r w:rsidR="008D4F3E">
        <w:t>week</w:t>
      </w:r>
      <w:proofErr w:type="gramEnd"/>
      <w:r w:rsidR="008D4F3E">
        <w:t xml:space="preserve"> interval</w:t>
      </w:r>
      <w:r w:rsidR="002A5295">
        <w:t>’</w:t>
      </w:r>
      <w:r w:rsidR="008D4F3E">
        <w:t xml:space="preserve"> secondary endpoint. Most secondary endpoints were entirely consistent with the treatment effect found in the primary outcome. While ferritin levels were decreased in the treatment arm, this did not translate to reduced tissue iron stores. However, a longer period is likely to be needed to ascertain this effect.</w:t>
      </w:r>
    </w:p>
    <w:p w14:paraId="6BCD498B" w14:textId="1E9220A0" w:rsidR="008D4F3E" w:rsidRDefault="008D4F3E" w:rsidP="008D4F3E">
      <w:r w:rsidRPr="00704E63">
        <w:rPr>
          <w:i/>
          <w:iCs/>
        </w:rPr>
        <w:t>Safety</w:t>
      </w:r>
      <w:r>
        <w:t xml:space="preserve">: An increased risk of thrombotic (arterial and venous) </w:t>
      </w:r>
      <w:r w:rsidR="00F5319F">
        <w:t xml:space="preserve">events </w:t>
      </w:r>
      <w:r>
        <w:t xml:space="preserve">was seen in this study treatment population not seen in the </w:t>
      </w:r>
      <w:r w:rsidR="00F5319F">
        <w:t>myelodys</w:t>
      </w:r>
      <w:r w:rsidR="001117BF">
        <w:t>p</w:t>
      </w:r>
      <w:r w:rsidR="00F5319F">
        <w:t>lastic syndrome</w:t>
      </w:r>
      <w:r>
        <w:t xml:space="preserve"> study. The high rate of splenectomy (a known thrombotic risk factor) may be a contributing factor in this group (noting that all patients with thrombotic events were </w:t>
      </w:r>
      <w:proofErr w:type="spellStart"/>
      <w:r>
        <w:t>asplenic</w:t>
      </w:r>
      <w:proofErr w:type="spellEnd"/>
      <w:r>
        <w:t>). This is a known risk with erythropoiesis stimulating agents so the effect may be due to increased haematocrit in the treatment population, however increased peripheral haemolysis (unconjugated bilirubin increased in the treatment group and increased haemolysis would be expected with red cell loss</w:t>
      </w:r>
      <w:r w:rsidR="002B14D6">
        <w:t xml:space="preserve"> which</w:t>
      </w:r>
      <w:r>
        <w:t xml:space="preserve"> is delayed from the marrow to the peripheral blood</w:t>
      </w:r>
      <w:proofErr w:type="gramStart"/>
      <w:r>
        <w:t>)</w:t>
      </w:r>
      <w:proofErr w:type="gramEnd"/>
      <w:r>
        <w:t xml:space="preserve"> or other unknown mechanisms may </w:t>
      </w:r>
      <w:r w:rsidR="002B14D6">
        <w:t xml:space="preserve">also </w:t>
      </w:r>
      <w:r>
        <w:t xml:space="preserve">play a role. This will need to be monitored in the ongoing studies and </w:t>
      </w:r>
      <w:proofErr w:type="spellStart"/>
      <w:r>
        <w:t>postmarketing</w:t>
      </w:r>
      <w:proofErr w:type="spellEnd"/>
      <w:r>
        <w:t>. Despite the potential difficulty with ascertaining the magnitude of effect from the primary outcomes, the thalassaemia study demonstrates consistent improvements in clinical outcomes relevant to Australian populations.</w:t>
      </w:r>
    </w:p>
    <w:p w14:paraId="4EC0DD7D" w14:textId="33B6FEE6" w:rsidR="004335FA" w:rsidRPr="00627B29" w:rsidRDefault="004335FA" w:rsidP="00440EF2">
      <w:pPr>
        <w:pStyle w:val="ListParagraph"/>
        <w:numPr>
          <w:ilvl w:val="0"/>
          <w:numId w:val="6"/>
        </w:numPr>
        <w:ind w:left="357" w:hanging="357"/>
        <w:rPr>
          <w:b/>
          <w:bCs/>
          <w:i/>
          <w:iCs/>
        </w:rPr>
      </w:pPr>
      <w:r w:rsidRPr="00627B29">
        <w:rPr>
          <w:b/>
          <w:bCs/>
          <w:i/>
          <w:iCs/>
        </w:rPr>
        <w:t xml:space="preserve">Is the proposed second line indication for </w:t>
      </w:r>
      <w:proofErr w:type="spellStart"/>
      <w:r w:rsidRPr="00627B29">
        <w:rPr>
          <w:b/>
          <w:bCs/>
          <w:i/>
          <w:iCs/>
        </w:rPr>
        <w:t>luspatercept</w:t>
      </w:r>
      <w:proofErr w:type="spellEnd"/>
      <w:r w:rsidRPr="00627B29">
        <w:rPr>
          <w:b/>
          <w:bCs/>
          <w:i/>
          <w:iCs/>
        </w:rPr>
        <w:t xml:space="preserve"> in </w:t>
      </w:r>
      <w:r w:rsidR="00F5319F">
        <w:rPr>
          <w:b/>
          <w:bCs/>
          <w:i/>
          <w:iCs/>
        </w:rPr>
        <w:t>myelodysplastic syndromes</w:t>
      </w:r>
      <w:r w:rsidRPr="00627B29">
        <w:rPr>
          <w:b/>
          <w:bCs/>
          <w:i/>
          <w:iCs/>
        </w:rPr>
        <w:t xml:space="preserve"> ap</w:t>
      </w:r>
      <w:r w:rsidR="00F5319F">
        <w:rPr>
          <w:b/>
          <w:bCs/>
          <w:i/>
          <w:iCs/>
        </w:rPr>
        <w:t>propriate in Australia where erythropoiesi</w:t>
      </w:r>
      <w:r w:rsidRPr="00627B29">
        <w:rPr>
          <w:b/>
          <w:bCs/>
          <w:i/>
          <w:iCs/>
        </w:rPr>
        <w:t>s</w:t>
      </w:r>
      <w:r w:rsidR="00F5319F">
        <w:rPr>
          <w:b/>
          <w:bCs/>
          <w:i/>
          <w:iCs/>
        </w:rPr>
        <w:t xml:space="preserve"> stimulating agents are not TGA</w:t>
      </w:r>
      <w:r w:rsidR="00F5319F">
        <w:rPr>
          <w:b/>
          <w:bCs/>
          <w:i/>
          <w:iCs/>
        </w:rPr>
        <w:noBreakHyphen/>
      </w:r>
      <w:r w:rsidRPr="00627B29">
        <w:rPr>
          <w:b/>
          <w:bCs/>
          <w:i/>
          <w:iCs/>
        </w:rPr>
        <w:t>approved to treat</w:t>
      </w:r>
      <w:r w:rsidR="00F5319F">
        <w:rPr>
          <w:b/>
          <w:bCs/>
          <w:i/>
          <w:iCs/>
        </w:rPr>
        <w:t xml:space="preserve"> the anaemia associated with myelodysplastic syndromes</w:t>
      </w:r>
      <w:r w:rsidRPr="00627B29">
        <w:rPr>
          <w:b/>
          <w:bCs/>
          <w:i/>
          <w:iCs/>
        </w:rPr>
        <w:t>?</w:t>
      </w:r>
    </w:p>
    <w:p w14:paraId="57FDEC1C" w14:textId="642ED388" w:rsidR="004335FA" w:rsidRDefault="004335FA" w:rsidP="004335FA">
      <w:r>
        <w:t xml:space="preserve">The proposed indications are appropriate for the data available, however as </w:t>
      </w:r>
      <w:r w:rsidR="00F5319F">
        <w:t>noted above and flagged by the D</w:t>
      </w:r>
      <w:r>
        <w:t xml:space="preserve">elegate, do not match </w:t>
      </w:r>
      <w:r w:rsidR="00F5319F">
        <w:t xml:space="preserve">clinical </w:t>
      </w:r>
      <w:r>
        <w:t>practice in Australia.</w:t>
      </w:r>
    </w:p>
    <w:p w14:paraId="4357D6FF" w14:textId="2CA7F14C" w:rsidR="004335FA" w:rsidRDefault="004335FA" w:rsidP="004335FA">
      <w:r>
        <w:t>The second</w:t>
      </w:r>
      <w:r w:rsidR="00121FE9">
        <w:t xml:space="preserve"> </w:t>
      </w:r>
      <w:r>
        <w:t xml:space="preserve">line indication for </w:t>
      </w:r>
      <w:r w:rsidR="00F5319F">
        <w:t>myelodysplastic syndromes</w:t>
      </w:r>
      <w:r>
        <w:t xml:space="preserve"> is problematic in Australia as </w:t>
      </w:r>
      <w:r w:rsidR="00F5319F">
        <w:t xml:space="preserve">erythropoiesis stimulating agents (ESA) </w:t>
      </w:r>
      <w:r>
        <w:t xml:space="preserve">are not approved for use in </w:t>
      </w:r>
      <w:r w:rsidR="00F5319F">
        <w:t>myelodysplastic syndromes</w:t>
      </w:r>
      <w:r>
        <w:t>. The acceptance of only a second</w:t>
      </w:r>
      <w:r w:rsidR="00121FE9">
        <w:t xml:space="preserve"> </w:t>
      </w:r>
      <w:r>
        <w:t xml:space="preserve">line indication, </w:t>
      </w:r>
      <w:proofErr w:type="gramStart"/>
      <w:r>
        <w:t>subsequent to</w:t>
      </w:r>
      <w:proofErr w:type="gramEnd"/>
      <w:r>
        <w:t xml:space="preserve"> ESA failure, would have two implications:</w:t>
      </w:r>
    </w:p>
    <w:p w14:paraId="267682C6" w14:textId="41E0C787" w:rsidR="00936F59" w:rsidRDefault="004335FA" w:rsidP="00704E63">
      <w:pPr>
        <w:pStyle w:val="ListBullet"/>
      </w:pPr>
      <w:r>
        <w:t xml:space="preserve">It would essentially endorse therapeutic efficacy of ESAs (as a group, not as individual agents) for this indication without a formal assessment of any ESA for this </w:t>
      </w:r>
      <w:proofErr w:type="gramStart"/>
      <w:r>
        <w:t>purpose;</w:t>
      </w:r>
      <w:proofErr w:type="gramEnd"/>
    </w:p>
    <w:p w14:paraId="431BF54E" w14:textId="6753547E" w:rsidR="00627B29" w:rsidRDefault="00627B29" w:rsidP="00704E63">
      <w:pPr>
        <w:pStyle w:val="ListBullet"/>
      </w:pPr>
      <w:r>
        <w:t xml:space="preserve">It would effectively preclude the use of </w:t>
      </w:r>
      <w:proofErr w:type="spellStart"/>
      <w:r>
        <w:t>luspatercept</w:t>
      </w:r>
      <w:proofErr w:type="spellEnd"/>
      <w:r>
        <w:t xml:space="preserve"> for its licenced indication unless an unlicenced therapy is used or it is used </w:t>
      </w:r>
      <w:r w:rsidR="002A5295">
        <w:t>‘</w:t>
      </w:r>
      <w:r>
        <w:t>off-label</w:t>
      </w:r>
      <w:r w:rsidR="002A5295">
        <w:t>’</w:t>
      </w:r>
      <w:r>
        <w:t xml:space="preserve"> as initial therapy. This would also preclude funding, should the sponsor choose to seek </w:t>
      </w:r>
      <w:r w:rsidR="00817D04" w:rsidRPr="00817D04">
        <w:t>Pharmaceutical Benefits Scheme</w:t>
      </w:r>
      <w:r>
        <w:t xml:space="preserve"> listing.</w:t>
      </w:r>
    </w:p>
    <w:p w14:paraId="465CD2C3" w14:textId="02DD466F" w:rsidR="00164D84" w:rsidRDefault="00627B29" w:rsidP="00627B29">
      <w:r>
        <w:t xml:space="preserve">The data presented for </w:t>
      </w:r>
      <w:r w:rsidR="00F5319F">
        <w:t xml:space="preserve">myelodysplastic syndromes </w:t>
      </w:r>
      <w:r>
        <w:t xml:space="preserve">shows efficacy in a population that has already failed (or thought unlikely to respond to) ESAs. There seems no reason to suspect that responses are unique to that group. While ESAs enhance erythropoiesis through increased erythroid differentiation, erythropoietin is also required to prevent apoptosis in later erythropoiesis, the stages where </w:t>
      </w:r>
      <w:proofErr w:type="spellStart"/>
      <w:r>
        <w:t>luspatercept</w:t>
      </w:r>
      <w:proofErr w:type="spellEnd"/>
      <w:r>
        <w:t xml:space="preserve"> is active. </w:t>
      </w:r>
      <w:r w:rsidR="00F5319F">
        <w:t>One</w:t>
      </w:r>
      <w:r>
        <w:t xml:space="preserve"> would expect (although it is not proven and cannot be assumed) that responses are likely to be equivalent or lower in a group that has failed a prior therapy than in a first line setting. To put this another way, there is no reason to suspect that patients who are ESA responsive are less likely to respond to </w:t>
      </w:r>
      <w:proofErr w:type="spellStart"/>
      <w:r>
        <w:t>luspatercept</w:t>
      </w:r>
      <w:proofErr w:type="spellEnd"/>
      <w:r>
        <w:t>. It is likely that the study design has been informed by international practice and regulation. As there is already effective first line therapy licenced in the US</w:t>
      </w:r>
      <w:r w:rsidR="00F5319F">
        <w:t>A</w:t>
      </w:r>
      <w:r>
        <w:t xml:space="preserve"> and Europe, a trial in this setting would have required an active ESA comparator, whereas the current study has shown efficacy against placebo. This is an appropriate comparator in the Australian setting where there is no effective first line therapy. In </w:t>
      </w:r>
      <w:r w:rsidR="00F5319F">
        <w:t>the expert’s</w:t>
      </w:r>
      <w:r>
        <w:t xml:space="preserve"> opinion, it would be reasonable to extrapolate the data to include initial therapy (by making the indication neutral on treatment phase), provided the proposed treatment is for intermediate or lower risk </w:t>
      </w:r>
      <w:r w:rsidR="00F5319F">
        <w:t xml:space="preserve">myelodysplastic syndromes </w:t>
      </w:r>
      <w:r>
        <w:t xml:space="preserve">with ringed </w:t>
      </w:r>
      <w:proofErr w:type="spellStart"/>
      <w:r>
        <w:t>sideroblasts</w:t>
      </w:r>
      <w:proofErr w:type="spellEnd"/>
      <w:r>
        <w:t xml:space="preserve">. This would make the indication: </w:t>
      </w:r>
    </w:p>
    <w:p w14:paraId="229E7B38" w14:textId="7DE3CFEF" w:rsidR="00627B29" w:rsidRDefault="00627B29" w:rsidP="00F5319F">
      <w:pPr>
        <w:ind w:left="720"/>
      </w:pPr>
      <w:proofErr w:type="spellStart"/>
      <w:r w:rsidRPr="00704E63">
        <w:rPr>
          <w:i/>
          <w:iCs/>
        </w:rPr>
        <w:t>Reblozyl</w:t>
      </w:r>
      <w:proofErr w:type="spellEnd"/>
      <w:r w:rsidRPr="00704E63">
        <w:rPr>
          <w:i/>
          <w:iCs/>
        </w:rPr>
        <w:t xml:space="preserve"> is indicated for the treatment of adult patients with transfusion-dependent anaemia (requiring 2 or more RBC units over </w:t>
      </w:r>
      <w:r w:rsidR="00164D84" w:rsidRPr="00704E63">
        <w:rPr>
          <w:i/>
          <w:iCs/>
        </w:rPr>
        <w:t>8</w:t>
      </w:r>
      <w:r w:rsidR="00164D84">
        <w:rPr>
          <w:i/>
          <w:iCs/>
        </w:rPr>
        <w:t> </w:t>
      </w:r>
      <w:r w:rsidRPr="00704E63">
        <w:rPr>
          <w:i/>
          <w:iCs/>
        </w:rPr>
        <w:t xml:space="preserve">weeks) due to very low, low and intermediate-risk myelodysplastic syndromes with ring </w:t>
      </w:r>
      <w:proofErr w:type="spellStart"/>
      <w:r w:rsidRPr="00704E63">
        <w:rPr>
          <w:i/>
          <w:iCs/>
        </w:rPr>
        <w:t>sideroblasts</w:t>
      </w:r>
      <w:proofErr w:type="spellEnd"/>
      <w:r w:rsidRPr="00704E63">
        <w:rPr>
          <w:i/>
          <w:iCs/>
        </w:rPr>
        <w:t xml:space="preserve"> (MDS-RS).</w:t>
      </w:r>
    </w:p>
    <w:p w14:paraId="3FC01953" w14:textId="093CFD77" w:rsidR="005678E0" w:rsidRDefault="00627B29" w:rsidP="005678E0">
      <w:r>
        <w:t xml:space="preserve">Alternatively, </w:t>
      </w:r>
      <w:proofErr w:type="gramStart"/>
      <w:r>
        <w:t>ESA’s</w:t>
      </w:r>
      <w:proofErr w:type="gramEnd"/>
      <w:r>
        <w:t xml:space="preserve"> could be assessed, which may increase the therapeutic options available in Australia.</w:t>
      </w:r>
    </w:p>
    <w:p w14:paraId="03D46A38" w14:textId="45188756" w:rsidR="005805E0" w:rsidRPr="005805E0" w:rsidRDefault="005805E0" w:rsidP="005678E0">
      <w:pPr>
        <w:rPr>
          <w:b/>
        </w:rPr>
      </w:pPr>
      <w:r w:rsidRPr="005805E0">
        <w:rPr>
          <w:b/>
        </w:rPr>
        <w:t>Advice from the second expert:</w:t>
      </w:r>
    </w:p>
    <w:p w14:paraId="5DD2D9F3" w14:textId="3D09AEAC" w:rsidR="005160F0" w:rsidRPr="00D159F0" w:rsidRDefault="005160F0" w:rsidP="00440EF2">
      <w:pPr>
        <w:pStyle w:val="ListParagraph"/>
        <w:numPr>
          <w:ilvl w:val="0"/>
          <w:numId w:val="7"/>
        </w:numPr>
        <w:rPr>
          <w:b/>
          <w:bCs/>
          <w:i/>
          <w:iCs/>
        </w:rPr>
      </w:pPr>
      <w:r w:rsidRPr="00D159F0">
        <w:rPr>
          <w:b/>
          <w:bCs/>
          <w:i/>
          <w:iCs/>
        </w:rPr>
        <w:t xml:space="preserve">Do you think that the pivotal studies in </w:t>
      </w:r>
      <w:r w:rsidR="00F5319F" w:rsidRPr="00F5319F">
        <w:rPr>
          <w:b/>
          <w:bCs/>
          <w:i/>
          <w:iCs/>
        </w:rPr>
        <w:t xml:space="preserve">myelodysplastic syndromes </w:t>
      </w:r>
      <w:r w:rsidR="00F5319F">
        <w:rPr>
          <w:b/>
          <w:bCs/>
          <w:i/>
          <w:iCs/>
        </w:rPr>
        <w:t>and beta</w:t>
      </w:r>
      <w:r w:rsidR="00F5319F">
        <w:rPr>
          <w:b/>
          <w:bCs/>
          <w:i/>
          <w:iCs/>
        </w:rPr>
        <w:noBreakHyphen/>
      </w:r>
      <w:r w:rsidRPr="00D159F0">
        <w:rPr>
          <w:b/>
          <w:bCs/>
          <w:i/>
          <w:iCs/>
        </w:rPr>
        <w:t xml:space="preserve">thalassaemia demonstrate clinically meaningful treatment effects of </w:t>
      </w:r>
      <w:proofErr w:type="spellStart"/>
      <w:r w:rsidRPr="00D159F0">
        <w:rPr>
          <w:b/>
          <w:bCs/>
          <w:i/>
          <w:iCs/>
        </w:rPr>
        <w:t>luspatercept</w:t>
      </w:r>
      <w:proofErr w:type="spellEnd"/>
      <w:r w:rsidRPr="00D159F0">
        <w:rPr>
          <w:b/>
          <w:bCs/>
          <w:i/>
          <w:iCs/>
        </w:rPr>
        <w:t xml:space="preserve"> which are relevant for the Australian context?</w:t>
      </w:r>
    </w:p>
    <w:p w14:paraId="0541B324" w14:textId="27AD0C33" w:rsidR="005160F0" w:rsidRDefault="001117BF" w:rsidP="005160F0">
      <w:r>
        <w:t>Myelodysplastic syndrome</w:t>
      </w:r>
      <w:r w:rsidR="00F5319F">
        <w:t xml:space="preserve"> </w:t>
      </w:r>
      <w:r w:rsidR="005160F0">
        <w:t xml:space="preserve">is a clonal bone marrow disorder </w:t>
      </w:r>
      <w:r w:rsidR="00F5319F">
        <w:t xml:space="preserve">that manifests with </w:t>
      </w:r>
      <w:proofErr w:type="spellStart"/>
      <w:r w:rsidR="00F5319F">
        <w:t>cytopaenias</w:t>
      </w:r>
      <w:proofErr w:type="spellEnd"/>
      <w:r w:rsidR="00F5319F">
        <w:t>,</w:t>
      </w:r>
      <w:r w:rsidR="005160F0">
        <w:t xml:space="preserve"> the most common of which is anaemia. Supportive care with transfusion is the backbone of therapy. Transfusion carries significant burdens of secondary iron overload and is a burdensome treatment requiring time in hospital and cycles of </w:t>
      </w:r>
      <w:r w:rsidR="00251BEC">
        <w:t>patient’s</w:t>
      </w:r>
      <w:r w:rsidR="005160F0">
        <w:t xml:space="preserve"> physical improvement and then deterioration related to time since last transfusion. The only other treatment option currently for </w:t>
      </w:r>
      <w:r w:rsidR="00F5319F">
        <w:t xml:space="preserve">myelodysplastic syndromes patients is lenalidomide, </w:t>
      </w:r>
      <w:r w:rsidR="005160F0">
        <w:t xml:space="preserve">for </w:t>
      </w:r>
      <w:r>
        <w:t>myelodysplastic syndrome</w:t>
      </w:r>
      <w:r w:rsidR="00F5319F">
        <w:t xml:space="preserve"> </w:t>
      </w:r>
      <w:r w:rsidR="005160F0">
        <w:t xml:space="preserve">patients with transfusion dependent anaemia due to low with 5q- or intermediate-1 risk MDS syndromes. There was not a direct comparison with lenalidomide and </w:t>
      </w:r>
      <w:proofErr w:type="spellStart"/>
      <w:r w:rsidR="005160F0">
        <w:t>luspatercept</w:t>
      </w:r>
      <w:proofErr w:type="spellEnd"/>
      <w:r w:rsidR="005160F0">
        <w:t xml:space="preserve"> provided by the sponsor. Erythro</w:t>
      </w:r>
      <w:r w:rsidR="00F5319F">
        <w:t>poiesis stimulating agents (ESA</w:t>
      </w:r>
      <w:r w:rsidR="005160F0">
        <w:t>s) are only available to a select group of patients with MDS who have concomitant renal insufficiency. There is a need for improved treatment in this group of patients.</w:t>
      </w:r>
    </w:p>
    <w:p w14:paraId="4482307D" w14:textId="098CF56A" w:rsidR="005160F0" w:rsidRDefault="005160F0" w:rsidP="005160F0">
      <w:r>
        <w:t xml:space="preserve">The pivotal study in </w:t>
      </w:r>
      <w:r w:rsidR="001117BF">
        <w:t xml:space="preserve">myelodysplastic syndromes </w:t>
      </w:r>
      <w:r>
        <w:t xml:space="preserve">for </w:t>
      </w:r>
      <w:proofErr w:type="spellStart"/>
      <w:r>
        <w:t>luspatercept</w:t>
      </w:r>
      <w:proofErr w:type="spellEnd"/>
      <w:r>
        <w:t xml:space="preserve"> is presented in the paper by </w:t>
      </w:r>
      <w:proofErr w:type="spellStart"/>
      <w:r>
        <w:t>Fenaux</w:t>
      </w:r>
      <w:proofErr w:type="spellEnd"/>
      <w:r>
        <w:t xml:space="preserve"> </w:t>
      </w:r>
      <w:r w:rsidRPr="001117BF">
        <w:rPr>
          <w:iCs/>
        </w:rPr>
        <w:t>et al</w:t>
      </w:r>
      <w:r w:rsidR="001117BF">
        <w:t>.,</w:t>
      </w:r>
      <w:r w:rsidR="00C3505F">
        <w:fldChar w:fldCharType="begin"/>
      </w:r>
      <w:r w:rsidR="00C3505F">
        <w:rPr>
          <w:i/>
          <w:iCs/>
        </w:rPr>
        <w:instrText xml:space="preserve"> NOTEREF _Ref90281850 \f \h </w:instrText>
      </w:r>
      <w:r w:rsidR="00C3505F">
        <w:fldChar w:fldCharType="separate"/>
      </w:r>
      <w:r w:rsidR="00C3505F" w:rsidRPr="00704E63">
        <w:rPr>
          <w:rStyle w:val="FootnoteReference"/>
        </w:rPr>
        <w:t>10</w:t>
      </w:r>
      <w:r w:rsidR="00C3505F">
        <w:fldChar w:fldCharType="end"/>
      </w:r>
      <w:r w:rsidR="001117BF">
        <w:t xml:space="preserve"> provided with the D</w:t>
      </w:r>
      <w:r>
        <w:t xml:space="preserve">elegates overview. This paper reports the results of a </w:t>
      </w:r>
      <w:r w:rsidR="00C3505F">
        <w:t>Phase </w:t>
      </w:r>
      <w:r w:rsidR="001117BF">
        <w:t>II</w:t>
      </w:r>
      <w:r>
        <w:t xml:space="preserve"> </w:t>
      </w:r>
      <w:r w:rsidR="001117BF">
        <w:t>c</w:t>
      </w:r>
      <w:r w:rsidR="00C3505F">
        <w:t xml:space="preserve">linical </w:t>
      </w:r>
      <w:r w:rsidR="001117BF">
        <w:t>t</w:t>
      </w:r>
      <w:r w:rsidR="00C3505F">
        <w:t xml:space="preserve">rial </w:t>
      </w:r>
      <w:r>
        <w:t xml:space="preserve">of </w:t>
      </w:r>
      <w:proofErr w:type="gramStart"/>
      <w:r>
        <w:t>low risk</w:t>
      </w:r>
      <w:proofErr w:type="gramEnd"/>
      <w:r>
        <w:t xml:space="preserve"> </w:t>
      </w:r>
      <w:r w:rsidR="001117BF">
        <w:t xml:space="preserve">myelodysplastic syndromes (Study A536-05) </w:t>
      </w:r>
      <w:r>
        <w:t>and</w:t>
      </w:r>
      <w:r w:rsidR="001117BF">
        <w:t xml:space="preserve"> Study ACE</w:t>
      </w:r>
      <w:r w:rsidR="001117BF">
        <w:noBreakHyphen/>
        <w:t>536</w:t>
      </w:r>
      <w:r w:rsidR="001117BF">
        <w:noBreakHyphen/>
        <w:t>MDS</w:t>
      </w:r>
      <w:r w:rsidR="001117BF">
        <w:noBreakHyphen/>
        <w:t>001</w:t>
      </w:r>
      <w:r>
        <w:t xml:space="preserve"> </w:t>
      </w:r>
      <w:r w:rsidR="001117BF">
        <w:t>(</w:t>
      </w:r>
      <w:r>
        <w:t>MEDALIST</w:t>
      </w:r>
      <w:r w:rsidR="001117BF">
        <w:t xml:space="preserve"> trial), </w:t>
      </w:r>
      <w:r>
        <w:t xml:space="preserve">a </w:t>
      </w:r>
      <w:r w:rsidR="008F1232">
        <w:t xml:space="preserve">Phase </w:t>
      </w:r>
      <w:r w:rsidR="001117BF">
        <w:t>III</w:t>
      </w:r>
      <w:r>
        <w:t xml:space="preserve"> </w:t>
      </w:r>
      <w:r w:rsidR="001117BF">
        <w:t>t</w:t>
      </w:r>
      <w:r w:rsidR="008F1232">
        <w:t xml:space="preserve">rial </w:t>
      </w:r>
      <w:r>
        <w:t xml:space="preserve">evaluating the safety and efficacy of </w:t>
      </w:r>
      <w:proofErr w:type="spellStart"/>
      <w:r>
        <w:t>luspatercept</w:t>
      </w:r>
      <w:proofErr w:type="spellEnd"/>
      <w:r>
        <w:t xml:space="preserve"> in patients with IPSS-R lower risk </w:t>
      </w:r>
      <w:r w:rsidR="001117BF">
        <w:t>myelodysplastic syndrome</w:t>
      </w:r>
      <w:r>
        <w:t xml:space="preserve"> with ring </w:t>
      </w:r>
      <w:proofErr w:type="spellStart"/>
      <w:r>
        <w:t>sideroblasts</w:t>
      </w:r>
      <w:proofErr w:type="spellEnd"/>
      <w:r>
        <w:t xml:space="preserve"> who were requiring regular transfusions and who were refractory or unlikely to respond to erythropoietin</w:t>
      </w:r>
      <w:r w:rsidR="008F1232">
        <w:t xml:space="preserve"> </w:t>
      </w:r>
      <w:r>
        <w:t>based therapy.</w:t>
      </w:r>
    </w:p>
    <w:p w14:paraId="518AFF08" w14:textId="3CC10B1F" w:rsidR="005160F0" w:rsidRDefault="005160F0" w:rsidP="005160F0">
      <w:r>
        <w:t xml:space="preserve">In these studies, </w:t>
      </w:r>
      <w:proofErr w:type="spellStart"/>
      <w:r>
        <w:t>luspatercept</w:t>
      </w:r>
      <w:proofErr w:type="spellEnd"/>
      <w:r>
        <w:t xml:space="preserve"> was demonstrated to be superior to placebo in all primary and secondary analyses. The primary endpoint was transfusion independence for </w:t>
      </w:r>
      <w:r w:rsidR="0012355E">
        <w:t>8 </w:t>
      </w:r>
      <w:r>
        <w:t xml:space="preserve">weeks or longer during </w:t>
      </w:r>
      <w:r w:rsidR="0012355E">
        <w:t xml:space="preserve">weeks </w:t>
      </w:r>
      <w:r>
        <w:t>1</w:t>
      </w:r>
      <w:r w:rsidR="0012355E">
        <w:t> to </w:t>
      </w:r>
      <w:r>
        <w:t xml:space="preserve">24. The secondary endpoint was transfusion independence for </w:t>
      </w:r>
      <w:r w:rsidR="0012355E">
        <w:t>12 </w:t>
      </w:r>
      <w:r>
        <w:t xml:space="preserve">weeks or longer assessed during </w:t>
      </w:r>
      <w:r w:rsidR="0012355E">
        <w:t>weeks </w:t>
      </w:r>
      <w:r w:rsidR="001117BF">
        <w:t>one</w:t>
      </w:r>
      <w:r>
        <w:t xml:space="preserve"> through 48 and </w:t>
      </w:r>
      <w:r w:rsidR="0012355E">
        <w:t>weeks </w:t>
      </w:r>
      <w:r w:rsidR="001117BF">
        <w:t>one</w:t>
      </w:r>
      <w:r>
        <w:t xml:space="preserve"> through 24. Other secondary endpoints were erythroid response as measured by the </w:t>
      </w:r>
      <w:r w:rsidR="000E588C">
        <w:t>IWG </w:t>
      </w:r>
      <w:r>
        <w:t>2006 criteria, longest duration of primary response, mean increase in haemoglobin levels of at least 1.0</w:t>
      </w:r>
      <w:r w:rsidR="000E588C">
        <w:t> </w:t>
      </w:r>
      <w:r>
        <w:t>g</w:t>
      </w:r>
      <w:r w:rsidR="000E588C">
        <w:t>/dL</w:t>
      </w:r>
      <w:r>
        <w:t>, progression to acute myeloid leukaemia, mean change in the serum ferritin level and safety analysis.</w:t>
      </w:r>
    </w:p>
    <w:p w14:paraId="5C66A4A8" w14:textId="54D47C9A" w:rsidR="005160F0" w:rsidRDefault="005160F0" w:rsidP="005160F0">
      <w:r>
        <w:t xml:space="preserve">For patients who are transfusion dependent with </w:t>
      </w:r>
      <w:r w:rsidR="001117BF">
        <w:t>myelodysplastic syndrome</w:t>
      </w:r>
      <w:r w:rsidR="00DD4DDF">
        <w:t>,</w:t>
      </w:r>
      <w:r>
        <w:t xml:space="preserve"> achievement of transfusion independence or a clinically significant reduction in transfusion requirement would be an important result. Frequent transfusions not only are a practical burden of treatment but also result in increased iron overload and greater time experiencing fatigue prior to the next transfusion cycle. This reduction of transfusion dependence would need to be sustained to be of a significant clinical benefit.</w:t>
      </w:r>
    </w:p>
    <w:p w14:paraId="68C79732" w14:textId="5FC4320F" w:rsidR="005160F0" w:rsidRDefault="005160F0" w:rsidP="005160F0">
      <w:proofErr w:type="spellStart"/>
      <w:r w:rsidRPr="001117BF">
        <w:t>Fenaux</w:t>
      </w:r>
      <w:proofErr w:type="spellEnd"/>
      <w:r w:rsidR="001117BF">
        <w:t xml:space="preserve"> et al.;</w:t>
      </w:r>
      <w:r w:rsidR="00A15ABA" w:rsidRPr="001117BF">
        <w:rPr>
          <w:i/>
          <w:iCs/>
        </w:rPr>
        <w:fldChar w:fldCharType="begin"/>
      </w:r>
      <w:r w:rsidR="00A15ABA" w:rsidRPr="001117BF">
        <w:rPr>
          <w:i/>
          <w:iCs/>
        </w:rPr>
        <w:instrText xml:space="preserve"> NOTEREF _Ref90281850 \f \h </w:instrText>
      </w:r>
      <w:r w:rsidR="001117BF">
        <w:rPr>
          <w:i/>
          <w:iCs/>
        </w:rPr>
        <w:instrText xml:space="preserve"> \* MERGEFORMAT </w:instrText>
      </w:r>
      <w:r w:rsidR="00A15ABA" w:rsidRPr="001117BF">
        <w:rPr>
          <w:i/>
          <w:iCs/>
        </w:rPr>
      </w:r>
      <w:r w:rsidR="00A15ABA" w:rsidRPr="001117BF">
        <w:rPr>
          <w:i/>
          <w:iCs/>
        </w:rPr>
        <w:fldChar w:fldCharType="separate"/>
      </w:r>
      <w:r w:rsidR="00A15ABA" w:rsidRPr="00704E63">
        <w:rPr>
          <w:rStyle w:val="FootnoteReference"/>
        </w:rPr>
        <w:t>10</w:t>
      </w:r>
      <w:r w:rsidR="00A15ABA" w:rsidRPr="001117BF">
        <w:rPr>
          <w:i/>
          <w:iCs/>
        </w:rPr>
        <w:fldChar w:fldCharType="end"/>
      </w:r>
      <w:r>
        <w:t xml:space="preserve"> report that 38% of the treatment group had transfusion independence for </w:t>
      </w:r>
      <w:r w:rsidR="00DB33C4">
        <w:t>8 </w:t>
      </w:r>
      <w:r>
        <w:t xml:space="preserve">weeks or longer as compared with 13% in the placebo group. This response was most pronounced for patients in the group receiving the least transfusions pretrial entry (80% receiving less than </w:t>
      </w:r>
      <w:r w:rsidR="00DB33C4">
        <w:t xml:space="preserve">four </w:t>
      </w:r>
      <w:r>
        <w:t xml:space="preserve">units per </w:t>
      </w:r>
      <w:r w:rsidR="00DB33C4">
        <w:t>8 </w:t>
      </w:r>
      <w:r>
        <w:t>weeks, 37% who were receiving 4</w:t>
      </w:r>
      <w:r w:rsidR="00DB33C4">
        <w:t> to </w:t>
      </w:r>
      <w:r w:rsidR="00B104B0">
        <w:t>6 </w:t>
      </w:r>
      <w:r>
        <w:t xml:space="preserve">units per </w:t>
      </w:r>
      <w:r w:rsidR="00B104B0">
        <w:t>8 </w:t>
      </w:r>
      <w:r>
        <w:t xml:space="preserve">weeks and only 9% of patients receiving greater than </w:t>
      </w:r>
      <w:r w:rsidR="00B104B0">
        <w:t xml:space="preserve">six </w:t>
      </w:r>
      <w:r>
        <w:t xml:space="preserve">units per </w:t>
      </w:r>
      <w:r w:rsidR="00B104B0">
        <w:t>8 </w:t>
      </w:r>
      <w:r>
        <w:t>weeks pretrial entry). There was a mean reduction in the red cell units of 3.6 to 7.1</w:t>
      </w:r>
      <w:r w:rsidR="00572D76">
        <w:t> </w:t>
      </w:r>
      <w:r>
        <w:t>units compared to placebo during weeks 1</w:t>
      </w:r>
      <w:r w:rsidR="001B573B">
        <w:t> to </w:t>
      </w:r>
      <w:r>
        <w:t>24 (mean -5.3</w:t>
      </w:r>
      <w:r w:rsidR="00572D76">
        <w:t> </w:t>
      </w:r>
      <w:r>
        <w:t xml:space="preserve">units) and this effect was stable through the second part of the study though to </w:t>
      </w:r>
      <w:r w:rsidR="001B573B">
        <w:t>week </w:t>
      </w:r>
      <w:r>
        <w:t xml:space="preserve">48. There was a very small proportion of patients who achieved long term transfusion independence. The significance of the </w:t>
      </w:r>
      <w:proofErr w:type="gramStart"/>
      <w:r>
        <w:t>longer</w:t>
      </w:r>
      <w:r w:rsidR="001B573B">
        <w:t xml:space="preserve"> </w:t>
      </w:r>
      <w:r>
        <w:t>term</w:t>
      </w:r>
      <w:proofErr w:type="gramEnd"/>
      <w:r>
        <w:t xml:space="preserve"> outcomes was unclear due to the lack of a clear comparator with the majority of placebo patients being withdrawn from study after </w:t>
      </w:r>
      <w:r w:rsidR="001B573B">
        <w:t>week </w:t>
      </w:r>
      <w:r>
        <w:t>24. The secondary analyses supported the primary endpoint.</w:t>
      </w:r>
    </w:p>
    <w:p w14:paraId="4C005505" w14:textId="0644D3CA" w:rsidR="005160F0" w:rsidRDefault="005160F0" w:rsidP="005160F0">
      <w:r>
        <w:t xml:space="preserve">The measured reduction in transfusion burden if translated to the current clinical environment would reduce transfusion burden most in the group of patients with the least need (those with less than </w:t>
      </w:r>
      <w:r w:rsidR="00CA0821">
        <w:t xml:space="preserve">four </w:t>
      </w:r>
      <w:r>
        <w:t xml:space="preserve">units per </w:t>
      </w:r>
      <w:r w:rsidR="00CA0821">
        <w:t>8 </w:t>
      </w:r>
      <w:r>
        <w:t xml:space="preserve">weeks) however the longer term effect of this would be to delay the onset of transfusion dependence and reduce the longer term complications of transfusion such as iron overload and red cell antibody formation, as well as a reduction in use of hospital resources, supply of </w:t>
      </w:r>
      <w:r w:rsidR="001117BF">
        <w:t>red blood cell</w:t>
      </w:r>
      <w:r>
        <w:t xml:space="preserve"> concentrates and a likely improved quality of life due to reduction of both time in hospital and a more stable haemoglobin achieved by the transfusion independence.</w:t>
      </w:r>
    </w:p>
    <w:p w14:paraId="38C055E0" w14:textId="77777777" w:rsidR="001117BF" w:rsidRDefault="005160F0" w:rsidP="00D159F0">
      <w:r>
        <w:t>This would be a significant improvement for this patient population and allow a proportion independence from transfusion or reduction in transfusio</w:t>
      </w:r>
      <w:r w:rsidR="001117BF">
        <w:t>n with the associated benefits.</w:t>
      </w:r>
    </w:p>
    <w:p w14:paraId="696D6351" w14:textId="1D9B92B1" w:rsidR="00D159F0" w:rsidRDefault="001117BF" w:rsidP="00D159F0">
      <w:r>
        <w:t>Beta-t</w:t>
      </w:r>
      <w:r w:rsidR="005856D7">
        <w:t xml:space="preserve">halassaemia </w:t>
      </w:r>
      <w:r w:rsidR="00D159F0">
        <w:t xml:space="preserve">is an inherited disorder of haemoglobin production resulting in an absence or mutation in the </w:t>
      </w:r>
      <w:r>
        <w:t>beta</w:t>
      </w:r>
      <w:r w:rsidR="00370651">
        <w:rPr>
          <w:i/>
          <w:iCs/>
        </w:rPr>
        <w:t>-</w:t>
      </w:r>
      <w:r w:rsidR="00D159F0">
        <w:t xml:space="preserve">globin gene that causes an inability of the haemoglobin molecule to effectively carry oxygen when inherited in a homozygous pattern. Patients are transfusion dependent from a young age (generally before the second birthday) and remain so lifelong. There is a subgroup of patients with a </w:t>
      </w:r>
      <w:r>
        <w:t>beta-</w:t>
      </w:r>
      <w:r w:rsidR="00D159F0">
        <w:t>thalassaemia intermedia who are only transfusion dependent as they age or face physiological challenges such as illness as adults.</w:t>
      </w:r>
    </w:p>
    <w:p w14:paraId="248809B2" w14:textId="0BF7C5C1" w:rsidR="00D159F0" w:rsidRDefault="001117BF" w:rsidP="00D159F0">
      <w:r>
        <w:t>The transfusion dependence in beta-</w:t>
      </w:r>
      <w:r w:rsidR="00D159F0">
        <w:t>thalassaemia results in significant issues with iron overload that are manifest as hepatic and cardiac iron depositio</w:t>
      </w:r>
      <w:r>
        <w:t xml:space="preserve">n and resultant organ failure, </w:t>
      </w:r>
      <w:r w:rsidR="00D159F0">
        <w:t xml:space="preserve">heart, </w:t>
      </w:r>
      <w:proofErr w:type="gramStart"/>
      <w:r w:rsidR="00D159F0">
        <w:t>liver</w:t>
      </w:r>
      <w:proofErr w:type="gramEnd"/>
      <w:r w:rsidR="00D159F0">
        <w:t xml:space="preserve"> and endocrine organs if not actively managed with iron chelation. Patients with </w:t>
      </w:r>
      <w:r>
        <w:t>beta-t</w:t>
      </w:r>
      <w:r w:rsidR="00D159F0">
        <w:t>halassaemia major spend significant amounts of time in the hospital receiving transfusions (</w:t>
      </w:r>
      <w:r>
        <w:t>t</w:t>
      </w:r>
      <w:r w:rsidR="00BC4DDD">
        <w:t>wo</w:t>
      </w:r>
      <w:r w:rsidR="00D159F0">
        <w:t xml:space="preserve"> or </w:t>
      </w:r>
      <w:r w:rsidR="00BC4DDD">
        <w:t xml:space="preserve">three </w:t>
      </w:r>
      <w:r w:rsidR="00D159F0">
        <w:t xml:space="preserve">units of red cells, </w:t>
      </w:r>
      <w:r w:rsidR="00BC4DDD">
        <w:t xml:space="preserve">two </w:t>
      </w:r>
      <w:r w:rsidR="00D159F0">
        <w:t xml:space="preserve">or </w:t>
      </w:r>
      <w:r w:rsidR="00BC4DDD">
        <w:t xml:space="preserve">three </w:t>
      </w:r>
      <w:proofErr w:type="gramStart"/>
      <w:r w:rsidR="00D159F0">
        <w:t>weekly</w:t>
      </w:r>
      <w:proofErr w:type="gramEnd"/>
      <w:r w:rsidR="00D159F0">
        <w:t xml:space="preserve"> is typical) and administer iron chelation either orally or subcutaneously daily at home. All iron chelators have known adverse events that require close</w:t>
      </w:r>
      <w:r>
        <w:t xml:space="preserve"> monitoring. Most patients with beta</w:t>
      </w:r>
      <w:r>
        <w:noBreakHyphen/>
      </w:r>
      <w:r w:rsidR="00D159F0">
        <w:t>thalassaemia major have long term complications of their disease that are directly related to the long-term effects of iron overload.</w:t>
      </w:r>
    </w:p>
    <w:p w14:paraId="11E8C164" w14:textId="2909595C" w:rsidR="00D159F0" w:rsidRDefault="00301BCA" w:rsidP="00D159F0">
      <w:r>
        <w:t>The pivotal study</w:t>
      </w:r>
      <w:r w:rsidR="001117BF">
        <w:t xml:space="preserve"> (Study ACE-536-β-THAL-001; </w:t>
      </w:r>
      <w:r>
        <w:t>BELIEVE trial</w:t>
      </w:r>
      <w:r w:rsidR="001117BF">
        <w:t xml:space="preserve">) </w:t>
      </w:r>
      <w:r w:rsidR="00D159F0">
        <w:t xml:space="preserve">in </w:t>
      </w:r>
      <w:r>
        <w:t>beta-</w:t>
      </w:r>
      <w:r w:rsidR="00D159F0">
        <w:t xml:space="preserve">thalassemia major of </w:t>
      </w:r>
      <w:proofErr w:type="spellStart"/>
      <w:r w:rsidR="00D159F0">
        <w:t>luspatercept</w:t>
      </w:r>
      <w:proofErr w:type="spellEnd"/>
      <w:r w:rsidR="00D159F0">
        <w:t xml:space="preserve"> is presented </w:t>
      </w:r>
      <w:r w:rsidR="00D159F0" w:rsidRPr="001117BF">
        <w:t xml:space="preserve">in </w:t>
      </w:r>
      <w:proofErr w:type="spellStart"/>
      <w:r w:rsidR="00D159F0" w:rsidRPr="001117BF">
        <w:t>Cappellini</w:t>
      </w:r>
      <w:proofErr w:type="spellEnd"/>
      <w:r w:rsidR="001117BF">
        <w:t xml:space="preserve"> et al.,</w:t>
      </w:r>
      <w:r w:rsidR="000F4709" w:rsidRPr="001117BF">
        <w:fldChar w:fldCharType="begin"/>
      </w:r>
      <w:r w:rsidR="000F4709" w:rsidRPr="001117BF">
        <w:rPr>
          <w:i/>
          <w:iCs/>
        </w:rPr>
        <w:instrText xml:space="preserve"> NOTEREF _Ref90373070 \f \h </w:instrText>
      </w:r>
      <w:r w:rsidR="001117BF">
        <w:instrText xml:space="preserve"> \* MERGEFORMAT </w:instrText>
      </w:r>
      <w:r w:rsidR="000F4709" w:rsidRPr="001117BF">
        <w:fldChar w:fldCharType="separate"/>
      </w:r>
      <w:r w:rsidR="000F4709" w:rsidRPr="00704E63">
        <w:rPr>
          <w:rStyle w:val="FootnoteReference"/>
        </w:rPr>
        <w:t>16</w:t>
      </w:r>
      <w:r w:rsidR="000F4709" w:rsidRPr="001117BF">
        <w:fldChar w:fldCharType="end"/>
      </w:r>
      <w:r w:rsidR="001117BF">
        <w:t xml:space="preserve"> </w:t>
      </w:r>
      <w:r w:rsidR="000F4709" w:rsidRPr="001117BF">
        <w:t xml:space="preserve">which </w:t>
      </w:r>
      <w:r w:rsidR="00D159F0" w:rsidRPr="001117BF">
        <w:t xml:space="preserve">reports a </w:t>
      </w:r>
      <w:r w:rsidR="000F4709" w:rsidRPr="001117BF">
        <w:t xml:space="preserve">Phase </w:t>
      </w:r>
      <w:r w:rsidR="001117BF">
        <w:t>III</w:t>
      </w:r>
      <w:r w:rsidR="00D159F0" w:rsidRPr="001117BF">
        <w:t xml:space="preserve"> </w:t>
      </w:r>
      <w:r w:rsidR="001117BF">
        <w:t>c</w:t>
      </w:r>
      <w:r w:rsidR="000F4709" w:rsidRPr="001117BF">
        <w:t xml:space="preserve">linical </w:t>
      </w:r>
      <w:r w:rsidR="001117BF">
        <w:t>t</w:t>
      </w:r>
      <w:r w:rsidR="000F4709" w:rsidRPr="001117BF">
        <w:t xml:space="preserve">rial </w:t>
      </w:r>
      <w:r w:rsidR="00D159F0" w:rsidRPr="001117BF">
        <w:t>of adu</w:t>
      </w:r>
      <w:r>
        <w:t>lts with transfusion</w:t>
      </w:r>
      <w:r>
        <w:noBreakHyphen/>
      </w:r>
      <w:r w:rsidR="00D159F0" w:rsidRPr="001117BF">
        <w:t>dependent</w:t>
      </w:r>
      <w:r>
        <w:t xml:space="preserve"> beta-</w:t>
      </w:r>
      <w:r w:rsidR="00D159F0">
        <w:t xml:space="preserve">thalassaemia receiving </w:t>
      </w:r>
      <w:proofErr w:type="spellStart"/>
      <w:r w:rsidR="00D159F0">
        <w:t>luspatercept</w:t>
      </w:r>
      <w:proofErr w:type="spellEnd"/>
      <w:r w:rsidR="00D159F0">
        <w:t xml:space="preserve"> </w:t>
      </w:r>
      <w:r w:rsidR="00F60A3B" w:rsidRPr="00301BCA">
        <w:rPr>
          <w:iCs/>
        </w:rPr>
        <w:t>versus</w:t>
      </w:r>
      <w:r w:rsidR="00F60A3B">
        <w:t xml:space="preserve"> </w:t>
      </w:r>
      <w:r w:rsidR="00D159F0">
        <w:t xml:space="preserve">placebo in combination with best supportive care. The primary end point was the percentage of patients with a reduction in the transfusion burden of at least 33% from baseline during </w:t>
      </w:r>
      <w:r w:rsidR="00F60A3B">
        <w:t>weeks </w:t>
      </w:r>
      <w:r w:rsidR="00D159F0">
        <w:t xml:space="preserve">13 through to </w:t>
      </w:r>
      <w:r w:rsidR="00F60A3B">
        <w:t>week </w:t>
      </w:r>
      <w:r w:rsidR="00D159F0">
        <w:t xml:space="preserve">24 plus a reduction of at least </w:t>
      </w:r>
      <w:r w:rsidR="00DC1FFB">
        <w:t xml:space="preserve">two </w:t>
      </w:r>
      <w:r w:rsidR="00D159F0">
        <w:t xml:space="preserve">red cell units over the </w:t>
      </w:r>
      <w:proofErr w:type="gramStart"/>
      <w:r w:rsidR="00D159F0">
        <w:t>12</w:t>
      </w:r>
      <w:r w:rsidR="00DC1FFB">
        <w:t> </w:t>
      </w:r>
      <w:r w:rsidR="00D159F0">
        <w:t>week</w:t>
      </w:r>
      <w:proofErr w:type="gramEnd"/>
      <w:r w:rsidR="00D159F0">
        <w:t xml:space="preserve"> interval. Secondary endpoints included the transfusion burden and iron overload parameters.</w:t>
      </w:r>
    </w:p>
    <w:p w14:paraId="294FD6FF" w14:textId="6C7545DB" w:rsidR="00D159F0" w:rsidRDefault="00D159F0" w:rsidP="00D159F0">
      <w:r>
        <w:t xml:space="preserve">The patient population was broadly representative of the Australian population with </w:t>
      </w:r>
      <w:r w:rsidR="00301BCA">
        <w:t>beta</w:t>
      </w:r>
      <w:r w:rsidR="00301BCA">
        <w:noBreakHyphen/>
      </w:r>
      <w:r>
        <w:t xml:space="preserve">thalassaemia, and transfusion dependence was defined as the receipt of 6 to 20 units of red cells in the </w:t>
      </w:r>
      <w:r w:rsidR="00526DE7">
        <w:t>24 </w:t>
      </w:r>
      <w:r>
        <w:t xml:space="preserve">weeks prior to </w:t>
      </w:r>
      <w:r w:rsidR="00526DE7">
        <w:t xml:space="preserve">randomisation </w:t>
      </w:r>
      <w:r>
        <w:t>and no transfusion free period during that time of &gt;</w:t>
      </w:r>
      <w:r w:rsidR="00526DE7">
        <w:t> </w:t>
      </w:r>
      <w:r>
        <w:t>35 days.</w:t>
      </w:r>
    </w:p>
    <w:p w14:paraId="76F7BAEB" w14:textId="1640316C" w:rsidR="00D159F0" w:rsidRDefault="00D159F0" w:rsidP="00D159F0">
      <w:r>
        <w:t xml:space="preserve">The primary endpoints of the study were met with more patients receiving </w:t>
      </w:r>
      <w:proofErr w:type="spellStart"/>
      <w:r>
        <w:t>luspatercept</w:t>
      </w:r>
      <w:proofErr w:type="spellEnd"/>
      <w:r>
        <w:t xml:space="preserve"> achieving a reduction in the burden of red cell transfusions (&gt;</w:t>
      </w:r>
      <w:r w:rsidR="00526DE7">
        <w:t> </w:t>
      </w:r>
      <w:r>
        <w:t xml:space="preserve">33% reduction from baseline) as compared to the placebo (21.4% </w:t>
      </w:r>
      <w:r w:rsidR="00526DE7">
        <w:t xml:space="preserve">versus </w:t>
      </w:r>
      <w:r>
        <w:t xml:space="preserve">4.5% respectively). This was both during </w:t>
      </w:r>
      <w:r w:rsidR="00526DE7">
        <w:t>weeks </w:t>
      </w:r>
      <w:r>
        <w:t xml:space="preserve">13 to 24 and again seen in </w:t>
      </w:r>
      <w:r w:rsidR="00877752">
        <w:t>weeks </w:t>
      </w:r>
      <w:r>
        <w:t xml:space="preserve">37 through 48 with a reduction of at least </w:t>
      </w:r>
      <w:r w:rsidR="00877752">
        <w:t xml:space="preserve">two </w:t>
      </w:r>
      <w:r>
        <w:t xml:space="preserve">red cell units over this </w:t>
      </w:r>
      <w:proofErr w:type="gramStart"/>
      <w:r>
        <w:t>12</w:t>
      </w:r>
      <w:r w:rsidR="00877752">
        <w:t> </w:t>
      </w:r>
      <w:r>
        <w:t>week</w:t>
      </w:r>
      <w:proofErr w:type="gramEnd"/>
      <w:r>
        <w:t xml:space="preserve"> interval. This reduction in transfusion burden was the same in all subgroups including patients with severe disease, with a high transfusion burden or with </w:t>
      </w:r>
      <w:r w:rsidR="00226235" w:rsidRPr="00226235">
        <w:rPr>
          <w:i/>
          <w:iCs/>
        </w:rPr>
        <w:t>β</w:t>
      </w:r>
      <w:r w:rsidRPr="00301BCA">
        <w:rPr>
          <w:vertAlign w:val="superscript"/>
        </w:rPr>
        <w:t>0</w:t>
      </w:r>
      <w:r w:rsidR="00301BCA">
        <w:t>/</w:t>
      </w:r>
      <w:r w:rsidR="00226235" w:rsidRPr="00226235">
        <w:rPr>
          <w:i/>
          <w:iCs/>
        </w:rPr>
        <w:t>β</w:t>
      </w:r>
      <w:r w:rsidRPr="00301BCA">
        <w:rPr>
          <w:vertAlign w:val="superscript"/>
        </w:rPr>
        <w:t>0</w:t>
      </w:r>
      <w:r>
        <w:t xml:space="preserve"> gene mutation. Additionally, patients had a reduction in the serum ferritin but no reduction in liver iron loading was seen.</w:t>
      </w:r>
    </w:p>
    <w:p w14:paraId="18CAB1C0" w14:textId="495C8E5C" w:rsidR="00D159F0" w:rsidRDefault="00301BCA" w:rsidP="00D159F0">
      <w:r>
        <w:t>For the average patient in this</w:t>
      </w:r>
      <w:r w:rsidR="00D159F0">
        <w:t xml:space="preserve"> clinical trial</w:t>
      </w:r>
      <w:r>
        <w:t>,</w:t>
      </w:r>
      <w:r w:rsidR="00D159F0">
        <w:t xml:space="preserve"> this equates to a reduction of approximately 7</w:t>
      </w:r>
      <w:r w:rsidR="002721C8">
        <w:t> to </w:t>
      </w:r>
      <w:r>
        <w:t>8 </w:t>
      </w:r>
      <w:r w:rsidR="00D159F0">
        <w:t xml:space="preserve">red cell units over a </w:t>
      </w:r>
      <w:proofErr w:type="gramStart"/>
      <w:r w:rsidR="00D159F0">
        <w:t>6</w:t>
      </w:r>
      <w:r w:rsidR="002721C8">
        <w:t> </w:t>
      </w:r>
      <w:r>
        <w:t>month</w:t>
      </w:r>
      <w:proofErr w:type="gramEnd"/>
      <w:r>
        <w:t xml:space="preserve"> period,</w:t>
      </w:r>
      <w:r w:rsidR="00D159F0">
        <w:t xml:space="preserve"> either giving patients less units with each visit or increasing the duration of time between visits. Considering for</w:t>
      </w:r>
      <w:r>
        <w:t xml:space="preserve"> most patients with transfusion</w:t>
      </w:r>
      <w:r>
        <w:noBreakHyphen/>
      </w:r>
      <w:r w:rsidR="00D159F0">
        <w:t xml:space="preserve">dependent </w:t>
      </w:r>
      <w:r>
        <w:t>beta-</w:t>
      </w:r>
      <w:r w:rsidR="00D159F0">
        <w:t xml:space="preserve">thalassaemia would receive 15 to 20 red cell units in this </w:t>
      </w:r>
      <w:proofErr w:type="gramStart"/>
      <w:r w:rsidR="00D159F0">
        <w:t>6</w:t>
      </w:r>
      <w:r w:rsidR="006A1654">
        <w:t> </w:t>
      </w:r>
      <w:r w:rsidR="00D159F0">
        <w:t>month</w:t>
      </w:r>
      <w:proofErr w:type="gramEnd"/>
      <w:r w:rsidR="00D159F0">
        <w:t xml:space="preserve"> period this is a clinically significant difference which would improve quality of life, reduce the time in hospital and resource </w:t>
      </w:r>
      <w:r w:rsidR="006A1654">
        <w:t xml:space="preserve">utilisation </w:t>
      </w:r>
      <w:r w:rsidR="00D159F0">
        <w:t>(including use of red cell units) and equate to less time in hospital for patients with a chronic lifelong burden of disease.</w:t>
      </w:r>
    </w:p>
    <w:p w14:paraId="791FDF23" w14:textId="7ECE2B8C" w:rsidR="00D159F0" w:rsidRDefault="00D159F0" w:rsidP="00D159F0">
      <w:r>
        <w:t xml:space="preserve">Importantly the ability to manage iron overload is also improved with a reduction in ferritin presumably through the reduction in transfusion which has a direct relationship to iron overload. Ferritin is the standard measure of iron load and is the benchmark by which iron chelation therapy is assessed and adjusted. Reduction of ferritin should result in less risk of cardiac and hepatic iron overload and a reduction in the use of iron chelation therapy. It is not surprising the clinical trial does not demonstrate a reduction in hepatic iron overload as this is a </w:t>
      </w:r>
      <w:proofErr w:type="gramStart"/>
      <w:r>
        <w:t>longer</w:t>
      </w:r>
      <w:r w:rsidR="008F0FE5">
        <w:t xml:space="preserve"> </w:t>
      </w:r>
      <w:r>
        <w:t>term</w:t>
      </w:r>
      <w:proofErr w:type="gramEnd"/>
      <w:r>
        <w:t xml:space="preserve"> measure of iron deposition and the timeframe of the clinical trial is too short to demonstrate such an outcome. Management of iron overload is one of the biggest challenges i</w:t>
      </w:r>
      <w:r w:rsidR="00301BCA">
        <w:t>n patients with transfusion</w:t>
      </w:r>
      <w:r w:rsidR="00301BCA">
        <w:noBreakHyphen/>
      </w:r>
      <w:r>
        <w:t xml:space="preserve">dependent </w:t>
      </w:r>
      <w:r w:rsidR="00301BCA">
        <w:t>beta-t</w:t>
      </w:r>
      <w:r>
        <w:t>halassaemia and a reduction in this burden is of significant clinical advantage for patients.</w:t>
      </w:r>
    </w:p>
    <w:p w14:paraId="56C0352E" w14:textId="3466FE97" w:rsidR="00D159F0" w:rsidRDefault="00D159F0" w:rsidP="00440EF2">
      <w:pPr>
        <w:pStyle w:val="ListParagraph"/>
        <w:numPr>
          <w:ilvl w:val="0"/>
          <w:numId w:val="7"/>
        </w:numPr>
        <w:ind w:left="357" w:hanging="357"/>
      </w:pPr>
      <w:r w:rsidRPr="00704E63">
        <w:rPr>
          <w:b/>
          <w:bCs/>
          <w:i/>
          <w:iCs/>
        </w:rPr>
        <w:t xml:space="preserve">Is the proposed second line indication for </w:t>
      </w:r>
      <w:proofErr w:type="spellStart"/>
      <w:r w:rsidRPr="00704E63">
        <w:rPr>
          <w:b/>
          <w:bCs/>
          <w:i/>
          <w:iCs/>
        </w:rPr>
        <w:t>luspatercept</w:t>
      </w:r>
      <w:proofErr w:type="spellEnd"/>
      <w:r w:rsidRPr="00704E63">
        <w:rPr>
          <w:b/>
          <w:bCs/>
          <w:i/>
          <w:iCs/>
        </w:rPr>
        <w:t xml:space="preserve"> in </w:t>
      </w:r>
      <w:r w:rsidR="00301BCA">
        <w:rPr>
          <w:b/>
          <w:bCs/>
          <w:i/>
          <w:iCs/>
        </w:rPr>
        <w:t>myelodysplastic syndromes</w:t>
      </w:r>
      <w:r w:rsidRPr="00704E63">
        <w:rPr>
          <w:b/>
          <w:bCs/>
          <w:i/>
          <w:iCs/>
        </w:rPr>
        <w:t xml:space="preserve"> appropriate in Australia where </w:t>
      </w:r>
      <w:r w:rsidR="00301BCA">
        <w:rPr>
          <w:b/>
          <w:bCs/>
          <w:i/>
          <w:iCs/>
        </w:rPr>
        <w:t>erythropoiesis stimulating agents are not TGA</w:t>
      </w:r>
      <w:r w:rsidR="00301BCA">
        <w:rPr>
          <w:b/>
          <w:bCs/>
          <w:i/>
          <w:iCs/>
        </w:rPr>
        <w:noBreakHyphen/>
      </w:r>
      <w:r w:rsidRPr="00704E63">
        <w:rPr>
          <w:b/>
          <w:bCs/>
          <w:i/>
          <w:iCs/>
        </w:rPr>
        <w:t xml:space="preserve">approved to treat the anaemia associated with </w:t>
      </w:r>
      <w:r w:rsidR="00301BCA">
        <w:rPr>
          <w:b/>
          <w:bCs/>
          <w:i/>
          <w:iCs/>
        </w:rPr>
        <w:t>myelodysplastic syndrome</w:t>
      </w:r>
      <w:r w:rsidRPr="00704E63">
        <w:rPr>
          <w:b/>
          <w:bCs/>
          <w:i/>
          <w:iCs/>
        </w:rPr>
        <w:t>?</w:t>
      </w:r>
    </w:p>
    <w:p w14:paraId="28A43612" w14:textId="466988AE" w:rsidR="00AB210A" w:rsidRDefault="00D159F0" w:rsidP="0042400B">
      <w:r>
        <w:t xml:space="preserve">In Australia the indications for use of </w:t>
      </w:r>
      <w:r w:rsidR="00301BCA">
        <w:t>erythropoiesis stimulating agents (</w:t>
      </w:r>
      <w:r>
        <w:t>ESAs</w:t>
      </w:r>
      <w:r w:rsidR="00301BCA">
        <w:t>)</w:t>
      </w:r>
      <w:r>
        <w:t xml:space="preserve"> are restricted by both the l</w:t>
      </w:r>
      <w:r w:rsidR="000C2E22">
        <w:t>isting on by the TGA and the Prescribing Benefits Scheme (PBS)</w:t>
      </w:r>
      <w:r>
        <w:t xml:space="preserve"> eligibility criteria. Common to both is the listing for patients with chronic renal insufficiency and anaemia. The TGA listing is broader also including the treatment of anaemia and reduction of transfusion requirements in patients with </w:t>
      </w:r>
      <w:proofErr w:type="spellStart"/>
      <w:r>
        <w:t>nonmyeloid</w:t>
      </w:r>
      <w:proofErr w:type="spellEnd"/>
      <w:r>
        <w:t xml:space="preserve"> malignancies where anaemia develops because of concomitantly administered chemotherapy. Effectively neither include patients with </w:t>
      </w:r>
      <w:r w:rsidR="00301BCA">
        <w:t>myelodysplastic syndromes</w:t>
      </w:r>
      <w:r>
        <w:t xml:space="preserve"> </w:t>
      </w:r>
      <w:proofErr w:type="gramStart"/>
      <w:r>
        <w:t>with the exception of</w:t>
      </w:r>
      <w:proofErr w:type="gramEnd"/>
      <w:r>
        <w:t xml:space="preserve"> patients who may have concomitant chronic renal impairment.</w:t>
      </w:r>
    </w:p>
    <w:p w14:paraId="058C3940" w14:textId="56440248" w:rsidR="0042400B" w:rsidRDefault="0042400B" w:rsidP="0042400B">
      <w:r>
        <w:t xml:space="preserve">Hence the listing as ‘second line’ is inappropriate for </w:t>
      </w:r>
      <w:proofErr w:type="gramStart"/>
      <w:r>
        <w:t>the majority of</w:t>
      </w:r>
      <w:proofErr w:type="gramEnd"/>
      <w:r>
        <w:t xml:space="preserve"> patients with </w:t>
      </w:r>
      <w:r w:rsidR="00301BCA">
        <w:t>myelodysplastic syndromes</w:t>
      </w:r>
      <w:r>
        <w:t xml:space="preserve"> who do not have access to an ESA. As the listing is written however it does consider that patients will reach this second line status by being ineligible for use of an ESA as well as having failed an ESA and hence does not exclude any patients. A first line listing would need to consider the efficacy and safety of a potential combination of an ESA and </w:t>
      </w:r>
      <w:proofErr w:type="spellStart"/>
      <w:r>
        <w:t>luspatercept</w:t>
      </w:r>
      <w:proofErr w:type="spellEnd"/>
      <w:r>
        <w:t xml:space="preserve"> or specifically exclude the use in combination.</w:t>
      </w:r>
    </w:p>
    <w:p w14:paraId="0A185D06" w14:textId="07EF92F4" w:rsidR="000C2E22" w:rsidRPr="000C2E22" w:rsidRDefault="000C2E22" w:rsidP="0042400B">
      <w:pPr>
        <w:rPr>
          <w:b/>
        </w:rPr>
      </w:pPr>
      <w:r w:rsidRPr="000C2E22">
        <w:rPr>
          <w:b/>
        </w:rPr>
        <w:t>Advice from the third expert:</w:t>
      </w:r>
    </w:p>
    <w:p w14:paraId="27E465D5" w14:textId="6215E75E" w:rsidR="0042400B" w:rsidRDefault="0042400B" w:rsidP="00440EF2">
      <w:pPr>
        <w:pStyle w:val="ListParagraph"/>
        <w:numPr>
          <w:ilvl w:val="0"/>
          <w:numId w:val="8"/>
        </w:numPr>
      </w:pPr>
      <w:r w:rsidRPr="000C2E22">
        <w:rPr>
          <w:b/>
          <w:bCs/>
          <w:i/>
          <w:iCs/>
        </w:rPr>
        <w:t xml:space="preserve">Do you think that the pivotal studies in </w:t>
      </w:r>
      <w:r w:rsidR="00301BCA">
        <w:rPr>
          <w:b/>
          <w:bCs/>
          <w:i/>
          <w:iCs/>
        </w:rPr>
        <w:t>myelodysplastic syndrome</w:t>
      </w:r>
      <w:r w:rsidRPr="00704E63">
        <w:rPr>
          <w:b/>
          <w:bCs/>
          <w:i/>
          <w:iCs/>
        </w:rPr>
        <w:t xml:space="preserve"> and b</w:t>
      </w:r>
      <w:r w:rsidR="00301BCA">
        <w:rPr>
          <w:b/>
          <w:bCs/>
          <w:i/>
          <w:iCs/>
        </w:rPr>
        <w:t>eta</w:t>
      </w:r>
      <w:r w:rsidR="00301BCA">
        <w:rPr>
          <w:b/>
          <w:bCs/>
          <w:i/>
          <w:iCs/>
        </w:rPr>
        <w:noBreakHyphen/>
      </w:r>
      <w:r w:rsidRPr="00704E63">
        <w:rPr>
          <w:b/>
          <w:bCs/>
          <w:i/>
          <w:iCs/>
        </w:rPr>
        <w:t xml:space="preserve">thalassaemia demonstrate clinically meaningful treatment effects of </w:t>
      </w:r>
      <w:proofErr w:type="spellStart"/>
      <w:r w:rsidRPr="00704E63">
        <w:rPr>
          <w:b/>
          <w:bCs/>
          <w:i/>
          <w:iCs/>
        </w:rPr>
        <w:t>luspatercept</w:t>
      </w:r>
      <w:proofErr w:type="spellEnd"/>
      <w:r w:rsidRPr="00704E63">
        <w:rPr>
          <w:b/>
          <w:bCs/>
          <w:i/>
          <w:iCs/>
        </w:rPr>
        <w:t xml:space="preserve"> which are relevant for the Australian context?</w:t>
      </w:r>
    </w:p>
    <w:p w14:paraId="7923076A" w14:textId="3CDA5440" w:rsidR="00CF62C5" w:rsidRDefault="00301BCA" w:rsidP="00CF62C5">
      <w:r>
        <w:t xml:space="preserve">Yes, the expert’s </w:t>
      </w:r>
      <w:r w:rsidR="00CF62C5">
        <w:t>opi</w:t>
      </w:r>
      <w:r>
        <w:t>nion is based on review of the D</w:t>
      </w:r>
      <w:r w:rsidR="00CF62C5">
        <w:t xml:space="preserve">elegate’s summary, </w:t>
      </w:r>
      <w:r>
        <w:t>the published literature, and this expert’s</w:t>
      </w:r>
      <w:r w:rsidR="00CF62C5">
        <w:t xml:space="preserve"> own clinical and research experience, as </w:t>
      </w:r>
      <w:proofErr w:type="gramStart"/>
      <w:r w:rsidR="00CF62C5">
        <w:t>outlined</w:t>
      </w:r>
      <w:proofErr w:type="gramEnd"/>
      <w:r w:rsidR="00CF62C5">
        <w:t xml:space="preserve"> and referenced below, along with some comments on the Australian context.</w:t>
      </w:r>
    </w:p>
    <w:p w14:paraId="6DA76A6A" w14:textId="613832E1" w:rsidR="00CF62C5" w:rsidRPr="00B87A67" w:rsidRDefault="00CF62C5" w:rsidP="00CF62C5">
      <w:r w:rsidRPr="00301BCA">
        <w:rPr>
          <w:bCs/>
          <w:i/>
        </w:rPr>
        <w:t>Bac</w:t>
      </w:r>
      <w:r w:rsidR="00301BCA" w:rsidRPr="00301BCA">
        <w:rPr>
          <w:bCs/>
          <w:i/>
        </w:rPr>
        <w:t>kground:</w:t>
      </w:r>
      <w:r w:rsidR="00301BCA">
        <w:rPr>
          <w:b/>
          <w:bCs/>
        </w:rPr>
        <w:t xml:space="preserve"> </w:t>
      </w:r>
      <w:r>
        <w:t xml:space="preserve">New therapies for </w:t>
      </w:r>
      <w:r w:rsidR="00301BCA">
        <w:t>myelodysplastic syndromes</w:t>
      </w:r>
      <w:r>
        <w:t xml:space="preserve"> and </w:t>
      </w:r>
      <w:r w:rsidR="00301BCA">
        <w:t>beta-</w:t>
      </w:r>
      <w:r>
        <w:t>thalassaemia major are urgently required. Few curative options exist (such as allogeneic haematopoietic stem cell transplantation</w:t>
      </w:r>
      <w:r w:rsidR="00301BCA">
        <w:t xml:space="preserve"> </w:t>
      </w:r>
      <w:r w:rsidR="00A52BC1">
        <w:t>(</w:t>
      </w:r>
      <w:r>
        <w:t>HSCT</w:t>
      </w:r>
      <w:r w:rsidR="00A52BC1">
        <w:t xml:space="preserve">) </w:t>
      </w:r>
      <w:r>
        <w:t xml:space="preserve">for both </w:t>
      </w:r>
      <w:r w:rsidR="00301BCA">
        <w:t>the myelodysplastic syndromes</w:t>
      </w:r>
      <w:r>
        <w:t xml:space="preserve"> and </w:t>
      </w:r>
      <w:proofErr w:type="spellStart"/>
      <w:r>
        <w:t>thalassaemia</w:t>
      </w:r>
      <w:r w:rsidR="00301BCA">
        <w:t>s</w:t>
      </w:r>
      <w:proofErr w:type="spellEnd"/>
      <w:r>
        <w:t xml:space="preserve">, or gene therapy for thalassaemia), and where they do </w:t>
      </w:r>
      <w:proofErr w:type="gramStart"/>
      <w:r>
        <w:t>the majority of</w:t>
      </w:r>
      <w:proofErr w:type="gramEnd"/>
      <w:r>
        <w:t xml:space="preserve"> patients are either not clinically suitable to receive them (for example, due to age or comorbidities), or they have no access for a variety of reasons (such as availability of an HSCT donor, cost, or regulatory reasons</w:t>
      </w:r>
      <w:r w:rsidR="00804D4E">
        <w:t>.</w:t>
      </w:r>
      <w:r>
        <w:t xml:space="preserve"> </w:t>
      </w:r>
      <w:r w:rsidR="00804D4E">
        <w:t xml:space="preserve">For example, </w:t>
      </w:r>
      <w:r w:rsidR="00B87A67">
        <w:t>erythropoiesis stimulating agents (ESA</w:t>
      </w:r>
      <w:r>
        <w:t>s</w:t>
      </w:r>
      <w:r w:rsidR="00B87A67">
        <w:t>)</w:t>
      </w:r>
      <w:r>
        <w:t xml:space="preserve"> are not approved for </w:t>
      </w:r>
      <w:r w:rsidR="00B87A67">
        <w:t>myelodysplastic syndrome</w:t>
      </w:r>
      <w:r w:rsidR="00B87A67">
        <w:noBreakHyphen/>
      </w:r>
      <w:r>
        <w:t>associated anaemia in Australia). While the outlook for patients with these conditions has improved over recent decades as both diagnosis and supportive care have improved and some new therapies have become available (</w:t>
      </w:r>
      <w:r w:rsidR="00B87A67">
        <w:t>f</w:t>
      </w:r>
      <w:r w:rsidR="000B37A4">
        <w:t>or example,</w:t>
      </w:r>
      <w:r>
        <w:t xml:space="preserve"> lenalidomide for </w:t>
      </w:r>
      <w:r w:rsidR="00B87A67">
        <w:t>myelodysplastic syndrome</w:t>
      </w:r>
      <w:r>
        <w:t>), health</w:t>
      </w:r>
      <w:r w:rsidR="000B37A4">
        <w:t xml:space="preserve"> </w:t>
      </w:r>
      <w:r w:rsidR="00B87A67">
        <w:t>related quality of life</w:t>
      </w:r>
      <w:r>
        <w:t xml:space="preserve"> remains poor for many people living with these disorders, due to both their underlying disease and the complexities and complications of current therapies, as outlined in </w:t>
      </w:r>
      <w:r w:rsidR="00B87A67">
        <w:t>the D</w:t>
      </w:r>
      <w:r>
        <w:t>elegate’s overview.</w:t>
      </w:r>
    </w:p>
    <w:p w14:paraId="463812B5" w14:textId="553FC05B" w:rsidR="00D95A56" w:rsidRPr="00290B8C" w:rsidRDefault="00CF62C5" w:rsidP="00D95A56">
      <w:pPr>
        <w:rPr>
          <w:vertAlign w:val="superscript"/>
        </w:rPr>
      </w:pPr>
      <w:r>
        <w:t xml:space="preserve">Transfusion supportive care is a mainstay of management for patients with lower risk </w:t>
      </w:r>
      <w:r w:rsidR="00B87A67">
        <w:t>myelodysplastic syndromes</w:t>
      </w:r>
      <w:r>
        <w:t xml:space="preserve"> and </w:t>
      </w:r>
      <w:r w:rsidR="00B87A67">
        <w:t>beta-</w:t>
      </w:r>
      <w:r>
        <w:t xml:space="preserve">thalassaemia major </w:t>
      </w:r>
      <w:r w:rsidR="00B87A67">
        <w:t>and improves some aspects of quality of life</w:t>
      </w:r>
      <w:r>
        <w:t>. Transfusion support depends on availability of safe blood for transfusion and is readily available in high</w:t>
      </w:r>
      <w:r w:rsidR="00490C1A">
        <w:t xml:space="preserve"> </w:t>
      </w:r>
      <w:r>
        <w:t>income countries such as Australia. Howev</w:t>
      </w:r>
      <w:r w:rsidR="00B87A67">
        <w:t>er, regular red blood cell</w:t>
      </w:r>
      <w:r>
        <w:t xml:space="preserve"> transfusion every few weeks (typically every 2</w:t>
      </w:r>
      <w:r w:rsidR="00490C1A">
        <w:t> to </w:t>
      </w:r>
      <w:r>
        <w:t>6 weeks for transfusion</w:t>
      </w:r>
      <w:r w:rsidR="00490C1A">
        <w:t xml:space="preserve"> </w:t>
      </w:r>
      <w:r>
        <w:t>dependent patient</w:t>
      </w:r>
      <w:r w:rsidR="00B87A67">
        <w:t>s) over months to years (for myelodysplastic syndrome</w:t>
      </w:r>
      <w:r>
        <w:t>) or decades (for thalassaemia major) is time</w:t>
      </w:r>
      <w:r w:rsidR="00490C1A">
        <w:t xml:space="preserve"> </w:t>
      </w:r>
      <w:r>
        <w:t xml:space="preserve">consuming and burdensome for patients and families. Many aspects of optimal </w:t>
      </w:r>
      <w:r w:rsidR="00B87A67">
        <w:t>red blood cell</w:t>
      </w:r>
      <w:r>
        <w:t xml:space="preserve"> transfusion support remain uncertain and are not evidence</w:t>
      </w:r>
      <w:r w:rsidR="00D243FD">
        <w:t xml:space="preserve"> </w:t>
      </w:r>
      <w:r>
        <w:t>based, and complications are relatively common.</w:t>
      </w:r>
      <w:bookmarkStart w:id="73" w:name="_Ref90459848"/>
      <w:r w:rsidR="00ED7096">
        <w:rPr>
          <w:rStyle w:val="FootnoteReference"/>
        </w:rPr>
        <w:footnoteReference w:id="52"/>
      </w:r>
      <w:bookmarkEnd w:id="73"/>
      <w:r w:rsidR="00376090">
        <w:rPr>
          <w:vertAlign w:val="superscript"/>
        </w:rPr>
        <w:t>,</w:t>
      </w:r>
      <w:bookmarkStart w:id="74" w:name="_Ref90459879"/>
      <w:r w:rsidR="00376090">
        <w:rPr>
          <w:rStyle w:val="FootnoteReference"/>
        </w:rPr>
        <w:footnoteReference w:id="53"/>
      </w:r>
      <w:bookmarkEnd w:id="74"/>
      <w:r w:rsidR="00ED3193">
        <w:rPr>
          <w:vertAlign w:val="superscript"/>
        </w:rPr>
        <w:t>,</w:t>
      </w:r>
      <w:bookmarkStart w:id="75" w:name="_Ref90459904"/>
      <w:r w:rsidR="00ED3193">
        <w:rPr>
          <w:rStyle w:val="FootnoteReference"/>
        </w:rPr>
        <w:footnoteReference w:id="54"/>
      </w:r>
      <w:bookmarkEnd w:id="75"/>
      <w:r w:rsidR="00A91F1B">
        <w:rPr>
          <w:vertAlign w:val="superscript"/>
        </w:rPr>
        <w:t>,</w:t>
      </w:r>
      <w:bookmarkStart w:id="76" w:name="_Ref90467274"/>
      <w:r w:rsidR="00A91F1B">
        <w:rPr>
          <w:rStyle w:val="FootnoteReference"/>
        </w:rPr>
        <w:footnoteReference w:id="55"/>
      </w:r>
      <w:bookmarkEnd w:id="76"/>
      <w:r>
        <w:t xml:space="preserve"> The financial and other costs of providing long-term transfusion support, and of preventing and managing its complications (especially, in these settings, iron overload and</w:t>
      </w:r>
      <w:r w:rsidR="00D95A56">
        <w:t xml:space="preserve"> alloimmunisation), are substantial for patients and the community, although poorly documented.</w:t>
      </w:r>
      <w:bookmarkStart w:id="77" w:name="_Ref90459915"/>
      <w:r w:rsidR="00CD3858">
        <w:rPr>
          <w:rStyle w:val="FootnoteReference"/>
        </w:rPr>
        <w:footnoteReference w:id="56"/>
      </w:r>
      <w:bookmarkEnd w:id="77"/>
      <w:r w:rsidR="00290B8C">
        <w:rPr>
          <w:vertAlign w:val="superscript"/>
        </w:rPr>
        <w:t>,</w:t>
      </w:r>
      <w:r w:rsidR="00290B8C">
        <w:rPr>
          <w:rStyle w:val="FootnoteReference"/>
        </w:rPr>
        <w:footnoteReference w:id="57"/>
      </w:r>
    </w:p>
    <w:p w14:paraId="5CDB10CB" w14:textId="50E9A38E" w:rsidR="00D95A56" w:rsidRPr="00704E63" w:rsidRDefault="00B87A67" w:rsidP="00D95A56">
      <w:pPr>
        <w:rPr>
          <w:bCs/>
          <w:i/>
        </w:rPr>
      </w:pPr>
      <w:r w:rsidRPr="00B87A67">
        <w:rPr>
          <w:bCs/>
          <w:i/>
        </w:rPr>
        <w:t>Anaemia in myelodysplastic syndromes:</w:t>
      </w:r>
      <w:r>
        <w:rPr>
          <w:bCs/>
          <w:i/>
        </w:rPr>
        <w:t xml:space="preserve"> </w:t>
      </w:r>
      <w:r w:rsidR="00D95A56">
        <w:t xml:space="preserve">Anaemia is very common in patients with </w:t>
      </w:r>
      <w:r>
        <w:t>myelodysplastic syndromes</w:t>
      </w:r>
      <w:r w:rsidR="00D95A56">
        <w:t xml:space="preserve"> and occurs due to a combination of bone marrow failure and ineffective erythropoiesis. Haemoglobin concentration is reported to have t</w:t>
      </w:r>
      <w:r>
        <w:t>he greatest single impact on quality of life</w:t>
      </w:r>
      <w:r w:rsidR="00D95A56">
        <w:t>.</w:t>
      </w:r>
      <w:r w:rsidR="00C0450D">
        <w:fldChar w:fldCharType="begin"/>
      </w:r>
      <w:r w:rsidR="00C0450D">
        <w:instrText xml:space="preserve"> NOTEREF _Ref90459848 \f \h </w:instrText>
      </w:r>
      <w:r w:rsidR="00C0450D">
        <w:fldChar w:fldCharType="separate"/>
      </w:r>
      <w:r w:rsidR="00C0450D" w:rsidRPr="00C0450D">
        <w:rPr>
          <w:rStyle w:val="FootnoteReference"/>
        </w:rPr>
        <w:t>20</w:t>
      </w:r>
      <w:r w:rsidR="00C0450D">
        <w:fldChar w:fldCharType="end"/>
      </w:r>
      <w:r w:rsidR="00C0450D">
        <w:rPr>
          <w:vertAlign w:val="superscript"/>
        </w:rPr>
        <w:t>,</w:t>
      </w:r>
      <w:r w:rsidR="00C0450D">
        <w:rPr>
          <w:rStyle w:val="FootnoteReference"/>
        </w:rPr>
        <w:footnoteReference w:id="58"/>
      </w:r>
      <w:r w:rsidR="00D95A56">
        <w:t xml:space="preserve"> Both anaemia and transfusion-dependency influence prognosis (progression and survival) in MDS: degree of anaemia likely reflects underlying disease and has been incorporated into prognostic scoring systems. Anaemia itself is associated with wor</w:t>
      </w:r>
      <w:r>
        <w:t>se survival overall, and non-myelodysplastic syndrome</w:t>
      </w:r>
      <w:r w:rsidR="00D95A56">
        <w:t>/leukaemi</w:t>
      </w:r>
      <w:r w:rsidR="00427078">
        <w:t xml:space="preserve">a and cardiac causes of death, </w:t>
      </w:r>
      <w:r w:rsidR="00D95A56">
        <w:t xml:space="preserve">possibly due in part due to cardiac hypertrophy and remodelling </w:t>
      </w:r>
      <w:r w:rsidR="00427078">
        <w:t>from c</w:t>
      </w:r>
      <w:r w:rsidR="00D95A56">
        <w:t>ardiac dysfunction from disease</w:t>
      </w:r>
      <w:r w:rsidR="00031E96">
        <w:t xml:space="preserve"> </w:t>
      </w:r>
      <w:r w:rsidR="00D95A56">
        <w:t>related iron dysregulation and transfusion-related iron overload also contribute.</w:t>
      </w:r>
      <w:r w:rsidR="007E59B3">
        <w:fldChar w:fldCharType="begin"/>
      </w:r>
      <w:r w:rsidR="007E59B3">
        <w:instrText xml:space="preserve"> NOTEREF _Ref90459848 \f \h </w:instrText>
      </w:r>
      <w:r w:rsidR="007E59B3">
        <w:fldChar w:fldCharType="separate"/>
      </w:r>
      <w:r w:rsidR="007E59B3" w:rsidRPr="00704E63">
        <w:rPr>
          <w:rStyle w:val="FootnoteReference"/>
        </w:rPr>
        <w:t>20</w:t>
      </w:r>
      <w:r w:rsidR="007E59B3">
        <w:fldChar w:fldCharType="end"/>
      </w:r>
      <w:r w:rsidR="007E59B3">
        <w:rPr>
          <w:vertAlign w:val="superscript"/>
        </w:rPr>
        <w:t>,</w:t>
      </w:r>
      <w:bookmarkStart w:id="78" w:name="_Ref90463316"/>
      <w:r w:rsidR="00CA448E">
        <w:rPr>
          <w:rStyle w:val="FootnoteReference"/>
        </w:rPr>
        <w:footnoteReference w:id="59"/>
      </w:r>
      <w:bookmarkEnd w:id="78"/>
      <w:r w:rsidR="00E951B6">
        <w:rPr>
          <w:vertAlign w:val="superscript"/>
        </w:rPr>
        <w:t>,</w:t>
      </w:r>
      <w:r w:rsidR="00E951B6">
        <w:rPr>
          <w:rStyle w:val="FootnoteReference"/>
        </w:rPr>
        <w:footnoteReference w:id="60"/>
      </w:r>
      <w:r w:rsidR="007332D0">
        <w:rPr>
          <w:vertAlign w:val="superscript"/>
        </w:rPr>
        <w:t>,</w:t>
      </w:r>
      <w:r w:rsidR="007332D0">
        <w:rPr>
          <w:rStyle w:val="FootnoteReference"/>
        </w:rPr>
        <w:footnoteReference w:id="61"/>
      </w:r>
    </w:p>
    <w:p w14:paraId="7D2D3C04" w14:textId="73D623CF" w:rsidR="00D95A56" w:rsidRPr="00427078" w:rsidRDefault="00D95A56" w:rsidP="00D95A56">
      <w:pPr>
        <w:rPr>
          <w:bCs/>
          <w:i/>
        </w:rPr>
      </w:pPr>
      <w:r w:rsidRPr="00427078">
        <w:rPr>
          <w:bCs/>
          <w:i/>
        </w:rPr>
        <w:t xml:space="preserve">Definition of transfusion dependency in </w:t>
      </w:r>
      <w:r w:rsidR="00427078" w:rsidRPr="00427078">
        <w:rPr>
          <w:bCs/>
          <w:i/>
        </w:rPr>
        <w:t>myelodysplastic syndrome</w:t>
      </w:r>
      <w:r w:rsidR="00427078">
        <w:rPr>
          <w:bCs/>
          <w:i/>
        </w:rPr>
        <w:t xml:space="preserve">: </w:t>
      </w:r>
      <w:r>
        <w:t xml:space="preserve">In </w:t>
      </w:r>
      <w:r w:rsidR="00427078">
        <w:t>Study ACE-536-MDS-001 (</w:t>
      </w:r>
      <w:r>
        <w:t>MEDALIST trial</w:t>
      </w:r>
      <w:r w:rsidR="00427078">
        <w:t>)</w:t>
      </w:r>
      <w:r>
        <w:t>, patie</w:t>
      </w:r>
      <w:r w:rsidR="00427078">
        <w:t>nts were eligible if they ‘</w:t>
      </w:r>
      <w:r>
        <w:t>had been receiving regular red cell transfusions (≥</w:t>
      </w:r>
      <w:r w:rsidR="00E00607">
        <w:t> </w:t>
      </w:r>
      <w:r>
        <w:t xml:space="preserve">2 units per </w:t>
      </w:r>
      <w:r w:rsidR="00E00607">
        <w:t>8 </w:t>
      </w:r>
      <w:r>
        <w:t xml:space="preserve">weeks during the </w:t>
      </w:r>
      <w:r w:rsidR="00E00607">
        <w:t>16 </w:t>
      </w:r>
      <w:r>
        <w:t xml:space="preserve">weeks before </w:t>
      </w:r>
      <w:r w:rsidR="00E00607">
        <w:t>randomisation</w:t>
      </w:r>
      <w:r w:rsidR="00427078">
        <w:t xml:space="preserve">)’ </w:t>
      </w:r>
      <w:r>
        <w:t xml:space="preserve">and the primary endpoint of the trial was </w:t>
      </w:r>
      <w:r w:rsidR="00205889">
        <w:t>’</w:t>
      </w:r>
      <w:r w:rsidR="005A38D2">
        <w:t>t</w:t>
      </w:r>
      <w:r w:rsidR="00205889">
        <w:t xml:space="preserve">ransfusion </w:t>
      </w:r>
      <w:r>
        <w:t xml:space="preserve">independence for </w:t>
      </w:r>
      <w:r w:rsidR="00E00607">
        <w:t>8 </w:t>
      </w:r>
      <w:r>
        <w:t xml:space="preserve">weeks or longer during </w:t>
      </w:r>
      <w:r w:rsidR="00E00607">
        <w:t>weeks </w:t>
      </w:r>
      <w:r>
        <w:t>1 through 24</w:t>
      </w:r>
      <w:r w:rsidR="00E00607">
        <w:t>’</w:t>
      </w:r>
    </w:p>
    <w:p w14:paraId="4B646C19" w14:textId="56D35CFF" w:rsidR="00D95A56" w:rsidRDefault="00427078" w:rsidP="00D95A56">
      <w:r>
        <w:t>E</w:t>
      </w:r>
      <w:r w:rsidR="00D95A56">
        <w:t xml:space="preserve">xtracts from the </w:t>
      </w:r>
      <w:r>
        <w:t xml:space="preserve">US </w:t>
      </w:r>
      <w:r w:rsidR="00D95A56">
        <w:t>FDA</w:t>
      </w:r>
      <w:r w:rsidR="004B01D7">
        <w:t xml:space="preserve"> </w:t>
      </w:r>
      <w:r w:rsidR="00D95A56">
        <w:t>approved indications f</w:t>
      </w:r>
      <w:r>
        <w:t xml:space="preserve">or </w:t>
      </w:r>
      <w:proofErr w:type="spellStart"/>
      <w:r>
        <w:t>luspatercept</w:t>
      </w:r>
      <w:proofErr w:type="spellEnd"/>
      <w:r>
        <w:t xml:space="preserve"> note that in myelodysplastic syndromes </w:t>
      </w:r>
      <w:r w:rsidR="00D95A56">
        <w:t xml:space="preserve">it is: </w:t>
      </w:r>
      <w:r w:rsidR="004B01D7">
        <w:t>’</w:t>
      </w:r>
      <w:r w:rsidR="00D95A56">
        <w:t xml:space="preserve">for the treatment of </w:t>
      </w:r>
      <w:r w:rsidR="004B01D7">
        <w:t>an</w:t>
      </w:r>
      <w:r w:rsidR="005A38D2">
        <w:t>[a]</w:t>
      </w:r>
      <w:proofErr w:type="spellStart"/>
      <w:r w:rsidR="004B01D7">
        <w:t>emia</w:t>
      </w:r>
      <w:proofErr w:type="spellEnd"/>
      <w:r w:rsidR="00D95A56">
        <w:t xml:space="preserve"> failing an erythropoiesis</w:t>
      </w:r>
      <w:r w:rsidR="004B01D7">
        <w:t xml:space="preserve"> </w:t>
      </w:r>
      <w:r w:rsidR="00D95A56">
        <w:t xml:space="preserve">stimulating agent and requiring </w:t>
      </w:r>
      <w:r w:rsidR="004B01D7">
        <w:t xml:space="preserve">two </w:t>
      </w:r>
      <w:r w:rsidR="00D95A56">
        <w:t>or more re</w:t>
      </w:r>
      <w:r w:rsidR="005A38D2">
        <w:t>d blood cell units over 8 weeks’</w:t>
      </w:r>
      <w:r w:rsidR="00D95A56">
        <w:t xml:space="preserve"> and in the EU, </w:t>
      </w:r>
      <w:r w:rsidR="00205889">
        <w:t>’</w:t>
      </w:r>
      <w:r w:rsidR="005A38D2">
        <w:t>f</w:t>
      </w:r>
      <w:r w:rsidR="00205889">
        <w:t xml:space="preserve">or </w:t>
      </w:r>
      <w:r w:rsidR="00D95A56">
        <w:t>the treatment of adult patients with transfusion</w:t>
      </w:r>
      <w:r w:rsidR="004B01D7">
        <w:t xml:space="preserve"> </w:t>
      </w:r>
      <w:r w:rsidR="00D95A56">
        <w:t xml:space="preserve">dependent anaemia due to very low, low and intermediate-risk myelodysplastic syndromes (MDS) with ring </w:t>
      </w:r>
      <w:proofErr w:type="spellStart"/>
      <w:r w:rsidR="00D95A56">
        <w:t>sideroblasts</w:t>
      </w:r>
      <w:proofErr w:type="spellEnd"/>
      <w:r w:rsidR="00D95A56">
        <w:t>, who had an unsatisfactory response to or are ineligible for erythropoietin-based therapy</w:t>
      </w:r>
      <w:r w:rsidR="00612C1A">
        <w:t>’.</w:t>
      </w:r>
    </w:p>
    <w:p w14:paraId="0D9441E3" w14:textId="6B5E4C54" w:rsidR="005A38D2" w:rsidRDefault="00D95A56" w:rsidP="00D95A56">
      <w:r>
        <w:t xml:space="preserve">The wording in each case is slightly different from the trial endpoint definition. There is no internationally agreed definition of transfusion dependency in </w:t>
      </w:r>
      <w:r w:rsidR="005A38D2">
        <w:t>myelodysplastic syndromes</w:t>
      </w:r>
      <w:r>
        <w:t>. In a recent revie</w:t>
      </w:r>
      <w:r w:rsidR="005A38D2">
        <w:t>w of transfusion support for myelodysplastic syndromes</w:t>
      </w:r>
      <w:r>
        <w:t>,</w:t>
      </w:r>
      <w:r w:rsidR="00442EC9">
        <w:fldChar w:fldCharType="begin"/>
      </w:r>
      <w:r w:rsidR="00442EC9">
        <w:instrText xml:space="preserve"> NOTEREF _Ref90459848 \f \h </w:instrText>
      </w:r>
      <w:r w:rsidR="00442EC9">
        <w:fldChar w:fldCharType="separate"/>
      </w:r>
      <w:r w:rsidR="00442EC9" w:rsidRPr="00704E63">
        <w:rPr>
          <w:rStyle w:val="FootnoteReference"/>
        </w:rPr>
        <w:t>20</w:t>
      </w:r>
      <w:r w:rsidR="00442EC9">
        <w:fldChar w:fldCharType="end"/>
      </w:r>
      <w:r w:rsidR="005A38D2">
        <w:t xml:space="preserve"> it was noted:</w:t>
      </w:r>
    </w:p>
    <w:p w14:paraId="6693E4A7" w14:textId="625688AA" w:rsidR="00D95A56" w:rsidRDefault="00442EC9" w:rsidP="005A38D2">
      <w:pPr>
        <w:ind w:left="720"/>
      </w:pPr>
      <w:r>
        <w:t>’</w:t>
      </w:r>
      <w:r w:rsidR="00D95A56">
        <w:t>Various definitions of RBC</w:t>
      </w:r>
      <w:r w:rsidR="005A38D2">
        <w:t xml:space="preserve"> [red blood cell]</w:t>
      </w:r>
      <w:r w:rsidR="00D95A56">
        <w:t xml:space="preserve"> transfusion dependency in MDS have been proposed, recently reviewed by </w:t>
      </w:r>
      <w:proofErr w:type="spellStart"/>
      <w:r w:rsidR="00D95A56">
        <w:t>Germing</w:t>
      </w:r>
      <w:proofErr w:type="spellEnd"/>
      <w:r w:rsidR="00D95A56">
        <w:t xml:space="preserve"> </w:t>
      </w:r>
      <w:r w:rsidR="00D95A56" w:rsidRPr="005A38D2">
        <w:t>et al.</w:t>
      </w:r>
      <w:r w:rsidR="00A05A31">
        <w:rPr>
          <w:rStyle w:val="FootnoteReference"/>
        </w:rPr>
        <w:footnoteReference w:id="62"/>
      </w:r>
      <w:r w:rsidR="00D95A56">
        <w:t xml:space="preserve"> These include requirements for </w:t>
      </w:r>
      <w:r w:rsidR="003A4E3E">
        <w:t xml:space="preserve">two </w:t>
      </w:r>
      <w:r w:rsidR="00D95A56">
        <w:t>RBCs per month, RBC transfusion three or more times in a year, and other variations which include minimum numbers of RBCs or admissions per defined time period – with these definitions being variably applicable either in the routine clinical management setting, in analysis of administrative datasets, or for determining entry or response criteria for clinical trials. Transfusion intensity can be further descr</w:t>
      </w:r>
      <w:r w:rsidR="005A38D2">
        <w:t>ibed as low (3 to 7 RBCs per 16 </w:t>
      </w:r>
      <w:r w:rsidR="00D95A56">
        <w:t>weeks) or high (≥</w:t>
      </w:r>
      <w:r w:rsidR="00A02882">
        <w:t> </w:t>
      </w:r>
      <w:r w:rsidR="00D95A56">
        <w:t>8 RBC per 16 weeks), and patients can be described either as not being transfusion dependent or as having low, medium, or high transfusion burden or dependency. These definitions can be helpful for research purposes but are probably less useful in day-to-day practice, except for the purpose of prognostication</w:t>
      </w:r>
      <w:r w:rsidR="00A02882">
        <w:t>’.</w:t>
      </w:r>
    </w:p>
    <w:p w14:paraId="4ECBE4C2" w14:textId="77777777" w:rsidR="005A38D2" w:rsidRDefault="005A38D2" w:rsidP="00D95A56">
      <w:r>
        <w:t>And, in the same review:</w:t>
      </w:r>
    </w:p>
    <w:p w14:paraId="52B7D83F" w14:textId="2CC5D00E" w:rsidR="00D95A56" w:rsidRDefault="00C70BB0" w:rsidP="005A38D2">
      <w:pPr>
        <w:ind w:left="720"/>
      </w:pPr>
      <w:r>
        <w:t>‘</w:t>
      </w:r>
      <w:r w:rsidR="00D95A56">
        <w:t>Management of transfusion dependency in MDS is a real conundrum:</w:t>
      </w:r>
    </w:p>
    <w:p w14:paraId="71EFD335" w14:textId="0015F4F3" w:rsidR="00D95A56" w:rsidRDefault="00D95A56" w:rsidP="005A38D2">
      <w:pPr>
        <w:ind w:left="720"/>
      </w:pPr>
      <w:r>
        <w:t xml:space="preserve">Transfusions are given with the aim of relieving symptoms, and indeed they can do so, but they provide only transient benefits related to the circulating lifespan of the transfused cells. They also carry the risks of both </w:t>
      </w:r>
      <w:proofErr w:type="gramStart"/>
      <w:r>
        <w:t>transfusion</w:t>
      </w:r>
      <w:proofErr w:type="gramEnd"/>
      <w:r w:rsidR="00CB0FBB">
        <w:t xml:space="preserve"> </w:t>
      </w:r>
      <w:r>
        <w:t>related adverse effects and MDS</w:t>
      </w:r>
      <w:r w:rsidR="00CB0FBB">
        <w:t xml:space="preserve"> </w:t>
      </w:r>
      <w:r>
        <w:t xml:space="preserve">associated consequences: If you have MDS, being </w:t>
      </w:r>
      <w:r w:rsidR="00CB0FBB">
        <w:t>anaemic</w:t>
      </w:r>
      <w:r>
        <w:t xml:space="preserve"> or thrombocytopenic makes things worse for you, but being RBC or platelet transfusion dependent has itself been shown to be associated with worse prognosis, regardless of when it develops and even at low dose density.</w:t>
      </w:r>
    </w:p>
    <w:p w14:paraId="18868ECB" w14:textId="6562B158" w:rsidR="00D95A56" w:rsidRDefault="00D95A56" w:rsidP="005A38D2">
      <w:pPr>
        <w:ind w:left="720"/>
      </w:pPr>
      <w:r>
        <w:t>This association may relate in part to the underlying disease (the worse the ineffective hemopoiesis, the worse the consequences and the worse the prognosis) but also to the transfusion and its sequelae</w:t>
      </w:r>
      <w:r w:rsidR="0080313E">
        <w:t>’.</w:t>
      </w:r>
    </w:p>
    <w:p w14:paraId="6CE60595" w14:textId="0D002E8F" w:rsidR="00D95A56" w:rsidRPr="00125150" w:rsidRDefault="00D95A56" w:rsidP="00D95A56">
      <w:pPr>
        <w:rPr>
          <w:vertAlign w:val="superscript"/>
        </w:rPr>
      </w:pPr>
      <w:r>
        <w:t xml:space="preserve">Therefore, treatment of anaemia in </w:t>
      </w:r>
      <w:r w:rsidR="005A38D2">
        <w:t>myelodysplastic syndromes</w:t>
      </w:r>
      <w:r>
        <w:t xml:space="preserve"> is a priority, and finding and making available alternatives to transfusion for treatment of transfusion</w:t>
      </w:r>
      <w:r w:rsidR="005A38D2">
        <w:noBreakHyphen/>
      </w:r>
      <w:r>
        <w:t xml:space="preserve">dependent anaemia in </w:t>
      </w:r>
      <w:r w:rsidR="005A38D2">
        <w:t>myelodysplastic syndrome</w:t>
      </w:r>
      <w:r>
        <w:t xml:space="preserve"> are also priorities, with the potential to improve patient </w:t>
      </w:r>
      <w:r w:rsidR="005A38D2">
        <w:t>quality of life</w:t>
      </w:r>
      <w:r>
        <w:t xml:space="preserve"> and survival</w:t>
      </w:r>
      <w:r w:rsidR="00403D8B">
        <w:t xml:space="preserve"> s</w:t>
      </w:r>
      <w:r>
        <w:t>etting of anaemia.</w:t>
      </w:r>
      <w:r w:rsidR="00147D85">
        <w:rPr>
          <w:rStyle w:val="FootnoteReference"/>
        </w:rPr>
        <w:footnoteReference w:id="63"/>
      </w:r>
      <w:r w:rsidR="00125150">
        <w:rPr>
          <w:vertAlign w:val="superscript"/>
        </w:rPr>
        <w:t>,</w:t>
      </w:r>
      <w:r w:rsidR="00125150">
        <w:rPr>
          <w:rStyle w:val="FootnoteReference"/>
        </w:rPr>
        <w:footnoteReference w:id="64"/>
      </w:r>
      <w:r w:rsidR="007A4A3B">
        <w:rPr>
          <w:vertAlign w:val="superscript"/>
        </w:rPr>
        <w:t>,</w:t>
      </w:r>
      <w:r w:rsidR="007A4A3B">
        <w:rPr>
          <w:vertAlign w:val="superscript"/>
        </w:rPr>
        <w:fldChar w:fldCharType="begin"/>
      </w:r>
      <w:r w:rsidR="007A4A3B">
        <w:rPr>
          <w:vertAlign w:val="superscript"/>
        </w:rPr>
        <w:instrText xml:space="preserve"> NOTEREF _Ref90463316 \f \h </w:instrText>
      </w:r>
      <w:r w:rsidR="007A4A3B">
        <w:rPr>
          <w:vertAlign w:val="superscript"/>
        </w:rPr>
      </w:r>
      <w:r w:rsidR="007A4A3B">
        <w:rPr>
          <w:vertAlign w:val="superscript"/>
        </w:rPr>
        <w:fldChar w:fldCharType="separate"/>
      </w:r>
      <w:r w:rsidR="007A4A3B" w:rsidRPr="007A4A3B">
        <w:rPr>
          <w:rStyle w:val="FootnoteReference"/>
        </w:rPr>
        <w:t>27</w:t>
      </w:r>
      <w:r w:rsidR="007A4A3B">
        <w:rPr>
          <w:vertAlign w:val="superscript"/>
        </w:rPr>
        <w:fldChar w:fldCharType="end"/>
      </w:r>
    </w:p>
    <w:p w14:paraId="3E3FB2D7" w14:textId="69027D30" w:rsidR="00D95A56" w:rsidRPr="005A38D2" w:rsidRDefault="005A38D2" w:rsidP="00D95A56">
      <w:pPr>
        <w:rPr>
          <w:b/>
          <w:bCs/>
        </w:rPr>
      </w:pPr>
      <w:r w:rsidRPr="005A38D2">
        <w:rPr>
          <w:bCs/>
          <w:i/>
        </w:rPr>
        <w:t xml:space="preserve">Anaemia in beta-thalassaemia major: </w:t>
      </w:r>
      <w:r w:rsidR="00D95A56">
        <w:t xml:space="preserve">The anaemia in </w:t>
      </w:r>
      <w:r w:rsidR="003D2A51" w:rsidRPr="00704E63">
        <w:rPr>
          <w:i/>
          <w:iCs/>
        </w:rPr>
        <w:t>β</w:t>
      </w:r>
      <w:r w:rsidR="00D95A56">
        <w:t xml:space="preserve">-thalassaemia major is characterised by ineffective erythropoiesis and chronic haemolysis; these lead to extramedullary haematopoiesis followed by development of hepatosplenomegaly and bone marrow expansion, and their diverse consequences. Regular </w:t>
      </w:r>
      <w:r>
        <w:t>red blood cell</w:t>
      </w:r>
      <w:r w:rsidR="00D95A56">
        <w:t xml:space="preserve"> transfusion, generally lifelong starting in infancy, serves both to alleviate symptoms of anaemia and to suppress dysfunctional erythropoiesis. Iron accumulation occurs both due to </w:t>
      </w:r>
      <w:proofErr w:type="spellStart"/>
      <w:r w:rsidR="00D95A56">
        <w:t>transfusional</w:t>
      </w:r>
      <w:proofErr w:type="spellEnd"/>
      <w:r w:rsidR="00D95A56">
        <w:t xml:space="preserve"> iron overload, and increased gastrointestinal iron absorption, resulting in multisystem organ dysfunction – especially hepatic, </w:t>
      </w:r>
      <w:proofErr w:type="gramStart"/>
      <w:r w:rsidR="00D95A56">
        <w:t>cardiac</w:t>
      </w:r>
      <w:proofErr w:type="gramEnd"/>
      <w:r w:rsidR="00D95A56">
        <w:t xml:space="preserve"> and endocrine abnormalities.</w:t>
      </w:r>
      <w:bookmarkStart w:id="79" w:name="_Ref90467283"/>
      <w:r w:rsidR="007A03E8">
        <w:rPr>
          <w:rStyle w:val="FootnoteReference"/>
        </w:rPr>
        <w:footnoteReference w:id="65"/>
      </w:r>
      <w:bookmarkEnd w:id="79"/>
    </w:p>
    <w:p w14:paraId="5DD6B7DB" w14:textId="1416B9E6" w:rsidR="00D95A56" w:rsidRDefault="00D95A56" w:rsidP="00D95A56">
      <w:r>
        <w:t>Compliance with iron chelation has historically been very challenging, so many older patients are living with</w:t>
      </w:r>
      <w:r w:rsidR="00A76202">
        <w:t xml:space="preserve"> </w:t>
      </w:r>
      <w:r>
        <w:t>significant iron overload and end-organ damage. The availability of newer, oral iron chelators has improved compliance, but some iron loading typically still occurs, and although serious adverse effects are rare,</w:t>
      </w:r>
      <w:r w:rsidR="005A38D2">
        <w:t xml:space="preserve"> they do occur; less serious adverse events</w:t>
      </w:r>
      <w:r>
        <w:t xml:space="preserve"> are quite common and require </w:t>
      </w:r>
      <w:r w:rsidR="005A38D2">
        <w:t>monitoring, as outlined in the D</w:t>
      </w:r>
      <w:r>
        <w:t>elegate’s review.</w:t>
      </w:r>
    </w:p>
    <w:p w14:paraId="1158262D" w14:textId="1F898BCE" w:rsidR="00D95A56" w:rsidRDefault="00D95A56" w:rsidP="00D95A56">
      <w:r>
        <w:t xml:space="preserve">Other complications of transfusion in this setting include alloimmunisation to </w:t>
      </w:r>
      <w:r w:rsidR="005A38D2">
        <w:t>red blood cell</w:t>
      </w:r>
      <w:r>
        <w:t xml:space="preserve"> antigens, which cause both acute and delayed haemolytic transfusion reactions.</w:t>
      </w:r>
      <w:r w:rsidR="006311D6">
        <w:fldChar w:fldCharType="begin"/>
      </w:r>
      <w:r w:rsidR="006311D6">
        <w:instrText xml:space="preserve"> NOTEREF _Ref90467274 \f \h </w:instrText>
      </w:r>
      <w:r w:rsidR="006311D6">
        <w:fldChar w:fldCharType="separate"/>
      </w:r>
      <w:r w:rsidR="006311D6" w:rsidRPr="00704E63">
        <w:rPr>
          <w:rStyle w:val="FootnoteReference"/>
        </w:rPr>
        <w:t>23</w:t>
      </w:r>
      <w:r w:rsidR="006311D6">
        <w:fldChar w:fldCharType="end"/>
      </w:r>
      <w:r w:rsidR="00DC35BA">
        <w:rPr>
          <w:vertAlign w:val="superscript"/>
        </w:rPr>
        <w:t>,</w:t>
      </w:r>
      <w:r w:rsidR="006311D6">
        <w:fldChar w:fldCharType="begin"/>
      </w:r>
      <w:r w:rsidR="006311D6">
        <w:instrText xml:space="preserve"> NOTEREF _Ref90467283 \f \h </w:instrText>
      </w:r>
      <w:r w:rsidR="006311D6">
        <w:fldChar w:fldCharType="separate"/>
      </w:r>
      <w:r w:rsidR="006311D6" w:rsidRPr="00704E63">
        <w:rPr>
          <w:rStyle w:val="FootnoteReference"/>
        </w:rPr>
        <w:t>33</w:t>
      </w:r>
      <w:r w:rsidR="006311D6">
        <w:fldChar w:fldCharType="end"/>
      </w:r>
      <w:r>
        <w:t xml:space="preserve"> Alloimmunisation may result in difficulty in supplying compatible blood and lead to delays in patient care, as reported by international </w:t>
      </w:r>
      <w:proofErr w:type="spellStart"/>
      <w:r>
        <w:t>haemovigilance</w:t>
      </w:r>
      <w:proofErr w:type="spellEnd"/>
      <w:r>
        <w:t xml:space="preserve"> systems; however few </w:t>
      </w:r>
      <w:proofErr w:type="spellStart"/>
      <w:r>
        <w:t>haemovigilance</w:t>
      </w:r>
      <w:proofErr w:type="spellEnd"/>
      <w:r>
        <w:t xml:space="preserve"> data are available in Australia.</w:t>
      </w:r>
    </w:p>
    <w:p w14:paraId="61AAC349" w14:textId="216C4288" w:rsidR="00D95A56" w:rsidRDefault="00D95A56" w:rsidP="00D95A56">
      <w:r w:rsidRPr="005A38D2">
        <w:rPr>
          <w:i/>
        </w:rPr>
        <w:t xml:space="preserve">Definition of transfusion-dependency in </w:t>
      </w:r>
      <w:r w:rsidR="005A38D2" w:rsidRPr="005A38D2">
        <w:rPr>
          <w:i/>
        </w:rPr>
        <w:t>beta</w:t>
      </w:r>
      <w:r w:rsidRPr="005A38D2">
        <w:rPr>
          <w:i/>
        </w:rPr>
        <w:t>-thalassaemia major</w:t>
      </w:r>
      <w:r w:rsidR="005A38D2">
        <w:t xml:space="preserve">: </w:t>
      </w:r>
      <w:r w:rsidR="007848C2">
        <w:t>T</w:t>
      </w:r>
      <w:r>
        <w:t>he extract from the FDA</w:t>
      </w:r>
      <w:r w:rsidR="007848C2">
        <w:t xml:space="preserve"> </w:t>
      </w:r>
      <w:r>
        <w:t xml:space="preserve">approved indications for </w:t>
      </w:r>
      <w:proofErr w:type="spellStart"/>
      <w:r>
        <w:t>luspatercept</w:t>
      </w:r>
      <w:proofErr w:type="spellEnd"/>
      <w:r>
        <w:t xml:space="preserve"> notes that it is used in </w:t>
      </w:r>
      <w:r w:rsidR="005A38D2">
        <w:t>beta-</w:t>
      </w:r>
      <w:r>
        <w:t xml:space="preserve">thalassaemia: </w:t>
      </w:r>
      <w:r w:rsidR="00583111">
        <w:t xml:space="preserve">’For </w:t>
      </w:r>
      <w:r>
        <w:t xml:space="preserve">the treatment of </w:t>
      </w:r>
      <w:r w:rsidR="00583111">
        <w:t>anaemia</w:t>
      </w:r>
      <w:r>
        <w:t xml:space="preserve"> in adult patients with </w:t>
      </w:r>
      <w:r w:rsidR="005A38D2">
        <w:t xml:space="preserve">[beta] </w:t>
      </w:r>
      <w:r w:rsidR="00583111" w:rsidRPr="00DB6B62">
        <w:rPr>
          <w:i/>
          <w:iCs/>
        </w:rPr>
        <w:t>β</w:t>
      </w:r>
      <w:r w:rsidR="00583111">
        <w:rPr>
          <w:i/>
          <w:iCs/>
        </w:rPr>
        <w:t>-</w:t>
      </w:r>
      <w:r>
        <w:t>thalass</w:t>
      </w:r>
      <w:r w:rsidR="005A38D2">
        <w:t>a</w:t>
      </w:r>
      <w:r>
        <w:t>emia who require regular re</w:t>
      </w:r>
      <w:r w:rsidR="005A38D2">
        <w:t>d blood cell (RBC) transfusions’</w:t>
      </w:r>
      <w:r>
        <w:t xml:space="preserve"> and in the EU: </w:t>
      </w:r>
      <w:r w:rsidR="00583111">
        <w:t xml:space="preserve">’For </w:t>
      </w:r>
      <w:r>
        <w:t>the treatment of adult patients with transfusion</w:t>
      </w:r>
      <w:r w:rsidR="00583111">
        <w:t xml:space="preserve"> </w:t>
      </w:r>
      <w:r>
        <w:t xml:space="preserve">dependent anaemia associated with </w:t>
      </w:r>
      <w:r w:rsidR="00583111" w:rsidRPr="00DB6B62">
        <w:rPr>
          <w:i/>
          <w:iCs/>
        </w:rPr>
        <w:t>β</w:t>
      </w:r>
      <w:r>
        <w:t>-thalassaemia</w:t>
      </w:r>
      <w:r w:rsidR="00583111">
        <w:t>’.</w:t>
      </w:r>
    </w:p>
    <w:p w14:paraId="32D0EC62" w14:textId="1F7652C0" w:rsidR="005A38D2" w:rsidRDefault="00D95A56" w:rsidP="00D95A56">
      <w:r>
        <w:t xml:space="preserve">As above for </w:t>
      </w:r>
      <w:r w:rsidR="005A38D2">
        <w:t>myelodysplastic syndromes</w:t>
      </w:r>
      <w:r>
        <w:t>, there is no internationally agreed definition of transfusion dependency in thalassaemia. In their recently updated guidance on management of transfu</w:t>
      </w:r>
      <w:r w:rsidR="005A38D2">
        <w:t>sion-dependent thalassaemia;</w:t>
      </w:r>
      <w:r w:rsidR="009367CE">
        <w:rPr>
          <w:rStyle w:val="FootnoteReference"/>
        </w:rPr>
        <w:footnoteReference w:id="66"/>
      </w:r>
      <w:r>
        <w:t xml:space="preserve"> the Thalassaemia International Federation (TIF) outline </w:t>
      </w:r>
      <w:r w:rsidR="00E7172E">
        <w:t>’</w:t>
      </w:r>
      <w:r>
        <w:t xml:space="preserve">Criteria for initiating transfusion </w:t>
      </w:r>
      <w:r w:rsidR="008447B3">
        <w:t>therapy’ and</w:t>
      </w:r>
      <w:r>
        <w:t xml:space="preserve"> note that</w:t>
      </w:r>
      <w:r w:rsidR="005A38D2">
        <w:t>:</w:t>
      </w:r>
    </w:p>
    <w:p w14:paraId="6F12BB22" w14:textId="5CC02D64" w:rsidR="00D95A56" w:rsidRDefault="00E7172E" w:rsidP="005A38D2">
      <w:pPr>
        <w:ind w:firstLine="360"/>
      </w:pPr>
      <w:r>
        <w:t>’</w:t>
      </w:r>
      <w:r w:rsidR="005A38D2">
        <w:t>f</w:t>
      </w:r>
      <w:r w:rsidR="00D95A56">
        <w:t>or deciding whom to transfuse, the following should be included in the investigations:</w:t>
      </w:r>
    </w:p>
    <w:p w14:paraId="3CA1EB9B" w14:textId="5ADBC355" w:rsidR="00D95A56" w:rsidRDefault="00D95A56" w:rsidP="005A38D2">
      <w:pPr>
        <w:pStyle w:val="ListBullet2"/>
      </w:pPr>
      <w:r>
        <w:t>Confirmed diagnosis of thalassaemia.</w:t>
      </w:r>
    </w:p>
    <w:p w14:paraId="0BA44987" w14:textId="3CE56DA7" w:rsidR="00D95A56" w:rsidRDefault="00D95A56" w:rsidP="005A38D2">
      <w:pPr>
        <w:pStyle w:val="ListBullet2"/>
      </w:pPr>
      <w:r>
        <w:t>Laboratory criteria: Haemoglobin level (Hb) &lt;</w:t>
      </w:r>
      <w:r w:rsidR="00E7172E">
        <w:t> </w:t>
      </w:r>
      <w:r>
        <w:t>70 g/</w:t>
      </w:r>
      <w:r w:rsidR="00E7172E">
        <w:t xml:space="preserve">L </w:t>
      </w:r>
      <w:r>
        <w:t xml:space="preserve">on </w:t>
      </w:r>
      <w:r w:rsidR="00E7172E">
        <w:t xml:space="preserve">two </w:t>
      </w:r>
      <w:r>
        <w:t xml:space="preserve">occasions, </w:t>
      </w:r>
      <w:r w:rsidR="00E7172E">
        <w:t>&gt; </w:t>
      </w:r>
      <w:r>
        <w:t>2 weeks apart</w:t>
      </w:r>
      <w:r w:rsidR="00731AB6">
        <w:t xml:space="preserve"> </w:t>
      </w:r>
      <w:r>
        <w:t>(excluding all other</w:t>
      </w:r>
      <w:r w:rsidR="00731AB6">
        <w:t xml:space="preserve"> </w:t>
      </w:r>
      <w:r>
        <w:t xml:space="preserve">contributory causes such as infections) </w:t>
      </w:r>
      <w:r w:rsidR="00E43992">
        <w:t>and/or</w:t>
      </w:r>
    </w:p>
    <w:p w14:paraId="38A56F66" w14:textId="48AC77C9" w:rsidR="00D95A56" w:rsidRDefault="00D95A56" w:rsidP="005A38D2">
      <w:pPr>
        <w:pStyle w:val="ListBullet2"/>
      </w:pPr>
      <w:r>
        <w:t>Clinical criteria irrespective of haemoglobin level</w:t>
      </w:r>
    </w:p>
    <w:p w14:paraId="3DAF6E1A" w14:textId="41C060C8" w:rsidR="00D95A56" w:rsidRDefault="00D95A56" w:rsidP="005A38D2">
      <w:pPr>
        <w:pStyle w:val="ListBullet2"/>
      </w:pPr>
      <w:r>
        <w:t>Significant symptoms of anaemia</w:t>
      </w:r>
    </w:p>
    <w:p w14:paraId="0E1FB151" w14:textId="19D9F9ED" w:rsidR="00D95A56" w:rsidRDefault="00D95A56" w:rsidP="005A38D2">
      <w:pPr>
        <w:pStyle w:val="ListBullet2"/>
      </w:pPr>
      <w:r>
        <w:t>Poor growth / failure to thrive</w:t>
      </w:r>
    </w:p>
    <w:p w14:paraId="70E22A0B" w14:textId="25D85D69" w:rsidR="00D95A56" w:rsidRDefault="00D95A56" w:rsidP="005A38D2">
      <w:pPr>
        <w:pStyle w:val="ListBullet2"/>
      </w:pPr>
      <w:r>
        <w:t>Complications from excessive intramedullary haematopoiesis such as pathological fractures and facial changes</w:t>
      </w:r>
    </w:p>
    <w:p w14:paraId="2F73DBFD" w14:textId="042ADADC" w:rsidR="00D95A56" w:rsidRDefault="00D95A56" w:rsidP="005A38D2">
      <w:pPr>
        <w:pStyle w:val="ListBullet2"/>
      </w:pPr>
      <w:r>
        <w:t>Clinically significant extramedullary haematopoiesis</w:t>
      </w:r>
      <w:r w:rsidR="005A38D2">
        <w:t>’.</w:t>
      </w:r>
    </w:p>
    <w:p w14:paraId="307B17BD" w14:textId="11114264" w:rsidR="00D95A56" w:rsidRDefault="005A38D2" w:rsidP="00D95A56">
      <w:r>
        <w:t>Thalassaemia International Federation recommends to ‘</w:t>
      </w:r>
      <w:r w:rsidR="00D95A56">
        <w:t>transfuse every 2</w:t>
      </w:r>
      <w:r w:rsidR="00E43992">
        <w:t> to </w:t>
      </w:r>
      <w:r w:rsidR="00D95A56">
        <w:t>5 weeks, maintaining pretransfusion haemoglobin above 90-</w:t>
      </w:r>
      <w:r w:rsidR="00E43992">
        <w:t>105 </w:t>
      </w:r>
      <w:r w:rsidR="00D95A56">
        <w:t>g/</w:t>
      </w:r>
      <w:r w:rsidR="00E43992">
        <w:t xml:space="preserve">L </w:t>
      </w:r>
      <w:r w:rsidR="00D95A56">
        <w:t>or up to 110-</w:t>
      </w:r>
      <w:r w:rsidR="00E43992">
        <w:t>120 </w:t>
      </w:r>
      <w:r w:rsidR="00D95A56">
        <w:t>g/</w:t>
      </w:r>
      <w:r w:rsidR="00E43992">
        <w:t xml:space="preserve">L </w:t>
      </w:r>
      <w:r w:rsidR="00D95A56">
        <w:t>for pati</w:t>
      </w:r>
      <w:r>
        <w:t>ents with cardiac complications’</w:t>
      </w:r>
      <w:r w:rsidR="00D95A56">
        <w:t xml:space="preserve">; however, no definition of transfusion dependency is provided. Extended </w:t>
      </w:r>
      <w:r>
        <w:t>red blood cell</w:t>
      </w:r>
      <w:r w:rsidR="00D95A56">
        <w:t xml:space="preserve"> antigen matching is recommended by TIF and other authorities to reduce alloimmunisation and is now widely practised.</w:t>
      </w:r>
    </w:p>
    <w:p w14:paraId="7D4A8B8B" w14:textId="50B359A1" w:rsidR="00D95A56" w:rsidRDefault="00D95A56" w:rsidP="00D95A56">
      <w:r>
        <w:t>Treatment of anaemia in transfusion</w:t>
      </w:r>
      <w:r w:rsidR="005A38D2">
        <w:noBreakHyphen/>
        <w:t>d</w:t>
      </w:r>
      <w:r>
        <w:t xml:space="preserve">ependent </w:t>
      </w:r>
      <w:r w:rsidR="005A38D2">
        <w:t>beta-</w:t>
      </w:r>
      <w:r>
        <w:t xml:space="preserve">thalassaemia major is therefore a </w:t>
      </w:r>
      <w:r w:rsidR="009D5F18">
        <w:t>priority and</w:t>
      </w:r>
      <w:r>
        <w:t xml:space="preserve"> finding and making available alternatives to transfusion for treatment of anaemia are also priorities, with the potential to improve patient </w:t>
      </w:r>
      <w:r w:rsidR="005A38D2">
        <w:t>quality of life</w:t>
      </w:r>
      <w:r>
        <w:t xml:space="preserve"> and survival. How transfusion dependency should be defined for the purposes of clinical management and regulatory review in the thalassaemia setting remains uncertain.</w:t>
      </w:r>
    </w:p>
    <w:p w14:paraId="16BCC679" w14:textId="37CA033A" w:rsidR="00D95A56" w:rsidRPr="005A38D2" w:rsidRDefault="00D95A56" w:rsidP="00D95A56">
      <w:pPr>
        <w:rPr>
          <w:i/>
        </w:rPr>
      </w:pPr>
      <w:r w:rsidRPr="00704E63">
        <w:rPr>
          <w:i/>
        </w:rPr>
        <w:t>The Australian context</w:t>
      </w:r>
      <w:r w:rsidR="005A38D2">
        <w:rPr>
          <w:i/>
        </w:rPr>
        <w:t xml:space="preserve">: </w:t>
      </w:r>
      <w:r w:rsidR="005A38D2">
        <w:t xml:space="preserve">Myelodysplastic </w:t>
      </w:r>
      <w:r w:rsidR="008447B3">
        <w:t>syndromes</w:t>
      </w:r>
      <w:r w:rsidR="005A38D2">
        <w:t xml:space="preserve"> </w:t>
      </w:r>
      <w:r>
        <w:t xml:space="preserve">and </w:t>
      </w:r>
      <w:r w:rsidR="005A38D2">
        <w:t>beta-</w:t>
      </w:r>
      <w:r>
        <w:t>thalassaemia major are important issues for Australian patients and the Australian healthcare system; however, few data are available on the epidemiology, clinical management, costs of care, or outcomes for Australian patients with either diagnosis.</w:t>
      </w:r>
    </w:p>
    <w:p w14:paraId="6316CC0C" w14:textId="45EB4B2E" w:rsidR="00D95A56" w:rsidRDefault="00D95A56" w:rsidP="00D95A56">
      <w:r>
        <w:t xml:space="preserve">For </w:t>
      </w:r>
      <w:r w:rsidR="005A38D2">
        <w:t>myelodysplastic syndromes</w:t>
      </w:r>
      <w:r>
        <w:t xml:space="preserve">, </w:t>
      </w:r>
      <w:r w:rsidR="007D0E22" w:rsidRPr="007D0E22">
        <w:t xml:space="preserve">Australian </w:t>
      </w:r>
      <w:r w:rsidR="007D0E22">
        <w:t>i</w:t>
      </w:r>
      <w:r w:rsidR="007D0E22" w:rsidRPr="007D0E22">
        <w:t xml:space="preserve">nstitute of </w:t>
      </w:r>
      <w:r w:rsidR="007D0E22">
        <w:t>h</w:t>
      </w:r>
      <w:r w:rsidR="007D0E22" w:rsidRPr="007D0E22">
        <w:t xml:space="preserve">ealth and </w:t>
      </w:r>
      <w:r w:rsidR="007D0E22">
        <w:t>w</w:t>
      </w:r>
      <w:r w:rsidR="007D0E22" w:rsidRPr="007D0E22">
        <w:t xml:space="preserve">elfare </w:t>
      </w:r>
      <w:r w:rsidR="007D0E22">
        <w:t>(</w:t>
      </w:r>
      <w:r>
        <w:t>AIHW</w:t>
      </w:r>
      <w:r w:rsidR="007D0E22">
        <w:t>)</w:t>
      </w:r>
      <w:r>
        <w:t xml:space="preserve"> and cancer registry numbers are likely underestimates, as definitive studies (</w:t>
      </w:r>
      <w:r w:rsidR="005A38D2">
        <w:t>f</w:t>
      </w:r>
      <w:r w:rsidR="007D0E22">
        <w:t>or example,</w:t>
      </w:r>
      <w:r>
        <w:t xml:space="preserve"> bone marrow examination, cytogenetics) are not performed in all patients. In a study of 3149 incident cases of </w:t>
      </w:r>
      <w:r w:rsidR="005805E0">
        <w:t>myelodysplastic syndromes</w:t>
      </w:r>
      <w:r>
        <w:t xml:space="preserve"> from the Victorian </w:t>
      </w:r>
      <w:r w:rsidR="007D0E22">
        <w:t xml:space="preserve">admitted episode dataset </w:t>
      </w:r>
      <w:r>
        <w:t>(VAED), the age</w:t>
      </w:r>
      <w:r w:rsidR="00BE2C56">
        <w:t xml:space="preserve"> </w:t>
      </w:r>
      <w:r>
        <w:t>s</w:t>
      </w:r>
      <w:r w:rsidR="005805E0">
        <w:t>tandardised incidence rate</w:t>
      </w:r>
      <w:r>
        <w:t xml:space="preserve"> was higher than reported from local cancer regist</w:t>
      </w:r>
      <w:r w:rsidR="005805E0">
        <w:t>ries (for 2007 9.6 per 100,000 (</w:t>
      </w:r>
      <w:r>
        <w:t xml:space="preserve">95% confidence interval </w:t>
      </w:r>
      <w:r w:rsidR="00BE2C56">
        <w:t>(</w:t>
      </w:r>
      <w:r>
        <w:t>CI</w:t>
      </w:r>
      <w:r w:rsidR="00BE2C56">
        <w:t xml:space="preserve">), </w:t>
      </w:r>
      <w:r w:rsidR="005805E0">
        <w:t>9.2 to 10.0)</w:t>
      </w:r>
      <w:r>
        <w:t xml:space="preserve"> </w:t>
      </w:r>
      <w:r w:rsidR="00BE2C56">
        <w:t>versus</w:t>
      </w:r>
      <w:r>
        <w:t xml:space="preserve"> 4.8). Median age was 79 years and 34.6% were transfusion depend</w:t>
      </w:r>
      <w:r w:rsidR="005805E0">
        <w:t>ent. Interestingly, transfusion</w:t>
      </w:r>
      <w:r w:rsidR="005805E0">
        <w:noBreakHyphen/>
      </w:r>
      <w:r>
        <w:t xml:space="preserve">dependent </w:t>
      </w:r>
      <w:r w:rsidR="005805E0">
        <w:t>myelodysplastic syndrome</w:t>
      </w:r>
      <w:r>
        <w:t xml:space="preserve"> was associated with new diagnoses of congestive heart failure (</w:t>
      </w:r>
      <w:r w:rsidR="005805E0">
        <w:t>i</w:t>
      </w:r>
      <w:r w:rsidR="00BE2C56">
        <w:t xml:space="preserve">ncident </w:t>
      </w:r>
      <w:r w:rsidR="005805E0">
        <w:t xml:space="preserve">rate ratio 1.92; 95% CI, 1.41 to </w:t>
      </w:r>
      <w:r>
        <w:t>2.60), as well as with bacterial and fungal infections, and with leuk</w:t>
      </w:r>
      <w:r w:rsidR="005805E0">
        <w:t>a</w:t>
      </w:r>
      <w:r>
        <w:t>emia and sepsis as causes of death.</w:t>
      </w:r>
      <w:r w:rsidR="008579BD">
        <w:rPr>
          <w:rStyle w:val="FootnoteReference"/>
        </w:rPr>
        <w:footnoteReference w:id="67"/>
      </w:r>
    </w:p>
    <w:p w14:paraId="7C9EDC1F" w14:textId="7A8D958C" w:rsidR="00D95A56" w:rsidRDefault="00D95A56" w:rsidP="00D95A56">
      <w:r>
        <w:t>Furthermore, in a related study linking VAED and Victorian Cancer Registry (VCR) data,</w:t>
      </w:r>
      <w:r w:rsidR="00DD00E5">
        <w:rPr>
          <w:rStyle w:val="FootnoteReference"/>
        </w:rPr>
        <w:footnoteReference w:id="68"/>
      </w:r>
      <w:r>
        <w:t xml:space="preserve"> it was identified that many patients were missed by each of these data sources: the </w:t>
      </w:r>
      <w:proofErr w:type="gramStart"/>
      <w:r>
        <w:t>two</w:t>
      </w:r>
      <w:r w:rsidR="00223647">
        <w:t xml:space="preserve"> </w:t>
      </w:r>
      <w:r>
        <w:t>source</w:t>
      </w:r>
      <w:proofErr w:type="gramEnd"/>
      <w:r>
        <w:t xml:space="preserve"> capture-recapture method used here estimated that there were 948 additional cases not captured in one of the two data sources, bringing the total number of incident cases in the population (Victoria) for the period </w:t>
      </w:r>
      <w:r w:rsidR="005805E0">
        <w:t xml:space="preserve">of </w:t>
      </w:r>
      <w:r>
        <w:t xml:space="preserve">2003 through 2010 to 5202. Using both data sources, the </w:t>
      </w:r>
      <w:r w:rsidR="005805E0">
        <w:t xml:space="preserve">age standardised incidence rate was 10.1 per 100,000 (95% CI 9.6 to </w:t>
      </w:r>
      <w:r>
        <w:t xml:space="preserve">10.5). Cases not reported to the VCR were more likely to require </w:t>
      </w:r>
      <w:r w:rsidR="005805E0">
        <w:t>red blood cell</w:t>
      </w:r>
      <w:r>
        <w:t xml:space="preserve"> transfusion (which may explain why they were identified in the VAED data). Overall, </w:t>
      </w:r>
      <w:r w:rsidR="00327B86">
        <w:t>22%</w:t>
      </w:r>
      <w:r>
        <w:t xml:space="preserve"> of patients were transfusion</w:t>
      </w:r>
      <w:r w:rsidR="005805E0">
        <w:noBreakHyphen/>
      </w:r>
      <w:r>
        <w:t>dependent.</w:t>
      </w:r>
    </w:p>
    <w:p w14:paraId="756F8373" w14:textId="13CA2B5A" w:rsidR="00D95A56" w:rsidRDefault="00D95A56" w:rsidP="00D95A56">
      <w:r>
        <w:t xml:space="preserve">For </w:t>
      </w:r>
      <w:r w:rsidR="005805E0">
        <w:t>beta-</w:t>
      </w:r>
      <w:r>
        <w:t xml:space="preserve">thalassaemia, a 2016 review noted that </w:t>
      </w:r>
      <w:r w:rsidR="00F705B1">
        <w:t>’</w:t>
      </w:r>
      <w:r>
        <w:t>Australia has no local data on incidence, prevalence, therapy, healthcare costs or outcomes for people living with haemoglobinopathies</w:t>
      </w:r>
      <w:r w:rsidR="00F705B1">
        <w:t>‘</w:t>
      </w:r>
      <w:r>
        <w:t>.</w:t>
      </w:r>
      <w:r w:rsidR="00F705B1">
        <w:fldChar w:fldCharType="begin"/>
      </w:r>
      <w:r w:rsidR="00F705B1">
        <w:instrText xml:space="preserve"> NOTEREF _Ref90467283 \f \h </w:instrText>
      </w:r>
      <w:r w:rsidR="00F705B1">
        <w:fldChar w:fldCharType="separate"/>
      </w:r>
      <w:r w:rsidR="00F705B1" w:rsidRPr="00704E63">
        <w:rPr>
          <w:rStyle w:val="FootnoteReference"/>
        </w:rPr>
        <w:t>33</w:t>
      </w:r>
      <w:r w:rsidR="00F705B1">
        <w:fldChar w:fldCharType="end"/>
      </w:r>
      <w:r>
        <w:t xml:space="preserve"> This remains the case at a national level, although the Australian </w:t>
      </w:r>
      <w:r w:rsidR="005C191E">
        <w:t xml:space="preserve">haemoglobinopathy registry </w:t>
      </w:r>
      <w:r>
        <w:t>now has pilot data from 10 hospit</w:t>
      </w:r>
      <w:r w:rsidR="005805E0">
        <w:t>als on more than 340 patients with beta-</w:t>
      </w:r>
      <w:r>
        <w:t xml:space="preserve">thalassaemia major, intermedia with major phenotype, and </w:t>
      </w:r>
      <w:r w:rsidR="005805E0">
        <w:t>haemoglobin E disease/beta-</w:t>
      </w:r>
      <w:r>
        <w:t>thalassaemia compound heterozygotes (data accepted for presentation, BLOOD 2021 conference, September 2021). This does not represent the true national burden of disease from thalassaemia major in Australia, as not all hospitals are on the registry and/or have not yet entered data. Analysis of available registry data in 2018</w:t>
      </w:r>
      <w:r w:rsidR="005805E0">
        <w:t>,</w:t>
      </w:r>
      <w:r w:rsidR="008F0072">
        <w:rPr>
          <w:rStyle w:val="FootnoteReference"/>
        </w:rPr>
        <w:footnoteReference w:id="69"/>
      </w:r>
      <w:r>
        <w:t xml:space="preserve"> showed that 97% of </w:t>
      </w:r>
      <w:r w:rsidR="005805E0">
        <w:t>beta-</w:t>
      </w:r>
      <w:r>
        <w:t>thalassaemia patients received regular transfusions, and</w:t>
      </w:r>
      <w:r w:rsidR="005805E0">
        <w:t xml:space="preserve"> that adult beta-</w:t>
      </w:r>
      <w:r>
        <w:t>thalassaemia pati</w:t>
      </w:r>
      <w:r w:rsidR="005805E0">
        <w:t>ents received a median of 3 (interquartile range:</w:t>
      </w:r>
      <w:r>
        <w:t xml:space="preserve"> 2.5, 3) </w:t>
      </w:r>
      <w:r w:rsidR="005805E0">
        <w:t>red blood cells</w:t>
      </w:r>
      <w:r>
        <w:t xml:space="preserve"> per transfusion, on average every </w:t>
      </w:r>
      <w:r w:rsidR="008F1102">
        <w:t>4 </w:t>
      </w:r>
      <w:r>
        <w:t>weeks.</w:t>
      </w:r>
    </w:p>
    <w:p w14:paraId="5212CC16" w14:textId="4C18B8C1" w:rsidR="00D95A56" w:rsidRDefault="00D95A56" w:rsidP="00D95A56">
      <w:r>
        <w:t xml:space="preserve">Alloantibodies to </w:t>
      </w:r>
      <w:r w:rsidR="005805E0">
        <w:t>red blood cell</w:t>
      </w:r>
      <w:r>
        <w:t xml:space="preserve"> antigens were identified in 32% of </w:t>
      </w:r>
      <w:r w:rsidR="005805E0">
        <w:t>beta-</w:t>
      </w:r>
      <w:r>
        <w:t>thalassaemia patients on the registry.</w:t>
      </w:r>
    </w:p>
    <w:p w14:paraId="3AF474DF" w14:textId="1D6E3FB1" w:rsidR="00D95A56" w:rsidRPr="005805E0" w:rsidRDefault="005805E0" w:rsidP="00D95A56">
      <w:pPr>
        <w:rPr>
          <w:bCs/>
          <w:i/>
        </w:rPr>
      </w:pPr>
      <w:r>
        <w:rPr>
          <w:bCs/>
          <w:i/>
        </w:rPr>
        <w:t>Review of trial data in the D</w:t>
      </w:r>
      <w:r w:rsidR="00D95A56" w:rsidRPr="005805E0">
        <w:rPr>
          <w:bCs/>
          <w:i/>
        </w:rPr>
        <w:t>elegate</w:t>
      </w:r>
      <w:r>
        <w:rPr>
          <w:bCs/>
          <w:i/>
        </w:rPr>
        <w:t xml:space="preserve">’s summary: </w:t>
      </w:r>
      <w:r w:rsidR="00D95A56">
        <w:t xml:space="preserve">In </w:t>
      </w:r>
      <w:r>
        <w:t xml:space="preserve">Study </w:t>
      </w:r>
      <w:r w:rsidR="00D95A56">
        <w:t xml:space="preserve">ACE-536-MDS-001 (MEDALIST trial in </w:t>
      </w:r>
      <w:r>
        <w:t>myelodysplastic syndromes</w:t>
      </w:r>
      <w:r w:rsidR="00D95A56">
        <w:t>), the primary outcome was transfusion independence, and the results were very positive. Furthermore, even where patients did</w:t>
      </w:r>
      <w:r w:rsidR="004B217A">
        <w:t xml:space="preserve"> </w:t>
      </w:r>
      <w:r w:rsidR="00D95A56">
        <w:t>not achieve complete transfusion independence, many achieved haematologic impr</w:t>
      </w:r>
      <w:r>
        <w:t xml:space="preserve">ovement, </w:t>
      </w:r>
      <w:r w:rsidR="00D95A56">
        <w:t>here defined as mean haemoglobin increase of 1.5</w:t>
      </w:r>
      <w:r w:rsidR="00474DEA">
        <w:t> </w:t>
      </w:r>
      <w:r w:rsidR="00D95A56">
        <w:t xml:space="preserve">g/dL for </w:t>
      </w:r>
      <w:r w:rsidR="00474DEA">
        <w:t>8 </w:t>
      </w:r>
      <w:r w:rsidR="00D95A56">
        <w:t xml:space="preserve">weeks in the absence of </w:t>
      </w:r>
      <w:r>
        <w:t>red blood cell</w:t>
      </w:r>
      <w:r w:rsidR="00D95A56">
        <w:t xml:space="preserve"> transfusion, which is likely to be meaningful. Not surprisingly, patients with the lowest transfusion burden achieved the best responses: </w:t>
      </w:r>
      <w:r w:rsidR="00474DEA">
        <w:t>‘</w:t>
      </w:r>
      <w:r w:rsidR="00D95A56">
        <w:t xml:space="preserve">When evaluated according to the baseline transfusion burden, transfusion independence for </w:t>
      </w:r>
      <w:r w:rsidR="00474DEA">
        <w:t>8 </w:t>
      </w:r>
      <w:r w:rsidR="00D95A56">
        <w:t xml:space="preserve">weeks or longer in the </w:t>
      </w:r>
      <w:proofErr w:type="spellStart"/>
      <w:r w:rsidR="00D95A56">
        <w:t>luspatercept</w:t>
      </w:r>
      <w:proofErr w:type="spellEnd"/>
      <w:r w:rsidR="00D95A56">
        <w:t xml:space="preserve"> group occurred in 80% of the patients (37 of 46) who had been receiving less than </w:t>
      </w:r>
      <w:r w:rsidR="001E511A">
        <w:t xml:space="preserve">four </w:t>
      </w:r>
      <w:r w:rsidR="00D95A56">
        <w:t xml:space="preserve">units per </w:t>
      </w:r>
      <w:r w:rsidR="001E511A">
        <w:t>8 </w:t>
      </w:r>
      <w:r w:rsidR="00D95A56">
        <w:t xml:space="preserve">weeks, in 37% of those (15 of 41) who had been receiving 4 to less than </w:t>
      </w:r>
      <w:r w:rsidR="001E511A">
        <w:t xml:space="preserve">six </w:t>
      </w:r>
      <w:r w:rsidR="00D95A56">
        <w:t xml:space="preserve">units per </w:t>
      </w:r>
      <w:r w:rsidR="001E511A">
        <w:t>8 </w:t>
      </w:r>
      <w:r w:rsidR="00D95A56">
        <w:t xml:space="preserve">weeks, and in 9% of those (6 of 66) who had been receiving at least </w:t>
      </w:r>
      <w:r w:rsidR="001E511A">
        <w:t xml:space="preserve">six </w:t>
      </w:r>
      <w:r w:rsidR="00D95A56">
        <w:t xml:space="preserve">units per </w:t>
      </w:r>
      <w:r w:rsidR="001E511A">
        <w:t>8 </w:t>
      </w:r>
      <w:r w:rsidR="00D95A56">
        <w:t>weeks</w:t>
      </w:r>
      <w:r w:rsidR="001E511A">
        <w:t>’</w:t>
      </w:r>
      <w:r>
        <w:t>.</w:t>
      </w:r>
    </w:p>
    <w:p w14:paraId="4F34675A" w14:textId="77777777" w:rsidR="00D95A56" w:rsidRDefault="00D95A56" w:rsidP="00D95A56">
      <w:r>
        <w:t>While reductions in serum ferritin were modest, they were both statistically and clinically significant and when compared to the increases seen in the patients on placebo.</w:t>
      </w:r>
    </w:p>
    <w:p w14:paraId="286DC775" w14:textId="1E3EF9F6" w:rsidR="00D95A56" w:rsidRDefault="00D95A56" w:rsidP="00D95A56">
      <w:r>
        <w:t xml:space="preserve">Although improvements in </w:t>
      </w:r>
      <w:r w:rsidR="005805E0">
        <w:t>quality of life</w:t>
      </w:r>
      <w:r>
        <w:t xml:space="preserve"> were not demonstrated in this trial, reduction in ongoing transfusion requirements and requirement for frequent hospital visits would be welcomed by most patients and hospitals.</w:t>
      </w:r>
    </w:p>
    <w:p w14:paraId="16898C3A" w14:textId="298E2639" w:rsidR="00D95A56" w:rsidRDefault="00D95A56" w:rsidP="00D95A56">
      <w:r>
        <w:t xml:space="preserve">In </w:t>
      </w:r>
      <w:r w:rsidR="005805E0">
        <w:t xml:space="preserve">Study </w:t>
      </w:r>
      <w:r>
        <w:t xml:space="preserve">ACE-536-B-THAL-001 (BELIEVE trial in </w:t>
      </w:r>
      <w:r w:rsidR="005805E0">
        <w:t>beta-</w:t>
      </w:r>
      <w:r>
        <w:t>thalassaemia major), the primary outcome measure was a ≥</w:t>
      </w:r>
      <w:r w:rsidR="0050171C">
        <w:t> </w:t>
      </w:r>
      <w:r>
        <w:t>33% reduction from baseline in transfusion burden (</w:t>
      </w:r>
      <w:r w:rsidR="005805E0">
        <w:t>red blood cell</w:t>
      </w:r>
      <w:r>
        <w:t xml:space="preserve">/time) with a reduction of at least </w:t>
      </w:r>
      <w:r w:rsidR="0050171C">
        <w:t xml:space="preserve">two </w:t>
      </w:r>
      <w:r>
        <w:t xml:space="preserve">units of </w:t>
      </w:r>
      <w:r w:rsidR="005805E0">
        <w:t>red blood cells</w:t>
      </w:r>
      <w:r>
        <w:t>. Again</w:t>
      </w:r>
      <w:r w:rsidR="00195FC0">
        <w:t>,</w:t>
      </w:r>
      <w:r>
        <w:t xml:space="preserve"> the results were very positive.</w:t>
      </w:r>
    </w:p>
    <w:p w14:paraId="35D553CE" w14:textId="77777777" w:rsidR="00D95A56" w:rsidRDefault="00D95A56" w:rsidP="00D95A56">
      <w:r>
        <w:t>Responses were quite rapid in both trials, and, for responders, were generally sustained for extended periods.</w:t>
      </w:r>
    </w:p>
    <w:p w14:paraId="53FCCB4B" w14:textId="4D5D16AC" w:rsidR="00D95A56" w:rsidRDefault="00D95A56" w:rsidP="00D95A56">
      <w:r>
        <w:t>Safety d</w:t>
      </w:r>
      <w:r w:rsidR="005805E0">
        <w:t>ata provided were reviewed and this expert</w:t>
      </w:r>
      <w:r>
        <w:t xml:space="preserve"> agree</w:t>
      </w:r>
      <w:r w:rsidR="005805E0">
        <w:t>s</w:t>
      </w:r>
      <w:r>
        <w:t xml:space="preserve"> that these are acceptable. However, long</w:t>
      </w:r>
      <w:r w:rsidR="003E2670">
        <w:t xml:space="preserve"> </w:t>
      </w:r>
      <w:r>
        <w:t xml:space="preserve">term safety data are not yet available and will be important for these patient groups, especially in </w:t>
      </w:r>
      <w:r w:rsidR="005805E0">
        <w:t>beta-</w:t>
      </w:r>
      <w:r>
        <w:t>thalassaemia major, where it could be anticipated that patients may be receiving the therapy for many years or decades outside the setting of clinical trials, and therefore monitoring will be less frequent and less intensive.</w:t>
      </w:r>
    </w:p>
    <w:p w14:paraId="083C16B9" w14:textId="073BA6A5" w:rsidR="00CF62C5" w:rsidRDefault="00D95A56" w:rsidP="00D95A56">
      <w:proofErr w:type="spellStart"/>
      <w:r>
        <w:t>Luspatercept</w:t>
      </w:r>
      <w:proofErr w:type="spellEnd"/>
      <w:r>
        <w:t xml:space="preserve"> is subcutaneously administered every </w:t>
      </w:r>
      <w:r w:rsidR="00C620CA">
        <w:t>21 </w:t>
      </w:r>
      <w:r>
        <w:t>days. This is likely to be manageable for patients and families and provide greater patient autonomy and satisfaction in management of their condition.</w:t>
      </w:r>
    </w:p>
    <w:p w14:paraId="63B70370" w14:textId="5DA444A2" w:rsidR="008D15E7" w:rsidRPr="00704E63" w:rsidRDefault="00181009" w:rsidP="00440EF2">
      <w:pPr>
        <w:pStyle w:val="ListParagraph"/>
        <w:numPr>
          <w:ilvl w:val="0"/>
          <w:numId w:val="8"/>
        </w:numPr>
        <w:ind w:left="357" w:hanging="357"/>
        <w:rPr>
          <w:b/>
          <w:bCs/>
          <w:i/>
          <w:iCs/>
        </w:rPr>
      </w:pPr>
      <w:r w:rsidRPr="00704E63">
        <w:rPr>
          <w:b/>
          <w:bCs/>
          <w:i/>
          <w:iCs/>
        </w:rPr>
        <w:t xml:space="preserve">Is the proposed second-line indication for </w:t>
      </w:r>
      <w:proofErr w:type="spellStart"/>
      <w:r w:rsidRPr="00704E63">
        <w:rPr>
          <w:b/>
          <w:bCs/>
          <w:i/>
          <w:iCs/>
        </w:rPr>
        <w:t>luspatercept</w:t>
      </w:r>
      <w:proofErr w:type="spellEnd"/>
      <w:r w:rsidRPr="00704E63">
        <w:rPr>
          <w:b/>
          <w:bCs/>
          <w:i/>
          <w:iCs/>
        </w:rPr>
        <w:t xml:space="preserve"> in </w:t>
      </w:r>
      <w:r w:rsidR="005805E0">
        <w:rPr>
          <w:b/>
          <w:bCs/>
          <w:i/>
          <w:iCs/>
        </w:rPr>
        <w:t>myelodysplastic syndromes</w:t>
      </w:r>
      <w:r w:rsidRPr="00704E63">
        <w:rPr>
          <w:b/>
          <w:bCs/>
          <w:i/>
          <w:iCs/>
        </w:rPr>
        <w:t xml:space="preserve"> appropriate in Australia where </w:t>
      </w:r>
      <w:r w:rsidR="005805E0">
        <w:rPr>
          <w:b/>
          <w:bCs/>
          <w:i/>
          <w:iCs/>
        </w:rPr>
        <w:t>erythropoiesis stimulating agents</w:t>
      </w:r>
      <w:r w:rsidRPr="00704E63">
        <w:rPr>
          <w:b/>
          <w:bCs/>
          <w:i/>
          <w:iCs/>
        </w:rPr>
        <w:t xml:space="preserve"> are not TGA-approved to treat the anaemia associated with </w:t>
      </w:r>
      <w:r w:rsidR="005805E0">
        <w:rPr>
          <w:b/>
          <w:bCs/>
          <w:i/>
          <w:iCs/>
        </w:rPr>
        <w:t>myelodysplastic syndromes</w:t>
      </w:r>
      <w:r w:rsidRPr="00704E63">
        <w:rPr>
          <w:b/>
          <w:bCs/>
          <w:i/>
          <w:iCs/>
        </w:rPr>
        <w:t xml:space="preserve">? </w:t>
      </w:r>
    </w:p>
    <w:p w14:paraId="51BF39C2" w14:textId="1674B979" w:rsidR="00181009" w:rsidRDefault="005805E0" w:rsidP="0042400B">
      <w:r>
        <w:t>Yes, i</w:t>
      </w:r>
      <w:r w:rsidR="00181009" w:rsidRPr="00181009">
        <w:t xml:space="preserve">n </w:t>
      </w:r>
      <w:r>
        <w:t>Study ACE-536-MDS-001 (</w:t>
      </w:r>
      <w:r w:rsidR="00181009" w:rsidRPr="00181009">
        <w:t xml:space="preserve">MEDALIST </w:t>
      </w:r>
      <w:r>
        <w:t>t</w:t>
      </w:r>
      <w:r w:rsidR="001D1A21" w:rsidRPr="00181009">
        <w:t>rial</w:t>
      </w:r>
      <w:r>
        <w:t>)</w:t>
      </w:r>
      <w:r w:rsidR="00181009" w:rsidRPr="00181009">
        <w:t xml:space="preserve">, participants had disease that was refractory to or unlikely to respond to </w:t>
      </w:r>
      <w:r>
        <w:t>erythropoiesis stimulating agents (</w:t>
      </w:r>
      <w:r w:rsidR="00181009" w:rsidRPr="00181009">
        <w:t>ESAs</w:t>
      </w:r>
      <w:r>
        <w:t>)</w:t>
      </w:r>
      <w:r w:rsidR="00181009" w:rsidRPr="00181009">
        <w:t xml:space="preserve"> or had discontinued treatment due to ESA intolerance. Since ESAs are not approved in Australia, and better therapies are needed to improve outcomes for patients with </w:t>
      </w:r>
      <w:r>
        <w:t>myelodysplastic syndromes</w:t>
      </w:r>
      <w:r w:rsidR="00181009" w:rsidRPr="00181009">
        <w:t>, it is reasonable to consider this alternate therapy.</w:t>
      </w:r>
    </w:p>
    <w:p w14:paraId="56F5C09A" w14:textId="06620999" w:rsidR="008E7846" w:rsidRDefault="008E7846" w:rsidP="007D53B6">
      <w:pPr>
        <w:pStyle w:val="Heading4"/>
      </w:pPr>
      <w:r>
        <w:t xml:space="preserve">Advisory Committee </w:t>
      </w:r>
      <w:r w:rsidR="007D53B6">
        <w:t>c</w:t>
      </w:r>
      <w:r>
        <w:t>onsiderations</w:t>
      </w:r>
      <w:r w:rsidR="00456765">
        <w:rPr>
          <w:rStyle w:val="FootnoteReference"/>
        </w:rPr>
        <w:footnoteReference w:id="70"/>
      </w:r>
    </w:p>
    <w:p w14:paraId="3B194CB3" w14:textId="77777777" w:rsidR="00744121" w:rsidRPr="007D53B6" w:rsidRDefault="00744121" w:rsidP="00744121">
      <w:bookmarkStart w:id="80" w:name="_Toc247691532"/>
      <w:bookmarkStart w:id="81" w:name="_Toc314842516"/>
      <w:bookmarkEnd w:id="40"/>
      <w:bookmarkEnd w:id="69"/>
      <w:bookmarkEnd w:id="70"/>
      <w:r w:rsidRPr="007D53B6">
        <w:t>The Delegate did not refer this application to the Advisory Committee on Medicines (ACM) for advice.</w:t>
      </w:r>
    </w:p>
    <w:p w14:paraId="24885947" w14:textId="77777777" w:rsidR="008E7846" w:rsidRPr="002E238E" w:rsidRDefault="008E7846" w:rsidP="00886679">
      <w:pPr>
        <w:pStyle w:val="Heading3"/>
        <w:pageBreakBefore/>
      </w:pPr>
      <w:bookmarkStart w:id="82" w:name="_Toc102045195"/>
      <w:r>
        <w:t>Outcome</w:t>
      </w:r>
      <w:bookmarkEnd w:id="80"/>
      <w:bookmarkEnd w:id="81"/>
      <w:bookmarkEnd w:id="82"/>
    </w:p>
    <w:p w14:paraId="2DD64FD8" w14:textId="790F6E06" w:rsidR="007D53B6" w:rsidRDefault="00744121" w:rsidP="00744121">
      <w:bookmarkStart w:id="83" w:name="_Toc247691533"/>
      <w:bookmarkStart w:id="84" w:name="_Toc314842517"/>
      <w:r>
        <w:t xml:space="preserve">Based on a review of quality, </w:t>
      </w:r>
      <w:proofErr w:type="gramStart"/>
      <w:r>
        <w:t>safety</w:t>
      </w:r>
      <w:proofErr w:type="gramEnd"/>
      <w:r>
        <w:t xml:space="preserve"> and efficacy, the TGA approved the registration of </w:t>
      </w:r>
      <w:proofErr w:type="spellStart"/>
      <w:r w:rsidR="00D37E7F" w:rsidRPr="00D37E7F">
        <w:t>Reblozyl</w:t>
      </w:r>
      <w:proofErr w:type="spellEnd"/>
      <w:r w:rsidRPr="00250271">
        <w:t xml:space="preserve"> (</w:t>
      </w:r>
      <w:proofErr w:type="spellStart"/>
      <w:r w:rsidR="00D37E7F" w:rsidRPr="00D37E7F">
        <w:t>luspatercept</w:t>
      </w:r>
      <w:proofErr w:type="spellEnd"/>
      <w:r w:rsidRPr="00250271">
        <w:t xml:space="preserve">) </w:t>
      </w:r>
      <w:r w:rsidR="00DB74A5">
        <w:t xml:space="preserve">25 </w:t>
      </w:r>
      <w:r w:rsidR="002F6B34">
        <w:t xml:space="preserve">mg </w:t>
      </w:r>
      <w:r w:rsidR="00DB74A5">
        <w:t>and 75 mg</w:t>
      </w:r>
      <w:r w:rsidRPr="00250271">
        <w:t xml:space="preserve">, </w:t>
      </w:r>
      <w:r w:rsidR="00DB74A5">
        <w:t>powder for injection</w:t>
      </w:r>
      <w:r>
        <w:t xml:space="preserve">, </w:t>
      </w:r>
      <w:r w:rsidR="00DB74A5">
        <w:t>vial</w:t>
      </w:r>
      <w:r>
        <w:t>, indicated for:</w:t>
      </w:r>
    </w:p>
    <w:p w14:paraId="3391EEA7" w14:textId="75D41BFC" w:rsidR="002A4669" w:rsidRDefault="002B1B3D" w:rsidP="006C4F25">
      <w:pPr>
        <w:ind w:left="720"/>
        <w:rPr>
          <w:i/>
          <w:iCs/>
        </w:rPr>
      </w:pPr>
      <w:proofErr w:type="spellStart"/>
      <w:r w:rsidRPr="006C4F25">
        <w:rPr>
          <w:i/>
          <w:iCs/>
        </w:rPr>
        <w:t>Reblozyl</w:t>
      </w:r>
      <w:proofErr w:type="spellEnd"/>
      <w:r w:rsidRPr="006C4F25">
        <w:rPr>
          <w:i/>
          <w:iCs/>
        </w:rPr>
        <w:t xml:space="preserve"> </w:t>
      </w:r>
      <w:r w:rsidR="006C4F25" w:rsidRPr="006C4F25">
        <w:rPr>
          <w:i/>
          <w:iCs/>
        </w:rPr>
        <w:t xml:space="preserve">is indicated for the treatment of adult patients with transfusion-dependent anaemia (requiring 2 or more RBC units over 8 weeks) due to very low, low and intermediate-risk myelodysplastic syndromes with ring </w:t>
      </w:r>
      <w:proofErr w:type="spellStart"/>
      <w:r w:rsidR="006C4F25" w:rsidRPr="006C4F25">
        <w:rPr>
          <w:i/>
          <w:iCs/>
        </w:rPr>
        <w:t>sideroblasts</w:t>
      </w:r>
      <w:proofErr w:type="spellEnd"/>
      <w:r w:rsidR="006C4F25" w:rsidRPr="006C4F25">
        <w:rPr>
          <w:i/>
          <w:iCs/>
        </w:rPr>
        <w:t xml:space="preserve"> (MDS-RS).</w:t>
      </w:r>
    </w:p>
    <w:p w14:paraId="65428E40" w14:textId="28D78DF9" w:rsidR="00B24038" w:rsidRPr="006C4F25" w:rsidRDefault="00B24038" w:rsidP="00B24038">
      <w:pPr>
        <w:ind w:left="720"/>
        <w:rPr>
          <w:i/>
          <w:iCs/>
        </w:rPr>
      </w:pPr>
      <w:proofErr w:type="spellStart"/>
      <w:r w:rsidRPr="00B24038">
        <w:rPr>
          <w:i/>
          <w:iCs/>
        </w:rPr>
        <w:t>R</w:t>
      </w:r>
      <w:r>
        <w:rPr>
          <w:i/>
          <w:iCs/>
        </w:rPr>
        <w:t>eblozyl</w:t>
      </w:r>
      <w:proofErr w:type="spellEnd"/>
      <w:r w:rsidRPr="00B24038">
        <w:rPr>
          <w:i/>
          <w:iCs/>
        </w:rPr>
        <w:t xml:space="preserve"> is indicated for the treatment of adult patients with transfusion-dependent anaemia</w:t>
      </w:r>
      <w:r>
        <w:rPr>
          <w:i/>
          <w:iCs/>
        </w:rPr>
        <w:t xml:space="preserve"> </w:t>
      </w:r>
      <w:r w:rsidRPr="00B24038">
        <w:rPr>
          <w:i/>
          <w:iCs/>
        </w:rPr>
        <w:t>associated with beta thalassaemia.</w:t>
      </w:r>
    </w:p>
    <w:p w14:paraId="51A8EA28" w14:textId="77777777" w:rsidR="00D23139" w:rsidRPr="00D23139" w:rsidRDefault="00D23139" w:rsidP="00D23139">
      <w:pPr>
        <w:pStyle w:val="Heading4"/>
      </w:pPr>
      <w:r w:rsidRPr="00D23139">
        <w:t>Specific conditions of registration applying to these goods</w:t>
      </w:r>
    </w:p>
    <w:p w14:paraId="78EE83B9" w14:textId="20727B4F" w:rsidR="006D074D" w:rsidRPr="00704E63" w:rsidRDefault="006D074D" w:rsidP="00D24BFC">
      <w:pPr>
        <w:pStyle w:val="ListBullet"/>
      </w:pPr>
      <w:proofErr w:type="spellStart"/>
      <w:r w:rsidRPr="00704E63">
        <w:t>Reblozyl</w:t>
      </w:r>
      <w:proofErr w:type="spellEnd"/>
      <w:r w:rsidRPr="00704E63">
        <w:t xml:space="preserve"> (</w:t>
      </w:r>
      <w:proofErr w:type="spellStart"/>
      <w:r w:rsidRPr="00704E63">
        <w:t>luspatercept</w:t>
      </w:r>
      <w:proofErr w:type="spellEnd"/>
      <w:r w:rsidRPr="00704E63">
        <w:t>) is to be included in the Black Triangle Scheme. The PI and</w:t>
      </w:r>
      <w:r w:rsidR="00D24BFC">
        <w:t xml:space="preserve"> </w:t>
      </w:r>
      <w:r w:rsidRPr="00704E63">
        <w:t xml:space="preserve">CMI for </w:t>
      </w:r>
      <w:proofErr w:type="spellStart"/>
      <w:r w:rsidRPr="00704E63">
        <w:t>Reblozyl</w:t>
      </w:r>
      <w:proofErr w:type="spellEnd"/>
      <w:r w:rsidRPr="00704E63">
        <w:t xml:space="preserve"> must include the black triangle symbol and mandatory</w:t>
      </w:r>
      <w:r w:rsidR="00D24BFC">
        <w:t xml:space="preserve"> </w:t>
      </w:r>
      <w:r w:rsidRPr="00704E63">
        <w:t>accompanying text for 5</w:t>
      </w:r>
      <w:r w:rsidR="007136BA">
        <w:t> </w:t>
      </w:r>
      <w:r w:rsidRPr="00704E63">
        <w:t>years, which starts from the date that the sponsor notifies</w:t>
      </w:r>
      <w:r w:rsidR="00D24BFC">
        <w:t xml:space="preserve"> </w:t>
      </w:r>
      <w:r w:rsidRPr="00704E63">
        <w:t>the TGA of supply of the</w:t>
      </w:r>
      <w:r w:rsidR="00D24BFC">
        <w:t xml:space="preserve"> </w:t>
      </w:r>
      <w:r w:rsidRPr="00704E63">
        <w:t>product.</w:t>
      </w:r>
    </w:p>
    <w:p w14:paraId="30B77BC4" w14:textId="70DCD7C5" w:rsidR="006D074D" w:rsidRPr="00704E63" w:rsidRDefault="006D074D" w:rsidP="008161B2">
      <w:pPr>
        <w:pStyle w:val="ListBullet"/>
      </w:pPr>
      <w:r w:rsidRPr="00704E63">
        <w:t xml:space="preserve">The </w:t>
      </w:r>
      <w:proofErr w:type="spellStart"/>
      <w:r w:rsidRPr="00704E63">
        <w:t>Reblozyl</w:t>
      </w:r>
      <w:proofErr w:type="spellEnd"/>
      <w:r w:rsidRPr="00704E63">
        <w:t xml:space="preserve"> </w:t>
      </w:r>
      <w:r w:rsidR="00D24BFC">
        <w:t>European Union (</w:t>
      </w:r>
      <w:r w:rsidRPr="00704E63">
        <w:t>EU</w:t>
      </w:r>
      <w:r w:rsidR="00D24BFC">
        <w:t>)</w:t>
      </w:r>
      <w:r w:rsidR="002B1B3D">
        <w:t xml:space="preserve"> </w:t>
      </w:r>
      <w:r w:rsidR="007846A3">
        <w:t>r</w:t>
      </w:r>
      <w:r w:rsidRPr="00704E63">
        <w:t xml:space="preserve">isk </w:t>
      </w:r>
      <w:r w:rsidR="007846A3">
        <w:t>m</w:t>
      </w:r>
      <w:r w:rsidR="007846A3" w:rsidRPr="00704E63">
        <w:t xml:space="preserve">anagement </w:t>
      </w:r>
      <w:r w:rsidR="007846A3">
        <w:t>p</w:t>
      </w:r>
      <w:r w:rsidR="007846A3" w:rsidRPr="00704E63">
        <w:t xml:space="preserve">lan </w:t>
      </w:r>
      <w:r w:rsidRPr="00704E63">
        <w:t>(RMP) (version 1.0, dated 12 May 2020, data</w:t>
      </w:r>
      <w:r w:rsidR="008161B2">
        <w:t xml:space="preserve"> </w:t>
      </w:r>
      <w:r w:rsidRPr="00704E63">
        <w:t xml:space="preserve">lock point May 2018), with Australian </w:t>
      </w:r>
      <w:r w:rsidR="003F52B8">
        <w:t>s</w:t>
      </w:r>
      <w:r w:rsidRPr="00704E63">
        <w:t xml:space="preserve">pecific </w:t>
      </w:r>
      <w:r w:rsidR="003F52B8">
        <w:t>a</w:t>
      </w:r>
      <w:r w:rsidRPr="00704E63">
        <w:t>nnex (version 2.0, dated 14 December</w:t>
      </w:r>
      <w:r w:rsidR="008161B2">
        <w:t xml:space="preserve"> </w:t>
      </w:r>
      <w:r w:rsidRPr="00704E63">
        <w:t>2020), included with submission PM-2020-01706-1-6, and any subsequent revisions,</w:t>
      </w:r>
      <w:r w:rsidR="008161B2">
        <w:t xml:space="preserve"> </w:t>
      </w:r>
      <w:r w:rsidRPr="00704E63">
        <w:t>as agreed with the TGA will be implemented in Australia.</w:t>
      </w:r>
    </w:p>
    <w:p w14:paraId="168EC9FF" w14:textId="02250EE7" w:rsidR="006D074D" w:rsidRPr="00704E63" w:rsidRDefault="006D074D" w:rsidP="003078CD">
      <w:pPr>
        <w:pStyle w:val="ListBullet"/>
      </w:pPr>
      <w:r w:rsidRPr="00704E63">
        <w:t>An obligatory component of risk management plans is routine pharmacovigilance.</w:t>
      </w:r>
      <w:r w:rsidR="0089706C">
        <w:t xml:space="preserve"> </w:t>
      </w:r>
      <w:r w:rsidRPr="00704E63">
        <w:t>Routine pharmacovigilance includes the submission of periodic safety update</w:t>
      </w:r>
      <w:r w:rsidR="0089706C">
        <w:t xml:space="preserve"> </w:t>
      </w:r>
      <w:r w:rsidRPr="00704E63">
        <w:t>reports (PSURs).</w:t>
      </w:r>
    </w:p>
    <w:p w14:paraId="2C7F222F" w14:textId="5A15DBC3" w:rsidR="006D074D" w:rsidRPr="00704E63" w:rsidRDefault="006D074D" w:rsidP="00704E63">
      <w:pPr>
        <w:pStyle w:val="ListBullet"/>
        <w:rPr>
          <w:rFonts w:asciiTheme="minorHAnsi" w:eastAsiaTheme="minorHAnsi" w:hAnsiTheme="minorHAnsi" w:cs="Cambria"/>
          <w:color w:val="000000"/>
        </w:rPr>
      </w:pPr>
      <w:r w:rsidRPr="00704E63">
        <w:rPr>
          <w:rFonts w:asciiTheme="minorHAnsi" w:eastAsiaTheme="minorHAnsi" w:hAnsiTheme="minorHAnsi" w:cs="Cambria"/>
          <w:color w:val="000000"/>
        </w:rPr>
        <w:t>Reports are to be provided in line with the current published list of EU reference</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dates and frequency of submission of PSURs until the period covered by such</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 xml:space="preserve">reports is not less than </w:t>
      </w:r>
      <w:r w:rsidR="003C2FF5">
        <w:rPr>
          <w:rFonts w:asciiTheme="minorHAnsi" w:eastAsiaTheme="minorHAnsi" w:hAnsiTheme="minorHAnsi" w:cs="Cambria"/>
          <w:color w:val="000000"/>
        </w:rPr>
        <w:t>three</w:t>
      </w:r>
      <w:r w:rsidR="003C2FF5" w:rsidRPr="00704E63">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 xml:space="preserve">years from the date of </w:t>
      </w:r>
      <w:r w:rsidR="003C2FF5">
        <w:rPr>
          <w:rFonts w:asciiTheme="minorHAnsi" w:eastAsiaTheme="minorHAnsi" w:hAnsiTheme="minorHAnsi" w:cs="Cambria"/>
          <w:color w:val="000000"/>
        </w:rPr>
        <w:t>the</w:t>
      </w:r>
      <w:r w:rsidR="003C2FF5" w:rsidRPr="00704E63">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approval letter.</w:t>
      </w:r>
    </w:p>
    <w:p w14:paraId="1C8D88C7" w14:textId="702251A8" w:rsidR="006D074D" w:rsidRPr="00704E63" w:rsidRDefault="006D074D" w:rsidP="00704E63">
      <w:pPr>
        <w:pStyle w:val="ListBullet"/>
        <w:rPr>
          <w:rFonts w:asciiTheme="minorHAnsi" w:eastAsiaTheme="minorHAnsi" w:hAnsiTheme="minorHAnsi" w:cs="Cambria"/>
          <w:color w:val="000000"/>
        </w:rPr>
      </w:pPr>
      <w:r w:rsidRPr="00704E63">
        <w:rPr>
          <w:rFonts w:asciiTheme="minorHAnsi" w:eastAsiaTheme="minorHAnsi" w:hAnsiTheme="minorHAnsi" w:cs="Cambria"/>
          <w:color w:val="000000"/>
        </w:rPr>
        <w:t>The reports are to at least meet the requirements for PSURs as described in the</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 xml:space="preserve">European Medicines Agency’s Guideline on </w:t>
      </w:r>
      <w:r w:rsidR="00BD0AF1" w:rsidRPr="00704E63">
        <w:rPr>
          <w:rFonts w:asciiTheme="minorHAnsi" w:eastAsiaTheme="minorHAnsi" w:hAnsiTheme="minorHAnsi" w:cs="Cambria"/>
          <w:color w:val="000000"/>
        </w:rPr>
        <w:t>Good Pharmacovigilance</w:t>
      </w:r>
      <w:r w:rsidR="00A61DFF">
        <w:rPr>
          <w:rFonts w:asciiTheme="minorHAnsi" w:eastAsiaTheme="minorHAnsi" w:hAnsiTheme="minorHAnsi" w:cs="Cambria"/>
          <w:color w:val="000000"/>
        </w:rPr>
        <w:t xml:space="preserve"> </w:t>
      </w:r>
      <w:r w:rsidR="00BD0AF1" w:rsidRPr="00704E63">
        <w:rPr>
          <w:rFonts w:asciiTheme="minorHAnsi" w:eastAsiaTheme="minorHAnsi" w:hAnsiTheme="minorHAnsi" w:cs="Cambria"/>
          <w:color w:val="000000"/>
        </w:rPr>
        <w:t xml:space="preserve">Practices </w:t>
      </w:r>
      <w:r w:rsidRPr="00704E63">
        <w:rPr>
          <w:rFonts w:asciiTheme="minorHAnsi" w:eastAsiaTheme="minorHAnsi" w:hAnsiTheme="minorHAnsi" w:cs="Cambria"/>
          <w:color w:val="000000"/>
        </w:rPr>
        <w:t>(GVP)</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 xml:space="preserve">Module VII-periodic safety update report (Rev 1), Part VII.B </w:t>
      </w:r>
      <w:r w:rsidR="009F17A4" w:rsidRPr="00704E63">
        <w:rPr>
          <w:rFonts w:asciiTheme="minorHAnsi" w:eastAsiaTheme="minorHAnsi" w:hAnsiTheme="minorHAnsi" w:cs="Cambria"/>
          <w:color w:val="000000"/>
        </w:rPr>
        <w:t xml:space="preserve">structures </w:t>
      </w:r>
      <w:r w:rsidRPr="00704E63">
        <w:rPr>
          <w:rFonts w:asciiTheme="minorHAnsi" w:eastAsiaTheme="minorHAnsi" w:hAnsiTheme="minorHAnsi" w:cs="Cambria"/>
          <w:color w:val="000000"/>
        </w:rPr>
        <w:t>and</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processes. Note that submission of a PSUR does not constitute an application to vary</w:t>
      </w:r>
      <w:r w:rsidR="00A61DFF">
        <w:rPr>
          <w:rFonts w:asciiTheme="minorHAnsi" w:eastAsiaTheme="minorHAnsi" w:hAnsiTheme="minorHAnsi" w:cs="Cambria"/>
          <w:color w:val="000000"/>
        </w:rPr>
        <w:t xml:space="preserve"> </w:t>
      </w:r>
      <w:r w:rsidRPr="00704E63">
        <w:rPr>
          <w:rFonts w:asciiTheme="minorHAnsi" w:eastAsiaTheme="minorHAnsi" w:hAnsiTheme="minorHAnsi" w:cs="Cambria"/>
          <w:color w:val="000000"/>
        </w:rPr>
        <w:t>the registration.</w:t>
      </w:r>
    </w:p>
    <w:p w14:paraId="392D3449" w14:textId="593DE98D" w:rsidR="006D074D" w:rsidRPr="00704E63" w:rsidRDefault="006D074D" w:rsidP="00704E63">
      <w:pPr>
        <w:pStyle w:val="ListBullet"/>
      </w:pPr>
      <w:r w:rsidRPr="00704E63">
        <w:t>Laboratory testing &amp; compliance with Certified Product Details (CPD)</w:t>
      </w:r>
    </w:p>
    <w:p w14:paraId="6EDB0C43" w14:textId="50EA4973" w:rsidR="006D074D" w:rsidRPr="00704E63" w:rsidRDefault="006D074D" w:rsidP="002F570B">
      <w:pPr>
        <w:pStyle w:val="ListBullet2"/>
      </w:pPr>
      <w:r w:rsidRPr="00704E63">
        <w:t xml:space="preserve">All batches of 334510 </w:t>
      </w:r>
      <w:proofErr w:type="spellStart"/>
      <w:r w:rsidRPr="00704E63">
        <w:t>R</w:t>
      </w:r>
      <w:r w:rsidR="00301F84" w:rsidRPr="00704E63">
        <w:t>eblozyl</w:t>
      </w:r>
      <w:proofErr w:type="spellEnd"/>
      <w:r w:rsidRPr="00704E63">
        <w:t xml:space="preserve"> </w:t>
      </w:r>
      <w:proofErr w:type="spellStart"/>
      <w:r w:rsidRPr="00704E63">
        <w:t>luspatercept</w:t>
      </w:r>
      <w:proofErr w:type="spellEnd"/>
      <w:r w:rsidRPr="00704E63">
        <w:t xml:space="preserve"> 25 mg powder for injection vial and</w:t>
      </w:r>
      <w:r w:rsidR="002F570B">
        <w:t xml:space="preserve"> </w:t>
      </w:r>
      <w:r w:rsidRPr="00704E63">
        <w:t xml:space="preserve">334511 </w:t>
      </w:r>
      <w:proofErr w:type="spellStart"/>
      <w:r w:rsidRPr="00704E63">
        <w:t>R</w:t>
      </w:r>
      <w:r w:rsidR="00301F84" w:rsidRPr="00704E63">
        <w:t>eblozyl</w:t>
      </w:r>
      <w:proofErr w:type="spellEnd"/>
      <w:r w:rsidRPr="00704E63">
        <w:t xml:space="preserve"> </w:t>
      </w:r>
      <w:proofErr w:type="spellStart"/>
      <w:r w:rsidRPr="00704E63">
        <w:t>luspatercept</w:t>
      </w:r>
      <w:proofErr w:type="spellEnd"/>
      <w:r w:rsidRPr="00704E63">
        <w:t xml:space="preserve"> 75 mg powder for injection vial supplied in Australia</w:t>
      </w:r>
      <w:r w:rsidR="002F570B">
        <w:t xml:space="preserve"> </w:t>
      </w:r>
      <w:r w:rsidRPr="00704E63">
        <w:t>must comply with the product details and specifications approved during evaluation</w:t>
      </w:r>
      <w:r w:rsidR="002F570B">
        <w:t xml:space="preserve"> </w:t>
      </w:r>
      <w:r w:rsidRPr="00704E63">
        <w:t>and detailed in the CPD.</w:t>
      </w:r>
    </w:p>
    <w:p w14:paraId="18BF1B1E" w14:textId="4710A0C3" w:rsidR="00315E83" w:rsidRDefault="006D074D" w:rsidP="002F570B">
      <w:pPr>
        <w:pStyle w:val="ListBullet2"/>
      </w:pPr>
      <w:r w:rsidRPr="00704E63">
        <w:t>When requested by the TGA, the Sponsor should be prepared to provide product</w:t>
      </w:r>
      <w:r w:rsidR="002F570B">
        <w:t xml:space="preserve"> </w:t>
      </w:r>
      <w:r w:rsidRPr="00704E63">
        <w:t>samples, specified reference materials and documentary evidence to enable the TGA</w:t>
      </w:r>
      <w:r w:rsidR="002F570B">
        <w:t xml:space="preserve"> </w:t>
      </w:r>
      <w:r w:rsidRPr="00704E63">
        <w:t>to conduct laboratory testing on the Product. Outcomes of laboratory testing are</w:t>
      </w:r>
      <w:r w:rsidR="002F570B">
        <w:t xml:space="preserve"> </w:t>
      </w:r>
      <w:r w:rsidRPr="00704E63">
        <w:t>published biannually in the TGA Database of Laboratory Testing Results</w:t>
      </w:r>
      <w:r w:rsidR="002F570B">
        <w:t xml:space="preserve"> </w:t>
      </w:r>
      <w:r w:rsidRPr="00704E63">
        <w:rPr>
          <w:color w:val="0000FF"/>
        </w:rPr>
        <w:t xml:space="preserve">http://www.tga.gov.au/ws-labs-index </w:t>
      </w:r>
      <w:r w:rsidRPr="00704E63">
        <w:t>and periodically in testing reports on the TGA</w:t>
      </w:r>
      <w:r w:rsidR="002F570B">
        <w:t xml:space="preserve"> </w:t>
      </w:r>
      <w:r w:rsidRPr="00704E63">
        <w:t>website.</w:t>
      </w:r>
    </w:p>
    <w:p w14:paraId="09DB2E69" w14:textId="419310FE" w:rsidR="00456765" w:rsidRDefault="00086398" w:rsidP="002B1B3D">
      <w:pPr>
        <w:pStyle w:val="ListBullet"/>
      </w:pPr>
      <w:r>
        <w:t>The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83D4A98" w14:textId="44BF45BD" w:rsidR="008E7846" w:rsidRDefault="002B1B3D" w:rsidP="00D23139">
      <w:pPr>
        <w:pStyle w:val="Heading2"/>
      </w:pPr>
      <w:r w:rsidRPr="00FC1FCA" w:rsidDel="00756BE0">
        <w:t xml:space="preserve"> </w:t>
      </w:r>
      <w:bookmarkStart w:id="85" w:name="_Toc102045196"/>
      <w:r w:rsidR="00A80B5B">
        <w:t xml:space="preserve">Attachment 1. </w:t>
      </w:r>
      <w:r w:rsidR="008E7846">
        <w:t xml:space="preserve">Product </w:t>
      </w:r>
      <w:r w:rsidR="00AA0ED0">
        <w:t>I</w:t>
      </w:r>
      <w:r w:rsidR="008E7846">
        <w:t>nformation</w:t>
      </w:r>
      <w:bookmarkEnd w:id="83"/>
      <w:bookmarkEnd w:id="84"/>
      <w:bookmarkEnd w:id="85"/>
    </w:p>
    <w:p w14:paraId="12638A8E" w14:textId="5DA81F69" w:rsidR="00561530" w:rsidRDefault="006136D7" w:rsidP="00C80137">
      <w:r w:rsidRPr="002B3624">
        <w:t xml:space="preserve">The </w:t>
      </w:r>
      <w:r>
        <w:t>PI</w:t>
      </w:r>
      <w:r w:rsidRPr="002B3624">
        <w:t xml:space="preserve"> for </w:t>
      </w:r>
      <w:r w:rsidR="00354867" w:rsidRPr="00354867">
        <w:t>REBLOZYL</w:t>
      </w:r>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2" w:history="1">
        <w:r w:rsidR="007C6B9B" w:rsidRPr="007C6B9B">
          <w:rPr>
            <w:rStyle w:val="Hyperlink"/>
          </w:rPr>
          <w:t>https://www.tga.gov.au/product-information-pi</w:t>
        </w:r>
      </w:hyperlink>
      <w:r w:rsidR="007C6B9B" w:rsidRPr="007C6B9B">
        <w:t xml:space="preserve">&gt;. </w:t>
      </w:r>
    </w:p>
    <w:p w14:paraId="4313EE25" w14:textId="77777777" w:rsidR="00886679" w:rsidRDefault="00886679" w:rsidP="00C80137">
      <w:pPr>
        <w:sectPr w:rsidR="00886679" w:rsidSect="009C0711">
          <w:headerReference w:type="even" r:id="rId33"/>
          <w:headerReference w:type="default" r:id="rId34"/>
          <w:headerReference w:type="first" r:id="rId35"/>
          <w:footerReference w:type="first" r:id="rId36"/>
          <w:pgSz w:w="11906" w:h="16838" w:code="9"/>
          <w:pgMar w:top="833" w:right="1701" w:bottom="1191" w:left="1701" w:header="907" w:footer="215" w:gutter="0"/>
          <w:cols w:space="708"/>
          <w:docGrid w:linePitch="360"/>
        </w:sectPr>
      </w:pPr>
    </w:p>
    <w:p w14:paraId="5A1EA985" w14:textId="77777777" w:rsidR="00561530" w:rsidRDefault="00561530">
      <w:pPr>
        <w:spacing w:before="0" w:after="200" w:line="0" w:lineRule="auto"/>
      </w:pPr>
      <w:r>
        <w:br w:type="page"/>
      </w:r>
    </w:p>
    <w:p w14:paraId="003613E5" w14:textId="0005CBD3" w:rsidR="00561530" w:rsidRPr="00561530" w:rsidRDefault="00561530" w:rsidP="00F91303">
      <w:pPr>
        <w:spacing w:before="0" w:after="0" w:line="495" w:lineRule="exact"/>
        <w:ind w:left="120" w:right="-20"/>
        <w:rPr>
          <w:rFonts w:ascii="Times New Roman" w:eastAsia="Times New Roman" w:hAnsi="Times New Roman"/>
        </w:rPr>
      </w:pPr>
      <w:r w:rsidRPr="00561530">
        <w:rPr>
          <w:rFonts w:ascii="SimSun" w:eastAsia="SimSun" w:hAnsi="SimSun" w:cs="SimSun"/>
          <w:spacing w:val="-4"/>
          <w:position w:val="-4"/>
          <w:sz w:val="40"/>
          <w:szCs w:val="40"/>
        </w:rPr>
        <w:t>▼</w:t>
      </w:r>
      <w:r w:rsidRPr="00561530">
        <w:rPr>
          <w:rFonts w:ascii="Times New Roman" w:hAnsi="Times New Roman"/>
        </w:rPr>
        <w:t>This medicinal product is subject to additional monitoring in Australia. This will allow quick identification of new safety information. Healthcare professionals are asked to report any suspected adverse events at</w:t>
      </w:r>
      <w:r w:rsidRPr="00561530">
        <w:rPr>
          <w:rFonts w:ascii="Times New Roman" w:eastAsia="Times New Roman" w:hAnsi="Times New Roman"/>
          <w:spacing w:val="-2"/>
        </w:rPr>
        <w:t xml:space="preserve"> </w:t>
      </w:r>
      <w:hyperlink r:id="rId37">
        <w:r w:rsidRPr="00561530">
          <w:rPr>
            <w:rFonts w:ascii="Times New Roman" w:eastAsia="Times New Roman" w:hAnsi="Times New Roman"/>
            <w:color w:val="0000FF"/>
            <w:spacing w:val="1"/>
            <w:u w:val="single" w:color="0000FF"/>
          </w:rPr>
          <w:t>h</w:t>
        </w:r>
        <w:r w:rsidRPr="00561530">
          <w:rPr>
            <w:rFonts w:ascii="Times New Roman" w:eastAsia="Times New Roman" w:hAnsi="Times New Roman"/>
            <w:color w:val="0000FF"/>
            <w:u w:val="single" w:color="0000FF"/>
          </w:rPr>
          <w:t>tt</w:t>
        </w:r>
        <w:r w:rsidRPr="00561530">
          <w:rPr>
            <w:rFonts w:ascii="Times New Roman" w:eastAsia="Times New Roman" w:hAnsi="Times New Roman"/>
            <w:color w:val="0000FF"/>
            <w:spacing w:val="1"/>
            <w:u w:val="single" w:color="0000FF"/>
          </w:rPr>
          <w:t>p</w:t>
        </w:r>
        <w:r w:rsidRPr="00561530">
          <w:rPr>
            <w:rFonts w:ascii="Times New Roman" w:eastAsia="Times New Roman" w:hAnsi="Times New Roman"/>
            <w:color w:val="0000FF"/>
            <w:u w:val="single" w:color="0000FF"/>
          </w:rPr>
          <w:t>s://www.t</w:t>
        </w:r>
        <w:r w:rsidRPr="00561530">
          <w:rPr>
            <w:rFonts w:ascii="Times New Roman" w:eastAsia="Times New Roman" w:hAnsi="Times New Roman"/>
            <w:color w:val="0000FF"/>
            <w:spacing w:val="1"/>
            <w:u w:val="single" w:color="0000FF"/>
          </w:rPr>
          <w:t>g</w:t>
        </w:r>
        <w:r w:rsidRPr="00561530">
          <w:rPr>
            <w:rFonts w:ascii="Times New Roman" w:eastAsia="Times New Roman" w:hAnsi="Times New Roman"/>
            <w:color w:val="0000FF"/>
            <w:u w:val="single" w:color="0000FF"/>
          </w:rPr>
          <w:t>a.</w:t>
        </w:r>
        <w:r w:rsidRPr="00561530">
          <w:rPr>
            <w:rFonts w:ascii="Times New Roman" w:eastAsia="Times New Roman" w:hAnsi="Times New Roman"/>
            <w:color w:val="0000FF"/>
            <w:spacing w:val="1"/>
            <w:u w:val="single" w:color="0000FF"/>
          </w:rPr>
          <w:t>gov</w:t>
        </w:r>
        <w:r w:rsidRPr="00561530">
          <w:rPr>
            <w:rFonts w:ascii="Times New Roman" w:eastAsia="Times New Roman" w:hAnsi="Times New Roman"/>
            <w:color w:val="0000FF"/>
            <w:u w:val="single" w:color="0000FF"/>
          </w:rPr>
          <w:t>.a</w:t>
        </w:r>
        <w:r w:rsidRPr="00561530">
          <w:rPr>
            <w:rFonts w:ascii="Times New Roman" w:eastAsia="Times New Roman" w:hAnsi="Times New Roman"/>
            <w:color w:val="0000FF"/>
            <w:spacing w:val="1"/>
            <w:u w:val="single" w:color="0000FF"/>
          </w:rPr>
          <w:t>u</w:t>
        </w:r>
        <w:r w:rsidRPr="00561530">
          <w:rPr>
            <w:rFonts w:ascii="Times New Roman" w:eastAsia="Times New Roman" w:hAnsi="Times New Roman"/>
            <w:color w:val="0000FF"/>
            <w:u w:val="single" w:color="0000FF"/>
          </w:rPr>
          <w:t>/re</w:t>
        </w:r>
        <w:r w:rsidRPr="00561530">
          <w:rPr>
            <w:rFonts w:ascii="Times New Roman" w:eastAsia="Times New Roman" w:hAnsi="Times New Roman"/>
            <w:color w:val="0000FF"/>
            <w:spacing w:val="1"/>
            <w:u w:val="single" w:color="0000FF"/>
          </w:rPr>
          <w:t>po</w:t>
        </w:r>
        <w:r w:rsidRPr="00561530">
          <w:rPr>
            <w:rFonts w:ascii="Times New Roman" w:eastAsia="Times New Roman" w:hAnsi="Times New Roman"/>
            <w:color w:val="0000FF"/>
            <w:u w:val="single" w:color="0000FF"/>
          </w:rPr>
          <w:t>rti</w:t>
        </w:r>
        <w:r w:rsidRPr="00561530">
          <w:rPr>
            <w:rFonts w:ascii="Times New Roman" w:eastAsia="Times New Roman" w:hAnsi="Times New Roman"/>
            <w:color w:val="0000FF"/>
            <w:spacing w:val="1"/>
            <w:u w:val="single" w:color="0000FF"/>
          </w:rPr>
          <w:t>n</w:t>
        </w:r>
        <w:r w:rsidRPr="00561530">
          <w:rPr>
            <w:rFonts w:ascii="Times New Roman" w:eastAsia="Times New Roman" w:hAnsi="Times New Roman"/>
            <w:color w:val="0000FF"/>
            <w:u w:val="single" w:color="0000FF"/>
          </w:rPr>
          <w:t>g</w:t>
        </w:r>
        <w:r w:rsidRPr="00561530">
          <w:rPr>
            <w:rFonts w:ascii="Times New Roman" w:eastAsia="Times New Roman" w:hAnsi="Times New Roman"/>
            <w:color w:val="0000FF"/>
            <w:spacing w:val="-1"/>
            <w:u w:val="single" w:color="0000FF"/>
          </w:rPr>
          <w:t>-p</w:t>
        </w:r>
        <w:r w:rsidRPr="00561530">
          <w:rPr>
            <w:rFonts w:ascii="Times New Roman" w:eastAsia="Times New Roman" w:hAnsi="Times New Roman"/>
            <w:color w:val="0000FF"/>
            <w:u w:val="single" w:color="0000FF"/>
          </w:rPr>
          <w:t>r</w:t>
        </w:r>
        <w:r w:rsidRPr="00561530">
          <w:rPr>
            <w:rFonts w:ascii="Times New Roman" w:eastAsia="Times New Roman" w:hAnsi="Times New Roman"/>
            <w:color w:val="0000FF"/>
            <w:spacing w:val="1"/>
            <w:u w:val="single" w:color="0000FF"/>
          </w:rPr>
          <w:t>ob</w:t>
        </w:r>
        <w:r w:rsidRPr="00561530">
          <w:rPr>
            <w:rFonts w:ascii="Times New Roman" w:eastAsia="Times New Roman" w:hAnsi="Times New Roman"/>
            <w:color w:val="0000FF"/>
            <w:u w:val="single" w:color="0000FF"/>
          </w:rPr>
          <w:t>lem</w:t>
        </w:r>
        <w:r w:rsidRPr="00561530">
          <w:rPr>
            <w:rFonts w:ascii="Times New Roman" w:eastAsia="Times New Roman" w:hAnsi="Times New Roman"/>
            <w:color w:val="0000FF"/>
            <w:spacing w:val="-1"/>
            <w:u w:val="single" w:color="0000FF"/>
          </w:rPr>
          <w:t>s</w:t>
        </w:r>
        <w:r w:rsidRPr="00561530">
          <w:rPr>
            <w:rFonts w:ascii="Times New Roman" w:eastAsia="Times New Roman" w:hAnsi="Times New Roman"/>
            <w:color w:val="000000"/>
          </w:rPr>
          <w:t>.</w:t>
        </w:r>
      </w:hyperlink>
    </w:p>
    <w:p w14:paraId="7DF28BFA" w14:textId="77777777" w:rsidR="00561530" w:rsidRPr="00561530" w:rsidRDefault="00561530" w:rsidP="00561530">
      <w:pPr>
        <w:spacing w:before="19" w:after="0" w:line="240" w:lineRule="exact"/>
        <w:ind w:right="-20"/>
        <w:rPr>
          <w:b/>
          <w:bCs/>
          <w:sz w:val="24"/>
          <w:szCs w:val="24"/>
        </w:rPr>
      </w:pPr>
    </w:p>
    <w:p w14:paraId="5CF0FE0A" w14:textId="77777777" w:rsidR="00561530" w:rsidRPr="00561530" w:rsidRDefault="00561530" w:rsidP="00F91303">
      <w:pPr>
        <w:pStyle w:val="NonTOCHeading2"/>
        <w:jc w:val="center"/>
        <w:rPr>
          <w:w w:val="99"/>
        </w:rPr>
      </w:pPr>
      <w:r w:rsidRPr="00561530">
        <w:t>AU</w:t>
      </w:r>
      <w:r w:rsidRPr="00561530">
        <w:rPr>
          <w:spacing w:val="1"/>
        </w:rPr>
        <w:t>ST</w:t>
      </w:r>
      <w:r w:rsidRPr="00561530">
        <w:t>R</w:t>
      </w:r>
      <w:r w:rsidRPr="00561530">
        <w:rPr>
          <w:spacing w:val="1"/>
        </w:rPr>
        <w:t>A</w:t>
      </w:r>
      <w:r w:rsidRPr="00561530">
        <w:rPr>
          <w:spacing w:val="-1"/>
        </w:rPr>
        <w:t>L</w:t>
      </w:r>
      <w:r w:rsidRPr="00561530">
        <w:t>IAN</w:t>
      </w:r>
      <w:r w:rsidRPr="00561530">
        <w:rPr>
          <w:spacing w:val="-18"/>
        </w:rPr>
        <w:t xml:space="preserve"> </w:t>
      </w:r>
      <w:r w:rsidRPr="00561530">
        <w:rPr>
          <w:spacing w:val="1"/>
        </w:rPr>
        <w:t>PR</w:t>
      </w:r>
      <w:r w:rsidRPr="00561530">
        <w:t>OD</w:t>
      </w:r>
      <w:r w:rsidRPr="00561530">
        <w:rPr>
          <w:spacing w:val="1"/>
        </w:rPr>
        <w:t>UC</w:t>
      </w:r>
      <w:r w:rsidRPr="00561530">
        <w:t>T</w:t>
      </w:r>
      <w:r w:rsidRPr="00561530">
        <w:rPr>
          <w:spacing w:val="-15"/>
        </w:rPr>
        <w:t xml:space="preserve"> </w:t>
      </w:r>
      <w:r w:rsidRPr="00561530">
        <w:rPr>
          <w:spacing w:val="2"/>
          <w:w w:val="99"/>
        </w:rPr>
        <w:t>I</w:t>
      </w:r>
      <w:r w:rsidRPr="00561530">
        <w:rPr>
          <w:w w:val="99"/>
        </w:rPr>
        <w:t>N</w:t>
      </w:r>
      <w:r w:rsidRPr="00561530">
        <w:rPr>
          <w:spacing w:val="1"/>
          <w:w w:val="99"/>
        </w:rPr>
        <w:t>F</w:t>
      </w:r>
      <w:r w:rsidRPr="00561530">
        <w:rPr>
          <w:w w:val="99"/>
        </w:rPr>
        <w:t>OR</w:t>
      </w:r>
      <w:r w:rsidRPr="00561530">
        <w:rPr>
          <w:spacing w:val="1"/>
          <w:w w:val="99"/>
        </w:rPr>
        <w:t>M</w:t>
      </w:r>
      <w:r w:rsidRPr="00561530">
        <w:rPr>
          <w:w w:val="99"/>
        </w:rPr>
        <w:t>A</w:t>
      </w:r>
      <w:r w:rsidRPr="00561530">
        <w:rPr>
          <w:spacing w:val="-1"/>
          <w:w w:val="99"/>
        </w:rPr>
        <w:t>T</w:t>
      </w:r>
      <w:r w:rsidRPr="00561530">
        <w:rPr>
          <w:w w:val="99"/>
        </w:rPr>
        <w:t>I</w:t>
      </w:r>
      <w:r w:rsidRPr="00561530">
        <w:rPr>
          <w:spacing w:val="1"/>
          <w:w w:val="99"/>
        </w:rPr>
        <w:t>O</w:t>
      </w:r>
      <w:r w:rsidRPr="00561530">
        <w:rPr>
          <w:w w:val="99"/>
        </w:rPr>
        <w:t>N</w:t>
      </w:r>
    </w:p>
    <w:p w14:paraId="244EA82A" w14:textId="77777777" w:rsidR="00561530" w:rsidRPr="00561530" w:rsidRDefault="00561530" w:rsidP="00F91303">
      <w:pPr>
        <w:pStyle w:val="NonTOCHeading2"/>
        <w:jc w:val="center"/>
      </w:pPr>
      <w:r w:rsidRPr="00561530">
        <w:t>REBLOZYL</w:t>
      </w:r>
      <w:r w:rsidRPr="00561530">
        <w:rPr>
          <w:vertAlign w:val="superscript"/>
        </w:rPr>
        <w:t>®</w:t>
      </w:r>
      <w:r w:rsidRPr="00561530">
        <w:t xml:space="preserve"> (LUSPATERCEPT)</w:t>
      </w:r>
    </w:p>
    <w:p w14:paraId="789627A0" w14:textId="68428154" w:rsidR="00561530" w:rsidRPr="00561530" w:rsidRDefault="00561530" w:rsidP="00440EF2">
      <w:pPr>
        <w:pStyle w:val="Heading1"/>
        <w:numPr>
          <w:ilvl w:val="0"/>
          <w:numId w:val="22"/>
        </w:numPr>
        <w:ind w:left="0" w:firstLine="0"/>
        <w:rPr>
          <w:rFonts w:ascii="Times New Roman" w:hAnsi="Times New Roman" w:cs="Times New Roman"/>
          <w:sz w:val="28"/>
          <w:szCs w:val="28"/>
        </w:rPr>
      </w:pPr>
      <w:r w:rsidRPr="00561530">
        <w:rPr>
          <w:rFonts w:ascii="Times New Roman" w:hAnsi="Times New Roman" w:cs="Times New Roman"/>
          <w:sz w:val="28"/>
          <w:szCs w:val="28"/>
        </w:rPr>
        <w:t>N</w:t>
      </w:r>
      <w:r w:rsidR="00987EA6" w:rsidRPr="00561530">
        <w:rPr>
          <w:rFonts w:ascii="Times New Roman" w:hAnsi="Times New Roman" w:cs="Times New Roman"/>
          <w:sz w:val="28"/>
          <w:szCs w:val="28"/>
        </w:rPr>
        <w:t>AME OF THE MEDICINE</w:t>
      </w:r>
    </w:p>
    <w:p w14:paraId="337B1332" w14:textId="77777777" w:rsidR="00561530" w:rsidRPr="00561530" w:rsidRDefault="00561530" w:rsidP="00561530">
      <w:pPr>
        <w:rPr>
          <w:rFonts w:ascii="Times New Roman" w:hAnsi="Times New Roman"/>
        </w:rPr>
      </w:pPr>
      <w:r w:rsidRPr="00561530">
        <w:rPr>
          <w:rFonts w:ascii="Times New Roman" w:hAnsi="Times New Roman"/>
        </w:rPr>
        <w:t xml:space="preserve">Australian Approved Name: </w:t>
      </w:r>
      <w:proofErr w:type="spellStart"/>
      <w:r w:rsidRPr="00561530">
        <w:rPr>
          <w:rFonts w:ascii="Times New Roman" w:hAnsi="Times New Roman"/>
        </w:rPr>
        <w:t>luspatercept</w:t>
      </w:r>
      <w:proofErr w:type="spellEnd"/>
    </w:p>
    <w:p w14:paraId="139C3890" w14:textId="7B554318" w:rsidR="00561530" w:rsidRPr="00561530" w:rsidRDefault="00561530" w:rsidP="00440EF2">
      <w:pPr>
        <w:pStyle w:val="Heading1"/>
        <w:numPr>
          <w:ilvl w:val="0"/>
          <w:numId w:val="22"/>
        </w:numPr>
        <w:ind w:left="0" w:firstLine="0"/>
        <w:rPr>
          <w:rFonts w:ascii="Times New Roman" w:hAnsi="Times New Roman" w:cs="Times New Roman"/>
          <w:sz w:val="28"/>
          <w:szCs w:val="28"/>
        </w:rPr>
      </w:pPr>
      <w:r w:rsidRPr="00561530">
        <w:rPr>
          <w:rFonts w:ascii="Times New Roman" w:hAnsi="Times New Roman" w:cs="Times New Roman"/>
          <w:sz w:val="28"/>
          <w:szCs w:val="28"/>
        </w:rPr>
        <w:t>Q</w:t>
      </w:r>
      <w:r w:rsidR="00987EA6" w:rsidRPr="00561530">
        <w:rPr>
          <w:rFonts w:ascii="Times New Roman" w:hAnsi="Times New Roman" w:cs="Times New Roman"/>
          <w:sz w:val="28"/>
          <w:szCs w:val="28"/>
        </w:rPr>
        <w:t>UALITATIVE AND QUANTITATIVE COMPOSITION</w:t>
      </w:r>
    </w:p>
    <w:p w14:paraId="6B32A628" w14:textId="77777777" w:rsidR="00561530" w:rsidRPr="00561530" w:rsidRDefault="00561530" w:rsidP="00561530">
      <w:pPr>
        <w:rPr>
          <w:rFonts w:ascii="Times New Roman" w:hAnsi="Times New Roman"/>
          <w:u w:val="single"/>
          <w:lang w:val="en"/>
        </w:rPr>
      </w:pPr>
      <w:r w:rsidRPr="00561530">
        <w:rPr>
          <w:rFonts w:ascii="Times New Roman" w:hAnsi="Times New Roman"/>
          <w:u w:val="single"/>
          <w:lang w:val="en"/>
        </w:rPr>
        <w:t>REBLOZYL 25 mg powder for injection</w:t>
      </w:r>
    </w:p>
    <w:p w14:paraId="111D2F11" w14:textId="77777777" w:rsidR="00561530" w:rsidRPr="00561530" w:rsidRDefault="00561530" w:rsidP="00561530">
      <w:pPr>
        <w:rPr>
          <w:rFonts w:ascii="Times New Roman" w:hAnsi="Times New Roman"/>
          <w:lang w:val="en"/>
        </w:rPr>
      </w:pPr>
      <w:r w:rsidRPr="00561530">
        <w:rPr>
          <w:rFonts w:ascii="Times New Roman" w:hAnsi="Times New Roman"/>
          <w:lang w:val="en"/>
        </w:rPr>
        <w:t xml:space="preserve">Each vial contains 25 mg of </w:t>
      </w:r>
      <w:proofErr w:type="spellStart"/>
      <w:r w:rsidRPr="00561530">
        <w:rPr>
          <w:rFonts w:ascii="Times New Roman" w:hAnsi="Times New Roman"/>
          <w:lang w:val="en"/>
        </w:rPr>
        <w:t>luspatercept</w:t>
      </w:r>
      <w:proofErr w:type="spellEnd"/>
      <w:r w:rsidRPr="00561530">
        <w:rPr>
          <w:rFonts w:ascii="Times New Roman" w:hAnsi="Times New Roman"/>
          <w:lang w:val="en"/>
        </w:rPr>
        <w:t xml:space="preserve">. After reconstitution, each mL of solution contains 50 mg </w:t>
      </w:r>
      <w:proofErr w:type="spellStart"/>
      <w:r w:rsidRPr="00561530">
        <w:rPr>
          <w:rFonts w:ascii="Times New Roman" w:hAnsi="Times New Roman"/>
          <w:lang w:val="en"/>
        </w:rPr>
        <w:t>luspatercept</w:t>
      </w:r>
      <w:proofErr w:type="spellEnd"/>
      <w:r w:rsidRPr="00561530">
        <w:rPr>
          <w:rFonts w:ascii="Times New Roman" w:hAnsi="Times New Roman"/>
          <w:lang w:val="en"/>
        </w:rPr>
        <w:t>.</w:t>
      </w:r>
    </w:p>
    <w:p w14:paraId="27A34D42" w14:textId="77777777" w:rsidR="00561530" w:rsidRPr="00561530" w:rsidRDefault="00561530" w:rsidP="00561530">
      <w:pPr>
        <w:rPr>
          <w:rFonts w:ascii="Times New Roman" w:hAnsi="Times New Roman"/>
          <w:u w:val="single"/>
          <w:lang w:val="en"/>
        </w:rPr>
      </w:pPr>
      <w:r w:rsidRPr="00561530">
        <w:rPr>
          <w:rFonts w:ascii="Times New Roman" w:hAnsi="Times New Roman"/>
          <w:u w:val="single"/>
          <w:lang w:val="en"/>
        </w:rPr>
        <w:t>REBLOZYL 75 mg powder for injection</w:t>
      </w:r>
    </w:p>
    <w:p w14:paraId="3ED7ABA7" w14:textId="77777777" w:rsidR="00561530" w:rsidRPr="00561530" w:rsidRDefault="00561530" w:rsidP="00561530">
      <w:pPr>
        <w:rPr>
          <w:rFonts w:ascii="Times New Roman" w:hAnsi="Times New Roman"/>
          <w:lang w:val="en"/>
        </w:rPr>
      </w:pPr>
      <w:r w:rsidRPr="00561530">
        <w:rPr>
          <w:rFonts w:ascii="Times New Roman" w:hAnsi="Times New Roman"/>
          <w:lang w:val="en"/>
        </w:rPr>
        <w:t xml:space="preserve">Each vial contains 75 mg of </w:t>
      </w:r>
      <w:proofErr w:type="spellStart"/>
      <w:r w:rsidRPr="00561530">
        <w:rPr>
          <w:rFonts w:ascii="Times New Roman" w:hAnsi="Times New Roman"/>
          <w:lang w:val="en"/>
        </w:rPr>
        <w:t>luspatercept</w:t>
      </w:r>
      <w:proofErr w:type="spellEnd"/>
      <w:r w:rsidRPr="00561530">
        <w:rPr>
          <w:rFonts w:ascii="Times New Roman" w:hAnsi="Times New Roman"/>
          <w:lang w:val="en"/>
        </w:rPr>
        <w:t xml:space="preserve">. After reconstitution, each mL of solution contains 50 mg </w:t>
      </w:r>
      <w:proofErr w:type="spellStart"/>
      <w:r w:rsidRPr="00561530">
        <w:rPr>
          <w:rFonts w:ascii="Times New Roman" w:hAnsi="Times New Roman"/>
          <w:lang w:val="en"/>
        </w:rPr>
        <w:t>luspatercept</w:t>
      </w:r>
      <w:proofErr w:type="spellEnd"/>
      <w:r w:rsidRPr="00561530">
        <w:rPr>
          <w:rFonts w:ascii="Times New Roman" w:hAnsi="Times New Roman"/>
          <w:lang w:val="en"/>
        </w:rPr>
        <w:t>.</w:t>
      </w:r>
    </w:p>
    <w:p w14:paraId="72E0F4DD" w14:textId="77777777" w:rsidR="00561530" w:rsidRPr="00561530" w:rsidRDefault="00561530" w:rsidP="00561530">
      <w:pPr>
        <w:rPr>
          <w:rFonts w:ascii="Times New Roman" w:hAnsi="Times New Roman"/>
          <w:lang w:val="en"/>
        </w:rPr>
      </w:pPr>
      <w:proofErr w:type="spellStart"/>
      <w:r w:rsidRPr="00561530">
        <w:rPr>
          <w:rFonts w:ascii="Times New Roman" w:hAnsi="Times New Roman"/>
          <w:lang w:val="en"/>
        </w:rPr>
        <w:t>Luspatercept</w:t>
      </w:r>
      <w:proofErr w:type="spellEnd"/>
      <w:r w:rsidRPr="00561530">
        <w:rPr>
          <w:rFonts w:ascii="Times New Roman" w:hAnsi="Times New Roman"/>
          <w:lang w:val="en"/>
        </w:rPr>
        <w:t xml:space="preserve"> is a protein produced in Chinese Hamster Ovary (CHO) cells by recombinant DNA technology. </w:t>
      </w:r>
    </w:p>
    <w:p w14:paraId="3B1EC243" w14:textId="77777777" w:rsidR="00561530" w:rsidRPr="00561530" w:rsidRDefault="00561530" w:rsidP="00561530">
      <w:pPr>
        <w:rPr>
          <w:rFonts w:ascii="Times New Roman" w:hAnsi="Times New Roman"/>
          <w:lang w:val="en"/>
        </w:rPr>
      </w:pPr>
      <w:r w:rsidRPr="00561530">
        <w:rPr>
          <w:rFonts w:ascii="Times New Roman" w:hAnsi="Times New Roman"/>
          <w:lang w:val="en"/>
        </w:rPr>
        <w:t>For the full list of excipients, see Section 6.1 List of excipients.</w:t>
      </w:r>
    </w:p>
    <w:p w14:paraId="260F6779" w14:textId="6D309AF4" w:rsidR="00561530" w:rsidRPr="00561530" w:rsidRDefault="00561530" w:rsidP="00440EF2">
      <w:pPr>
        <w:pStyle w:val="Heading1"/>
        <w:numPr>
          <w:ilvl w:val="0"/>
          <w:numId w:val="22"/>
        </w:numPr>
        <w:ind w:left="0" w:firstLine="0"/>
        <w:rPr>
          <w:rFonts w:ascii="Times New Roman" w:hAnsi="Times New Roman" w:cs="Times New Roman"/>
          <w:sz w:val="28"/>
          <w:szCs w:val="28"/>
        </w:rPr>
      </w:pPr>
      <w:r w:rsidRPr="00561530">
        <w:rPr>
          <w:rFonts w:ascii="Times New Roman" w:hAnsi="Times New Roman" w:cs="Times New Roman"/>
          <w:sz w:val="28"/>
          <w:szCs w:val="28"/>
        </w:rPr>
        <w:t>P</w:t>
      </w:r>
      <w:r w:rsidR="00987EA6" w:rsidRPr="00561530">
        <w:rPr>
          <w:rFonts w:ascii="Times New Roman" w:hAnsi="Times New Roman" w:cs="Times New Roman"/>
          <w:sz w:val="28"/>
          <w:szCs w:val="28"/>
        </w:rPr>
        <w:t>HARMACEUTICAL FORM</w:t>
      </w:r>
    </w:p>
    <w:p w14:paraId="38014C59" w14:textId="77777777" w:rsidR="00561530" w:rsidRPr="00561530" w:rsidRDefault="00561530" w:rsidP="00561530">
      <w:pPr>
        <w:rPr>
          <w:rFonts w:ascii="Times New Roman" w:hAnsi="Times New Roman"/>
          <w:lang w:val="en-GB"/>
        </w:rPr>
      </w:pPr>
      <w:r w:rsidRPr="00561530">
        <w:rPr>
          <w:rFonts w:ascii="Times New Roman" w:hAnsi="Times New Roman"/>
          <w:lang w:val="en-GB"/>
        </w:rPr>
        <w:t>Powder for injection.</w:t>
      </w:r>
    </w:p>
    <w:p w14:paraId="24DABF6F" w14:textId="77777777" w:rsidR="00561530" w:rsidRPr="00561530" w:rsidRDefault="00561530" w:rsidP="00561530">
      <w:pPr>
        <w:rPr>
          <w:rFonts w:ascii="Times New Roman" w:hAnsi="Times New Roman"/>
          <w:lang w:val="en-GB"/>
        </w:rPr>
      </w:pPr>
      <w:r w:rsidRPr="00561530">
        <w:rPr>
          <w:rFonts w:ascii="Times New Roman" w:hAnsi="Times New Roman"/>
          <w:lang w:val="en-GB"/>
        </w:rPr>
        <w:t>White to off-white lyophilised powder, free of visible foreign matter.</w:t>
      </w:r>
    </w:p>
    <w:p w14:paraId="76EEDBA3" w14:textId="56057CB5" w:rsidR="00561530" w:rsidRPr="00561530" w:rsidRDefault="00561530" w:rsidP="00440EF2">
      <w:pPr>
        <w:pStyle w:val="Heading1"/>
        <w:numPr>
          <w:ilvl w:val="0"/>
          <w:numId w:val="22"/>
        </w:numPr>
        <w:ind w:left="0" w:firstLine="0"/>
        <w:rPr>
          <w:rFonts w:ascii="Times New Roman" w:hAnsi="Times New Roman" w:cs="Times New Roman"/>
          <w:sz w:val="28"/>
          <w:szCs w:val="28"/>
        </w:rPr>
      </w:pPr>
      <w:r w:rsidRPr="00561530">
        <w:rPr>
          <w:rFonts w:ascii="Times New Roman" w:hAnsi="Times New Roman" w:cs="Times New Roman"/>
          <w:sz w:val="28"/>
          <w:szCs w:val="28"/>
        </w:rPr>
        <w:t>C</w:t>
      </w:r>
      <w:r w:rsidR="00987EA6" w:rsidRPr="00561530">
        <w:rPr>
          <w:rFonts w:ascii="Times New Roman" w:hAnsi="Times New Roman" w:cs="Times New Roman"/>
          <w:sz w:val="28"/>
          <w:szCs w:val="28"/>
        </w:rPr>
        <w:t>LINICAL PARTICULARS</w:t>
      </w:r>
    </w:p>
    <w:p w14:paraId="446D0602" w14:textId="026DEA69" w:rsidR="00561530" w:rsidRPr="00561530" w:rsidRDefault="00561530" w:rsidP="00561530">
      <w:pPr>
        <w:pStyle w:val="Heading2"/>
        <w:rPr>
          <w:rFonts w:ascii="Times New Roman" w:hAnsi="Times New Roman"/>
          <w:sz w:val="26"/>
        </w:rPr>
      </w:pPr>
      <w:bookmarkStart w:id="86" w:name="_Toc102045197"/>
      <w:r w:rsidRPr="00561530">
        <w:rPr>
          <w:rFonts w:ascii="Times New Roman" w:hAnsi="Times New Roman"/>
          <w:sz w:val="26"/>
        </w:rPr>
        <w:t>4.1</w:t>
      </w:r>
      <w:r w:rsidRPr="00561530">
        <w:rPr>
          <w:rFonts w:ascii="Times New Roman" w:hAnsi="Times New Roman"/>
          <w:sz w:val="26"/>
        </w:rPr>
        <w:tab/>
        <w:t>T</w:t>
      </w:r>
      <w:r w:rsidR="00987EA6" w:rsidRPr="00561530">
        <w:rPr>
          <w:rFonts w:ascii="Times New Roman" w:hAnsi="Times New Roman"/>
          <w:sz w:val="26"/>
        </w:rPr>
        <w:t>HERAPEUTIC INDICATIONS</w:t>
      </w:r>
      <w:bookmarkEnd w:id="86"/>
    </w:p>
    <w:p w14:paraId="258C5611" w14:textId="77777777" w:rsidR="00561530" w:rsidRPr="00561530" w:rsidRDefault="00561530" w:rsidP="00561530">
      <w:pPr>
        <w:rPr>
          <w:rFonts w:ascii="Times New Roman" w:hAnsi="Times New Roman"/>
          <w:b/>
        </w:rPr>
      </w:pPr>
      <w:r w:rsidRPr="00561530">
        <w:rPr>
          <w:rFonts w:ascii="Times New Roman" w:hAnsi="Times New Roman"/>
        </w:rPr>
        <w:t xml:space="preserve">REBLOZYL is indicated for the treatment of adult patients with transfusion-dependent anaemia (requiring 2 or more RBC units over 8 weeks) due to very low, low and intermediate-risk myelodysplastic syndromes with ring </w:t>
      </w:r>
      <w:proofErr w:type="spellStart"/>
      <w:r w:rsidRPr="00561530">
        <w:rPr>
          <w:rFonts w:ascii="Times New Roman" w:hAnsi="Times New Roman"/>
        </w:rPr>
        <w:t>sideroblasts</w:t>
      </w:r>
      <w:proofErr w:type="spellEnd"/>
      <w:r w:rsidRPr="00561530">
        <w:rPr>
          <w:rFonts w:ascii="Times New Roman" w:hAnsi="Times New Roman"/>
        </w:rPr>
        <w:t xml:space="preserve"> (MDS-RS).</w:t>
      </w:r>
    </w:p>
    <w:p w14:paraId="13CE8DC4" w14:textId="77777777" w:rsidR="00561530" w:rsidRPr="00561530" w:rsidRDefault="00561530" w:rsidP="00561530">
      <w:pPr>
        <w:rPr>
          <w:rFonts w:ascii="Times New Roman" w:hAnsi="Times New Roman"/>
        </w:rPr>
      </w:pPr>
      <w:r w:rsidRPr="00561530">
        <w:rPr>
          <w:rFonts w:ascii="Times New Roman" w:hAnsi="Times New Roman"/>
        </w:rPr>
        <w:t xml:space="preserve">REBLOZYL is indicated for the treatment of adult patients with transfusion-dependent anaemia associated with beta thalassaemia. </w:t>
      </w:r>
    </w:p>
    <w:p w14:paraId="76214588" w14:textId="77777777" w:rsidR="00561530" w:rsidRPr="00561530" w:rsidRDefault="00561530" w:rsidP="00561530">
      <w:pPr>
        <w:rPr>
          <w:rFonts w:ascii="Times New Roman" w:hAnsi="Times New Roman"/>
        </w:rPr>
      </w:pPr>
      <w:r w:rsidRPr="00561530">
        <w:rPr>
          <w:rFonts w:ascii="Times New Roman" w:hAnsi="Times New Roman"/>
          <w:b/>
          <w:bCs/>
        </w:rPr>
        <w:t>Limitation of Use</w:t>
      </w:r>
    </w:p>
    <w:p w14:paraId="75756E7C" w14:textId="77777777" w:rsidR="00561530" w:rsidRPr="00561530" w:rsidRDefault="00561530" w:rsidP="00561530">
      <w:pPr>
        <w:rPr>
          <w:rFonts w:ascii="Times New Roman" w:hAnsi="Times New Roman"/>
        </w:rPr>
      </w:pPr>
      <w:r w:rsidRPr="00561530">
        <w:rPr>
          <w:rFonts w:ascii="Times New Roman" w:hAnsi="Times New Roman"/>
        </w:rPr>
        <w:t>REBLOZYL is not indicated for use as a substitute for RBC transfusions in patients who require immediate correction of anaemia.</w:t>
      </w:r>
    </w:p>
    <w:p w14:paraId="21EBF573" w14:textId="3C0D0478" w:rsidR="00561530" w:rsidRPr="00987EA6" w:rsidRDefault="00561530" w:rsidP="00561530">
      <w:pPr>
        <w:pStyle w:val="Heading2"/>
        <w:rPr>
          <w:rFonts w:ascii="Times New Roman" w:hAnsi="Times New Roman"/>
          <w:sz w:val="26"/>
        </w:rPr>
      </w:pPr>
      <w:bookmarkStart w:id="87" w:name="_Toc102045198"/>
      <w:r w:rsidRPr="00987EA6">
        <w:rPr>
          <w:rFonts w:ascii="Times New Roman" w:hAnsi="Times New Roman"/>
          <w:sz w:val="26"/>
        </w:rPr>
        <w:t>4.2</w:t>
      </w:r>
      <w:r w:rsidRPr="00987EA6">
        <w:rPr>
          <w:rFonts w:ascii="Times New Roman" w:hAnsi="Times New Roman"/>
          <w:sz w:val="26"/>
        </w:rPr>
        <w:tab/>
        <w:t>D</w:t>
      </w:r>
      <w:r w:rsidR="00987EA6" w:rsidRPr="00987EA6">
        <w:rPr>
          <w:rFonts w:ascii="Times New Roman" w:hAnsi="Times New Roman"/>
          <w:sz w:val="26"/>
        </w:rPr>
        <w:t>OSE AND METHOD OF ADMINISTRATION</w:t>
      </w:r>
      <w:bookmarkEnd w:id="87"/>
      <w:r w:rsidR="00987EA6" w:rsidRPr="00987EA6">
        <w:rPr>
          <w:rFonts w:ascii="Times New Roman" w:hAnsi="Times New Roman"/>
          <w:sz w:val="26"/>
        </w:rPr>
        <w:t xml:space="preserve"> </w:t>
      </w:r>
    </w:p>
    <w:p w14:paraId="7433FD5D" w14:textId="77777777" w:rsidR="00561530" w:rsidRPr="00561530" w:rsidRDefault="00561530" w:rsidP="00561530">
      <w:pPr>
        <w:rPr>
          <w:rFonts w:ascii="Times New Roman" w:hAnsi="Times New Roman"/>
          <w:lang w:val="en-GB"/>
        </w:rPr>
      </w:pPr>
      <w:r w:rsidRPr="00561530">
        <w:rPr>
          <w:rFonts w:ascii="Times New Roman" w:hAnsi="Times New Roman"/>
          <w:lang w:val="en-GB"/>
        </w:rPr>
        <w:t>REBLOZYL treatment should be initiated and monitored under the supervision of a physician experienced in the treatment of haematological diseases.</w:t>
      </w:r>
    </w:p>
    <w:p w14:paraId="098BC8A8" w14:textId="77777777" w:rsidR="00561530" w:rsidRPr="00561530" w:rsidRDefault="00561530" w:rsidP="00561530">
      <w:pPr>
        <w:rPr>
          <w:rFonts w:ascii="Times New Roman" w:hAnsi="Times New Roman"/>
          <w:lang w:val="en-GB"/>
        </w:rPr>
      </w:pPr>
      <w:r w:rsidRPr="00561530">
        <w:rPr>
          <w:rFonts w:ascii="Times New Roman" w:hAnsi="Times New Roman"/>
          <w:lang w:val="en-GB"/>
        </w:rPr>
        <w:t xml:space="preserve">Treatment with REBLOZYL should be continued or modified based upon clinical and laboratory findings. Treatment should be continued </w:t>
      </w:r>
      <w:proofErr w:type="gramStart"/>
      <w:r w:rsidRPr="00561530">
        <w:rPr>
          <w:rFonts w:ascii="Times New Roman" w:hAnsi="Times New Roman"/>
          <w:lang w:val="en-GB"/>
        </w:rPr>
        <w:t>as long as</w:t>
      </w:r>
      <w:proofErr w:type="gramEnd"/>
      <w:r w:rsidRPr="00561530">
        <w:rPr>
          <w:rFonts w:ascii="Times New Roman" w:hAnsi="Times New Roman"/>
          <w:lang w:val="en-GB"/>
        </w:rPr>
        <w:t xml:space="preserve"> the patient is deriving clinical benefit from treatment.</w:t>
      </w:r>
    </w:p>
    <w:p w14:paraId="529D8FD9" w14:textId="77777777" w:rsidR="00561530" w:rsidRPr="00561530" w:rsidRDefault="00561530" w:rsidP="00561530">
      <w:pPr>
        <w:rPr>
          <w:rFonts w:ascii="Times New Roman" w:hAnsi="Times New Roman"/>
          <w:lang w:val="en-GB"/>
        </w:rPr>
      </w:pPr>
      <w:r w:rsidRPr="00561530">
        <w:rPr>
          <w:rFonts w:ascii="Times New Roman" w:hAnsi="Times New Roman"/>
          <w:lang w:val="en-GB"/>
        </w:rPr>
        <w:t>Patients must have their haemoglobin (Hb) assessed and have results available prior to each administration. If an RBC transfusion occurred prior to dosing, the pre-transfusion Hb must be considered for dosing purposes.</w:t>
      </w:r>
    </w:p>
    <w:p w14:paraId="01A4683B" w14:textId="77777777" w:rsidR="00561530" w:rsidRPr="00561530" w:rsidRDefault="00561530" w:rsidP="00561530">
      <w:pPr>
        <w:rPr>
          <w:rFonts w:ascii="Times New Roman" w:hAnsi="Times New Roman"/>
          <w:lang w:val="en-GB"/>
        </w:rPr>
      </w:pPr>
      <w:r w:rsidRPr="00561530">
        <w:rPr>
          <w:rFonts w:ascii="Times New Roman" w:hAnsi="Times New Roman"/>
          <w:lang w:val="en-GB"/>
        </w:rPr>
        <w:t>If the pre-dose Hb is ≥ 115 g/L in the absence of transfusion for at least 3 weeks, delay dosing until the Hb is ≤ 110 g/L.</w:t>
      </w:r>
    </w:p>
    <w:p w14:paraId="1B3F3E3B" w14:textId="77777777" w:rsidR="00561530" w:rsidRPr="00561530" w:rsidRDefault="00561530" w:rsidP="00561530">
      <w:pPr>
        <w:rPr>
          <w:rFonts w:ascii="Times New Roman" w:hAnsi="Times New Roman"/>
          <w:lang w:val="en-GB"/>
        </w:rPr>
      </w:pPr>
      <w:r w:rsidRPr="00561530">
        <w:rPr>
          <w:rFonts w:ascii="Times New Roman" w:hAnsi="Times New Roman"/>
          <w:b/>
          <w:lang w:val="en-GB"/>
        </w:rPr>
        <w:t>Dosage</w:t>
      </w:r>
    </w:p>
    <w:p w14:paraId="64432A02"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Myelodysplastic Syndromes (MDS)</w:t>
      </w:r>
    </w:p>
    <w:p w14:paraId="7FAF8C7D" w14:textId="77777777" w:rsidR="00561530" w:rsidRPr="00561530" w:rsidRDefault="00561530" w:rsidP="00561530">
      <w:pPr>
        <w:rPr>
          <w:rFonts w:ascii="Times New Roman" w:hAnsi="Times New Roman"/>
          <w:lang w:val="en-GB"/>
        </w:rPr>
      </w:pPr>
      <w:r w:rsidRPr="00561530">
        <w:rPr>
          <w:rFonts w:ascii="Times New Roman" w:hAnsi="Times New Roman"/>
          <w:lang w:val="en-GB"/>
        </w:rPr>
        <w:t>The recommended starting dose of REBLOZYL is 1.0 mg/kg once every 3 weeks by subcutaneous (SC) injection.</w:t>
      </w:r>
    </w:p>
    <w:p w14:paraId="0CADA660" w14:textId="77777777" w:rsidR="00561530" w:rsidRPr="00561530" w:rsidRDefault="00561530" w:rsidP="00561530">
      <w:pPr>
        <w:rPr>
          <w:rFonts w:ascii="Times New Roman" w:hAnsi="Times New Roman"/>
          <w:lang w:val="en-GB"/>
        </w:rPr>
      </w:pPr>
      <w:r w:rsidRPr="00561530">
        <w:rPr>
          <w:rFonts w:ascii="Times New Roman" w:hAnsi="Times New Roman"/>
          <w:lang w:val="en-GB"/>
        </w:rPr>
        <w:t>In patients who are not RBC transfusion-free after at least 2 consecutive doses at the 1.0 mg/kg starting dose, the REBLOZYL dose should be increased to 1.33 mg/kg. If patients are not RBC transfusion-free after at least 2 consecutive doses at the 1.33 mg/kg dose level, the REBLOZYL dose should be increased to 1.75 mg/kg.</w:t>
      </w:r>
    </w:p>
    <w:p w14:paraId="7CD47A3A" w14:textId="77777777" w:rsidR="00561530" w:rsidRPr="00561530" w:rsidRDefault="00561530" w:rsidP="00561530">
      <w:pPr>
        <w:rPr>
          <w:rFonts w:ascii="Times New Roman" w:hAnsi="Times New Roman"/>
          <w:lang w:val="en-GB"/>
        </w:rPr>
      </w:pPr>
      <w:r w:rsidRPr="00561530">
        <w:rPr>
          <w:rFonts w:ascii="Times New Roman" w:hAnsi="Times New Roman"/>
          <w:lang w:val="en-GB"/>
        </w:rPr>
        <w:t>The dose increase should not occur more frequently than every 6 weeks (2 administrations) and should not exceed the maximum dose of 1.75 mg/kg every 3 weeks.  The dose should not be increased immediately after a dose delay.</w:t>
      </w:r>
    </w:p>
    <w:p w14:paraId="7E61FC9A" w14:textId="77777777" w:rsidR="00561530" w:rsidRPr="00561530" w:rsidRDefault="00561530" w:rsidP="00561530">
      <w:pPr>
        <w:rPr>
          <w:rFonts w:ascii="Times New Roman" w:hAnsi="Times New Roman"/>
          <w:lang w:val="en-GB"/>
        </w:rPr>
      </w:pPr>
      <w:r w:rsidRPr="00561530">
        <w:rPr>
          <w:rFonts w:ascii="Times New Roman" w:hAnsi="Times New Roman"/>
          <w:lang w:val="en-GB"/>
        </w:rPr>
        <w:t>If a patient loses response (transfusion independence) or the Hb concentration reduces by ≥10 g/L within 3 weeks in the absence of transfusion, the REBLOZYL dose should be increased by one dose level.</w:t>
      </w:r>
    </w:p>
    <w:p w14:paraId="102491C4"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β -Thalassaemia</w:t>
      </w:r>
    </w:p>
    <w:p w14:paraId="65F8BC61" w14:textId="77777777" w:rsidR="00561530" w:rsidRPr="00561530" w:rsidRDefault="00561530" w:rsidP="00561530">
      <w:pPr>
        <w:rPr>
          <w:rFonts w:ascii="Times New Roman" w:hAnsi="Times New Roman"/>
          <w:lang w:val="en-GB"/>
        </w:rPr>
      </w:pPr>
      <w:r w:rsidRPr="00561530">
        <w:rPr>
          <w:rFonts w:ascii="Times New Roman" w:hAnsi="Times New Roman"/>
          <w:lang w:val="en-GB"/>
        </w:rPr>
        <w:t>The recommended starting dose of REBLOZYL is 1.0 mg/kg once every 3 weeks by subcutaneous (SC) injection.</w:t>
      </w:r>
    </w:p>
    <w:p w14:paraId="125FCD94" w14:textId="77777777" w:rsidR="00561530" w:rsidRPr="00561530" w:rsidRDefault="00561530" w:rsidP="00561530">
      <w:pPr>
        <w:rPr>
          <w:rFonts w:ascii="Times New Roman" w:hAnsi="Times New Roman"/>
          <w:lang w:val="en-GB"/>
        </w:rPr>
      </w:pPr>
      <w:r w:rsidRPr="00561530">
        <w:rPr>
          <w:rFonts w:ascii="Times New Roman" w:hAnsi="Times New Roman"/>
          <w:lang w:val="en-GB"/>
        </w:rPr>
        <w:t>If a patient does not achieve a reduction in RBC transfusion burden after at least 2 consecutive doses (6 weeks) at the 1.0 mg/kg starting dose, increase the REBLOZYL dose to 1.25 mg/kg.</w:t>
      </w:r>
    </w:p>
    <w:p w14:paraId="005E4F4E" w14:textId="77777777" w:rsidR="00561530" w:rsidRPr="00561530" w:rsidRDefault="00561530" w:rsidP="00561530">
      <w:pPr>
        <w:rPr>
          <w:rFonts w:ascii="Times New Roman" w:hAnsi="Times New Roman"/>
          <w:lang w:val="en-GB"/>
        </w:rPr>
      </w:pPr>
      <w:r w:rsidRPr="00561530">
        <w:rPr>
          <w:rFonts w:ascii="Times New Roman" w:hAnsi="Times New Roman"/>
          <w:lang w:val="en-GB"/>
        </w:rPr>
        <w:t>Do not increase the dose beyond the maximum dose of 1.25 mg/kg.</w:t>
      </w:r>
    </w:p>
    <w:p w14:paraId="3D152114" w14:textId="77777777" w:rsidR="00561530" w:rsidRPr="00561530" w:rsidRDefault="00561530" w:rsidP="00561530">
      <w:pPr>
        <w:rPr>
          <w:rFonts w:ascii="Times New Roman" w:hAnsi="Times New Roman"/>
          <w:lang w:val="en-GB"/>
        </w:rPr>
      </w:pPr>
      <w:r w:rsidRPr="00561530">
        <w:rPr>
          <w:rFonts w:ascii="Times New Roman" w:hAnsi="Times New Roman"/>
          <w:b/>
          <w:lang w:val="en-GB"/>
        </w:rPr>
        <w:t>Dosage Adjustment</w:t>
      </w:r>
    </w:p>
    <w:p w14:paraId="6EA2C984" w14:textId="77777777" w:rsidR="00561530" w:rsidRPr="00561530" w:rsidRDefault="00561530" w:rsidP="00561530">
      <w:pPr>
        <w:rPr>
          <w:rFonts w:ascii="Times New Roman" w:hAnsi="Times New Roman"/>
          <w:u w:val="single"/>
          <w:lang w:val="en-GB"/>
        </w:rPr>
      </w:pPr>
      <w:bookmarkStart w:id="88" w:name="_Hlk56519049"/>
      <w:r w:rsidRPr="00561530">
        <w:rPr>
          <w:rFonts w:ascii="Times New Roman" w:hAnsi="Times New Roman"/>
          <w:u w:val="single"/>
          <w:lang w:val="en-GB"/>
        </w:rPr>
        <w:t>Dose Reduction and Dose Delay</w:t>
      </w:r>
    </w:p>
    <w:p w14:paraId="7619BF97" w14:textId="77777777" w:rsidR="00561530" w:rsidRPr="00561530" w:rsidRDefault="00561530" w:rsidP="00561530">
      <w:pPr>
        <w:rPr>
          <w:rFonts w:ascii="Times New Roman" w:hAnsi="Times New Roman"/>
          <w:lang w:val="en-GB"/>
        </w:rPr>
      </w:pPr>
      <w:r w:rsidRPr="00561530">
        <w:rPr>
          <w:rFonts w:ascii="Times New Roman" w:hAnsi="Times New Roman"/>
          <w:lang w:val="en-GB"/>
        </w:rPr>
        <w:t xml:space="preserve">Dose reduction and dose delay: In case of Hb increase &gt; 20 g/L within 3 weeks of </w:t>
      </w:r>
      <w:proofErr w:type="spellStart"/>
      <w:r w:rsidRPr="00561530">
        <w:rPr>
          <w:rFonts w:ascii="Times New Roman" w:hAnsi="Times New Roman"/>
          <w:lang w:val="en-GB"/>
        </w:rPr>
        <w:t>luspatercept</w:t>
      </w:r>
      <w:proofErr w:type="spellEnd"/>
      <w:r w:rsidRPr="00561530">
        <w:rPr>
          <w:rFonts w:ascii="Times New Roman" w:hAnsi="Times New Roman"/>
          <w:lang w:val="en-GB"/>
        </w:rPr>
        <w:t xml:space="preserve"> treatment in absence of transfusion, the REBLOZYL dose should be reduced by one dose level.</w:t>
      </w:r>
    </w:p>
    <w:p w14:paraId="54D800C3" w14:textId="77777777" w:rsidR="00561530" w:rsidRPr="00561530" w:rsidRDefault="00561530" w:rsidP="00561530">
      <w:pPr>
        <w:rPr>
          <w:rFonts w:ascii="Times New Roman" w:hAnsi="Times New Roman"/>
          <w:lang w:val="en-GB"/>
        </w:rPr>
      </w:pPr>
      <w:r w:rsidRPr="00561530">
        <w:rPr>
          <w:rFonts w:ascii="Times New Roman" w:hAnsi="Times New Roman"/>
          <w:lang w:val="en-GB"/>
        </w:rPr>
        <w:t>Dose should not be reduced below 0.8 mg/kg.</w:t>
      </w:r>
    </w:p>
    <w:p w14:paraId="7DA20AE2" w14:textId="77777777" w:rsidR="00561530" w:rsidRPr="00561530" w:rsidRDefault="00561530" w:rsidP="00561530">
      <w:pPr>
        <w:rPr>
          <w:rFonts w:ascii="Times New Roman" w:hAnsi="Times New Roman"/>
          <w:lang w:val="en-GB"/>
        </w:rPr>
      </w:pPr>
      <w:r w:rsidRPr="00561530">
        <w:rPr>
          <w:rFonts w:ascii="Times New Roman" w:hAnsi="Times New Roman"/>
          <w:lang w:val="en-GB"/>
        </w:rPr>
        <w:t>If the pre-dose Hb is ≥ 115 g/L in the absence of transfusion for at least 3 weeks, delay dosing until the Hb is ≤ 110 g/L. If there is also a concomitant rapid increase in Hb (&gt; 20 g/L within 3 weeks in absence of transfusion), a dose reduction to one step down (minimum 0.8 mg/kg) should be considered after the dose delay.</w:t>
      </w:r>
    </w:p>
    <w:p w14:paraId="4C887C55" w14:textId="77777777" w:rsidR="00561530" w:rsidRPr="00561530" w:rsidRDefault="00561530" w:rsidP="00561530">
      <w:pPr>
        <w:rPr>
          <w:rFonts w:ascii="Times New Roman" w:hAnsi="Times New Roman"/>
          <w:lang w:val="en-GB"/>
        </w:rPr>
      </w:pPr>
      <w:r w:rsidRPr="00561530">
        <w:rPr>
          <w:rFonts w:ascii="Times New Roman" w:hAnsi="Times New Roman"/>
          <w:lang w:val="en-GB"/>
        </w:rPr>
        <w:t>After dose delay, patient should restart at previous dose or at reduced dose as dose reduction guidance. Dose reductions during treatment with REBLOZYL are provided below.</w:t>
      </w:r>
    </w:p>
    <w:p w14:paraId="2B16A903" w14:textId="77777777" w:rsidR="00561530" w:rsidRPr="00561530" w:rsidRDefault="00561530" w:rsidP="00987EA6">
      <w:pPr>
        <w:keepNext/>
        <w:rPr>
          <w:rFonts w:ascii="Times New Roman" w:hAnsi="Times New Roman"/>
          <w:lang w:val="en-GB"/>
        </w:rPr>
      </w:pPr>
      <w:r w:rsidRPr="00561530">
        <w:rPr>
          <w:rFonts w:ascii="Times New Roman" w:hAnsi="Times New Roman"/>
          <w:b/>
          <w:bCs/>
          <w:lang w:val="en-GB"/>
        </w:rPr>
        <w:t>Table 1: Dose reductions for MDS</w:t>
      </w:r>
    </w:p>
    <w:tbl>
      <w:tblPr>
        <w:tblStyle w:val="TableGrid"/>
        <w:tblW w:w="0" w:type="auto"/>
        <w:tblInd w:w="247" w:type="dxa"/>
        <w:tblLook w:val="04A0" w:firstRow="1" w:lastRow="0" w:firstColumn="1" w:lastColumn="0" w:noHBand="0" w:noVBand="1"/>
      </w:tblPr>
      <w:tblGrid>
        <w:gridCol w:w="4118"/>
        <w:gridCol w:w="4129"/>
      </w:tblGrid>
      <w:tr w:rsidR="00561530" w:rsidRPr="00561530" w14:paraId="2F707A3A" w14:textId="77777777" w:rsidTr="00561530">
        <w:tc>
          <w:tcPr>
            <w:tcW w:w="4320" w:type="dxa"/>
          </w:tcPr>
          <w:p w14:paraId="1F5EB3A8" w14:textId="77777777" w:rsidR="00561530" w:rsidRPr="00561530" w:rsidRDefault="00561530" w:rsidP="00987EA6">
            <w:pPr>
              <w:keepNext/>
              <w:jc w:val="center"/>
              <w:rPr>
                <w:rFonts w:ascii="Times New Roman" w:hAnsi="Times New Roman"/>
                <w:b/>
                <w:bCs/>
                <w:lang w:val="en-GB"/>
              </w:rPr>
            </w:pPr>
            <w:r w:rsidRPr="00561530">
              <w:rPr>
                <w:rFonts w:ascii="Times New Roman" w:hAnsi="Times New Roman"/>
                <w:b/>
                <w:bCs/>
                <w:lang w:val="en-GB"/>
              </w:rPr>
              <w:t>Current Dose</w:t>
            </w:r>
          </w:p>
        </w:tc>
        <w:tc>
          <w:tcPr>
            <w:tcW w:w="4320" w:type="dxa"/>
          </w:tcPr>
          <w:p w14:paraId="0F1EE629" w14:textId="77777777" w:rsidR="00561530" w:rsidRPr="00561530" w:rsidRDefault="00561530" w:rsidP="00987EA6">
            <w:pPr>
              <w:keepNext/>
              <w:jc w:val="center"/>
              <w:rPr>
                <w:rFonts w:ascii="Times New Roman" w:hAnsi="Times New Roman"/>
                <w:lang w:val="en-GB"/>
              </w:rPr>
            </w:pPr>
            <w:r w:rsidRPr="00561530">
              <w:rPr>
                <w:rFonts w:ascii="Times New Roman" w:hAnsi="Times New Roman"/>
                <w:b/>
                <w:bCs/>
                <w:lang w:val="en-GB"/>
              </w:rPr>
              <w:t>Dose Reduction</w:t>
            </w:r>
          </w:p>
        </w:tc>
      </w:tr>
      <w:tr w:rsidR="00561530" w:rsidRPr="00561530" w14:paraId="51A57930" w14:textId="77777777" w:rsidTr="00561530">
        <w:tc>
          <w:tcPr>
            <w:tcW w:w="4320" w:type="dxa"/>
            <w:vAlign w:val="center"/>
          </w:tcPr>
          <w:p w14:paraId="090DD9EA"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1.75 mg/kg</w:t>
            </w:r>
          </w:p>
        </w:tc>
        <w:tc>
          <w:tcPr>
            <w:tcW w:w="4320" w:type="dxa"/>
            <w:vAlign w:val="center"/>
          </w:tcPr>
          <w:p w14:paraId="736DAD7D"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1.33 mg/kg</w:t>
            </w:r>
          </w:p>
        </w:tc>
      </w:tr>
      <w:tr w:rsidR="00561530" w:rsidRPr="00561530" w14:paraId="5B168A58" w14:textId="77777777" w:rsidTr="00561530">
        <w:tc>
          <w:tcPr>
            <w:tcW w:w="4320" w:type="dxa"/>
            <w:vAlign w:val="center"/>
          </w:tcPr>
          <w:p w14:paraId="54270C1D"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1.33 mg/kg</w:t>
            </w:r>
          </w:p>
        </w:tc>
        <w:tc>
          <w:tcPr>
            <w:tcW w:w="4320" w:type="dxa"/>
            <w:vAlign w:val="center"/>
          </w:tcPr>
          <w:p w14:paraId="7908A107"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 mg/kg</w:t>
            </w:r>
          </w:p>
        </w:tc>
      </w:tr>
      <w:tr w:rsidR="00561530" w:rsidRPr="00561530" w14:paraId="3E510FD8" w14:textId="77777777" w:rsidTr="00561530">
        <w:trPr>
          <w:trHeight w:val="170"/>
        </w:trPr>
        <w:tc>
          <w:tcPr>
            <w:tcW w:w="4320" w:type="dxa"/>
            <w:vAlign w:val="center"/>
          </w:tcPr>
          <w:p w14:paraId="0AC6351A"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 mg/kg</w:t>
            </w:r>
          </w:p>
        </w:tc>
        <w:tc>
          <w:tcPr>
            <w:tcW w:w="4320" w:type="dxa"/>
            <w:vAlign w:val="center"/>
          </w:tcPr>
          <w:p w14:paraId="70EFE5D5"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0.8mg/kg</w:t>
            </w:r>
          </w:p>
        </w:tc>
      </w:tr>
    </w:tbl>
    <w:p w14:paraId="27098D52" w14:textId="77777777" w:rsidR="00561530" w:rsidRPr="00561530" w:rsidRDefault="00561530" w:rsidP="00987EA6">
      <w:pPr>
        <w:keepNext/>
        <w:rPr>
          <w:rFonts w:ascii="Times New Roman" w:hAnsi="Times New Roman"/>
          <w:lang w:val="en-GB"/>
        </w:rPr>
      </w:pPr>
      <w:r w:rsidRPr="00561530">
        <w:rPr>
          <w:rFonts w:ascii="Times New Roman" w:hAnsi="Times New Roman"/>
          <w:b/>
          <w:bCs/>
          <w:lang w:val="en-GB"/>
        </w:rPr>
        <w:t>Table 2: Dose reductions for β -Thalassaemia</w:t>
      </w:r>
    </w:p>
    <w:tbl>
      <w:tblPr>
        <w:tblStyle w:val="TableGrid"/>
        <w:tblW w:w="0" w:type="auto"/>
        <w:tblInd w:w="247" w:type="dxa"/>
        <w:tblLook w:val="04A0" w:firstRow="1" w:lastRow="0" w:firstColumn="1" w:lastColumn="0" w:noHBand="0" w:noVBand="1"/>
      </w:tblPr>
      <w:tblGrid>
        <w:gridCol w:w="4129"/>
        <w:gridCol w:w="4118"/>
      </w:tblGrid>
      <w:tr w:rsidR="00561530" w:rsidRPr="00561530" w14:paraId="546F4038" w14:textId="77777777" w:rsidTr="00561530">
        <w:tc>
          <w:tcPr>
            <w:tcW w:w="4320" w:type="dxa"/>
          </w:tcPr>
          <w:p w14:paraId="347F59EF" w14:textId="77777777" w:rsidR="00561530" w:rsidRPr="00561530" w:rsidRDefault="00561530" w:rsidP="00987EA6">
            <w:pPr>
              <w:keepNext/>
              <w:ind w:left="360"/>
              <w:jc w:val="center"/>
              <w:rPr>
                <w:rFonts w:ascii="Times New Roman" w:hAnsi="Times New Roman"/>
                <w:lang w:val="en-GB"/>
              </w:rPr>
            </w:pPr>
            <w:r w:rsidRPr="00561530">
              <w:rPr>
                <w:rFonts w:ascii="Times New Roman" w:hAnsi="Times New Roman"/>
                <w:b/>
                <w:bCs/>
                <w:lang w:val="en-GB"/>
              </w:rPr>
              <w:t>Current Dose</w:t>
            </w:r>
          </w:p>
        </w:tc>
        <w:tc>
          <w:tcPr>
            <w:tcW w:w="4320" w:type="dxa"/>
          </w:tcPr>
          <w:p w14:paraId="14A9E2D2" w14:textId="77777777" w:rsidR="00561530" w:rsidRPr="00561530" w:rsidRDefault="00561530" w:rsidP="00987EA6">
            <w:pPr>
              <w:keepNext/>
              <w:jc w:val="center"/>
              <w:rPr>
                <w:rFonts w:ascii="Times New Roman" w:hAnsi="Times New Roman"/>
                <w:lang w:val="en-GB"/>
              </w:rPr>
            </w:pPr>
            <w:r w:rsidRPr="00561530">
              <w:rPr>
                <w:rFonts w:ascii="Times New Roman" w:hAnsi="Times New Roman"/>
                <w:b/>
                <w:bCs/>
                <w:lang w:val="en-GB"/>
              </w:rPr>
              <w:t>Dose Reduction</w:t>
            </w:r>
          </w:p>
        </w:tc>
      </w:tr>
      <w:tr w:rsidR="00561530" w:rsidRPr="00561530" w14:paraId="2757896D" w14:textId="77777777" w:rsidTr="00561530">
        <w:tc>
          <w:tcPr>
            <w:tcW w:w="4320" w:type="dxa"/>
            <w:vAlign w:val="center"/>
          </w:tcPr>
          <w:p w14:paraId="4AFF8B72"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1.25 mg/kg</w:t>
            </w:r>
          </w:p>
        </w:tc>
        <w:tc>
          <w:tcPr>
            <w:tcW w:w="4320" w:type="dxa"/>
            <w:vAlign w:val="center"/>
          </w:tcPr>
          <w:p w14:paraId="48956BDB"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 mg/kg</w:t>
            </w:r>
          </w:p>
        </w:tc>
      </w:tr>
      <w:tr w:rsidR="00561530" w:rsidRPr="00561530" w14:paraId="2E348CF5" w14:textId="77777777" w:rsidTr="00561530">
        <w:tc>
          <w:tcPr>
            <w:tcW w:w="4320" w:type="dxa"/>
            <w:vAlign w:val="center"/>
          </w:tcPr>
          <w:p w14:paraId="643FDE68"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1 mg/kg</w:t>
            </w:r>
          </w:p>
        </w:tc>
        <w:tc>
          <w:tcPr>
            <w:tcW w:w="4320" w:type="dxa"/>
            <w:vAlign w:val="center"/>
          </w:tcPr>
          <w:p w14:paraId="01442463" w14:textId="77777777" w:rsidR="00561530" w:rsidRPr="00561530" w:rsidRDefault="00561530" w:rsidP="00987EA6">
            <w:pPr>
              <w:keepNext/>
              <w:jc w:val="center"/>
              <w:rPr>
                <w:rFonts w:ascii="Times New Roman" w:hAnsi="Times New Roman"/>
                <w:lang w:val="en-GB"/>
              </w:rPr>
            </w:pPr>
            <w:r w:rsidRPr="00561530">
              <w:rPr>
                <w:rFonts w:ascii="Times New Roman" w:hAnsi="Times New Roman"/>
                <w:lang w:val="en-GB"/>
              </w:rPr>
              <w:t>0.8 mg/kg</w:t>
            </w:r>
          </w:p>
        </w:tc>
      </w:tr>
    </w:tbl>
    <w:p w14:paraId="5D2CA327" w14:textId="77777777" w:rsidR="00561530" w:rsidRPr="00561530" w:rsidRDefault="00561530" w:rsidP="00561530">
      <w:pPr>
        <w:rPr>
          <w:rFonts w:ascii="Times New Roman" w:hAnsi="Times New Roman"/>
          <w:lang w:val="en-GB"/>
        </w:rPr>
      </w:pPr>
      <w:r w:rsidRPr="00561530">
        <w:rPr>
          <w:rFonts w:ascii="Times New Roman" w:hAnsi="Times New Roman"/>
          <w:lang w:val="en-GB"/>
        </w:rPr>
        <w:t>If the dose delay is &gt; 12 consecutive weeks, discontinue treatment.</w:t>
      </w:r>
    </w:p>
    <w:p w14:paraId="147BE65A"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Dose Modifications for Toxicity</w:t>
      </w:r>
    </w:p>
    <w:p w14:paraId="7040B7F3" w14:textId="77777777" w:rsidR="00561530" w:rsidRPr="00561530" w:rsidRDefault="00561530" w:rsidP="00561530">
      <w:pPr>
        <w:rPr>
          <w:rFonts w:ascii="Times New Roman" w:hAnsi="Times New Roman"/>
          <w:lang w:val="en-GB"/>
        </w:rPr>
      </w:pPr>
      <w:r w:rsidRPr="00561530">
        <w:rPr>
          <w:rFonts w:ascii="Times New Roman" w:hAnsi="Times New Roman"/>
          <w:lang w:val="en-GB"/>
        </w:rPr>
        <w:t>For patients experiencing Grade 3 or higher adverse reactions, modify treatment as follows:</w:t>
      </w:r>
    </w:p>
    <w:p w14:paraId="7DDDDA63" w14:textId="77777777" w:rsidR="00561530" w:rsidRPr="00561530" w:rsidRDefault="00561530" w:rsidP="00440EF2">
      <w:pPr>
        <w:pStyle w:val="ListParagraph"/>
        <w:numPr>
          <w:ilvl w:val="0"/>
          <w:numId w:val="24"/>
        </w:numPr>
        <w:spacing w:before="0" w:after="160" w:line="259" w:lineRule="auto"/>
        <w:jc w:val="both"/>
        <w:rPr>
          <w:rFonts w:ascii="Times New Roman" w:hAnsi="Times New Roman"/>
          <w:lang w:val="en-GB"/>
        </w:rPr>
      </w:pPr>
      <w:r w:rsidRPr="00561530">
        <w:rPr>
          <w:rFonts w:ascii="Times New Roman" w:hAnsi="Times New Roman"/>
          <w:lang w:val="en-GB"/>
        </w:rPr>
        <w:t>For related Grade 3 or 4 hypersensitivity reactions, discontinue treatment</w:t>
      </w:r>
    </w:p>
    <w:p w14:paraId="43100492" w14:textId="77777777" w:rsidR="00561530" w:rsidRPr="00561530" w:rsidRDefault="00561530" w:rsidP="00440EF2">
      <w:pPr>
        <w:pStyle w:val="ListParagraph"/>
        <w:numPr>
          <w:ilvl w:val="0"/>
          <w:numId w:val="24"/>
        </w:numPr>
        <w:spacing w:before="0" w:after="160" w:line="259" w:lineRule="auto"/>
        <w:jc w:val="both"/>
        <w:rPr>
          <w:rFonts w:ascii="Times New Roman" w:hAnsi="Times New Roman"/>
          <w:lang w:val="en-GB"/>
        </w:rPr>
      </w:pPr>
      <w:r w:rsidRPr="00561530">
        <w:rPr>
          <w:rFonts w:ascii="Times New Roman" w:hAnsi="Times New Roman"/>
          <w:lang w:val="en-GB"/>
        </w:rPr>
        <w:t>For other related Grade 3 or 4 adverse reactions, interrupt treatment; When the adverse reaction resolved to no more than Grade 1, restart treatment at the next lower dose level.</w:t>
      </w:r>
    </w:p>
    <w:p w14:paraId="588C3193" w14:textId="77777777" w:rsidR="00561530" w:rsidRPr="00561530" w:rsidRDefault="00561530" w:rsidP="00440EF2">
      <w:pPr>
        <w:pStyle w:val="ListParagraph"/>
        <w:numPr>
          <w:ilvl w:val="0"/>
          <w:numId w:val="24"/>
        </w:numPr>
        <w:spacing w:before="0" w:after="160" w:line="259" w:lineRule="auto"/>
        <w:jc w:val="both"/>
        <w:rPr>
          <w:rFonts w:ascii="Times New Roman" w:hAnsi="Times New Roman"/>
          <w:lang w:val="en-GB"/>
        </w:rPr>
      </w:pPr>
      <w:r w:rsidRPr="00561530">
        <w:rPr>
          <w:rFonts w:ascii="Times New Roman" w:hAnsi="Times New Roman"/>
          <w:lang w:val="en-GB"/>
        </w:rPr>
        <w:t>For &gt; 2 dose reductions due to suspected related AE, treatment should be discontinued.</w:t>
      </w:r>
    </w:p>
    <w:bookmarkEnd w:id="88"/>
    <w:p w14:paraId="1556BAC2"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Missed Doses</w:t>
      </w:r>
    </w:p>
    <w:p w14:paraId="3B475C99" w14:textId="77777777" w:rsidR="00561530" w:rsidRPr="00561530" w:rsidRDefault="00561530" w:rsidP="00561530">
      <w:pPr>
        <w:rPr>
          <w:rFonts w:ascii="Times New Roman" w:hAnsi="Times New Roman"/>
          <w:lang w:val="en-GB"/>
        </w:rPr>
      </w:pPr>
      <w:r w:rsidRPr="00561530">
        <w:rPr>
          <w:rFonts w:ascii="Times New Roman" w:hAnsi="Times New Roman"/>
          <w:lang w:val="en-GB"/>
        </w:rPr>
        <w:t>In case of a missed or delayed scheduled injection of REBLOZYL, the patient should be administered REBLOZYL as soon as possible and dosing continued as prescribed with at least 3 weeks between doses.</w:t>
      </w:r>
    </w:p>
    <w:p w14:paraId="3BB8354B"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Patients Experiencing a Loss of Response</w:t>
      </w:r>
    </w:p>
    <w:p w14:paraId="24E164AD" w14:textId="77777777" w:rsidR="00561530" w:rsidRPr="00561530" w:rsidRDefault="00561530" w:rsidP="00561530">
      <w:pPr>
        <w:rPr>
          <w:rFonts w:ascii="Times New Roman" w:hAnsi="Times New Roman"/>
          <w:lang w:val="en-GB"/>
        </w:rPr>
      </w:pPr>
      <w:r w:rsidRPr="00561530">
        <w:rPr>
          <w:rFonts w:ascii="Times New Roman" w:hAnsi="Times New Roman"/>
          <w:lang w:val="en-GB"/>
        </w:rPr>
        <w:t>If patients experience a clinical response followed by a loss of response to REBLOZYL, causative factors (</w:t>
      </w:r>
      <w:proofErr w:type="gramStart"/>
      <w:r w:rsidRPr="00561530">
        <w:rPr>
          <w:rFonts w:ascii="Times New Roman" w:hAnsi="Times New Roman"/>
          <w:lang w:val="en-GB"/>
        </w:rPr>
        <w:t>e.g.</w:t>
      </w:r>
      <w:proofErr w:type="gramEnd"/>
      <w:r w:rsidRPr="00561530">
        <w:rPr>
          <w:rFonts w:ascii="Times New Roman" w:hAnsi="Times New Roman"/>
          <w:lang w:val="en-GB"/>
        </w:rPr>
        <w:t xml:space="preserve"> a bleeding event) should be investigated. If typical causes for a loss of haematological response are excluded, dose increase should be considered as described above for the respective indication being treated.</w:t>
      </w:r>
    </w:p>
    <w:p w14:paraId="75DFFFEF" w14:textId="77777777" w:rsidR="00561530" w:rsidRPr="00561530" w:rsidRDefault="00561530" w:rsidP="00561530">
      <w:pPr>
        <w:rPr>
          <w:rFonts w:ascii="Times New Roman" w:hAnsi="Times New Roman"/>
          <w:lang w:val="en-GB"/>
        </w:rPr>
      </w:pPr>
      <w:r w:rsidRPr="00561530">
        <w:rPr>
          <w:rFonts w:ascii="Times New Roman" w:hAnsi="Times New Roman"/>
          <w:u w:val="single"/>
          <w:lang w:val="en-GB"/>
        </w:rPr>
        <w:t>Discontinuation</w:t>
      </w:r>
    </w:p>
    <w:p w14:paraId="2D6A71C8" w14:textId="77777777" w:rsidR="00561530" w:rsidRPr="00561530" w:rsidRDefault="00561530" w:rsidP="00561530">
      <w:pPr>
        <w:rPr>
          <w:rFonts w:ascii="Times New Roman" w:hAnsi="Times New Roman"/>
          <w:lang w:val="en-GB"/>
        </w:rPr>
      </w:pPr>
      <w:r w:rsidRPr="00561530">
        <w:rPr>
          <w:rFonts w:ascii="Times New Roman" w:hAnsi="Times New Roman"/>
          <w:lang w:val="en-GB"/>
        </w:rPr>
        <w:t>REBLOZYL should be discontinued if patients do not experience a reduction in transfusion burden after 9 weeks of treatment (administration of 3 doses) at the maximum dose level if no other causes are found.</w:t>
      </w:r>
    </w:p>
    <w:p w14:paraId="679BC62B" w14:textId="77777777" w:rsidR="00561530" w:rsidRPr="00561530" w:rsidRDefault="00561530" w:rsidP="00561530">
      <w:pPr>
        <w:rPr>
          <w:rFonts w:ascii="Times New Roman" w:hAnsi="Times New Roman"/>
          <w:lang w:val="en-GB"/>
        </w:rPr>
      </w:pPr>
      <w:r w:rsidRPr="00561530">
        <w:rPr>
          <w:rFonts w:ascii="Times New Roman" w:hAnsi="Times New Roman"/>
          <w:b/>
          <w:lang w:val="en-GB"/>
        </w:rPr>
        <w:t>Method of Administration</w:t>
      </w:r>
    </w:p>
    <w:p w14:paraId="5E0E4885" w14:textId="77777777" w:rsidR="00561530" w:rsidRPr="00561530" w:rsidRDefault="00561530" w:rsidP="00561530">
      <w:pPr>
        <w:rPr>
          <w:rFonts w:ascii="Times New Roman" w:hAnsi="Times New Roman"/>
        </w:rPr>
      </w:pPr>
      <w:r w:rsidRPr="00561530">
        <w:rPr>
          <w:rFonts w:ascii="Times New Roman" w:hAnsi="Times New Roman"/>
          <w:u w:val="single"/>
        </w:rPr>
        <w:t>After Reconstitution</w:t>
      </w:r>
    </w:p>
    <w:p w14:paraId="6500FB8B" w14:textId="77777777" w:rsidR="00561530" w:rsidRPr="00561530" w:rsidRDefault="00561530" w:rsidP="00561530">
      <w:pPr>
        <w:rPr>
          <w:rFonts w:ascii="Times New Roman" w:hAnsi="Times New Roman"/>
        </w:rPr>
      </w:pPr>
      <w:r w:rsidRPr="00561530">
        <w:rPr>
          <w:rFonts w:ascii="Times New Roman" w:hAnsi="Times New Roman"/>
        </w:rPr>
        <w:t>REBLOZYL is administered by SC injectio</w:t>
      </w:r>
      <w:bookmarkStart w:id="89" w:name="_Hlk536370831"/>
      <w:r w:rsidRPr="00561530">
        <w:rPr>
          <w:rFonts w:ascii="Times New Roman" w:hAnsi="Times New Roman"/>
        </w:rPr>
        <w:t>n into the upper arm, thigh and/or abdomen.</w:t>
      </w:r>
      <w:bookmarkEnd w:id="89"/>
      <w:r w:rsidRPr="00561530">
        <w:rPr>
          <w:rFonts w:ascii="Times New Roman" w:hAnsi="Times New Roman"/>
        </w:rPr>
        <w:t xml:space="preserve"> The exact total dosing volume of the reconstituted REBLOZYL solution (50 mg/mL) required for the patient should be calculated and slowly withdrawn from the single-dose vial(s) into a syringe.</w:t>
      </w:r>
    </w:p>
    <w:p w14:paraId="71BEEC8B" w14:textId="77777777" w:rsidR="00561530" w:rsidRPr="00561530" w:rsidRDefault="00561530" w:rsidP="00561530">
      <w:pPr>
        <w:rPr>
          <w:rFonts w:ascii="Times New Roman" w:hAnsi="Times New Roman"/>
        </w:rPr>
      </w:pPr>
      <w:r w:rsidRPr="00561530">
        <w:rPr>
          <w:rFonts w:ascii="Times New Roman" w:hAnsi="Times New Roman"/>
        </w:rPr>
        <w:t xml:space="preserve">The recommended maximum volume of medicinal product per injection site is 1.2 </w:t>
      </w:r>
      <w:proofErr w:type="spellStart"/>
      <w:r w:rsidRPr="00561530">
        <w:rPr>
          <w:rFonts w:ascii="Times New Roman" w:hAnsi="Times New Roman"/>
        </w:rPr>
        <w:t>mL.</w:t>
      </w:r>
      <w:proofErr w:type="spellEnd"/>
      <w:r w:rsidRPr="00561530">
        <w:rPr>
          <w:rFonts w:ascii="Times New Roman" w:hAnsi="Times New Roman"/>
        </w:rPr>
        <w:t xml:space="preserve"> If more than 1.2 mL is required, the total volume of REBLOZYL should be divided into separate similar volume injections and injected into separate sites.</w:t>
      </w:r>
    </w:p>
    <w:p w14:paraId="448583A9" w14:textId="77777777" w:rsidR="00561530" w:rsidRPr="00561530" w:rsidRDefault="00561530" w:rsidP="00561530">
      <w:pPr>
        <w:rPr>
          <w:rFonts w:ascii="Times New Roman" w:hAnsi="Times New Roman"/>
        </w:rPr>
      </w:pPr>
      <w:r w:rsidRPr="00561530">
        <w:rPr>
          <w:rFonts w:ascii="Times New Roman" w:hAnsi="Times New Roman"/>
        </w:rPr>
        <w:t>If multiple injections are required, a new syringe and needle must be used for each SC injection. Any unused portion should be discarded. No more than one dose from a vial should be administered.</w:t>
      </w:r>
    </w:p>
    <w:p w14:paraId="5118CB47" w14:textId="77777777" w:rsidR="00561530" w:rsidRPr="00561530" w:rsidRDefault="00561530" w:rsidP="00561530">
      <w:pPr>
        <w:rPr>
          <w:rFonts w:ascii="Times New Roman" w:hAnsi="Times New Roman"/>
        </w:rPr>
      </w:pPr>
      <w:r w:rsidRPr="00561530">
        <w:rPr>
          <w:rFonts w:ascii="Times New Roman" w:hAnsi="Times New Roman"/>
        </w:rPr>
        <w:t>If the REBLOZYL solution has been refrigerated after reconstitution, it should be removed from the refrigerator 15-30 minutes prior to injection to allow it to reach room temperature. This will allow for a more comfortable injection.</w:t>
      </w:r>
    </w:p>
    <w:p w14:paraId="3F3B3750" w14:textId="77777777" w:rsidR="00561530" w:rsidRPr="00561530" w:rsidRDefault="00561530" w:rsidP="00561530">
      <w:pPr>
        <w:rPr>
          <w:rFonts w:ascii="Times New Roman" w:hAnsi="Times New Roman"/>
        </w:rPr>
      </w:pPr>
      <w:r w:rsidRPr="00561530">
        <w:rPr>
          <w:rFonts w:ascii="Times New Roman" w:hAnsi="Times New Roman"/>
        </w:rPr>
        <w:t>REBLOZYL must be reconstituted gently prior to administration.</w:t>
      </w:r>
      <w:r w:rsidRPr="00561530" w:rsidDel="00370F57">
        <w:rPr>
          <w:rFonts w:ascii="Times New Roman" w:hAnsi="Times New Roman"/>
        </w:rPr>
        <w:t xml:space="preserve"> </w:t>
      </w:r>
      <w:r w:rsidRPr="00561530">
        <w:rPr>
          <w:rFonts w:ascii="Times New Roman" w:hAnsi="Times New Roman"/>
        </w:rPr>
        <w:t>Aggressive shaking should be avoided. While reconstituting, gentle swirling and inversion should be used to mix as indicated in the reconstitution procedure below.</w:t>
      </w:r>
    </w:p>
    <w:p w14:paraId="5DC5CDB4" w14:textId="77777777" w:rsidR="00561530" w:rsidRPr="00561530" w:rsidRDefault="00561530" w:rsidP="00561530">
      <w:pPr>
        <w:rPr>
          <w:rFonts w:ascii="Times New Roman" w:hAnsi="Times New Roman"/>
          <w:u w:val="single"/>
          <w:lang w:val="en-GB"/>
        </w:rPr>
      </w:pPr>
      <w:r w:rsidRPr="00561530">
        <w:rPr>
          <w:rFonts w:ascii="Times New Roman" w:hAnsi="Times New Roman"/>
          <w:u w:val="single"/>
          <w:lang w:val="en-GB"/>
        </w:rPr>
        <w:t>Reconstitution of the Product</w:t>
      </w:r>
    </w:p>
    <w:p w14:paraId="087163D6" w14:textId="77777777" w:rsidR="00561530" w:rsidRPr="00561530" w:rsidRDefault="00561530" w:rsidP="00561530">
      <w:pPr>
        <w:rPr>
          <w:rFonts w:ascii="Times New Roman" w:hAnsi="Times New Roman"/>
          <w:lang w:val="en-GB"/>
        </w:rPr>
      </w:pPr>
      <w:r w:rsidRPr="00561530">
        <w:rPr>
          <w:rFonts w:ascii="Times New Roman" w:hAnsi="Times New Roman"/>
          <w:lang w:val="en-GB"/>
        </w:rPr>
        <w:t>REBLOZYL is supplied as a lyophilised powder for reconstitution before use. Only sterile water for injections (WFI) should be used when reconstituting REBLOZYL.</w:t>
      </w:r>
    </w:p>
    <w:p w14:paraId="010FBC5F" w14:textId="77777777" w:rsidR="00561530" w:rsidRPr="00561530" w:rsidRDefault="00561530" w:rsidP="00561530">
      <w:pPr>
        <w:rPr>
          <w:rFonts w:ascii="Times New Roman" w:hAnsi="Times New Roman"/>
        </w:rPr>
      </w:pPr>
      <w:r w:rsidRPr="00561530">
        <w:rPr>
          <w:rFonts w:ascii="Times New Roman" w:hAnsi="Times New Roman"/>
        </w:rPr>
        <w:t>The appropriate number of REBLOZYL vials should be reconstituted to achieve the desired dose. A syringe with appropriate graduations must be used for reconstitution to ensure accurate dosage.</w:t>
      </w:r>
    </w:p>
    <w:p w14:paraId="53BA41C2" w14:textId="77777777" w:rsidR="00561530" w:rsidRPr="00561530" w:rsidRDefault="00561530" w:rsidP="00561530">
      <w:pPr>
        <w:rPr>
          <w:rFonts w:ascii="Times New Roman" w:hAnsi="Times New Roman"/>
          <w:szCs w:val="24"/>
          <w:u w:val="single"/>
          <w:lang w:val="en-GB"/>
        </w:rPr>
      </w:pPr>
      <w:r w:rsidRPr="00561530">
        <w:rPr>
          <w:rFonts w:ascii="Times New Roman" w:hAnsi="Times New Roman"/>
          <w:u w:val="single"/>
          <w:lang w:val="en-GB"/>
        </w:rPr>
        <w:t>The following steps should be followed for reconstitution:</w:t>
      </w:r>
    </w:p>
    <w:p w14:paraId="2B7980A0"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Remove the coloured cap from the vial and wipe the top with an alcohol wipe.</w:t>
      </w:r>
    </w:p>
    <w:p w14:paraId="6F485490"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i/>
          <w:iCs/>
          <w:sz w:val="24"/>
          <w:szCs w:val="24"/>
        </w:rPr>
        <w:t>25 mg vial:</w:t>
      </w:r>
      <w:r w:rsidRPr="00561530">
        <w:rPr>
          <w:rFonts w:ascii="Times New Roman" w:hAnsi="Times New Roman"/>
          <w:sz w:val="24"/>
          <w:szCs w:val="24"/>
        </w:rPr>
        <w:t xml:space="preserve"> Add 0.68 mL WFI into the vial by means of a syringe with appropriate graduations with a needle directing the flow onto the lyophilised powder. Allow to stand for one minute. Each 25 mg single-dose vial will deliver at least 0.5 mL of 50 mg/mL </w:t>
      </w:r>
      <w:proofErr w:type="spellStart"/>
      <w:r w:rsidRPr="00561530">
        <w:rPr>
          <w:rFonts w:ascii="Times New Roman" w:hAnsi="Times New Roman"/>
          <w:sz w:val="24"/>
          <w:szCs w:val="24"/>
        </w:rPr>
        <w:t>luspatercept</w:t>
      </w:r>
      <w:proofErr w:type="spellEnd"/>
      <w:r w:rsidRPr="00561530">
        <w:rPr>
          <w:rFonts w:ascii="Times New Roman" w:hAnsi="Times New Roman"/>
          <w:sz w:val="24"/>
          <w:szCs w:val="24"/>
        </w:rPr>
        <w:t>.</w:t>
      </w:r>
    </w:p>
    <w:p w14:paraId="44E0FB5E" w14:textId="77777777" w:rsidR="00561530" w:rsidRPr="00561530" w:rsidRDefault="00561530" w:rsidP="00561530">
      <w:pPr>
        <w:pStyle w:val="ListParagraph"/>
        <w:ind w:left="900"/>
        <w:rPr>
          <w:rFonts w:ascii="Times New Roman" w:hAnsi="Times New Roman"/>
          <w:sz w:val="24"/>
          <w:szCs w:val="24"/>
        </w:rPr>
      </w:pPr>
    </w:p>
    <w:p w14:paraId="06182416" w14:textId="77777777" w:rsidR="00561530" w:rsidRPr="00561530" w:rsidRDefault="00561530" w:rsidP="00561530">
      <w:pPr>
        <w:pStyle w:val="ListParagraph"/>
        <w:ind w:left="900"/>
        <w:rPr>
          <w:rFonts w:ascii="Times New Roman" w:hAnsi="Times New Roman"/>
          <w:sz w:val="24"/>
          <w:szCs w:val="24"/>
        </w:rPr>
      </w:pPr>
      <w:r w:rsidRPr="00561530">
        <w:rPr>
          <w:rFonts w:ascii="Times New Roman" w:hAnsi="Times New Roman"/>
          <w:i/>
          <w:iCs/>
          <w:sz w:val="24"/>
          <w:szCs w:val="24"/>
        </w:rPr>
        <w:t>75 mg vial:</w:t>
      </w:r>
      <w:r w:rsidRPr="00561530">
        <w:rPr>
          <w:rFonts w:ascii="Times New Roman" w:hAnsi="Times New Roman"/>
          <w:sz w:val="24"/>
          <w:szCs w:val="24"/>
        </w:rPr>
        <w:t xml:space="preserve"> Add 1.6 mL WFI into the vial by means of a syringe with appropriate graduations with a needle directing the flow onto the lyophilised powder. Allow to stand for one minute. Each 75 mg single-dose vial will deliver at least 1.5 mL of 50 mg/mL </w:t>
      </w:r>
      <w:proofErr w:type="spellStart"/>
      <w:r w:rsidRPr="00561530">
        <w:rPr>
          <w:rFonts w:ascii="Times New Roman" w:hAnsi="Times New Roman"/>
          <w:sz w:val="24"/>
          <w:szCs w:val="24"/>
        </w:rPr>
        <w:t>luspatercept</w:t>
      </w:r>
      <w:proofErr w:type="spellEnd"/>
      <w:r w:rsidRPr="00561530">
        <w:rPr>
          <w:rFonts w:ascii="Times New Roman" w:hAnsi="Times New Roman"/>
          <w:sz w:val="24"/>
          <w:szCs w:val="24"/>
        </w:rPr>
        <w:t>.</w:t>
      </w:r>
    </w:p>
    <w:p w14:paraId="672D18C9"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Discard the needle and syringe used for reconstitution. Do not use them for subcutaneous injection.</w:t>
      </w:r>
    </w:p>
    <w:p w14:paraId="481CCB15"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Gently swirl the vial in a circular motion for 30 seconds. Stop swirling and let the vial sit in an upright position for 30 seconds.</w:t>
      </w:r>
    </w:p>
    <w:p w14:paraId="13A7CC55"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Inspect the vial for undissolved powder in the solution. If undissolved powder is observed, repeat step 4 until the powder is completely dissolved.</w:t>
      </w:r>
    </w:p>
    <w:p w14:paraId="27569B58"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Invert the vial and gently swirl in an inverted position for 30 seconds. Bring the vial back to the upright position and let it sit for 30 seconds.</w:t>
      </w:r>
    </w:p>
    <w:p w14:paraId="409236DE"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Repeat Step 6 seven more times to ensure complete reconstitution of material on the sides of the vial.</w:t>
      </w:r>
    </w:p>
    <w:p w14:paraId="444FA975"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Visually inspect the reconstituted solution prior to administration. REBLOZYL is a colourless to slightly yellow, clear to slightly opalescent solution which is free of visible foreign particulate matter. Do not use if undissolved product or foreign particulate matter are observed.</w:t>
      </w:r>
    </w:p>
    <w:p w14:paraId="3F24B9EE" w14:textId="77777777" w:rsidR="00561530" w:rsidRPr="00561530" w:rsidRDefault="00561530" w:rsidP="00440EF2">
      <w:pPr>
        <w:pStyle w:val="ListParagraph"/>
        <w:numPr>
          <w:ilvl w:val="0"/>
          <w:numId w:val="23"/>
        </w:numPr>
        <w:spacing w:before="0" w:after="200" w:line="240" w:lineRule="auto"/>
        <w:jc w:val="both"/>
        <w:rPr>
          <w:rFonts w:ascii="Times New Roman" w:hAnsi="Times New Roman"/>
          <w:sz w:val="24"/>
          <w:szCs w:val="24"/>
        </w:rPr>
      </w:pPr>
      <w:r w:rsidRPr="00561530">
        <w:rPr>
          <w:rFonts w:ascii="Times New Roman" w:hAnsi="Times New Roman"/>
          <w:sz w:val="24"/>
          <w:szCs w:val="24"/>
        </w:rPr>
        <w:t>If the reconstituted solution is not used immediately, see Section 6.4 for storage conditions.</w:t>
      </w:r>
    </w:p>
    <w:p w14:paraId="684CFE89" w14:textId="2251EACE" w:rsidR="00561530" w:rsidRPr="00561530" w:rsidRDefault="00561530" w:rsidP="00561530">
      <w:pPr>
        <w:pStyle w:val="Heading2"/>
        <w:rPr>
          <w:rFonts w:ascii="Times New Roman" w:hAnsi="Times New Roman"/>
        </w:rPr>
      </w:pPr>
      <w:bookmarkStart w:id="90" w:name="_Toc102045199"/>
      <w:r w:rsidRPr="00561530">
        <w:rPr>
          <w:rFonts w:ascii="Times New Roman" w:hAnsi="Times New Roman"/>
        </w:rPr>
        <w:t>4.</w:t>
      </w:r>
      <w:r w:rsidRPr="00987EA6">
        <w:rPr>
          <w:rFonts w:ascii="Times New Roman" w:hAnsi="Times New Roman"/>
          <w:sz w:val="26"/>
        </w:rPr>
        <w:t>3</w:t>
      </w:r>
      <w:r w:rsidRPr="00987EA6">
        <w:rPr>
          <w:rFonts w:ascii="Times New Roman" w:hAnsi="Times New Roman"/>
          <w:sz w:val="26"/>
        </w:rPr>
        <w:tab/>
        <w:t>C</w:t>
      </w:r>
      <w:r w:rsidR="00987EA6" w:rsidRPr="00987EA6">
        <w:rPr>
          <w:rFonts w:ascii="Times New Roman" w:hAnsi="Times New Roman"/>
          <w:sz w:val="26"/>
        </w:rPr>
        <w:t>ONTRAINDICATIONS</w:t>
      </w:r>
      <w:bookmarkEnd w:id="90"/>
    </w:p>
    <w:p w14:paraId="6CCDCC2C" w14:textId="77777777" w:rsidR="00561530" w:rsidRPr="00561530" w:rsidRDefault="00561530" w:rsidP="00440EF2">
      <w:pPr>
        <w:pStyle w:val="ListParagraph"/>
        <w:numPr>
          <w:ilvl w:val="0"/>
          <w:numId w:val="25"/>
        </w:numPr>
        <w:spacing w:before="0" w:after="160" w:line="259" w:lineRule="auto"/>
        <w:jc w:val="both"/>
        <w:rPr>
          <w:rFonts w:ascii="Times New Roman" w:hAnsi="Times New Roman"/>
        </w:rPr>
      </w:pPr>
      <w:r w:rsidRPr="00561530">
        <w:rPr>
          <w:rFonts w:ascii="Times New Roman" w:hAnsi="Times New Roman"/>
        </w:rPr>
        <w:t>Hypersensitivity to the active substance or to any of the excipients listed in Section 6.1.</w:t>
      </w:r>
    </w:p>
    <w:p w14:paraId="2E1E9E3C" w14:textId="77777777" w:rsidR="00561530" w:rsidRPr="00561530" w:rsidRDefault="00561530" w:rsidP="00440EF2">
      <w:pPr>
        <w:pStyle w:val="ListParagraph"/>
        <w:numPr>
          <w:ilvl w:val="0"/>
          <w:numId w:val="25"/>
        </w:numPr>
        <w:spacing w:before="0" w:after="160" w:line="259" w:lineRule="auto"/>
        <w:jc w:val="both"/>
        <w:rPr>
          <w:rFonts w:ascii="Times New Roman" w:hAnsi="Times New Roman"/>
        </w:rPr>
      </w:pPr>
      <w:r w:rsidRPr="00561530">
        <w:rPr>
          <w:rFonts w:ascii="Times New Roman" w:hAnsi="Times New Roman"/>
        </w:rPr>
        <w:t>Pregnancy (see section 4.6)</w:t>
      </w:r>
    </w:p>
    <w:p w14:paraId="67A92D26" w14:textId="74AC9403" w:rsidR="00561530" w:rsidRPr="00987EA6" w:rsidRDefault="00561530" w:rsidP="00561530">
      <w:pPr>
        <w:pStyle w:val="Heading2"/>
        <w:rPr>
          <w:rFonts w:ascii="Times New Roman" w:hAnsi="Times New Roman"/>
          <w:sz w:val="26"/>
        </w:rPr>
      </w:pPr>
      <w:bookmarkStart w:id="91" w:name="_Toc102045200"/>
      <w:r w:rsidRPr="00987EA6">
        <w:rPr>
          <w:rFonts w:ascii="Times New Roman" w:hAnsi="Times New Roman"/>
          <w:sz w:val="26"/>
        </w:rPr>
        <w:t>4.4</w:t>
      </w:r>
      <w:r w:rsidRPr="00987EA6">
        <w:rPr>
          <w:rFonts w:ascii="Times New Roman" w:hAnsi="Times New Roman"/>
          <w:sz w:val="26"/>
        </w:rPr>
        <w:tab/>
        <w:t>S</w:t>
      </w:r>
      <w:r w:rsidR="00987EA6" w:rsidRPr="00987EA6">
        <w:rPr>
          <w:rFonts w:ascii="Times New Roman" w:hAnsi="Times New Roman"/>
          <w:sz w:val="26"/>
        </w:rPr>
        <w:t>PECIAL WARNINGS AND PRECAUTIONS FOR USE</w:t>
      </w:r>
      <w:bookmarkEnd w:id="91"/>
    </w:p>
    <w:p w14:paraId="60360456" w14:textId="77777777" w:rsidR="00561530" w:rsidRPr="00987EA6" w:rsidRDefault="00561530" w:rsidP="00561530">
      <w:pPr>
        <w:pStyle w:val="Heading3"/>
        <w:rPr>
          <w:rFonts w:ascii="Times New Roman" w:hAnsi="Times New Roman"/>
          <w:sz w:val="24"/>
          <w:szCs w:val="24"/>
        </w:rPr>
      </w:pPr>
      <w:bookmarkStart w:id="92" w:name="_Toc102045201"/>
      <w:r w:rsidRPr="00987EA6">
        <w:rPr>
          <w:rFonts w:ascii="Times New Roman" w:hAnsi="Times New Roman"/>
          <w:sz w:val="24"/>
          <w:szCs w:val="24"/>
        </w:rPr>
        <w:t>Identified Precautions</w:t>
      </w:r>
      <w:bookmarkEnd w:id="92"/>
    </w:p>
    <w:p w14:paraId="135148E9" w14:textId="77777777" w:rsidR="00561530" w:rsidRPr="00561530" w:rsidRDefault="00561530" w:rsidP="00561530">
      <w:pPr>
        <w:rPr>
          <w:rFonts w:ascii="Times New Roman" w:hAnsi="Times New Roman"/>
        </w:rPr>
      </w:pPr>
      <w:r w:rsidRPr="00561530">
        <w:rPr>
          <w:rFonts w:ascii="Times New Roman" w:hAnsi="Times New Roman"/>
          <w:u w:val="single"/>
        </w:rPr>
        <w:t>Thromboembolic Events</w:t>
      </w:r>
    </w:p>
    <w:p w14:paraId="3066DB2D" w14:textId="77777777" w:rsidR="00561530" w:rsidRPr="00561530" w:rsidRDefault="00561530" w:rsidP="00561530">
      <w:pPr>
        <w:rPr>
          <w:rFonts w:ascii="Times New Roman" w:hAnsi="Times New Roman"/>
        </w:rPr>
      </w:pPr>
      <w:r w:rsidRPr="00561530">
        <w:rPr>
          <w:rFonts w:ascii="Times New Roman" w:hAnsi="Times New Roman"/>
        </w:rPr>
        <w:t xml:space="preserve">In adult patients with β-thalassaemia, thromboembolic events (TEE) were reported in 8/223 (3.6%) REBLOZYL-treated patients. Reported TEEs included deep vein thromboses, pulmonary embolus, portal vein thrombosis, and ischaemic strokes. Patients with known risk factors for thromboembolism, </w:t>
      </w:r>
      <w:proofErr w:type="gramStart"/>
      <w:r w:rsidRPr="00561530">
        <w:rPr>
          <w:rFonts w:ascii="Times New Roman" w:hAnsi="Times New Roman"/>
        </w:rPr>
        <w:t>e.g.</w:t>
      </w:r>
      <w:proofErr w:type="gramEnd"/>
      <w:r w:rsidRPr="00561530">
        <w:rPr>
          <w:rFonts w:ascii="Times New Roman" w:hAnsi="Times New Roman"/>
        </w:rPr>
        <w:t xml:space="preserve"> splenectomy or concomitant use of hormone replacement therapy, may be at further increased risk of thromboembolic conditions. </w:t>
      </w:r>
    </w:p>
    <w:p w14:paraId="74F32097" w14:textId="77777777" w:rsidR="00561530" w:rsidRPr="00561530" w:rsidRDefault="00561530" w:rsidP="00561530">
      <w:pPr>
        <w:rPr>
          <w:rFonts w:ascii="Times New Roman" w:hAnsi="Times New Roman"/>
        </w:rPr>
      </w:pPr>
      <w:r w:rsidRPr="00561530">
        <w:rPr>
          <w:rFonts w:ascii="Times New Roman" w:hAnsi="Times New Roman"/>
        </w:rPr>
        <w:t>Consider thrombo-prophylaxis in patients with β-thalassemia at increased risk of TEE. Monitor patients receiving REBLOZYL for signs and symptoms of thromboembolic events and institute treatment promptly.</w:t>
      </w:r>
    </w:p>
    <w:p w14:paraId="2E36397E" w14:textId="77777777" w:rsidR="00561530" w:rsidRPr="00561530" w:rsidRDefault="00561530" w:rsidP="00561530">
      <w:pPr>
        <w:rPr>
          <w:rFonts w:ascii="Times New Roman" w:hAnsi="Times New Roman"/>
        </w:rPr>
      </w:pPr>
      <w:r w:rsidRPr="00561530">
        <w:rPr>
          <w:rFonts w:ascii="Times New Roman" w:hAnsi="Times New Roman"/>
          <w:u w:val="single"/>
        </w:rPr>
        <w:t>Increased Blood Pressure</w:t>
      </w:r>
    </w:p>
    <w:p w14:paraId="71485B55" w14:textId="77777777" w:rsidR="00561530" w:rsidRPr="00561530" w:rsidRDefault="00561530" w:rsidP="00561530">
      <w:pPr>
        <w:rPr>
          <w:rFonts w:ascii="Times New Roman" w:hAnsi="Times New Roman"/>
        </w:rPr>
      </w:pPr>
      <w:r w:rsidRPr="00561530">
        <w:rPr>
          <w:rFonts w:ascii="Times New Roman" w:hAnsi="Times New Roman"/>
        </w:rPr>
        <w:t xml:space="preserve">Hypertension was reported in 10.7% (61/571) of REBLOZYL-treated patients across the following studies: MDS - a Phase 3 study (MEDALIST) and two Phase 2 studies; β-thalassemia - a Phase 3 study (BELIEVE) and two Phase 2 studies; and one Phase 1 study in healthy subjects. Across these clinical studies, the incidence of Grade 3-4 hypertension ranged from 1.8% to 8.6%. In adult patients with β-thalassemia with normal baseline blood pressure, 13 (6.2%) patients developed systolic blood pressure (SBP) ≥130 mm Hg and 33 (16.6%) patients developed diastolic blood pressure (DBP) ≥80 mm Hg. In adult patients with MDS with normal baseline blood pressure, 26 (29.9%) patients developed SBP ≥130 mm Hg and 23 (16.4%) patients developed DBP ≥80 mm Hg. </w:t>
      </w:r>
    </w:p>
    <w:p w14:paraId="7FE4AD6F" w14:textId="77777777" w:rsidR="00561530" w:rsidRPr="00561530" w:rsidRDefault="00561530" w:rsidP="00561530">
      <w:pPr>
        <w:rPr>
          <w:rFonts w:ascii="Times New Roman" w:hAnsi="Times New Roman"/>
        </w:rPr>
      </w:pPr>
      <w:r w:rsidRPr="00561530">
        <w:rPr>
          <w:rFonts w:ascii="Times New Roman" w:hAnsi="Times New Roman"/>
        </w:rPr>
        <w:t>Monitor blood pressure prior to each administration. Manage new-onset hypertension or exacerbations of pre-existing hypertension using anti-hypertensive agents.</w:t>
      </w:r>
    </w:p>
    <w:p w14:paraId="02DE6859" w14:textId="77777777" w:rsidR="00561530" w:rsidRPr="00561530" w:rsidRDefault="00561530" w:rsidP="00561530">
      <w:pPr>
        <w:rPr>
          <w:rFonts w:ascii="Times New Roman" w:hAnsi="Times New Roman"/>
          <w:lang w:val="en-GB"/>
        </w:rPr>
      </w:pPr>
      <w:proofErr w:type="spellStart"/>
      <w:r w:rsidRPr="00561530">
        <w:rPr>
          <w:rFonts w:ascii="Times New Roman" w:hAnsi="Times New Roman"/>
          <w:u w:val="single"/>
          <w:lang w:val="en-GB"/>
        </w:rPr>
        <w:t>Embryofetal</w:t>
      </w:r>
      <w:proofErr w:type="spellEnd"/>
      <w:r w:rsidRPr="00561530">
        <w:rPr>
          <w:rFonts w:ascii="Times New Roman" w:hAnsi="Times New Roman"/>
          <w:u w:val="single"/>
          <w:lang w:val="en-GB"/>
        </w:rPr>
        <w:t xml:space="preserve"> Toxicity</w:t>
      </w:r>
    </w:p>
    <w:p w14:paraId="2955DCE6" w14:textId="77777777" w:rsidR="00561530" w:rsidRPr="00561530" w:rsidRDefault="00561530" w:rsidP="00561530">
      <w:pPr>
        <w:rPr>
          <w:rFonts w:ascii="Times New Roman" w:hAnsi="Times New Roman"/>
        </w:rPr>
      </w:pPr>
      <w:r w:rsidRPr="00561530">
        <w:rPr>
          <w:rFonts w:ascii="Times New Roman" w:hAnsi="Times New Roman"/>
        </w:rPr>
        <w:t xml:space="preserve">Studies in animals have shown embryofetal toxicity. REBLOZYL may cause </w:t>
      </w:r>
      <w:proofErr w:type="spellStart"/>
      <w:r w:rsidRPr="00561530">
        <w:rPr>
          <w:rFonts w:ascii="Times New Roman" w:hAnsi="Times New Roman"/>
        </w:rPr>
        <w:t>fetal</w:t>
      </w:r>
      <w:proofErr w:type="spellEnd"/>
      <w:r w:rsidRPr="00561530">
        <w:rPr>
          <w:rFonts w:ascii="Times New Roman" w:hAnsi="Times New Roman"/>
        </w:rPr>
        <w:t xml:space="preserve"> harm when administered to a pregnant woman. Women of childbearing potential should be advised to use effective contraception during treatment with REBLOZYL and for at least 3 months after the last dose of REBLOZYL. Pregnant women should be informed of the potential risk to the </w:t>
      </w:r>
      <w:proofErr w:type="spellStart"/>
      <w:r w:rsidRPr="00561530">
        <w:rPr>
          <w:rFonts w:ascii="Times New Roman" w:hAnsi="Times New Roman"/>
        </w:rPr>
        <w:t>fetus</w:t>
      </w:r>
      <w:proofErr w:type="spellEnd"/>
      <w:r w:rsidRPr="00561530">
        <w:rPr>
          <w:rFonts w:ascii="Times New Roman" w:hAnsi="Times New Roman"/>
        </w:rPr>
        <w:t xml:space="preserve"> (see Section 4.6).</w:t>
      </w:r>
    </w:p>
    <w:p w14:paraId="5E0830BB" w14:textId="77777777" w:rsidR="00561530" w:rsidRPr="00987EA6" w:rsidRDefault="00561530" w:rsidP="00561530">
      <w:pPr>
        <w:pStyle w:val="Heading3"/>
        <w:rPr>
          <w:rFonts w:ascii="Times New Roman" w:hAnsi="Times New Roman"/>
          <w:sz w:val="24"/>
          <w:szCs w:val="24"/>
        </w:rPr>
      </w:pPr>
      <w:bookmarkStart w:id="93" w:name="_Toc102045202"/>
      <w:r w:rsidRPr="00987EA6">
        <w:rPr>
          <w:rFonts w:ascii="Times New Roman" w:hAnsi="Times New Roman"/>
          <w:sz w:val="24"/>
          <w:szCs w:val="24"/>
        </w:rPr>
        <w:t>Use in Hepatic Impairment</w:t>
      </w:r>
      <w:bookmarkEnd w:id="93"/>
    </w:p>
    <w:p w14:paraId="7B426A38" w14:textId="77777777" w:rsidR="00561530" w:rsidRPr="00561530" w:rsidRDefault="00561530" w:rsidP="00561530">
      <w:pPr>
        <w:rPr>
          <w:rFonts w:ascii="Times New Roman" w:hAnsi="Times New Roman"/>
        </w:rPr>
      </w:pPr>
      <w:r w:rsidRPr="00561530">
        <w:rPr>
          <w:rFonts w:ascii="Times New Roman" w:hAnsi="Times New Roman"/>
        </w:rPr>
        <w:t>No starting dose adjustment is required for patients with total bilirubin (BIL) &gt; upper limit of normal (ULN) and/or alanine aminotransferase (ALT) or aspartate aminotransferase (AST) &lt; 3 x ULN.  No specific dose recommendation can be made for patients with ALT or ASL ≥ 3 x ULN or liver injury CTCAE Grade ≥ 3 due to lack of data.</w:t>
      </w:r>
    </w:p>
    <w:p w14:paraId="3DF1E2F3" w14:textId="77777777" w:rsidR="00561530" w:rsidRPr="00987EA6" w:rsidRDefault="00561530" w:rsidP="00561530">
      <w:pPr>
        <w:pStyle w:val="Heading3"/>
        <w:rPr>
          <w:rFonts w:ascii="Times New Roman" w:hAnsi="Times New Roman"/>
          <w:sz w:val="24"/>
          <w:szCs w:val="24"/>
        </w:rPr>
      </w:pPr>
      <w:bookmarkStart w:id="94" w:name="_Toc102045203"/>
      <w:r w:rsidRPr="00987EA6">
        <w:rPr>
          <w:rFonts w:ascii="Times New Roman" w:hAnsi="Times New Roman"/>
          <w:sz w:val="24"/>
          <w:szCs w:val="24"/>
        </w:rPr>
        <w:t>Use in Renal Impairment</w:t>
      </w:r>
      <w:bookmarkEnd w:id="94"/>
    </w:p>
    <w:p w14:paraId="039C60D1" w14:textId="77777777" w:rsidR="00561530" w:rsidRPr="00561530" w:rsidRDefault="00561530" w:rsidP="00561530">
      <w:pPr>
        <w:rPr>
          <w:rFonts w:ascii="Times New Roman" w:hAnsi="Times New Roman"/>
        </w:rPr>
      </w:pPr>
      <w:bookmarkStart w:id="95" w:name="_Hlk536387627"/>
      <w:r w:rsidRPr="00561530">
        <w:rPr>
          <w:rFonts w:ascii="Times New Roman" w:hAnsi="Times New Roman"/>
        </w:rPr>
        <w:t>No starting dose adjustment is required for patients with mild to moderate renal impairment (eGFR &lt; 90 and ≥ 30 mL/min/1.73 m</w:t>
      </w:r>
      <w:r w:rsidRPr="00561530">
        <w:rPr>
          <w:rFonts w:ascii="Times New Roman" w:hAnsi="Times New Roman"/>
          <w:vertAlign w:val="superscript"/>
        </w:rPr>
        <w:t>2</w:t>
      </w:r>
      <w:r w:rsidRPr="00561530">
        <w:rPr>
          <w:rFonts w:ascii="Times New Roman" w:hAnsi="Times New Roman"/>
        </w:rPr>
        <w:t>). No dose recommendation can be made for patients with severe renal impairment (eGFR &lt; 30 mL/min/1.73 m</w:t>
      </w:r>
      <w:r w:rsidRPr="00561530">
        <w:rPr>
          <w:rFonts w:ascii="Times New Roman" w:hAnsi="Times New Roman"/>
          <w:vertAlign w:val="superscript"/>
        </w:rPr>
        <w:t>2</w:t>
      </w:r>
      <w:r w:rsidRPr="00561530">
        <w:rPr>
          <w:rFonts w:ascii="Times New Roman" w:hAnsi="Times New Roman"/>
        </w:rPr>
        <w:t>)</w:t>
      </w:r>
      <w:r w:rsidRPr="00561530">
        <w:rPr>
          <w:rFonts w:ascii="Times New Roman" w:hAnsi="Times New Roman"/>
          <w:vertAlign w:val="superscript"/>
        </w:rPr>
        <w:t xml:space="preserve"> </w:t>
      </w:r>
      <w:r w:rsidRPr="00561530">
        <w:rPr>
          <w:rFonts w:ascii="Times New Roman" w:hAnsi="Times New Roman"/>
        </w:rPr>
        <w:t>due to the lack of clinical data</w:t>
      </w:r>
      <w:bookmarkEnd w:id="95"/>
      <w:r w:rsidRPr="00561530">
        <w:rPr>
          <w:rFonts w:ascii="Times New Roman" w:hAnsi="Times New Roman"/>
        </w:rPr>
        <w:t>.</w:t>
      </w:r>
    </w:p>
    <w:p w14:paraId="213AF1EB" w14:textId="77777777" w:rsidR="00561530" w:rsidRPr="00987EA6" w:rsidRDefault="00561530" w:rsidP="00561530">
      <w:pPr>
        <w:pStyle w:val="Heading3"/>
        <w:rPr>
          <w:rFonts w:ascii="Times New Roman" w:hAnsi="Times New Roman"/>
          <w:sz w:val="24"/>
          <w:szCs w:val="24"/>
        </w:rPr>
      </w:pPr>
      <w:bookmarkStart w:id="96" w:name="_Toc102045204"/>
      <w:r w:rsidRPr="00987EA6">
        <w:rPr>
          <w:rFonts w:ascii="Times New Roman" w:hAnsi="Times New Roman"/>
          <w:sz w:val="24"/>
          <w:szCs w:val="24"/>
        </w:rPr>
        <w:t>Use in the Elderly</w:t>
      </w:r>
      <w:bookmarkEnd w:id="96"/>
    </w:p>
    <w:p w14:paraId="6D5F7C7D" w14:textId="77777777" w:rsidR="00561530" w:rsidRPr="00561530" w:rsidRDefault="00561530" w:rsidP="00561530">
      <w:pPr>
        <w:rPr>
          <w:rFonts w:ascii="Times New Roman" w:hAnsi="Times New Roman"/>
          <w:lang w:val="en-GB"/>
        </w:rPr>
      </w:pPr>
      <w:r w:rsidRPr="00561530">
        <w:rPr>
          <w:rFonts w:ascii="Times New Roman" w:hAnsi="Times New Roman"/>
          <w:lang w:val="en-GB"/>
        </w:rPr>
        <w:t>No starting dose adjustment is required for REBLOZYL.</w:t>
      </w:r>
    </w:p>
    <w:p w14:paraId="0337C97D" w14:textId="77777777" w:rsidR="00561530" w:rsidRPr="00987EA6" w:rsidRDefault="00561530" w:rsidP="00561530">
      <w:pPr>
        <w:pStyle w:val="Heading3"/>
        <w:rPr>
          <w:rFonts w:ascii="Times New Roman" w:hAnsi="Times New Roman"/>
          <w:sz w:val="24"/>
          <w:szCs w:val="24"/>
        </w:rPr>
      </w:pPr>
      <w:bookmarkStart w:id="97" w:name="_Toc102045205"/>
      <w:r w:rsidRPr="00987EA6">
        <w:rPr>
          <w:rFonts w:ascii="Times New Roman" w:hAnsi="Times New Roman"/>
          <w:sz w:val="24"/>
          <w:szCs w:val="24"/>
        </w:rPr>
        <w:t>Paediatric Use</w:t>
      </w:r>
      <w:bookmarkEnd w:id="97"/>
    </w:p>
    <w:p w14:paraId="0E39807A" w14:textId="77777777" w:rsidR="00561530" w:rsidRPr="00561530" w:rsidRDefault="00561530" w:rsidP="00561530">
      <w:pPr>
        <w:rPr>
          <w:rFonts w:ascii="Times New Roman" w:hAnsi="Times New Roman"/>
        </w:rPr>
      </w:pPr>
      <w:r w:rsidRPr="00561530">
        <w:rPr>
          <w:rFonts w:ascii="Times New Roman" w:hAnsi="Times New Roman"/>
        </w:rPr>
        <w:t xml:space="preserve">The safety and efficacy of REBLOZYL in paediatric or adolescent patients (under 18 years of age) has not been established.  </w:t>
      </w:r>
    </w:p>
    <w:p w14:paraId="4F028769" w14:textId="77777777" w:rsidR="00561530" w:rsidRPr="00987EA6" w:rsidRDefault="00561530" w:rsidP="00561530">
      <w:pPr>
        <w:pStyle w:val="Heading3"/>
        <w:rPr>
          <w:rFonts w:ascii="Times New Roman" w:hAnsi="Times New Roman"/>
          <w:b w:val="0"/>
          <w:sz w:val="24"/>
          <w:szCs w:val="24"/>
        </w:rPr>
      </w:pPr>
      <w:bookmarkStart w:id="98" w:name="_Toc102045206"/>
      <w:r w:rsidRPr="00987EA6">
        <w:rPr>
          <w:rFonts w:ascii="Times New Roman" w:hAnsi="Times New Roman"/>
          <w:sz w:val="24"/>
          <w:szCs w:val="24"/>
        </w:rPr>
        <w:t>Effects on Laboratory Tests</w:t>
      </w:r>
      <w:bookmarkEnd w:id="98"/>
    </w:p>
    <w:p w14:paraId="2F11B5BD" w14:textId="77777777" w:rsidR="00561530" w:rsidRPr="00561530" w:rsidRDefault="00561530" w:rsidP="00561530">
      <w:pPr>
        <w:rPr>
          <w:rFonts w:ascii="Times New Roman" w:hAnsi="Times New Roman"/>
        </w:rPr>
      </w:pPr>
      <w:r w:rsidRPr="00561530">
        <w:rPr>
          <w:rFonts w:ascii="Times New Roman" w:hAnsi="Times New Roman"/>
        </w:rPr>
        <w:t>See Section 4.2 (Dose and Method of Administration).</w:t>
      </w:r>
    </w:p>
    <w:p w14:paraId="5575F165" w14:textId="311E5CFD" w:rsidR="00561530" w:rsidRPr="00987EA6" w:rsidRDefault="00561530" w:rsidP="00561530">
      <w:pPr>
        <w:pStyle w:val="Heading2"/>
        <w:rPr>
          <w:rFonts w:ascii="Times New Roman" w:hAnsi="Times New Roman"/>
          <w:sz w:val="26"/>
        </w:rPr>
      </w:pPr>
      <w:bookmarkStart w:id="99" w:name="_Toc102045207"/>
      <w:r w:rsidRPr="00987EA6">
        <w:rPr>
          <w:rFonts w:ascii="Times New Roman" w:hAnsi="Times New Roman"/>
          <w:sz w:val="26"/>
        </w:rPr>
        <w:t>4.5</w:t>
      </w:r>
      <w:r w:rsidRPr="00987EA6">
        <w:rPr>
          <w:rFonts w:ascii="Times New Roman" w:hAnsi="Times New Roman"/>
          <w:sz w:val="26"/>
        </w:rPr>
        <w:tab/>
        <w:t>I</w:t>
      </w:r>
      <w:r w:rsidR="00987EA6" w:rsidRPr="00987EA6">
        <w:rPr>
          <w:rFonts w:ascii="Times New Roman" w:hAnsi="Times New Roman"/>
          <w:sz w:val="26"/>
        </w:rPr>
        <w:t>NTERACTIONS WITH OTHER MEDICINES AND OTHER FORMS OF INTERACTIONS</w:t>
      </w:r>
      <w:bookmarkEnd w:id="99"/>
    </w:p>
    <w:p w14:paraId="28BA9273" w14:textId="77777777" w:rsidR="00561530" w:rsidRPr="00561530" w:rsidRDefault="00561530" w:rsidP="00561530">
      <w:pPr>
        <w:rPr>
          <w:rFonts w:ascii="Times New Roman" w:hAnsi="Times New Roman"/>
        </w:rPr>
      </w:pPr>
      <w:r w:rsidRPr="00561530">
        <w:rPr>
          <w:rFonts w:ascii="Times New Roman" w:hAnsi="Times New Roman"/>
        </w:rPr>
        <w:t xml:space="preserve">No formal clinical interaction studies have been performed. Concurrent use of iron-chelating agents had no effect on </w:t>
      </w:r>
      <w:proofErr w:type="spellStart"/>
      <w:r w:rsidRPr="00561530">
        <w:rPr>
          <w:rFonts w:ascii="Times New Roman" w:hAnsi="Times New Roman"/>
        </w:rPr>
        <w:t>luspatercept</w:t>
      </w:r>
      <w:proofErr w:type="spellEnd"/>
      <w:r w:rsidRPr="00561530">
        <w:rPr>
          <w:rFonts w:ascii="Times New Roman" w:hAnsi="Times New Roman"/>
        </w:rPr>
        <w:t xml:space="preserve"> pharmacokinetics.</w:t>
      </w:r>
    </w:p>
    <w:p w14:paraId="189108B1" w14:textId="63ADD3DC" w:rsidR="00561530" w:rsidRPr="00987EA6" w:rsidRDefault="00561530" w:rsidP="00561530">
      <w:pPr>
        <w:pStyle w:val="Heading2"/>
        <w:rPr>
          <w:rFonts w:ascii="Times New Roman" w:hAnsi="Times New Roman"/>
          <w:sz w:val="26"/>
        </w:rPr>
      </w:pPr>
      <w:bookmarkStart w:id="100" w:name="_Toc102045208"/>
      <w:r w:rsidRPr="00987EA6">
        <w:rPr>
          <w:rFonts w:ascii="Times New Roman" w:hAnsi="Times New Roman"/>
          <w:sz w:val="26"/>
        </w:rPr>
        <w:t>4.6</w:t>
      </w:r>
      <w:r w:rsidRPr="00987EA6">
        <w:rPr>
          <w:rFonts w:ascii="Times New Roman" w:hAnsi="Times New Roman"/>
          <w:sz w:val="26"/>
        </w:rPr>
        <w:tab/>
        <w:t>F</w:t>
      </w:r>
      <w:r w:rsidR="00987EA6" w:rsidRPr="00987EA6">
        <w:rPr>
          <w:rFonts w:ascii="Times New Roman" w:hAnsi="Times New Roman"/>
          <w:sz w:val="26"/>
        </w:rPr>
        <w:t>ERTILITY, PREGNANCY AND LACTATION</w:t>
      </w:r>
      <w:bookmarkEnd w:id="100"/>
      <w:r w:rsidR="00987EA6" w:rsidRPr="00987EA6">
        <w:rPr>
          <w:rFonts w:ascii="Times New Roman" w:hAnsi="Times New Roman"/>
          <w:sz w:val="26"/>
        </w:rPr>
        <w:t xml:space="preserve"> </w:t>
      </w:r>
    </w:p>
    <w:p w14:paraId="0F0729A6" w14:textId="77777777" w:rsidR="00561530" w:rsidRPr="00987EA6" w:rsidRDefault="00561530" w:rsidP="00561530">
      <w:pPr>
        <w:pStyle w:val="Heading3"/>
        <w:rPr>
          <w:rFonts w:ascii="Times New Roman" w:hAnsi="Times New Roman"/>
          <w:sz w:val="24"/>
          <w:szCs w:val="24"/>
        </w:rPr>
      </w:pPr>
      <w:bookmarkStart w:id="101" w:name="_Toc102045209"/>
      <w:r w:rsidRPr="00987EA6">
        <w:rPr>
          <w:rFonts w:ascii="Times New Roman" w:hAnsi="Times New Roman"/>
          <w:sz w:val="24"/>
          <w:szCs w:val="24"/>
        </w:rPr>
        <w:t>Effects on Fertility</w:t>
      </w:r>
      <w:bookmarkEnd w:id="101"/>
    </w:p>
    <w:p w14:paraId="20D57363" w14:textId="77777777" w:rsidR="00561530" w:rsidRPr="00561530" w:rsidRDefault="00561530" w:rsidP="00561530">
      <w:pPr>
        <w:autoSpaceDE w:val="0"/>
        <w:autoSpaceDN w:val="0"/>
        <w:adjustRightInd w:val="0"/>
        <w:spacing w:after="0"/>
        <w:rPr>
          <w:rFonts w:ascii="Times New Roman" w:hAnsi="Times New Roman"/>
        </w:rPr>
      </w:pPr>
      <w:r w:rsidRPr="00561530">
        <w:rPr>
          <w:rFonts w:ascii="Times New Roman" w:hAnsi="Times New Roman"/>
        </w:rPr>
        <w:t xml:space="preserve">The effect of REBLOZYL on fertility in humans is unknown. </w:t>
      </w:r>
      <w:proofErr w:type="spellStart"/>
      <w:r w:rsidRPr="00561530">
        <w:rPr>
          <w:rFonts w:ascii="Times New Roman" w:hAnsi="Times New Roman"/>
        </w:rPr>
        <w:t>Luspatercept</w:t>
      </w:r>
      <w:proofErr w:type="spellEnd"/>
      <w:r w:rsidRPr="00561530">
        <w:rPr>
          <w:rFonts w:ascii="Times New Roman" w:hAnsi="Times New Roman"/>
        </w:rPr>
        <w:t xml:space="preserve"> inhibited ovulation in female rats, (evident as a reduction in the number of corpora lutea</w:t>
      </w:r>
      <w:proofErr w:type="gramStart"/>
      <w:r w:rsidRPr="00561530">
        <w:rPr>
          <w:rFonts w:ascii="Times New Roman" w:hAnsi="Times New Roman"/>
        </w:rPr>
        <w:t>), and</w:t>
      </w:r>
      <w:proofErr w:type="gramEnd"/>
      <w:r w:rsidRPr="00561530">
        <w:rPr>
          <w:rFonts w:ascii="Times New Roman" w:hAnsi="Times New Roman"/>
        </w:rPr>
        <w:t xml:space="preserve"> resulted in decreased numbers of implantations and viable embryos with subcutaneous administration at 15 mg/kg every two weeks (yielding 7 times the exposure in patients at the maximum recommended human dose of 1.75 mg/kg every 3 weeks, based on serum AUC). There was no effect on fertility in male rats up to the same dose level. Effects o</w:t>
      </w:r>
      <w:r w:rsidRPr="00561530">
        <w:rPr>
          <w:rFonts w:ascii="Times New Roman" w:hAnsi="Times New Roman"/>
          <w:szCs w:val="24"/>
        </w:rPr>
        <w:t>n fertility in female rats were reversible after a 14-week recovery period. Based on findings in animals, REBLOZYL may compromise female fertility.</w:t>
      </w:r>
    </w:p>
    <w:p w14:paraId="37B86BA4" w14:textId="77777777" w:rsidR="00561530" w:rsidRPr="00987EA6" w:rsidRDefault="00561530" w:rsidP="00561530">
      <w:pPr>
        <w:pStyle w:val="Heading3"/>
        <w:rPr>
          <w:rFonts w:ascii="Times New Roman" w:hAnsi="Times New Roman"/>
          <w:sz w:val="24"/>
          <w:szCs w:val="24"/>
        </w:rPr>
      </w:pPr>
      <w:bookmarkStart w:id="102" w:name="_Toc102045210"/>
      <w:r w:rsidRPr="00987EA6">
        <w:rPr>
          <w:rFonts w:ascii="Times New Roman" w:hAnsi="Times New Roman"/>
          <w:sz w:val="24"/>
          <w:szCs w:val="24"/>
        </w:rPr>
        <w:t>Use in Pregnancy – Pregnancy Category D</w:t>
      </w:r>
      <w:bookmarkEnd w:id="102"/>
    </w:p>
    <w:p w14:paraId="390641C7"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 xml:space="preserve">There are no data from the use of REBLOZYL in pregnant women. Embryofetal lethality was observed with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in animal studies. REBLOZYL is contraindicated in pregnancy. </w:t>
      </w:r>
    </w:p>
    <w:p w14:paraId="401648E8" w14:textId="77777777" w:rsidR="00561530" w:rsidRPr="00561530" w:rsidRDefault="00561530" w:rsidP="00561530">
      <w:pPr>
        <w:autoSpaceDE w:val="0"/>
        <w:autoSpaceDN w:val="0"/>
        <w:adjustRightInd w:val="0"/>
        <w:rPr>
          <w:rFonts w:ascii="Times New Roman" w:hAnsi="Times New Roman"/>
          <w:szCs w:val="24"/>
        </w:rPr>
      </w:pP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was shown to cross the placenta in rats and rabbits. In both rats and rabbits, administration of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during pregnancy caused increased resorptions and post-implantation loss, and decreased litter size. This was observed at a subcutaneous dose of 30 mg/kg/week in the rat (yielding 15 times the exposure in patients at the maximum recommended human dose, based on serum AUC) and at 40 mg/kg/week in the rabbit (relative exposure, 30).  There was also an increased incidence of skeletal variations and a reduction in mean </w:t>
      </w:r>
      <w:proofErr w:type="spellStart"/>
      <w:r w:rsidRPr="00561530">
        <w:rPr>
          <w:rFonts w:ascii="Times New Roman" w:hAnsi="Times New Roman"/>
          <w:szCs w:val="24"/>
        </w:rPr>
        <w:t>fetal</w:t>
      </w:r>
      <w:proofErr w:type="spellEnd"/>
      <w:r w:rsidRPr="00561530">
        <w:rPr>
          <w:rFonts w:ascii="Times New Roman" w:hAnsi="Times New Roman"/>
          <w:szCs w:val="24"/>
        </w:rPr>
        <w:t xml:space="preserve"> weight in both species (at ≥15 mg/kg/week in rats and at ≥20 mg/kg/week in rabbits; relative exposure, 8-14). Adverse effects on embryofetal development occurred in the absence of </w:t>
      </w:r>
      <w:proofErr w:type="spellStart"/>
      <w:r w:rsidRPr="00561530">
        <w:rPr>
          <w:rFonts w:ascii="Times New Roman" w:hAnsi="Times New Roman"/>
          <w:szCs w:val="24"/>
        </w:rPr>
        <w:t>maternotoxicity</w:t>
      </w:r>
      <w:proofErr w:type="spellEnd"/>
      <w:r w:rsidRPr="00561530">
        <w:rPr>
          <w:rFonts w:ascii="Times New Roman" w:hAnsi="Times New Roman"/>
          <w:szCs w:val="24"/>
        </w:rPr>
        <w:t xml:space="preserve"> in rats, and at </w:t>
      </w:r>
      <w:proofErr w:type="spellStart"/>
      <w:r w:rsidRPr="00561530">
        <w:rPr>
          <w:rFonts w:ascii="Times New Roman" w:hAnsi="Times New Roman"/>
          <w:szCs w:val="24"/>
        </w:rPr>
        <w:t>maternotoxic</w:t>
      </w:r>
      <w:proofErr w:type="spellEnd"/>
      <w:r w:rsidRPr="00561530">
        <w:rPr>
          <w:rFonts w:ascii="Times New Roman" w:hAnsi="Times New Roman"/>
          <w:szCs w:val="24"/>
        </w:rPr>
        <w:t xml:space="preserve"> doses in rabbits.</w:t>
      </w:r>
    </w:p>
    <w:p w14:paraId="31F7CF6A" w14:textId="77777777" w:rsidR="00561530" w:rsidRPr="00561530" w:rsidRDefault="00561530" w:rsidP="00561530">
      <w:pPr>
        <w:autoSpaceDE w:val="0"/>
        <w:autoSpaceDN w:val="0"/>
        <w:adjustRightInd w:val="0"/>
        <w:rPr>
          <w:rFonts w:ascii="Times New Roman" w:hAnsi="Times New Roman"/>
        </w:rPr>
      </w:pPr>
      <w:bookmarkStart w:id="103" w:name="_Hlk536778581"/>
      <w:r w:rsidRPr="00561530">
        <w:rPr>
          <w:rFonts w:ascii="Times New Roman" w:hAnsi="Times New Roman"/>
          <w:szCs w:val="24"/>
        </w:rPr>
        <w:t xml:space="preserve">Women of childbearing potential should be advised to avoid becoming pregnant while receiving treatment with REBLOZYL. </w:t>
      </w:r>
      <w:bookmarkStart w:id="104" w:name="_Hlk4427384"/>
      <w:r w:rsidRPr="00561530">
        <w:rPr>
          <w:rFonts w:ascii="Times New Roman" w:hAnsi="Times New Roman"/>
          <w:szCs w:val="24"/>
        </w:rPr>
        <w:t>Consider obtaining a pregnancy test in females of child-bearing potential prior to initiating treatment with REBLOZYL. A</w:t>
      </w:r>
      <w:bookmarkEnd w:id="104"/>
      <w:r w:rsidRPr="00561530">
        <w:rPr>
          <w:rFonts w:ascii="Times New Roman" w:hAnsi="Times New Roman"/>
          <w:szCs w:val="24"/>
        </w:rPr>
        <w:t xml:space="preserve">dvise females of reproductive potential to use effective contraception during treatment with REBLOZYL and for at least 3 months after the last dose. If REBLOZYL is used during pregnancy, or if the patient becomes pregnant while receiving REBLOZYL, the patient should be informed of the potential hazard to the </w:t>
      </w:r>
      <w:proofErr w:type="spellStart"/>
      <w:r w:rsidRPr="00561530">
        <w:rPr>
          <w:rFonts w:ascii="Times New Roman" w:hAnsi="Times New Roman"/>
          <w:szCs w:val="24"/>
        </w:rPr>
        <w:t>fetus</w:t>
      </w:r>
      <w:proofErr w:type="spellEnd"/>
      <w:r w:rsidRPr="00561530">
        <w:rPr>
          <w:rFonts w:ascii="Times New Roman" w:hAnsi="Times New Roman"/>
          <w:szCs w:val="24"/>
        </w:rPr>
        <w:t>.</w:t>
      </w:r>
      <w:bookmarkEnd w:id="103"/>
    </w:p>
    <w:p w14:paraId="0ADCD4E7" w14:textId="77777777" w:rsidR="00561530" w:rsidRPr="00987EA6" w:rsidRDefault="00561530" w:rsidP="00561530">
      <w:pPr>
        <w:pStyle w:val="Heading3"/>
        <w:rPr>
          <w:rFonts w:ascii="Times New Roman" w:hAnsi="Times New Roman"/>
          <w:b w:val="0"/>
          <w:sz w:val="24"/>
          <w:szCs w:val="20"/>
        </w:rPr>
      </w:pPr>
      <w:bookmarkStart w:id="105" w:name="_Toc102045211"/>
      <w:r w:rsidRPr="00987EA6">
        <w:rPr>
          <w:rFonts w:ascii="Times New Roman" w:hAnsi="Times New Roman"/>
          <w:sz w:val="24"/>
          <w:szCs w:val="20"/>
        </w:rPr>
        <w:t>Use in Lactation</w:t>
      </w:r>
      <w:bookmarkEnd w:id="105"/>
    </w:p>
    <w:p w14:paraId="54E048A8" w14:textId="77777777" w:rsidR="00561530" w:rsidRPr="00561530" w:rsidRDefault="00561530" w:rsidP="00561530">
      <w:pPr>
        <w:rPr>
          <w:rFonts w:ascii="Times New Roman" w:hAnsi="Times New Roman"/>
        </w:rPr>
      </w:pPr>
      <w:proofErr w:type="spellStart"/>
      <w:r w:rsidRPr="00561530">
        <w:rPr>
          <w:rFonts w:ascii="Times New Roman" w:hAnsi="Times New Roman"/>
        </w:rPr>
        <w:t>Luspatercept</w:t>
      </w:r>
      <w:proofErr w:type="spellEnd"/>
      <w:r w:rsidRPr="00561530">
        <w:rPr>
          <w:rFonts w:ascii="Times New Roman" w:hAnsi="Times New Roman"/>
        </w:rPr>
        <w:t xml:space="preserve"> was detected in the milk of lactating rats. Maternal administration of </w:t>
      </w:r>
      <w:proofErr w:type="spellStart"/>
      <w:r w:rsidRPr="00561530">
        <w:rPr>
          <w:rFonts w:ascii="Times New Roman" w:hAnsi="Times New Roman"/>
        </w:rPr>
        <w:t>luspatercept</w:t>
      </w:r>
      <w:proofErr w:type="spellEnd"/>
      <w:r w:rsidRPr="00561530">
        <w:rPr>
          <w:rFonts w:ascii="Times New Roman" w:hAnsi="Times New Roman"/>
        </w:rPr>
        <w:t xml:space="preserve"> during pregnancy and lactation in rats was associated with reduced postnatal body weight gain and adverse effects on the kidney in the offspring. The safe use of REBLOZYL during lactation has not been established.</w:t>
      </w:r>
    </w:p>
    <w:p w14:paraId="3B502B59" w14:textId="77777777" w:rsidR="00561530" w:rsidRPr="00561530" w:rsidRDefault="00561530" w:rsidP="00561530">
      <w:pPr>
        <w:rPr>
          <w:rFonts w:ascii="Times New Roman" w:hAnsi="Times New Roman"/>
        </w:rPr>
      </w:pPr>
      <w:r w:rsidRPr="00561530">
        <w:rPr>
          <w:rFonts w:ascii="Times New Roman" w:hAnsi="Times New Roman"/>
        </w:rPr>
        <w:t xml:space="preserve">It is not known whether </w:t>
      </w:r>
      <w:proofErr w:type="spellStart"/>
      <w:r w:rsidRPr="00561530">
        <w:rPr>
          <w:rFonts w:ascii="Times New Roman" w:hAnsi="Times New Roman"/>
        </w:rPr>
        <w:t>luspatercept</w:t>
      </w:r>
      <w:proofErr w:type="spellEnd"/>
      <w:r w:rsidRPr="00561530">
        <w:rPr>
          <w:rFonts w:ascii="Times New Roman" w:hAnsi="Times New Roman"/>
        </w:rPr>
        <w:t xml:space="preserve"> is excreted into human milk or absorbed systemically after ingestion by a nursing infant. As many drugs are excreted in human milk, and because of the unknown effects of </w:t>
      </w:r>
      <w:proofErr w:type="spellStart"/>
      <w:r w:rsidRPr="00561530">
        <w:rPr>
          <w:rFonts w:ascii="Times New Roman" w:hAnsi="Times New Roman"/>
        </w:rPr>
        <w:t>luspatercept</w:t>
      </w:r>
      <w:proofErr w:type="spellEnd"/>
      <w:r w:rsidRPr="00561530">
        <w:rPr>
          <w:rFonts w:ascii="Times New Roman" w:hAnsi="Times New Roman"/>
        </w:rPr>
        <w:t xml:space="preserve"> in infants, </w:t>
      </w:r>
      <w:proofErr w:type="gramStart"/>
      <w:r w:rsidRPr="00561530">
        <w:rPr>
          <w:rFonts w:ascii="Times New Roman" w:hAnsi="Times New Roman"/>
        </w:rPr>
        <w:t>taking into account</w:t>
      </w:r>
      <w:proofErr w:type="gramEnd"/>
      <w:r w:rsidRPr="00561530">
        <w:rPr>
          <w:rFonts w:ascii="Times New Roman" w:hAnsi="Times New Roman"/>
        </w:rPr>
        <w:t xml:space="preserve"> the importance of the drug to the mother, a decision should be made whether to discontinue nursing during treatment with REBLOZYL and for 3 months after the final dose or to discontinue REBLOZYL treatment.</w:t>
      </w:r>
    </w:p>
    <w:p w14:paraId="0D9BD8C4" w14:textId="4D97D84D" w:rsidR="00561530" w:rsidRPr="00987EA6" w:rsidRDefault="00561530" w:rsidP="00561530">
      <w:pPr>
        <w:pStyle w:val="Heading2"/>
        <w:rPr>
          <w:rFonts w:ascii="Times New Roman" w:hAnsi="Times New Roman"/>
          <w:sz w:val="26"/>
        </w:rPr>
      </w:pPr>
      <w:bookmarkStart w:id="106" w:name="_Toc102045212"/>
      <w:r w:rsidRPr="00987EA6">
        <w:rPr>
          <w:rFonts w:ascii="Times New Roman" w:hAnsi="Times New Roman"/>
          <w:sz w:val="26"/>
        </w:rPr>
        <w:t>4.7</w:t>
      </w:r>
      <w:r w:rsidRPr="00987EA6">
        <w:rPr>
          <w:rFonts w:ascii="Times New Roman" w:hAnsi="Times New Roman"/>
          <w:sz w:val="26"/>
        </w:rPr>
        <w:tab/>
        <w:t>E</w:t>
      </w:r>
      <w:r w:rsidR="00987EA6" w:rsidRPr="00987EA6">
        <w:rPr>
          <w:rFonts w:ascii="Times New Roman" w:hAnsi="Times New Roman"/>
          <w:sz w:val="26"/>
        </w:rPr>
        <w:t>FFECTS ON ABILITY TO DRIVE AND USE MACHINES</w:t>
      </w:r>
      <w:bookmarkEnd w:id="106"/>
      <w:r w:rsidR="00987EA6" w:rsidRPr="00987EA6">
        <w:rPr>
          <w:rFonts w:ascii="Times New Roman" w:hAnsi="Times New Roman"/>
          <w:sz w:val="26"/>
        </w:rPr>
        <w:t xml:space="preserve"> </w:t>
      </w:r>
    </w:p>
    <w:p w14:paraId="2ED78C1B" w14:textId="77777777" w:rsidR="00561530" w:rsidRPr="00561530" w:rsidRDefault="00561530" w:rsidP="00561530">
      <w:pPr>
        <w:rPr>
          <w:rFonts w:ascii="Times New Roman" w:hAnsi="Times New Roman"/>
        </w:rPr>
      </w:pPr>
      <w:r w:rsidRPr="00561530">
        <w:rPr>
          <w:rFonts w:ascii="Times New Roman" w:hAnsi="Times New Roman"/>
        </w:rPr>
        <w:t xml:space="preserve">REBLOZYL may have a minor influence on the ability to drive and use machines due to risks of fatigue, </w:t>
      </w:r>
      <w:proofErr w:type="gramStart"/>
      <w:r w:rsidRPr="00561530">
        <w:rPr>
          <w:rFonts w:ascii="Times New Roman" w:hAnsi="Times New Roman"/>
        </w:rPr>
        <w:t>dizziness</w:t>
      </w:r>
      <w:proofErr w:type="gramEnd"/>
      <w:r w:rsidRPr="00561530">
        <w:rPr>
          <w:rFonts w:ascii="Times New Roman" w:hAnsi="Times New Roman"/>
        </w:rPr>
        <w:t xml:space="preserve"> or syncope; the ability to react may be impaired. Therefore, patients should be advised to exercise caution until they know of any impact on their ability to perform such tasks.</w:t>
      </w:r>
    </w:p>
    <w:p w14:paraId="1E26A46E" w14:textId="43D8B4C3" w:rsidR="00561530" w:rsidRPr="00987EA6" w:rsidRDefault="00561530" w:rsidP="00561530">
      <w:pPr>
        <w:pStyle w:val="Heading2"/>
        <w:rPr>
          <w:rFonts w:ascii="Times New Roman" w:hAnsi="Times New Roman"/>
          <w:sz w:val="26"/>
        </w:rPr>
      </w:pPr>
      <w:bookmarkStart w:id="107" w:name="_Toc102045213"/>
      <w:r w:rsidRPr="00987EA6">
        <w:rPr>
          <w:rFonts w:ascii="Times New Roman" w:hAnsi="Times New Roman"/>
          <w:sz w:val="26"/>
        </w:rPr>
        <w:t>4.8</w:t>
      </w:r>
      <w:r w:rsidRPr="00987EA6">
        <w:rPr>
          <w:rFonts w:ascii="Times New Roman" w:hAnsi="Times New Roman"/>
          <w:sz w:val="26"/>
        </w:rPr>
        <w:tab/>
        <w:t>A</w:t>
      </w:r>
      <w:r w:rsidR="00987EA6" w:rsidRPr="00987EA6">
        <w:rPr>
          <w:rFonts w:ascii="Times New Roman" w:hAnsi="Times New Roman"/>
          <w:sz w:val="26"/>
        </w:rPr>
        <w:t>DVERSE EFFECTS (UNDESIRABLE EFFECTS)</w:t>
      </w:r>
      <w:bookmarkEnd w:id="107"/>
    </w:p>
    <w:p w14:paraId="4B7EC16A" w14:textId="77777777" w:rsidR="00561530" w:rsidRPr="00987EA6" w:rsidRDefault="00561530" w:rsidP="00561530">
      <w:pPr>
        <w:pStyle w:val="Heading3"/>
        <w:rPr>
          <w:rFonts w:ascii="Times New Roman" w:hAnsi="Times New Roman"/>
          <w:b w:val="0"/>
          <w:sz w:val="24"/>
          <w:szCs w:val="20"/>
        </w:rPr>
      </w:pPr>
      <w:bookmarkStart w:id="108" w:name="_Toc102045214"/>
      <w:r w:rsidRPr="00987EA6">
        <w:rPr>
          <w:rFonts w:ascii="Times New Roman" w:hAnsi="Times New Roman"/>
          <w:sz w:val="24"/>
          <w:szCs w:val="20"/>
        </w:rPr>
        <w:t>Summary of the Safety Profile</w:t>
      </w:r>
      <w:bookmarkEnd w:id="108"/>
    </w:p>
    <w:p w14:paraId="58CED4DA" w14:textId="77777777" w:rsidR="00561530" w:rsidRPr="00561530" w:rsidRDefault="00561530" w:rsidP="00561530">
      <w:pPr>
        <w:rPr>
          <w:rFonts w:ascii="Times New Roman" w:hAnsi="Times New Roman"/>
        </w:rPr>
      </w:pPr>
      <w:r w:rsidRPr="00561530">
        <w:rPr>
          <w:rFonts w:ascii="Times New Roman" w:hAnsi="Times New Roman"/>
        </w:rPr>
        <w:t>The safety evaluation of REBLOZYL is based on the double-blind, randomised, placebo-controlled Phase 3 studies MEDALIST (ACE-536-MDS-001) in MDS patients (with 153 patients treated with REBLOZYL and 76 patients receiving placebo) and BELIEVE (ACE-536-B-THAL-001) in β-thalassaemia patients (with 223 patients treated with REBLOZYL and 109 patients receiving placebo).</w:t>
      </w:r>
    </w:p>
    <w:p w14:paraId="11C884C4" w14:textId="77777777" w:rsidR="00561530" w:rsidRPr="00561530" w:rsidRDefault="00561530" w:rsidP="00561530">
      <w:pPr>
        <w:rPr>
          <w:rFonts w:ascii="Times New Roman" w:hAnsi="Times New Roman"/>
        </w:rPr>
      </w:pPr>
      <w:r w:rsidRPr="00561530">
        <w:rPr>
          <w:rFonts w:ascii="Times New Roman" w:hAnsi="Times New Roman"/>
        </w:rPr>
        <w:t xml:space="preserve">At the time of analysis, the median duration of REBLOZYL treatment in MDS patients was approximately twice that in the placebo arm (49.0 weeks versus 24.0 weeks, respectively) and 46% of patients remained on REBLOZYL. The median duration of treatment and median number of doses received in β-thalassaemia patients between the </w:t>
      </w:r>
      <w:proofErr w:type="spellStart"/>
      <w:r w:rsidRPr="00561530">
        <w:rPr>
          <w:rFonts w:ascii="Times New Roman" w:hAnsi="Times New Roman"/>
        </w:rPr>
        <w:t>luspatercept</w:t>
      </w:r>
      <w:proofErr w:type="spellEnd"/>
      <w:r w:rsidRPr="00561530">
        <w:rPr>
          <w:rFonts w:ascii="Times New Roman" w:hAnsi="Times New Roman"/>
        </w:rPr>
        <w:t xml:space="preserve"> arm and placebo arm was similar (63.3 weeks versus 62.1 weeks).</w:t>
      </w:r>
    </w:p>
    <w:p w14:paraId="549A1750" w14:textId="77777777" w:rsidR="00561530" w:rsidRPr="00561530" w:rsidRDefault="00561530" w:rsidP="00561530">
      <w:pPr>
        <w:rPr>
          <w:rFonts w:ascii="Times New Roman" w:hAnsi="Times New Roman"/>
        </w:rPr>
      </w:pPr>
      <w:r w:rsidRPr="00561530">
        <w:rPr>
          <w:rFonts w:ascii="Times New Roman" w:hAnsi="Times New Roman"/>
        </w:rPr>
        <w:t xml:space="preserve">In the MEDALIST study, 6.5% of patients treated with REBLOZYL and 5.3% of patients treated with placebo discontinued treatment due to an adverse event. The adverse reactions leading to study drug discontinuation in the REBLOZYL treatment group for MDS patients were fatigue (1%) and headache (1%). Asthenia, fatigue, </w:t>
      </w:r>
      <w:proofErr w:type="gramStart"/>
      <w:r w:rsidRPr="00561530">
        <w:rPr>
          <w:rFonts w:ascii="Times New Roman" w:hAnsi="Times New Roman"/>
        </w:rPr>
        <w:t>dizziness</w:t>
      </w:r>
      <w:proofErr w:type="gramEnd"/>
      <w:r w:rsidRPr="00561530">
        <w:rPr>
          <w:rFonts w:ascii="Times New Roman" w:hAnsi="Times New Roman"/>
        </w:rPr>
        <w:t xml:space="preserve"> and headache occurred more frequently during the first 3 months of treatment. Other adverse reactions reported in less than 5% of patients with MDS on REBLOZYL included injection site reactions and hypersensitivity.</w:t>
      </w:r>
    </w:p>
    <w:p w14:paraId="367D362C" w14:textId="77777777" w:rsidR="00561530" w:rsidRPr="00561530" w:rsidRDefault="00561530" w:rsidP="00561530">
      <w:pPr>
        <w:rPr>
          <w:rFonts w:ascii="Times New Roman" w:hAnsi="Times New Roman"/>
        </w:rPr>
      </w:pPr>
      <w:r w:rsidRPr="00561530">
        <w:rPr>
          <w:rFonts w:ascii="Times New Roman" w:hAnsi="Times New Roman"/>
        </w:rPr>
        <w:t xml:space="preserve">In the BELIEVE study, 5.4% of patients treated with REBLOZYL and 0.9% of patients treated with placebo discontinued treatment due to an adverse event. The adverse reactions leading to study drug discontinuation in the REBLOZYL treatment group for β-thalassemia patients were arthralgia (1%), back pain (1%), bone pain (less than 1 %), and headache (less than 1%). Bone pain, asthenia, fatigue, </w:t>
      </w:r>
      <w:proofErr w:type="gramStart"/>
      <w:r w:rsidRPr="00561530">
        <w:rPr>
          <w:rFonts w:ascii="Times New Roman" w:hAnsi="Times New Roman"/>
        </w:rPr>
        <w:t>dizziness</w:t>
      </w:r>
      <w:proofErr w:type="gramEnd"/>
      <w:r w:rsidRPr="00561530">
        <w:rPr>
          <w:rFonts w:ascii="Times New Roman" w:hAnsi="Times New Roman"/>
        </w:rPr>
        <w:t xml:space="preserve"> and headache occurred more frequently during the first 3 months of treatment. Other adverse reactions reported in less than 5% of patients with β-thalassemia on REBLOZYL included vertigo/vertigo positional, syncope/presyncope, injection site reactions and hypersensitivity.</w:t>
      </w:r>
    </w:p>
    <w:p w14:paraId="7C941537" w14:textId="77777777" w:rsidR="00561530" w:rsidRPr="00561530" w:rsidRDefault="00561530" w:rsidP="00561530">
      <w:pPr>
        <w:rPr>
          <w:rFonts w:ascii="Times New Roman" w:hAnsi="Times New Roman"/>
        </w:rPr>
      </w:pPr>
      <w:r w:rsidRPr="00561530">
        <w:rPr>
          <w:rFonts w:ascii="Times New Roman" w:hAnsi="Times New Roman"/>
          <w:b/>
        </w:rPr>
        <w:t>Myelodysplastic Syndromes (MDS)</w:t>
      </w:r>
    </w:p>
    <w:p w14:paraId="57FEDA03" w14:textId="77777777" w:rsidR="00561530" w:rsidRPr="00561530" w:rsidRDefault="00561530" w:rsidP="00561530">
      <w:pPr>
        <w:rPr>
          <w:rFonts w:ascii="Times New Roman" w:hAnsi="Times New Roman"/>
          <w:u w:val="single"/>
        </w:rPr>
      </w:pPr>
      <w:r w:rsidRPr="00561530">
        <w:rPr>
          <w:rFonts w:ascii="Times New Roman" w:hAnsi="Times New Roman"/>
          <w:u w:val="single"/>
        </w:rPr>
        <w:t>Tabulated Summary of Adverse Events</w:t>
      </w:r>
    </w:p>
    <w:p w14:paraId="66FE88D1" w14:textId="77777777" w:rsidR="00561530" w:rsidRPr="00561530" w:rsidRDefault="00561530" w:rsidP="00561530">
      <w:pPr>
        <w:rPr>
          <w:rFonts w:ascii="Times New Roman" w:hAnsi="Times New Roman"/>
        </w:rPr>
      </w:pPr>
      <w:r w:rsidRPr="00561530">
        <w:rPr>
          <w:rFonts w:ascii="Times New Roman" w:hAnsi="Times New Roman"/>
        </w:rPr>
        <w:t xml:space="preserve">A list of the treatment-emergent adverse events (TEAEs) that occurred at a frequency ≥ 10% in any arm are provided in </w:t>
      </w:r>
      <w:r w:rsidRPr="00561530">
        <w:rPr>
          <w:rFonts w:ascii="Times New Roman" w:hAnsi="Times New Roman"/>
          <w:b/>
          <w:bCs/>
        </w:rPr>
        <w:t xml:space="preserve">Table 3 </w:t>
      </w:r>
      <w:r w:rsidRPr="00561530">
        <w:rPr>
          <w:rFonts w:ascii="Times New Roman" w:hAnsi="Times New Roman"/>
        </w:rPr>
        <w:t>below.</w:t>
      </w:r>
    </w:p>
    <w:p w14:paraId="4DD3B110" w14:textId="77777777" w:rsidR="00561530" w:rsidRPr="00561530" w:rsidRDefault="00561530" w:rsidP="00561530">
      <w:pPr>
        <w:rPr>
          <w:rFonts w:ascii="Times New Roman" w:hAnsi="Times New Roman"/>
        </w:rPr>
      </w:pPr>
      <w:r w:rsidRPr="00561530">
        <w:rPr>
          <w:rFonts w:ascii="Times New Roman" w:hAnsi="Times New Roman"/>
          <w:b/>
        </w:rPr>
        <w:t>Table 3: Most Frequently Reported TEAEs in ACE-536-MDS-001 (≥ 10%)</w:t>
      </w:r>
    </w:p>
    <w:tbl>
      <w:tblPr>
        <w:tblStyle w:val="TableGrid"/>
        <w:tblW w:w="0" w:type="auto"/>
        <w:tblLook w:val="04A0" w:firstRow="1" w:lastRow="0" w:firstColumn="1" w:lastColumn="0" w:noHBand="0" w:noVBand="1"/>
      </w:tblPr>
      <w:tblGrid>
        <w:gridCol w:w="4611"/>
        <w:gridCol w:w="1955"/>
        <w:gridCol w:w="1928"/>
      </w:tblGrid>
      <w:tr w:rsidR="00561530" w:rsidRPr="00561530" w14:paraId="71D5E56A" w14:textId="77777777" w:rsidTr="00561530">
        <w:tc>
          <w:tcPr>
            <w:tcW w:w="5213" w:type="dxa"/>
          </w:tcPr>
          <w:p w14:paraId="4D3C854F" w14:textId="77777777" w:rsidR="00561530" w:rsidRPr="00561530" w:rsidRDefault="00561530" w:rsidP="00561530">
            <w:pPr>
              <w:rPr>
                <w:rFonts w:ascii="Times New Roman" w:hAnsi="Times New Roman"/>
              </w:rPr>
            </w:pPr>
            <w:r w:rsidRPr="00561530">
              <w:rPr>
                <w:rFonts w:ascii="Times New Roman" w:hAnsi="Times New Roman"/>
                <w:b/>
              </w:rPr>
              <w:t>Adverse Events</w:t>
            </w:r>
          </w:p>
        </w:tc>
        <w:tc>
          <w:tcPr>
            <w:tcW w:w="2059" w:type="dxa"/>
          </w:tcPr>
          <w:p w14:paraId="25D30104"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 occurrence in REBLOZYL arm</w:t>
            </w:r>
          </w:p>
          <w:p w14:paraId="2ADABDB6" w14:textId="77777777" w:rsidR="00561530" w:rsidRPr="00561530" w:rsidRDefault="00561530" w:rsidP="00561530">
            <w:pPr>
              <w:jc w:val="center"/>
              <w:rPr>
                <w:rFonts w:ascii="Times New Roman" w:hAnsi="Times New Roman"/>
              </w:rPr>
            </w:pPr>
            <w:r w:rsidRPr="00561530">
              <w:rPr>
                <w:rFonts w:ascii="Times New Roman" w:hAnsi="Times New Roman"/>
                <w:b/>
              </w:rPr>
              <w:t>(N = 153)</w:t>
            </w:r>
          </w:p>
        </w:tc>
        <w:tc>
          <w:tcPr>
            <w:tcW w:w="2059" w:type="dxa"/>
          </w:tcPr>
          <w:p w14:paraId="24ACBEFE"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 occurrence in</w:t>
            </w:r>
          </w:p>
          <w:p w14:paraId="1227E1E1"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Placebo arm</w:t>
            </w:r>
          </w:p>
          <w:p w14:paraId="1F1132C8" w14:textId="77777777" w:rsidR="00561530" w:rsidRPr="00561530" w:rsidRDefault="00561530" w:rsidP="00561530">
            <w:pPr>
              <w:jc w:val="center"/>
              <w:rPr>
                <w:rFonts w:ascii="Times New Roman" w:hAnsi="Times New Roman"/>
              </w:rPr>
            </w:pPr>
            <w:r w:rsidRPr="00561530">
              <w:rPr>
                <w:rFonts w:ascii="Times New Roman" w:hAnsi="Times New Roman"/>
                <w:b/>
              </w:rPr>
              <w:t>(N = 76)</w:t>
            </w:r>
          </w:p>
        </w:tc>
      </w:tr>
      <w:tr w:rsidR="00561530" w:rsidRPr="00561530" w14:paraId="634B296A" w14:textId="77777777" w:rsidTr="00561530">
        <w:tc>
          <w:tcPr>
            <w:tcW w:w="9331" w:type="dxa"/>
            <w:gridSpan w:val="3"/>
            <w:shd w:val="clear" w:color="auto" w:fill="D9D9D9" w:themeFill="background1" w:themeFillShade="D9"/>
          </w:tcPr>
          <w:p w14:paraId="35CF0DA4" w14:textId="77777777" w:rsidR="00561530" w:rsidRPr="00561530" w:rsidRDefault="00561530" w:rsidP="00561530">
            <w:pPr>
              <w:rPr>
                <w:rFonts w:ascii="Times New Roman" w:hAnsi="Times New Roman"/>
              </w:rPr>
            </w:pPr>
            <w:r w:rsidRPr="00561530">
              <w:rPr>
                <w:rFonts w:ascii="Times New Roman" w:hAnsi="Times New Roman"/>
                <w:b/>
              </w:rPr>
              <w:t>Infections and Infestations</w:t>
            </w:r>
          </w:p>
        </w:tc>
      </w:tr>
      <w:tr w:rsidR="00561530" w:rsidRPr="00561530" w14:paraId="01255FD1" w14:textId="77777777" w:rsidTr="00561530">
        <w:tc>
          <w:tcPr>
            <w:tcW w:w="5213" w:type="dxa"/>
          </w:tcPr>
          <w:p w14:paraId="5580A35E" w14:textId="77777777" w:rsidR="00561530" w:rsidRPr="00561530" w:rsidRDefault="00561530" w:rsidP="00561530">
            <w:pPr>
              <w:rPr>
                <w:rFonts w:ascii="Times New Roman" w:hAnsi="Times New Roman"/>
              </w:rPr>
            </w:pPr>
            <w:r w:rsidRPr="00561530">
              <w:rPr>
                <w:rFonts w:ascii="Times New Roman" w:hAnsi="Times New Roman"/>
              </w:rPr>
              <w:t>Bronchitis</w:t>
            </w:r>
          </w:p>
        </w:tc>
        <w:tc>
          <w:tcPr>
            <w:tcW w:w="2059" w:type="dxa"/>
          </w:tcPr>
          <w:p w14:paraId="43084183" w14:textId="77777777" w:rsidR="00561530" w:rsidRPr="00561530" w:rsidRDefault="00561530" w:rsidP="00561530">
            <w:pPr>
              <w:jc w:val="center"/>
              <w:rPr>
                <w:rFonts w:ascii="Times New Roman" w:hAnsi="Times New Roman"/>
              </w:rPr>
            </w:pPr>
            <w:r w:rsidRPr="00561530">
              <w:rPr>
                <w:rFonts w:ascii="Times New Roman" w:hAnsi="Times New Roman"/>
              </w:rPr>
              <w:t>11</w:t>
            </w:r>
          </w:p>
        </w:tc>
        <w:tc>
          <w:tcPr>
            <w:tcW w:w="2059" w:type="dxa"/>
          </w:tcPr>
          <w:p w14:paraId="2EC61BCD" w14:textId="77777777" w:rsidR="00561530" w:rsidRPr="00561530" w:rsidRDefault="00561530" w:rsidP="00561530">
            <w:pPr>
              <w:jc w:val="center"/>
              <w:rPr>
                <w:rFonts w:ascii="Times New Roman" w:hAnsi="Times New Roman"/>
              </w:rPr>
            </w:pPr>
            <w:r w:rsidRPr="00561530">
              <w:rPr>
                <w:rFonts w:ascii="Times New Roman" w:hAnsi="Times New Roman"/>
              </w:rPr>
              <w:t>1</w:t>
            </w:r>
          </w:p>
        </w:tc>
      </w:tr>
      <w:tr w:rsidR="00561530" w:rsidRPr="00561530" w14:paraId="692859BD" w14:textId="77777777" w:rsidTr="00561530">
        <w:tc>
          <w:tcPr>
            <w:tcW w:w="5213" w:type="dxa"/>
          </w:tcPr>
          <w:p w14:paraId="11D98E53" w14:textId="77777777" w:rsidR="00561530" w:rsidRPr="00561530" w:rsidRDefault="00561530" w:rsidP="00561530">
            <w:pPr>
              <w:rPr>
                <w:rFonts w:ascii="Times New Roman" w:hAnsi="Times New Roman"/>
              </w:rPr>
            </w:pPr>
            <w:r w:rsidRPr="00561530">
              <w:rPr>
                <w:rFonts w:ascii="Times New Roman" w:hAnsi="Times New Roman"/>
              </w:rPr>
              <w:t>Urinary tract infection</w:t>
            </w:r>
          </w:p>
        </w:tc>
        <w:tc>
          <w:tcPr>
            <w:tcW w:w="2059" w:type="dxa"/>
          </w:tcPr>
          <w:p w14:paraId="6235BEDF" w14:textId="77777777" w:rsidR="00561530" w:rsidRPr="00561530" w:rsidRDefault="00561530" w:rsidP="00561530">
            <w:pPr>
              <w:jc w:val="center"/>
              <w:rPr>
                <w:rFonts w:ascii="Times New Roman" w:hAnsi="Times New Roman"/>
              </w:rPr>
            </w:pPr>
            <w:r w:rsidRPr="00561530">
              <w:rPr>
                <w:rFonts w:ascii="Times New Roman" w:hAnsi="Times New Roman"/>
              </w:rPr>
              <w:t>11</w:t>
            </w:r>
          </w:p>
        </w:tc>
        <w:tc>
          <w:tcPr>
            <w:tcW w:w="2059" w:type="dxa"/>
          </w:tcPr>
          <w:p w14:paraId="42E8699C" w14:textId="77777777" w:rsidR="00561530" w:rsidRPr="00561530" w:rsidRDefault="00561530" w:rsidP="00561530">
            <w:pPr>
              <w:jc w:val="center"/>
              <w:rPr>
                <w:rFonts w:ascii="Times New Roman" w:hAnsi="Times New Roman"/>
              </w:rPr>
            </w:pPr>
            <w:r w:rsidRPr="00561530">
              <w:rPr>
                <w:rFonts w:ascii="Times New Roman" w:hAnsi="Times New Roman"/>
              </w:rPr>
              <w:t>5</w:t>
            </w:r>
          </w:p>
        </w:tc>
      </w:tr>
      <w:tr w:rsidR="00561530" w:rsidRPr="00561530" w14:paraId="3437363C" w14:textId="77777777" w:rsidTr="00561530">
        <w:tc>
          <w:tcPr>
            <w:tcW w:w="5213" w:type="dxa"/>
          </w:tcPr>
          <w:p w14:paraId="4C07A038" w14:textId="77777777" w:rsidR="00561530" w:rsidRPr="00561530" w:rsidRDefault="00561530" w:rsidP="00561530">
            <w:pPr>
              <w:rPr>
                <w:rFonts w:ascii="Times New Roman" w:hAnsi="Times New Roman"/>
              </w:rPr>
            </w:pPr>
            <w:r w:rsidRPr="00561530">
              <w:rPr>
                <w:rFonts w:ascii="Times New Roman" w:hAnsi="Times New Roman"/>
              </w:rPr>
              <w:t>Upper respiratory tract infection</w:t>
            </w:r>
          </w:p>
        </w:tc>
        <w:tc>
          <w:tcPr>
            <w:tcW w:w="2059" w:type="dxa"/>
          </w:tcPr>
          <w:p w14:paraId="5B9A6826" w14:textId="77777777" w:rsidR="00561530" w:rsidRPr="00561530" w:rsidRDefault="00561530" w:rsidP="00561530">
            <w:pPr>
              <w:jc w:val="center"/>
              <w:rPr>
                <w:rFonts w:ascii="Times New Roman" w:hAnsi="Times New Roman"/>
              </w:rPr>
            </w:pPr>
            <w:r w:rsidRPr="00561530">
              <w:rPr>
                <w:rFonts w:ascii="Times New Roman" w:hAnsi="Times New Roman"/>
              </w:rPr>
              <w:t>10</w:t>
            </w:r>
          </w:p>
        </w:tc>
        <w:tc>
          <w:tcPr>
            <w:tcW w:w="2059" w:type="dxa"/>
          </w:tcPr>
          <w:p w14:paraId="4D9A518C" w14:textId="77777777" w:rsidR="00561530" w:rsidRPr="00561530" w:rsidRDefault="00561530" w:rsidP="00561530">
            <w:pPr>
              <w:jc w:val="center"/>
              <w:rPr>
                <w:rFonts w:ascii="Times New Roman" w:hAnsi="Times New Roman"/>
              </w:rPr>
            </w:pPr>
            <w:r w:rsidRPr="00561530">
              <w:rPr>
                <w:rFonts w:ascii="Times New Roman" w:hAnsi="Times New Roman"/>
              </w:rPr>
              <w:t>4</w:t>
            </w:r>
          </w:p>
        </w:tc>
      </w:tr>
      <w:tr w:rsidR="00561530" w:rsidRPr="00561530" w14:paraId="3C300025" w14:textId="77777777" w:rsidTr="00561530">
        <w:tc>
          <w:tcPr>
            <w:tcW w:w="9331" w:type="dxa"/>
            <w:gridSpan w:val="3"/>
            <w:shd w:val="clear" w:color="auto" w:fill="D9D9D9" w:themeFill="background1" w:themeFillShade="D9"/>
          </w:tcPr>
          <w:p w14:paraId="4528757C" w14:textId="77777777" w:rsidR="00561530" w:rsidRPr="00561530" w:rsidRDefault="00561530" w:rsidP="00561530">
            <w:pPr>
              <w:rPr>
                <w:rFonts w:ascii="Times New Roman" w:hAnsi="Times New Roman"/>
              </w:rPr>
            </w:pPr>
            <w:r w:rsidRPr="00561530">
              <w:rPr>
                <w:rFonts w:ascii="Times New Roman" w:hAnsi="Times New Roman"/>
                <w:b/>
              </w:rPr>
              <w:t>Nervous System Disorders</w:t>
            </w:r>
          </w:p>
        </w:tc>
      </w:tr>
      <w:tr w:rsidR="00561530" w:rsidRPr="00561530" w14:paraId="61320B18" w14:textId="77777777" w:rsidTr="00561530">
        <w:tc>
          <w:tcPr>
            <w:tcW w:w="5213" w:type="dxa"/>
          </w:tcPr>
          <w:p w14:paraId="18826D13" w14:textId="77777777" w:rsidR="00561530" w:rsidRPr="00561530" w:rsidRDefault="00561530" w:rsidP="00561530">
            <w:pPr>
              <w:rPr>
                <w:rFonts w:ascii="Times New Roman" w:hAnsi="Times New Roman"/>
              </w:rPr>
            </w:pPr>
            <w:r w:rsidRPr="00561530">
              <w:rPr>
                <w:rFonts w:ascii="Times New Roman" w:hAnsi="Times New Roman"/>
              </w:rPr>
              <w:t>Dizziness</w:t>
            </w:r>
          </w:p>
        </w:tc>
        <w:tc>
          <w:tcPr>
            <w:tcW w:w="2059" w:type="dxa"/>
          </w:tcPr>
          <w:p w14:paraId="5E9F3F60" w14:textId="77777777" w:rsidR="00561530" w:rsidRPr="00561530" w:rsidRDefault="00561530" w:rsidP="00561530">
            <w:pPr>
              <w:jc w:val="center"/>
              <w:rPr>
                <w:rFonts w:ascii="Times New Roman" w:hAnsi="Times New Roman"/>
              </w:rPr>
            </w:pPr>
            <w:r w:rsidRPr="00561530">
              <w:rPr>
                <w:rFonts w:ascii="Times New Roman" w:hAnsi="Times New Roman"/>
              </w:rPr>
              <w:t>20</w:t>
            </w:r>
          </w:p>
        </w:tc>
        <w:tc>
          <w:tcPr>
            <w:tcW w:w="2059" w:type="dxa"/>
          </w:tcPr>
          <w:p w14:paraId="1E4F3F09" w14:textId="77777777" w:rsidR="00561530" w:rsidRPr="00561530" w:rsidRDefault="00561530" w:rsidP="00561530">
            <w:pPr>
              <w:jc w:val="center"/>
              <w:rPr>
                <w:rFonts w:ascii="Times New Roman" w:hAnsi="Times New Roman"/>
              </w:rPr>
            </w:pPr>
            <w:r w:rsidRPr="00561530">
              <w:rPr>
                <w:rFonts w:ascii="Times New Roman" w:hAnsi="Times New Roman"/>
              </w:rPr>
              <w:t>5</w:t>
            </w:r>
          </w:p>
        </w:tc>
      </w:tr>
      <w:tr w:rsidR="00561530" w:rsidRPr="00561530" w14:paraId="4441F451" w14:textId="77777777" w:rsidTr="00561530">
        <w:tc>
          <w:tcPr>
            <w:tcW w:w="5213" w:type="dxa"/>
          </w:tcPr>
          <w:p w14:paraId="57E074DA" w14:textId="77777777" w:rsidR="00561530" w:rsidRPr="00561530" w:rsidRDefault="00561530" w:rsidP="00561530">
            <w:pPr>
              <w:rPr>
                <w:rFonts w:ascii="Times New Roman" w:hAnsi="Times New Roman"/>
              </w:rPr>
            </w:pPr>
            <w:r w:rsidRPr="00561530">
              <w:rPr>
                <w:rFonts w:ascii="Times New Roman" w:hAnsi="Times New Roman"/>
              </w:rPr>
              <w:t>Headache</w:t>
            </w:r>
          </w:p>
        </w:tc>
        <w:tc>
          <w:tcPr>
            <w:tcW w:w="2059" w:type="dxa"/>
          </w:tcPr>
          <w:p w14:paraId="58EFC6EE" w14:textId="77777777" w:rsidR="00561530" w:rsidRPr="00561530" w:rsidRDefault="00561530" w:rsidP="00561530">
            <w:pPr>
              <w:jc w:val="center"/>
              <w:rPr>
                <w:rFonts w:ascii="Times New Roman" w:hAnsi="Times New Roman"/>
              </w:rPr>
            </w:pPr>
            <w:r w:rsidRPr="00561530">
              <w:rPr>
                <w:rFonts w:ascii="Times New Roman" w:hAnsi="Times New Roman"/>
              </w:rPr>
              <w:t>16</w:t>
            </w:r>
          </w:p>
        </w:tc>
        <w:tc>
          <w:tcPr>
            <w:tcW w:w="2059" w:type="dxa"/>
          </w:tcPr>
          <w:p w14:paraId="01AF7C58" w14:textId="77777777" w:rsidR="00561530" w:rsidRPr="00561530" w:rsidRDefault="00561530" w:rsidP="00561530">
            <w:pPr>
              <w:jc w:val="center"/>
              <w:rPr>
                <w:rFonts w:ascii="Times New Roman" w:hAnsi="Times New Roman"/>
              </w:rPr>
            </w:pPr>
            <w:r w:rsidRPr="00561530">
              <w:rPr>
                <w:rFonts w:ascii="Times New Roman" w:hAnsi="Times New Roman"/>
              </w:rPr>
              <w:t>7</w:t>
            </w:r>
          </w:p>
        </w:tc>
      </w:tr>
      <w:tr w:rsidR="00561530" w:rsidRPr="00561530" w14:paraId="7B4FB146" w14:textId="77777777" w:rsidTr="00561530">
        <w:tc>
          <w:tcPr>
            <w:tcW w:w="9331" w:type="dxa"/>
            <w:gridSpan w:val="3"/>
            <w:shd w:val="clear" w:color="auto" w:fill="D9D9D9" w:themeFill="background1" w:themeFillShade="D9"/>
          </w:tcPr>
          <w:p w14:paraId="314691AF" w14:textId="77777777" w:rsidR="00561530" w:rsidRPr="00561530" w:rsidRDefault="00561530" w:rsidP="00561530">
            <w:pPr>
              <w:rPr>
                <w:rFonts w:ascii="Times New Roman" w:hAnsi="Times New Roman"/>
                <w:b/>
              </w:rPr>
            </w:pPr>
            <w:r w:rsidRPr="00561530">
              <w:rPr>
                <w:rFonts w:ascii="Times New Roman" w:hAnsi="Times New Roman"/>
                <w:b/>
              </w:rPr>
              <w:t>Respiratory, Thoracic and Mediastinal Disorders</w:t>
            </w:r>
          </w:p>
        </w:tc>
      </w:tr>
      <w:tr w:rsidR="00561530" w:rsidRPr="00561530" w14:paraId="5A311AB3" w14:textId="77777777" w:rsidTr="00561530">
        <w:tc>
          <w:tcPr>
            <w:tcW w:w="5213" w:type="dxa"/>
          </w:tcPr>
          <w:p w14:paraId="3B50CE4E" w14:textId="77777777" w:rsidR="00561530" w:rsidRPr="00561530" w:rsidRDefault="00561530" w:rsidP="00561530">
            <w:pPr>
              <w:rPr>
                <w:rFonts w:ascii="Times New Roman" w:hAnsi="Times New Roman"/>
              </w:rPr>
            </w:pPr>
            <w:r w:rsidRPr="00561530">
              <w:rPr>
                <w:rFonts w:ascii="Times New Roman" w:hAnsi="Times New Roman"/>
              </w:rPr>
              <w:t>Cough</w:t>
            </w:r>
            <w:r w:rsidRPr="00561530" w:rsidDel="001F20A3">
              <w:rPr>
                <w:rFonts w:ascii="Times New Roman" w:hAnsi="Times New Roman"/>
              </w:rPr>
              <w:t xml:space="preserve"> </w:t>
            </w:r>
          </w:p>
        </w:tc>
        <w:tc>
          <w:tcPr>
            <w:tcW w:w="2059" w:type="dxa"/>
          </w:tcPr>
          <w:p w14:paraId="26075430" w14:textId="77777777" w:rsidR="00561530" w:rsidRPr="00561530" w:rsidRDefault="00561530" w:rsidP="00561530">
            <w:pPr>
              <w:jc w:val="center"/>
              <w:rPr>
                <w:rFonts w:ascii="Times New Roman" w:hAnsi="Times New Roman"/>
              </w:rPr>
            </w:pPr>
            <w:r w:rsidRPr="00561530">
              <w:rPr>
                <w:rFonts w:ascii="Times New Roman" w:hAnsi="Times New Roman"/>
              </w:rPr>
              <w:t>18</w:t>
            </w:r>
          </w:p>
        </w:tc>
        <w:tc>
          <w:tcPr>
            <w:tcW w:w="2059" w:type="dxa"/>
          </w:tcPr>
          <w:p w14:paraId="023584B7" w14:textId="77777777" w:rsidR="00561530" w:rsidRPr="00561530" w:rsidRDefault="00561530" w:rsidP="00561530">
            <w:pPr>
              <w:jc w:val="center"/>
              <w:rPr>
                <w:rFonts w:ascii="Times New Roman" w:hAnsi="Times New Roman"/>
              </w:rPr>
            </w:pPr>
            <w:r w:rsidRPr="00561530">
              <w:rPr>
                <w:rFonts w:ascii="Times New Roman" w:hAnsi="Times New Roman"/>
              </w:rPr>
              <w:t>13</w:t>
            </w:r>
          </w:p>
        </w:tc>
      </w:tr>
      <w:tr w:rsidR="00561530" w:rsidRPr="00561530" w14:paraId="0589E05D" w14:textId="77777777" w:rsidTr="00561530">
        <w:tc>
          <w:tcPr>
            <w:tcW w:w="5213" w:type="dxa"/>
          </w:tcPr>
          <w:p w14:paraId="28DA240A" w14:textId="77777777" w:rsidR="00561530" w:rsidRPr="00561530" w:rsidRDefault="00561530" w:rsidP="00561530">
            <w:pPr>
              <w:rPr>
                <w:rFonts w:ascii="Times New Roman" w:hAnsi="Times New Roman"/>
              </w:rPr>
            </w:pPr>
            <w:r w:rsidRPr="00561530">
              <w:rPr>
                <w:rFonts w:ascii="Times New Roman" w:hAnsi="Times New Roman"/>
              </w:rPr>
              <w:t>Dyspnoea</w:t>
            </w:r>
          </w:p>
        </w:tc>
        <w:tc>
          <w:tcPr>
            <w:tcW w:w="2059" w:type="dxa"/>
          </w:tcPr>
          <w:p w14:paraId="53A56A66" w14:textId="77777777" w:rsidR="00561530" w:rsidRPr="00561530" w:rsidRDefault="00561530" w:rsidP="00561530">
            <w:pPr>
              <w:jc w:val="center"/>
              <w:rPr>
                <w:rFonts w:ascii="Times New Roman" w:hAnsi="Times New Roman"/>
              </w:rPr>
            </w:pPr>
            <w:r w:rsidRPr="00561530">
              <w:rPr>
                <w:rFonts w:ascii="Times New Roman" w:hAnsi="Times New Roman"/>
              </w:rPr>
              <w:t>15</w:t>
            </w:r>
          </w:p>
        </w:tc>
        <w:tc>
          <w:tcPr>
            <w:tcW w:w="2059" w:type="dxa"/>
          </w:tcPr>
          <w:p w14:paraId="0BEFB1EF" w14:textId="77777777" w:rsidR="00561530" w:rsidRPr="00561530" w:rsidRDefault="00561530" w:rsidP="00561530">
            <w:pPr>
              <w:jc w:val="center"/>
              <w:rPr>
                <w:rFonts w:ascii="Times New Roman" w:hAnsi="Times New Roman"/>
              </w:rPr>
            </w:pPr>
            <w:r w:rsidRPr="00561530">
              <w:rPr>
                <w:rFonts w:ascii="Times New Roman" w:hAnsi="Times New Roman"/>
              </w:rPr>
              <w:t>7</w:t>
            </w:r>
          </w:p>
        </w:tc>
      </w:tr>
      <w:tr w:rsidR="00561530" w:rsidRPr="00561530" w14:paraId="2D4BDF5B" w14:textId="77777777" w:rsidTr="00561530">
        <w:tc>
          <w:tcPr>
            <w:tcW w:w="9331" w:type="dxa"/>
            <w:gridSpan w:val="3"/>
            <w:shd w:val="clear" w:color="auto" w:fill="D9D9D9" w:themeFill="background1" w:themeFillShade="D9"/>
          </w:tcPr>
          <w:p w14:paraId="15710EA7" w14:textId="77777777" w:rsidR="00561530" w:rsidRPr="00561530" w:rsidRDefault="00561530" w:rsidP="00561530">
            <w:pPr>
              <w:rPr>
                <w:rFonts w:ascii="Times New Roman" w:hAnsi="Times New Roman"/>
                <w:b/>
              </w:rPr>
            </w:pPr>
            <w:r w:rsidRPr="00561530">
              <w:rPr>
                <w:rFonts w:ascii="Times New Roman" w:hAnsi="Times New Roman"/>
                <w:b/>
              </w:rPr>
              <w:t>Gastrointestinal Disorders</w:t>
            </w:r>
          </w:p>
        </w:tc>
      </w:tr>
      <w:tr w:rsidR="00561530" w:rsidRPr="00561530" w14:paraId="6CA2E7CF" w14:textId="77777777" w:rsidTr="00561530">
        <w:tc>
          <w:tcPr>
            <w:tcW w:w="5213" w:type="dxa"/>
          </w:tcPr>
          <w:p w14:paraId="52C472DC" w14:textId="77777777" w:rsidR="00561530" w:rsidRPr="00561530" w:rsidRDefault="00561530" w:rsidP="00561530">
            <w:pPr>
              <w:rPr>
                <w:rFonts w:ascii="Times New Roman" w:hAnsi="Times New Roman"/>
              </w:rPr>
            </w:pPr>
            <w:r w:rsidRPr="00561530">
              <w:rPr>
                <w:rFonts w:ascii="Times New Roman" w:hAnsi="Times New Roman"/>
              </w:rPr>
              <w:t>Diarrhoea</w:t>
            </w:r>
          </w:p>
        </w:tc>
        <w:tc>
          <w:tcPr>
            <w:tcW w:w="2059" w:type="dxa"/>
          </w:tcPr>
          <w:p w14:paraId="557742BA" w14:textId="77777777" w:rsidR="00561530" w:rsidRPr="00561530" w:rsidRDefault="00561530" w:rsidP="00561530">
            <w:pPr>
              <w:jc w:val="center"/>
              <w:rPr>
                <w:rFonts w:ascii="Times New Roman" w:hAnsi="Times New Roman"/>
              </w:rPr>
            </w:pPr>
            <w:r w:rsidRPr="00561530">
              <w:rPr>
                <w:rFonts w:ascii="Times New Roman" w:hAnsi="Times New Roman"/>
              </w:rPr>
              <w:t>22</w:t>
            </w:r>
          </w:p>
        </w:tc>
        <w:tc>
          <w:tcPr>
            <w:tcW w:w="2059" w:type="dxa"/>
          </w:tcPr>
          <w:p w14:paraId="5B47CD7C" w14:textId="77777777" w:rsidR="00561530" w:rsidRPr="00561530" w:rsidRDefault="00561530" w:rsidP="00561530">
            <w:pPr>
              <w:jc w:val="center"/>
              <w:rPr>
                <w:rFonts w:ascii="Times New Roman" w:hAnsi="Times New Roman"/>
              </w:rPr>
            </w:pPr>
            <w:r w:rsidRPr="00561530">
              <w:rPr>
                <w:rFonts w:ascii="Times New Roman" w:hAnsi="Times New Roman"/>
              </w:rPr>
              <w:t>9</w:t>
            </w:r>
          </w:p>
        </w:tc>
      </w:tr>
      <w:tr w:rsidR="00561530" w:rsidRPr="00561530" w14:paraId="7A25868A" w14:textId="77777777" w:rsidTr="00561530">
        <w:tc>
          <w:tcPr>
            <w:tcW w:w="5213" w:type="dxa"/>
          </w:tcPr>
          <w:p w14:paraId="40A3E144" w14:textId="77777777" w:rsidR="00561530" w:rsidRPr="00561530" w:rsidRDefault="00561530" w:rsidP="00561530">
            <w:pPr>
              <w:rPr>
                <w:rFonts w:ascii="Times New Roman" w:hAnsi="Times New Roman"/>
              </w:rPr>
            </w:pPr>
            <w:r w:rsidRPr="00561530">
              <w:rPr>
                <w:rFonts w:ascii="Times New Roman" w:hAnsi="Times New Roman"/>
              </w:rPr>
              <w:t>Nausea</w:t>
            </w:r>
          </w:p>
        </w:tc>
        <w:tc>
          <w:tcPr>
            <w:tcW w:w="2059" w:type="dxa"/>
          </w:tcPr>
          <w:p w14:paraId="6A05CB49" w14:textId="77777777" w:rsidR="00561530" w:rsidRPr="00561530" w:rsidRDefault="00561530" w:rsidP="00561530">
            <w:pPr>
              <w:jc w:val="center"/>
              <w:rPr>
                <w:rFonts w:ascii="Times New Roman" w:hAnsi="Times New Roman"/>
              </w:rPr>
            </w:pPr>
            <w:r w:rsidRPr="00561530">
              <w:rPr>
                <w:rFonts w:ascii="Times New Roman" w:hAnsi="Times New Roman"/>
              </w:rPr>
              <w:t>20</w:t>
            </w:r>
          </w:p>
        </w:tc>
        <w:tc>
          <w:tcPr>
            <w:tcW w:w="2059" w:type="dxa"/>
          </w:tcPr>
          <w:p w14:paraId="7B54AAB3" w14:textId="77777777" w:rsidR="00561530" w:rsidRPr="00561530" w:rsidRDefault="00561530" w:rsidP="00561530">
            <w:pPr>
              <w:jc w:val="center"/>
              <w:rPr>
                <w:rFonts w:ascii="Times New Roman" w:hAnsi="Times New Roman"/>
              </w:rPr>
            </w:pPr>
            <w:r w:rsidRPr="00561530">
              <w:rPr>
                <w:rFonts w:ascii="Times New Roman" w:hAnsi="Times New Roman"/>
              </w:rPr>
              <w:t>8</w:t>
            </w:r>
          </w:p>
        </w:tc>
      </w:tr>
      <w:tr w:rsidR="00561530" w:rsidRPr="00561530" w14:paraId="235BB6A3" w14:textId="77777777" w:rsidTr="00561530">
        <w:tc>
          <w:tcPr>
            <w:tcW w:w="5213" w:type="dxa"/>
          </w:tcPr>
          <w:p w14:paraId="0CA76388" w14:textId="77777777" w:rsidR="00561530" w:rsidRPr="00561530" w:rsidRDefault="00561530" w:rsidP="00561530">
            <w:pPr>
              <w:rPr>
                <w:rFonts w:ascii="Times New Roman" w:hAnsi="Times New Roman"/>
              </w:rPr>
            </w:pPr>
            <w:r w:rsidRPr="00561530">
              <w:rPr>
                <w:rFonts w:ascii="Times New Roman" w:hAnsi="Times New Roman"/>
              </w:rPr>
              <w:t>Constipation</w:t>
            </w:r>
          </w:p>
        </w:tc>
        <w:tc>
          <w:tcPr>
            <w:tcW w:w="2059" w:type="dxa"/>
          </w:tcPr>
          <w:p w14:paraId="0CA21494" w14:textId="77777777" w:rsidR="00561530" w:rsidRPr="00561530" w:rsidRDefault="00561530" w:rsidP="00561530">
            <w:pPr>
              <w:jc w:val="center"/>
              <w:rPr>
                <w:rFonts w:ascii="Times New Roman" w:hAnsi="Times New Roman"/>
              </w:rPr>
            </w:pPr>
            <w:r w:rsidRPr="00561530">
              <w:rPr>
                <w:rFonts w:ascii="Times New Roman" w:hAnsi="Times New Roman"/>
              </w:rPr>
              <w:t>11</w:t>
            </w:r>
          </w:p>
        </w:tc>
        <w:tc>
          <w:tcPr>
            <w:tcW w:w="2059" w:type="dxa"/>
          </w:tcPr>
          <w:p w14:paraId="40FC1FC6" w14:textId="77777777" w:rsidR="00561530" w:rsidRPr="00561530" w:rsidRDefault="00561530" w:rsidP="00561530">
            <w:pPr>
              <w:jc w:val="center"/>
              <w:rPr>
                <w:rFonts w:ascii="Times New Roman" w:hAnsi="Times New Roman"/>
              </w:rPr>
            </w:pPr>
            <w:r w:rsidRPr="00561530">
              <w:rPr>
                <w:rFonts w:ascii="Times New Roman" w:hAnsi="Times New Roman"/>
              </w:rPr>
              <w:t>9</w:t>
            </w:r>
          </w:p>
        </w:tc>
      </w:tr>
      <w:tr w:rsidR="00561530" w:rsidRPr="00561530" w14:paraId="41898702" w14:textId="77777777" w:rsidTr="00561530">
        <w:tc>
          <w:tcPr>
            <w:tcW w:w="9331" w:type="dxa"/>
            <w:gridSpan w:val="3"/>
            <w:shd w:val="clear" w:color="auto" w:fill="D9D9D9" w:themeFill="background1" w:themeFillShade="D9"/>
          </w:tcPr>
          <w:p w14:paraId="107A5E8A" w14:textId="77777777" w:rsidR="00561530" w:rsidRPr="00561530" w:rsidRDefault="00561530" w:rsidP="00561530">
            <w:pPr>
              <w:rPr>
                <w:rFonts w:ascii="Times New Roman" w:hAnsi="Times New Roman"/>
              </w:rPr>
            </w:pPr>
            <w:r w:rsidRPr="00561530">
              <w:rPr>
                <w:rFonts w:ascii="Times New Roman" w:hAnsi="Times New Roman"/>
                <w:b/>
              </w:rPr>
              <w:t>Musculoskeletal and Connective Tissue Disorders</w:t>
            </w:r>
          </w:p>
        </w:tc>
      </w:tr>
      <w:tr w:rsidR="00561530" w:rsidRPr="00561530" w14:paraId="23A50E1B" w14:textId="77777777" w:rsidTr="00561530">
        <w:tc>
          <w:tcPr>
            <w:tcW w:w="5213" w:type="dxa"/>
          </w:tcPr>
          <w:p w14:paraId="540D3E61" w14:textId="77777777" w:rsidR="00561530" w:rsidRPr="00561530" w:rsidRDefault="00561530" w:rsidP="00561530">
            <w:pPr>
              <w:rPr>
                <w:rFonts w:ascii="Times New Roman" w:hAnsi="Times New Roman"/>
              </w:rPr>
            </w:pPr>
            <w:r w:rsidRPr="00561530">
              <w:rPr>
                <w:rFonts w:ascii="Times New Roman" w:hAnsi="Times New Roman"/>
              </w:rPr>
              <w:t>Back pain</w:t>
            </w:r>
          </w:p>
        </w:tc>
        <w:tc>
          <w:tcPr>
            <w:tcW w:w="2059" w:type="dxa"/>
          </w:tcPr>
          <w:p w14:paraId="1B1EE33C" w14:textId="77777777" w:rsidR="00561530" w:rsidRPr="00561530" w:rsidRDefault="00561530" w:rsidP="00561530">
            <w:pPr>
              <w:jc w:val="center"/>
              <w:rPr>
                <w:rFonts w:ascii="Times New Roman" w:hAnsi="Times New Roman"/>
              </w:rPr>
            </w:pPr>
            <w:r w:rsidRPr="00561530">
              <w:rPr>
                <w:rFonts w:ascii="Times New Roman" w:hAnsi="Times New Roman"/>
              </w:rPr>
              <w:t>19</w:t>
            </w:r>
          </w:p>
        </w:tc>
        <w:tc>
          <w:tcPr>
            <w:tcW w:w="2059" w:type="dxa"/>
          </w:tcPr>
          <w:p w14:paraId="0B004007" w14:textId="77777777" w:rsidR="00561530" w:rsidRPr="00561530" w:rsidRDefault="00561530" w:rsidP="00561530">
            <w:pPr>
              <w:jc w:val="center"/>
              <w:rPr>
                <w:rFonts w:ascii="Times New Roman" w:hAnsi="Times New Roman"/>
              </w:rPr>
            </w:pPr>
            <w:r w:rsidRPr="00561530">
              <w:rPr>
                <w:rFonts w:ascii="Times New Roman" w:hAnsi="Times New Roman"/>
              </w:rPr>
              <w:t>7</w:t>
            </w:r>
          </w:p>
        </w:tc>
      </w:tr>
      <w:tr w:rsidR="00561530" w:rsidRPr="00561530" w14:paraId="76497F26" w14:textId="77777777" w:rsidTr="00561530">
        <w:tc>
          <w:tcPr>
            <w:tcW w:w="5213" w:type="dxa"/>
          </w:tcPr>
          <w:p w14:paraId="0E1AF92E" w14:textId="77777777" w:rsidR="00561530" w:rsidRPr="00561530" w:rsidRDefault="00561530" w:rsidP="00561530">
            <w:pPr>
              <w:rPr>
                <w:rFonts w:ascii="Times New Roman" w:hAnsi="Times New Roman"/>
              </w:rPr>
            </w:pPr>
            <w:r w:rsidRPr="00561530">
              <w:rPr>
                <w:rFonts w:ascii="Times New Roman" w:hAnsi="Times New Roman"/>
              </w:rPr>
              <w:t>Arthralgia</w:t>
            </w:r>
          </w:p>
        </w:tc>
        <w:tc>
          <w:tcPr>
            <w:tcW w:w="2059" w:type="dxa"/>
          </w:tcPr>
          <w:p w14:paraId="3BD6053F" w14:textId="77777777" w:rsidR="00561530" w:rsidRPr="00561530" w:rsidRDefault="00561530" w:rsidP="00561530">
            <w:pPr>
              <w:jc w:val="center"/>
              <w:rPr>
                <w:rFonts w:ascii="Times New Roman" w:hAnsi="Times New Roman"/>
              </w:rPr>
            </w:pPr>
            <w:r w:rsidRPr="00561530">
              <w:rPr>
                <w:rFonts w:ascii="Times New Roman" w:hAnsi="Times New Roman"/>
              </w:rPr>
              <w:t>5</w:t>
            </w:r>
          </w:p>
        </w:tc>
        <w:tc>
          <w:tcPr>
            <w:tcW w:w="2059" w:type="dxa"/>
          </w:tcPr>
          <w:p w14:paraId="1C9409D2" w14:textId="77777777" w:rsidR="00561530" w:rsidRPr="00561530" w:rsidRDefault="00561530" w:rsidP="00561530">
            <w:pPr>
              <w:jc w:val="center"/>
              <w:rPr>
                <w:rFonts w:ascii="Times New Roman" w:hAnsi="Times New Roman"/>
              </w:rPr>
            </w:pPr>
            <w:r w:rsidRPr="00561530">
              <w:rPr>
                <w:rFonts w:ascii="Times New Roman" w:hAnsi="Times New Roman"/>
              </w:rPr>
              <w:t>12</w:t>
            </w:r>
          </w:p>
        </w:tc>
      </w:tr>
      <w:tr w:rsidR="00561530" w:rsidRPr="00561530" w14:paraId="18CA35ED" w14:textId="77777777" w:rsidTr="00561530">
        <w:tc>
          <w:tcPr>
            <w:tcW w:w="9331" w:type="dxa"/>
            <w:gridSpan w:val="3"/>
            <w:shd w:val="clear" w:color="auto" w:fill="D9D9D9" w:themeFill="background1" w:themeFillShade="D9"/>
          </w:tcPr>
          <w:p w14:paraId="7C9FC80B" w14:textId="77777777" w:rsidR="00561530" w:rsidRPr="00561530" w:rsidRDefault="00561530" w:rsidP="00561530">
            <w:pPr>
              <w:rPr>
                <w:rFonts w:ascii="Times New Roman" w:hAnsi="Times New Roman"/>
              </w:rPr>
            </w:pPr>
            <w:r w:rsidRPr="00561530">
              <w:rPr>
                <w:rFonts w:ascii="Times New Roman" w:hAnsi="Times New Roman"/>
                <w:b/>
              </w:rPr>
              <w:t>General Disorders and Administration Site Conditions</w:t>
            </w:r>
          </w:p>
        </w:tc>
      </w:tr>
      <w:tr w:rsidR="00561530" w:rsidRPr="00561530" w14:paraId="0A906810" w14:textId="77777777" w:rsidTr="00561530">
        <w:tc>
          <w:tcPr>
            <w:tcW w:w="5213" w:type="dxa"/>
          </w:tcPr>
          <w:p w14:paraId="2083762E" w14:textId="77777777" w:rsidR="00561530" w:rsidRPr="00561530" w:rsidRDefault="00561530" w:rsidP="00561530">
            <w:pPr>
              <w:rPr>
                <w:rFonts w:ascii="Times New Roman" w:hAnsi="Times New Roman"/>
              </w:rPr>
            </w:pPr>
            <w:r w:rsidRPr="00561530">
              <w:rPr>
                <w:rFonts w:ascii="Times New Roman" w:hAnsi="Times New Roman"/>
              </w:rPr>
              <w:t>Fatigue</w:t>
            </w:r>
          </w:p>
        </w:tc>
        <w:tc>
          <w:tcPr>
            <w:tcW w:w="2059" w:type="dxa"/>
          </w:tcPr>
          <w:p w14:paraId="6E597536" w14:textId="77777777" w:rsidR="00561530" w:rsidRPr="00561530" w:rsidRDefault="00561530" w:rsidP="00561530">
            <w:pPr>
              <w:jc w:val="center"/>
              <w:rPr>
                <w:rFonts w:ascii="Times New Roman" w:hAnsi="Times New Roman"/>
              </w:rPr>
            </w:pPr>
            <w:r w:rsidRPr="00561530">
              <w:rPr>
                <w:rFonts w:ascii="Times New Roman" w:hAnsi="Times New Roman"/>
              </w:rPr>
              <w:t>27</w:t>
            </w:r>
          </w:p>
        </w:tc>
        <w:tc>
          <w:tcPr>
            <w:tcW w:w="2059" w:type="dxa"/>
          </w:tcPr>
          <w:p w14:paraId="78F282CA" w14:textId="77777777" w:rsidR="00561530" w:rsidRPr="00561530" w:rsidRDefault="00561530" w:rsidP="00561530">
            <w:pPr>
              <w:jc w:val="center"/>
              <w:rPr>
                <w:rFonts w:ascii="Times New Roman" w:hAnsi="Times New Roman"/>
              </w:rPr>
            </w:pPr>
            <w:r w:rsidRPr="00561530">
              <w:rPr>
                <w:rFonts w:ascii="Times New Roman" w:hAnsi="Times New Roman"/>
              </w:rPr>
              <w:t>13</w:t>
            </w:r>
          </w:p>
        </w:tc>
      </w:tr>
      <w:tr w:rsidR="00561530" w:rsidRPr="00561530" w14:paraId="1365F880" w14:textId="77777777" w:rsidTr="00561530">
        <w:tc>
          <w:tcPr>
            <w:tcW w:w="5213" w:type="dxa"/>
          </w:tcPr>
          <w:p w14:paraId="60F4D7D8" w14:textId="77777777" w:rsidR="00561530" w:rsidRPr="00561530" w:rsidRDefault="00561530" w:rsidP="00561530">
            <w:pPr>
              <w:rPr>
                <w:rFonts w:ascii="Times New Roman" w:hAnsi="Times New Roman"/>
              </w:rPr>
            </w:pPr>
            <w:r w:rsidRPr="00561530">
              <w:rPr>
                <w:rFonts w:ascii="Times New Roman" w:hAnsi="Times New Roman"/>
              </w:rPr>
              <w:t>Asthenia</w:t>
            </w:r>
          </w:p>
        </w:tc>
        <w:tc>
          <w:tcPr>
            <w:tcW w:w="2059" w:type="dxa"/>
          </w:tcPr>
          <w:p w14:paraId="2C0975DA" w14:textId="77777777" w:rsidR="00561530" w:rsidRPr="00561530" w:rsidRDefault="00561530" w:rsidP="00561530">
            <w:pPr>
              <w:jc w:val="center"/>
              <w:rPr>
                <w:rFonts w:ascii="Times New Roman" w:hAnsi="Times New Roman"/>
              </w:rPr>
            </w:pPr>
            <w:r w:rsidRPr="00561530">
              <w:rPr>
                <w:rFonts w:ascii="Times New Roman" w:hAnsi="Times New Roman"/>
              </w:rPr>
              <w:t>20</w:t>
            </w:r>
          </w:p>
        </w:tc>
        <w:tc>
          <w:tcPr>
            <w:tcW w:w="2059" w:type="dxa"/>
          </w:tcPr>
          <w:p w14:paraId="01FAF3C2" w14:textId="77777777" w:rsidR="00561530" w:rsidRPr="00561530" w:rsidRDefault="00561530" w:rsidP="00561530">
            <w:pPr>
              <w:jc w:val="center"/>
              <w:rPr>
                <w:rFonts w:ascii="Times New Roman" w:hAnsi="Times New Roman"/>
              </w:rPr>
            </w:pPr>
            <w:r w:rsidRPr="00561530">
              <w:rPr>
                <w:rFonts w:ascii="Times New Roman" w:hAnsi="Times New Roman"/>
              </w:rPr>
              <w:t>12</w:t>
            </w:r>
          </w:p>
        </w:tc>
      </w:tr>
      <w:tr w:rsidR="00561530" w:rsidRPr="00561530" w14:paraId="2B465E9A" w14:textId="77777777" w:rsidTr="00561530">
        <w:tc>
          <w:tcPr>
            <w:tcW w:w="5213" w:type="dxa"/>
          </w:tcPr>
          <w:p w14:paraId="49FB019F" w14:textId="77777777" w:rsidR="00561530" w:rsidRPr="00561530" w:rsidRDefault="00561530" w:rsidP="00561530">
            <w:pPr>
              <w:rPr>
                <w:rFonts w:ascii="Times New Roman" w:hAnsi="Times New Roman"/>
              </w:rPr>
            </w:pPr>
            <w:r w:rsidRPr="00561530">
              <w:rPr>
                <w:rFonts w:ascii="Times New Roman" w:hAnsi="Times New Roman"/>
              </w:rPr>
              <w:t>Peripheral oedema</w:t>
            </w:r>
          </w:p>
        </w:tc>
        <w:tc>
          <w:tcPr>
            <w:tcW w:w="2059" w:type="dxa"/>
          </w:tcPr>
          <w:p w14:paraId="3D7A074E" w14:textId="77777777" w:rsidR="00561530" w:rsidRPr="00561530" w:rsidRDefault="00561530" w:rsidP="00561530">
            <w:pPr>
              <w:jc w:val="center"/>
              <w:rPr>
                <w:rFonts w:ascii="Times New Roman" w:hAnsi="Times New Roman"/>
              </w:rPr>
            </w:pPr>
            <w:r w:rsidRPr="00561530">
              <w:rPr>
                <w:rFonts w:ascii="Times New Roman" w:hAnsi="Times New Roman"/>
              </w:rPr>
              <w:t>16</w:t>
            </w:r>
          </w:p>
        </w:tc>
        <w:tc>
          <w:tcPr>
            <w:tcW w:w="2059" w:type="dxa"/>
          </w:tcPr>
          <w:p w14:paraId="0D770D50" w14:textId="77777777" w:rsidR="00561530" w:rsidRPr="00561530" w:rsidRDefault="00561530" w:rsidP="00561530">
            <w:pPr>
              <w:jc w:val="center"/>
              <w:rPr>
                <w:rFonts w:ascii="Times New Roman" w:hAnsi="Times New Roman"/>
              </w:rPr>
            </w:pPr>
            <w:r w:rsidRPr="00561530">
              <w:rPr>
                <w:rFonts w:ascii="Times New Roman" w:hAnsi="Times New Roman"/>
              </w:rPr>
              <w:t>17</w:t>
            </w:r>
          </w:p>
        </w:tc>
      </w:tr>
      <w:tr w:rsidR="00561530" w:rsidRPr="00561530" w14:paraId="57D5E830" w14:textId="77777777" w:rsidTr="00561530">
        <w:tc>
          <w:tcPr>
            <w:tcW w:w="9331" w:type="dxa"/>
            <w:gridSpan w:val="3"/>
            <w:shd w:val="clear" w:color="auto" w:fill="D9D9D9" w:themeFill="background1" w:themeFillShade="D9"/>
          </w:tcPr>
          <w:p w14:paraId="45A7F7B0" w14:textId="77777777" w:rsidR="00561530" w:rsidRPr="00561530" w:rsidRDefault="00561530" w:rsidP="00561530">
            <w:pPr>
              <w:rPr>
                <w:rFonts w:ascii="Times New Roman" w:hAnsi="Times New Roman"/>
              </w:rPr>
            </w:pPr>
            <w:r w:rsidRPr="00561530">
              <w:rPr>
                <w:rFonts w:ascii="Times New Roman" w:hAnsi="Times New Roman"/>
                <w:b/>
                <w:bCs/>
              </w:rPr>
              <w:t>Injury, Poisoning and Procedural Complications</w:t>
            </w:r>
          </w:p>
        </w:tc>
      </w:tr>
      <w:tr w:rsidR="00561530" w:rsidRPr="00561530" w14:paraId="364FE02C" w14:textId="77777777" w:rsidTr="00561530">
        <w:tc>
          <w:tcPr>
            <w:tcW w:w="5213" w:type="dxa"/>
          </w:tcPr>
          <w:p w14:paraId="44395DB1" w14:textId="77777777" w:rsidR="00561530" w:rsidRPr="00561530" w:rsidRDefault="00561530" w:rsidP="00561530">
            <w:pPr>
              <w:rPr>
                <w:rFonts w:ascii="Times New Roman" w:hAnsi="Times New Roman"/>
              </w:rPr>
            </w:pPr>
            <w:r w:rsidRPr="00561530">
              <w:rPr>
                <w:rFonts w:ascii="Times New Roman" w:hAnsi="Times New Roman"/>
              </w:rPr>
              <w:t>Fall</w:t>
            </w:r>
          </w:p>
        </w:tc>
        <w:tc>
          <w:tcPr>
            <w:tcW w:w="2059" w:type="dxa"/>
          </w:tcPr>
          <w:p w14:paraId="67CC2A7D" w14:textId="77777777" w:rsidR="00561530" w:rsidRPr="00561530" w:rsidRDefault="00561530" w:rsidP="00561530">
            <w:pPr>
              <w:jc w:val="center"/>
              <w:rPr>
                <w:rFonts w:ascii="Times New Roman" w:hAnsi="Times New Roman"/>
              </w:rPr>
            </w:pPr>
            <w:r w:rsidRPr="00561530">
              <w:rPr>
                <w:rFonts w:ascii="Times New Roman" w:hAnsi="Times New Roman"/>
              </w:rPr>
              <w:t>10</w:t>
            </w:r>
          </w:p>
        </w:tc>
        <w:tc>
          <w:tcPr>
            <w:tcW w:w="2059" w:type="dxa"/>
          </w:tcPr>
          <w:p w14:paraId="1E86D96D" w14:textId="77777777" w:rsidR="00561530" w:rsidRPr="00561530" w:rsidRDefault="00561530" w:rsidP="00561530">
            <w:pPr>
              <w:jc w:val="center"/>
              <w:rPr>
                <w:rFonts w:ascii="Times New Roman" w:hAnsi="Times New Roman"/>
              </w:rPr>
            </w:pPr>
            <w:r w:rsidRPr="00561530">
              <w:rPr>
                <w:rFonts w:ascii="Times New Roman" w:hAnsi="Times New Roman"/>
              </w:rPr>
              <w:t>12</w:t>
            </w:r>
          </w:p>
        </w:tc>
      </w:tr>
    </w:tbl>
    <w:p w14:paraId="105E85BC" w14:textId="77777777" w:rsidR="00561530" w:rsidRPr="00561530" w:rsidRDefault="00561530" w:rsidP="00561530">
      <w:pPr>
        <w:rPr>
          <w:rFonts w:ascii="Times New Roman" w:hAnsi="Times New Roman"/>
          <w:u w:val="single"/>
        </w:rPr>
      </w:pPr>
      <w:r w:rsidRPr="00561530">
        <w:rPr>
          <w:rFonts w:ascii="Times New Roman" w:hAnsi="Times New Roman"/>
          <w:u w:val="single"/>
        </w:rPr>
        <w:t>Tabulated List of Adverse Drug Reactions</w:t>
      </w:r>
    </w:p>
    <w:p w14:paraId="153D2FA7" w14:textId="77777777" w:rsidR="00561530" w:rsidRPr="00561530" w:rsidRDefault="00561530" w:rsidP="00561530">
      <w:pPr>
        <w:rPr>
          <w:rFonts w:ascii="Times New Roman" w:hAnsi="Times New Roman"/>
        </w:rPr>
      </w:pPr>
      <w:r w:rsidRPr="00561530">
        <w:rPr>
          <w:rFonts w:ascii="Times New Roman" w:hAnsi="Times New Roman"/>
        </w:rPr>
        <w:t xml:space="preserve">The adverse drug reactions (ADRs) listed below have been assessed as being at least possibly related to treatment. The relatedness to treatment has been determined </w:t>
      </w:r>
      <w:proofErr w:type="gramStart"/>
      <w:r w:rsidRPr="00561530">
        <w:rPr>
          <w:rFonts w:ascii="Times New Roman" w:hAnsi="Times New Roman"/>
        </w:rPr>
        <w:t>by:</w:t>
      </w:r>
      <w:proofErr w:type="gramEnd"/>
      <w:r w:rsidRPr="00561530">
        <w:rPr>
          <w:rFonts w:ascii="Times New Roman" w:hAnsi="Times New Roman"/>
        </w:rPr>
        <w:t xml:space="preserve"> biological/pharmacological plausibility for a drug-event relationship, known morbidities of target population and disease being treated, adverse reactions suspected with medicines of this class, weight of evidence (e.g., positive rechallenge, positive </w:t>
      </w:r>
      <w:proofErr w:type="spellStart"/>
      <w:r w:rsidRPr="00561530">
        <w:rPr>
          <w:rFonts w:ascii="Times New Roman" w:hAnsi="Times New Roman"/>
        </w:rPr>
        <w:t>dechallenge</w:t>
      </w:r>
      <w:proofErr w:type="spellEnd"/>
      <w:r w:rsidRPr="00561530">
        <w:rPr>
          <w:rFonts w:ascii="Times New Roman" w:hAnsi="Times New Roman"/>
        </w:rPr>
        <w:t>, time to onset, lack of confounding factors) and medical judgment.</w:t>
      </w:r>
    </w:p>
    <w:p w14:paraId="6759CF8A" w14:textId="77777777" w:rsidR="00561530" w:rsidRPr="00561530" w:rsidRDefault="00561530" w:rsidP="00561530">
      <w:pPr>
        <w:rPr>
          <w:rFonts w:ascii="Times New Roman" w:hAnsi="Times New Roman"/>
        </w:rPr>
      </w:pPr>
      <w:r w:rsidRPr="00561530">
        <w:rPr>
          <w:rFonts w:ascii="Times New Roman" w:hAnsi="Times New Roman"/>
        </w:rPr>
        <w:t>Frequencies are defined in accordance with current guidance, as: very common (≥ 1/10), common (≥ 1/100 to &lt;1/10); and uncommon (≥ 1/1,000 to &lt;1/100).</w:t>
      </w:r>
    </w:p>
    <w:p w14:paraId="7B7BD1F9" w14:textId="77777777" w:rsidR="00561530" w:rsidRPr="00561530" w:rsidRDefault="00561530" w:rsidP="00561530">
      <w:pPr>
        <w:rPr>
          <w:rFonts w:ascii="Times New Roman" w:hAnsi="Times New Roman"/>
        </w:rPr>
      </w:pPr>
      <w:r w:rsidRPr="00561530">
        <w:rPr>
          <w:rFonts w:ascii="Times New Roman" w:hAnsi="Times New Roman"/>
          <w:b/>
        </w:rPr>
        <w:t>Table 4:</w:t>
      </w:r>
      <w:r w:rsidRPr="00561530">
        <w:rPr>
          <w:rFonts w:ascii="Times New Roman" w:hAnsi="Times New Roman"/>
        </w:rPr>
        <w:t xml:space="preserve"> </w:t>
      </w:r>
      <w:r w:rsidRPr="00561530">
        <w:rPr>
          <w:rFonts w:ascii="Times New Roman" w:hAnsi="Times New Roman"/>
          <w:b/>
        </w:rPr>
        <w:t>Adverse Drug Reactions Reported in Patients Treated with REBLOZYL in the ACE-536-MDS-001 Study</w:t>
      </w:r>
    </w:p>
    <w:tbl>
      <w:tblPr>
        <w:tblStyle w:val="TableGrid"/>
        <w:tblW w:w="0" w:type="auto"/>
        <w:tblLook w:val="04A0" w:firstRow="1" w:lastRow="0" w:firstColumn="1" w:lastColumn="0" w:noHBand="0" w:noVBand="1"/>
      </w:tblPr>
      <w:tblGrid>
        <w:gridCol w:w="2222"/>
        <w:gridCol w:w="3138"/>
        <w:gridCol w:w="3134"/>
      </w:tblGrid>
      <w:tr w:rsidR="00561530" w:rsidRPr="00561530" w14:paraId="4D5AD328" w14:textId="77777777" w:rsidTr="00561530">
        <w:tc>
          <w:tcPr>
            <w:tcW w:w="2515" w:type="dxa"/>
          </w:tcPr>
          <w:p w14:paraId="58332C6D" w14:textId="77777777" w:rsidR="00561530" w:rsidRPr="00561530" w:rsidRDefault="00561530" w:rsidP="00561530">
            <w:pPr>
              <w:rPr>
                <w:rFonts w:ascii="Times New Roman" w:hAnsi="Times New Roman"/>
              </w:rPr>
            </w:pPr>
          </w:p>
        </w:tc>
        <w:tc>
          <w:tcPr>
            <w:tcW w:w="3420" w:type="dxa"/>
          </w:tcPr>
          <w:p w14:paraId="3E3C2BE3" w14:textId="77777777" w:rsidR="00561530" w:rsidRPr="00561530" w:rsidRDefault="00561530" w:rsidP="00561530">
            <w:pPr>
              <w:jc w:val="center"/>
              <w:rPr>
                <w:rFonts w:ascii="Times New Roman" w:hAnsi="Times New Roman"/>
                <w:b/>
              </w:rPr>
            </w:pPr>
            <w:r w:rsidRPr="00561530">
              <w:rPr>
                <w:rFonts w:ascii="Times New Roman" w:hAnsi="Times New Roman"/>
                <w:b/>
              </w:rPr>
              <w:t>All ADRs</w:t>
            </w:r>
          </w:p>
        </w:tc>
        <w:tc>
          <w:tcPr>
            <w:tcW w:w="3415" w:type="dxa"/>
          </w:tcPr>
          <w:p w14:paraId="256C7896" w14:textId="77777777" w:rsidR="00561530" w:rsidRPr="00561530" w:rsidRDefault="00561530" w:rsidP="00561530">
            <w:pPr>
              <w:jc w:val="center"/>
              <w:rPr>
                <w:rFonts w:ascii="Times New Roman" w:hAnsi="Times New Roman"/>
                <w:b/>
                <w:vertAlign w:val="superscript"/>
              </w:rPr>
            </w:pPr>
            <w:r w:rsidRPr="00561530">
              <w:rPr>
                <w:rFonts w:ascii="Times New Roman" w:hAnsi="Times New Roman"/>
                <w:b/>
              </w:rPr>
              <w:t xml:space="preserve">Grade 3/4 </w:t>
            </w:r>
            <w:proofErr w:type="spellStart"/>
            <w:r w:rsidRPr="00561530">
              <w:rPr>
                <w:rFonts w:ascii="Times New Roman" w:hAnsi="Times New Roman"/>
                <w:b/>
              </w:rPr>
              <w:t>ADRs</w:t>
            </w:r>
            <w:r w:rsidRPr="00561530">
              <w:rPr>
                <w:rFonts w:ascii="Times New Roman" w:hAnsi="Times New Roman"/>
                <w:b/>
                <w:vertAlign w:val="superscript"/>
              </w:rPr>
              <w:t>a</w:t>
            </w:r>
            <w:proofErr w:type="spellEnd"/>
          </w:p>
        </w:tc>
      </w:tr>
      <w:tr w:rsidR="00561530" w:rsidRPr="00561530" w14:paraId="72B2E159" w14:textId="77777777" w:rsidTr="00561530">
        <w:tc>
          <w:tcPr>
            <w:tcW w:w="9350" w:type="dxa"/>
            <w:gridSpan w:val="3"/>
            <w:shd w:val="clear" w:color="auto" w:fill="D9D9D9" w:themeFill="background1" w:themeFillShade="D9"/>
          </w:tcPr>
          <w:p w14:paraId="30637601" w14:textId="77777777" w:rsidR="00561530" w:rsidRPr="00561530" w:rsidRDefault="00561530" w:rsidP="00561530">
            <w:pPr>
              <w:rPr>
                <w:rFonts w:ascii="Times New Roman" w:hAnsi="Times New Roman"/>
                <w:b/>
              </w:rPr>
            </w:pPr>
            <w:r w:rsidRPr="00561530">
              <w:rPr>
                <w:rFonts w:ascii="Times New Roman" w:hAnsi="Times New Roman"/>
                <w:b/>
              </w:rPr>
              <w:t>Infections and Infestations</w:t>
            </w:r>
          </w:p>
        </w:tc>
      </w:tr>
      <w:tr w:rsidR="00561530" w:rsidRPr="00561530" w14:paraId="464361AE" w14:textId="77777777" w:rsidTr="00561530">
        <w:tc>
          <w:tcPr>
            <w:tcW w:w="2515" w:type="dxa"/>
          </w:tcPr>
          <w:p w14:paraId="537BFD21"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12A5F8A7" w14:textId="6D38D3DD" w:rsidR="00561530" w:rsidRPr="00561530" w:rsidRDefault="00561530" w:rsidP="00F91303">
            <w:pPr>
              <w:rPr>
                <w:rFonts w:ascii="Times New Roman" w:hAnsi="Times New Roman"/>
              </w:rPr>
            </w:pPr>
            <w:r w:rsidRPr="00561530">
              <w:rPr>
                <w:rFonts w:ascii="Times New Roman" w:hAnsi="Times New Roman"/>
              </w:rPr>
              <w:t>Bronchitis</w:t>
            </w:r>
            <w:r w:rsidR="00F91303">
              <w:rPr>
                <w:rFonts w:ascii="Times New Roman" w:hAnsi="Times New Roman"/>
              </w:rPr>
              <w:br/>
            </w:r>
            <w:r w:rsidRPr="00561530">
              <w:rPr>
                <w:rFonts w:ascii="Times New Roman" w:hAnsi="Times New Roman"/>
              </w:rPr>
              <w:t>Urinary tract infection</w:t>
            </w:r>
            <w:r w:rsidR="00F91303">
              <w:rPr>
                <w:rFonts w:ascii="Times New Roman" w:hAnsi="Times New Roman"/>
              </w:rPr>
              <w:br/>
            </w:r>
            <w:r w:rsidRPr="00561530">
              <w:rPr>
                <w:rFonts w:ascii="Times New Roman" w:hAnsi="Times New Roman"/>
              </w:rPr>
              <w:t>Upper respiratory tract infection</w:t>
            </w:r>
          </w:p>
        </w:tc>
        <w:tc>
          <w:tcPr>
            <w:tcW w:w="3415" w:type="dxa"/>
          </w:tcPr>
          <w:p w14:paraId="0440D54B" w14:textId="77777777" w:rsidR="00561530" w:rsidRPr="00561530" w:rsidRDefault="00561530" w:rsidP="00561530">
            <w:pPr>
              <w:rPr>
                <w:rFonts w:ascii="Times New Roman" w:hAnsi="Times New Roman"/>
              </w:rPr>
            </w:pPr>
          </w:p>
        </w:tc>
      </w:tr>
      <w:tr w:rsidR="00561530" w:rsidRPr="00561530" w14:paraId="042D3438" w14:textId="77777777" w:rsidTr="00561530">
        <w:tc>
          <w:tcPr>
            <w:tcW w:w="2515" w:type="dxa"/>
          </w:tcPr>
          <w:p w14:paraId="22073C56"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0AA266D8" w14:textId="77777777" w:rsidR="00561530" w:rsidRPr="00561530" w:rsidRDefault="00561530" w:rsidP="00561530">
            <w:pPr>
              <w:rPr>
                <w:rFonts w:ascii="Times New Roman" w:hAnsi="Times New Roman"/>
              </w:rPr>
            </w:pPr>
            <w:r w:rsidRPr="00561530">
              <w:rPr>
                <w:rFonts w:ascii="Times New Roman" w:hAnsi="Times New Roman"/>
              </w:rPr>
              <w:t>Influenza</w:t>
            </w:r>
          </w:p>
        </w:tc>
        <w:tc>
          <w:tcPr>
            <w:tcW w:w="3415" w:type="dxa"/>
          </w:tcPr>
          <w:p w14:paraId="1B862459" w14:textId="5D40695B" w:rsidR="00561530" w:rsidRPr="00561530" w:rsidRDefault="00561530" w:rsidP="00F91303">
            <w:pPr>
              <w:rPr>
                <w:rFonts w:ascii="Times New Roman" w:hAnsi="Times New Roman"/>
              </w:rPr>
            </w:pPr>
            <w:r w:rsidRPr="00561530">
              <w:rPr>
                <w:rFonts w:ascii="Times New Roman" w:hAnsi="Times New Roman"/>
              </w:rPr>
              <w:t>Bronchitis</w:t>
            </w:r>
            <w:r w:rsidR="00F91303">
              <w:rPr>
                <w:rFonts w:ascii="Times New Roman" w:hAnsi="Times New Roman"/>
              </w:rPr>
              <w:br/>
            </w:r>
            <w:r w:rsidRPr="00561530">
              <w:rPr>
                <w:rFonts w:ascii="Times New Roman" w:hAnsi="Times New Roman"/>
              </w:rPr>
              <w:t>Urinary tract infection</w:t>
            </w:r>
            <w:r w:rsidR="00F91303">
              <w:rPr>
                <w:rFonts w:ascii="Times New Roman" w:hAnsi="Times New Roman"/>
              </w:rPr>
              <w:br/>
            </w:r>
            <w:r w:rsidRPr="00561530">
              <w:rPr>
                <w:rFonts w:ascii="Times New Roman" w:hAnsi="Times New Roman"/>
              </w:rPr>
              <w:t>Upper respiratory tract infection</w:t>
            </w:r>
          </w:p>
        </w:tc>
      </w:tr>
      <w:tr w:rsidR="00561530" w:rsidRPr="00561530" w14:paraId="0463ED03" w14:textId="77777777" w:rsidTr="00561530">
        <w:tc>
          <w:tcPr>
            <w:tcW w:w="9350" w:type="dxa"/>
            <w:gridSpan w:val="3"/>
            <w:shd w:val="clear" w:color="auto" w:fill="D9D9D9" w:themeFill="background1" w:themeFillShade="D9"/>
          </w:tcPr>
          <w:p w14:paraId="5538F034" w14:textId="77777777" w:rsidR="00561530" w:rsidRPr="00561530" w:rsidRDefault="00561530" w:rsidP="00561530">
            <w:pPr>
              <w:rPr>
                <w:rFonts w:ascii="Times New Roman" w:hAnsi="Times New Roman"/>
                <w:b/>
              </w:rPr>
            </w:pPr>
            <w:r w:rsidRPr="00561530">
              <w:rPr>
                <w:rFonts w:ascii="Times New Roman" w:hAnsi="Times New Roman"/>
                <w:b/>
              </w:rPr>
              <w:t>Nervous System Disorders</w:t>
            </w:r>
          </w:p>
        </w:tc>
      </w:tr>
      <w:tr w:rsidR="00561530" w:rsidRPr="00561530" w14:paraId="7187E7CF" w14:textId="77777777" w:rsidTr="00561530">
        <w:tc>
          <w:tcPr>
            <w:tcW w:w="2515" w:type="dxa"/>
          </w:tcPr>
          <w:p w14:paraId="088831B5"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3108FCF3" w14:textId="305A7118" w:rsidR="00561530" w:rsidRPr="00561530" w:rsidRDefault="00561530" w:rsidP="00F91303">
            <w:pPr>
              <w:rPr>
                <w:rFonts w:ascii="Times New Roman" w:hAnsi="Times New Roman"/>
              </w:rPr>
            </w:pPr>
            <w:r w:rsidRPr="00561530">
              <w:rPr>
                <w:rFonts w:ascii="Times New Roman" w:hAnsi="Times New Roman"/>
              </w:rPr>
              <w:t>Dizziness</w:t>
            </w:r>
            <w:r w:rsidR="00F91303">
              <w:rPr>
                <w:rFonts w:ascii="Times New Roman" w:hAnsi="Times New Roman"/>
              </w:rPr>
              <w:br/>
            </w:r>
            <w:r w:rsidRPr="00561530">
              <w:rPr>
                <w:rFonts w:ascii="Times New Roman" w:hAnsi="Times New Roman"/>
              </w:rPr>
              <w:t>Headache</w:t>
            </w:r>
          </w:p>
        </w:tc>
        <w:tc>
          <w:tcPr>
            <w:tcW w:w="3415" w:type="dxa"/>
          </w:tcPr>
          <w:p w14:paraId="40DCCBEC" w14:textId="77777777" w:rsidR="00561530" w:rsidRPr="00561530" w:rsidRDefault="00561530" w:rsidP="00561530">
            <w:pPr>
              <w:rPr>
                <w:rFonts w:ascii="Times New Roman" w:hAnsi="Times New Roman"/>
              </w:rPr>
            </w:pPr>
          </w:p>
        </w:tc>
      </w:tr>
      <w:tr w:rsidR="00561530" w:rsidRPr="00561530" w14:paraId="08D402BB" w14:textId="77777777" w:rsidTr="00561530">
        <w:tc>
          <w:tcPr>
            <w:tcW w:w="2515" w:type="dxa"/>
          </w:tcPr>
          <w:p w14:paraId="05D4F08E"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551D30E8" w14:textId="77777777" w:rsidR="00561530" w:rsidRPr="00561530" w:rsidRDefault="00561530" w:rsidP="00561530">
            <w:pPr>
              <w:rPr>
                <w:rFonts w:ascii="Times New Roman" w:hAnsi="Times New Roman"/>
              </w:rPr>
            </w:pPr>
            <w:r w:rsidRPr="00561530">
              <w:rPr>
                <w:rFonts w:ascii="Times New Roman" w:hAnsi="Times New Roman"/>
              </w:rPr>
              <w:t>Syncope/presyncope</w:t>
            </w:r>
          </w:p>
        </w:tc>
        <w:tc>
          <w:tcPr>
            <w:tcW w:w="3415" w:type="dxa"/>
          </w:tcPr>
          <w:p w14:paraId="3CEA6FE9" w14:textId="3EDD0F48" w:rsidR="00561530" w:rsidRPr="00561530" w:rsidRDefault="00561530" w:rsidP="00F91303">
            <w:pPr>
              <w:rPr>
                <w:rFonts w:ascii="Times New Roman" w:hAnsi="Times New Roman"/>
              </w:rPr>
            </w:pPr>
            <w:r w:rsidRPr="00561530">
              <w:rPr>
                <w:rFonts w:ascii="Times New Roman" w:hAnsi="Times New Roman"/>
              </w:rPr>
              <w:t>Headache</w:t>
            </w:r>
            <w:r w:rsidR="00F91303">
              <w:rPr>
                <w:rFonts w:ascii="Times New Roman" w:hAnsi="Times New Roman"/>
              </w:rPr>
              <w:br/>
            </w:r>
            <w:r w:rsidRPr="00561530">
              <w:rPr>
                <w:rFonts w:ascii="Times New Roman" w:hAnsi="Times New Roman"/>
              </w:rPr>
              <w:t>Syncope/presyncope</w:t>
            </w:r>
          </w:p>
        </w:tc>
      </w:tr>
      <w:tr w:rsidR="00561530" w:rsidRPr="00561530" w14:paraId="7904F584" w14:textId="77777777" w:rsidTr="00561530">
        <w:tc>
          <w:tcPr>
            <w:tcW w:w="9350" w:type="dxa"/>
            <w:gridSpan w:val="3"/>
            <w:shd w:val="clear" w:color="auto" w:fill="D9D9D9" w:themeFill="background1" w:themeFillShade="D9"/>
          </w:tcPr>
          <w:p w14:paraId="4879858B" w14:textId="77777777" w:rsidR="00561530" w:rsidRPr="00561530" w:rsidRDefault="00561530" w:rsidP="00561530">
            <w:pPr>
              <w:rPr>
                <w:rFonts w:ascii="Times New Roman" w:hAnsi="Times New Roman"/>
              </w:rPr>
            </w:pPr>
            <w:r w:rsidRPr="00561530">
              <w:rPr>
                <w:rFonts w:ascii="Times New Roman" w:hAnsi="Times New Roman"/>
                <w:b/>
              </w:rPr>
              <w:t>Ear and Labyrinth Disorders</w:t>
            </w:r>
          </w:p>
        </w:tc>
      </w:tr>
      <w:tr w:rsidR="00561530" w:rsidRPr="00561530" w14:paraId="1FDC9277" w14:textId="77777777" w:rsidTr="00561530">
        <w:tc>
          <w:tcPr>
            <w:tcW w:w="2515" w:type="dxa"/>
          </w:tcPr>
          <w:p w14:paraId="4E4BC8DB"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4C6555CB" w14:textId="77777777" w:rsidR="00561530" w:rsidRPr="00561530" w:rsidRDefault="00561530" w:rsidP="00561530">
            <w:pPr>
              <w:rPr>
                <w:rFonts w:ascii="Times New Roman" w:hAnsi="Times New Roman"/>
              </w:rPr>
            </w:pPr>
            <w:r w:rsidRPr="00561530">
              <w:rPr>
                <w:rFonts w:ascii="Times New Roman" w:hAnsi="Times New Roman"/>
              </w:rPr>
              <w:t>Vertigo + vertigo positional</w:t>
            </w:r>
          </w:p>
        </w:tc>
        <w:tc>
          <w:tcPr>
            <w:tcW w:w="3415" w:type="dxa"/>
          </w:tcPr>
          <w:p w14:paraId="66993D96" w14:textId="77777777" w:rsidR="00561530" w:rsidRPr="00561530" w:rsidRDefault="00561530" w:rsidP="00561530">
            <w:pPr>
              <w:rPr>
                <w:rFonts w:ascii="Times New Roman" w:hAnsi="Times New Roman"/>
              </w:rPr>
            </w:pPr>
          </w:p>
        </w:tc>
      </w:tr>
      <w:tr w:rsidR="00561530" w:rsidRPr="00561530" w14:paraId="47765AC7" w14:textId="77777777" w:rsidTr="00561530">
        <w:tc>
          <w:tcPr>
            <w:tcW w:w="9350" w:type="dxa"/>
            <w:gridSpan w:val="3"/>
            <w:shd w:val="clear" w:color="auto" w:fill="D9D9D9" w:themeFill="background1" w:themeFillShade="D9"/>
          </w:tcPr>
          <w:p w14:paraId="6BEB9314" w14:textId="77777777" w:rsidR="00561530" w:rsidRPr="00561530" w:rsidRDefault="00561530" w:rsidP="00561530">
            <w:pPr>
              <w:rPr>
                <w:rFonts w:ascii="Times New Roman" w:hAnsi="Times New Roman"/>
              </w:rPr>
            </w:pPr>
            <w:r w:rsidRPr="00561530">
              <w:rPr>
                <w:rFonts w:ascii="Times New Roman" w:hAnsi="Times New Roman"/>
                <w:b/>
              </w:rPr>
              <w:t>Vascular Disorders</w:t>
            </w:r>
          </w:p>
        </w:tc>
      </w:tr>
      <w:tr w:rsidR="00561530" w:rsidRPr="00561530" w14:paraId="5F815161" w14:textId="77777777" w:rsidTr="00561530">
        <w:tc>
          <w:tcPr>
            <w:tcW w:w="2515" w:type="dxa"/>
          </w:tcPr>
          <w:p w14:paraId="22856F84"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7413F204" w14:textId="77777777" w:rsidR="00561530" w:rsidRPr="00561530" w:rsidRDefault="00561530" w:rsidP="00561530">
            <w:pPr>
              <w:rPr>
                <w:rFonts w:ascii="Times New Roman" w:hAnsi="Times New Roman"/>
              </w:rPr>
            </w:pPr>
            <w:r w:rsidRPr="00561530">
              <w:rPr>
                <w:rFonts w:ascii="Times New Roman" w:hAnsi="Times New Roman"/>
              </w:rPr>
              <w:t>Hypertension</w:t>
            </w:r>
          </w:p>
        </w:tc>
        <w:tc>
          <w:tcPr>
            <w:tcW w:w="3415" w:type="dxa"/>
          </w:tcPr>
          <w:p w14:paraId="3C388634" w14:textId="77777777" w:rsidR="00561530" w:rsidRPr="00561530" w:rsidRDefault="00561530" w:rsidP="00561530">
            <w:pPr>
              <w:rPr>
                <w:rFonts w:ascii="Times New Roman" w:hAnsi="Times New Roman"/>
              </w:rPr>
            </w:pPr>
            <w:r w:rsidRPr="00561530">
              <w:rPr>
                <w:rFonts w:ascii="Times New Roman" w:hAnsi="Times New Roman"/>
              </w:rPr>
              <w:t>Hypertension</w:t>
            </w:r>
          </w:p>
        </w:tc>
      </w:tr>
      <w:tr w:rsidR="00561530" w:rsidRPr="00561530" w14:paraId="6C041EAA" w14:textId="77777777" w:rsidTr="00561530">
        <w:tc>
          <w:tcPr>
            <w:tcW w:w="9350" w:type="dxa"/>
            <w:gridSpan w:val="3"/>
            <w:shd w:val="clear" w:color="auto" w:fill="D9D9D9" w:themeFill="background1" w:themeFillShade="D9"/>
          </w:tcPr>
          <w:p w14:paraId="7F1BE3EE" w14:textId="77777777" w:rsidR="00561530" w:rsidRPr="00561530" w:rsidRDefault="00561530" w:rsidP="00561530">
            <w:pPr>
              <w:rPr>
                <w:rFonts w:ascii="Times New Roman" w:hAnsi="Times New Roman"/>
              </w:rPr>
            </w:pPr>
            <w:r w:rsidRPr="00561530">
              <w:rPr>
                <w:rFonts w:ascii="Times New Roman" w:hAnsi="Times New Roman"/>
                <w:b/>
              </w:rPr>
              <w:t>Respiratory, Thoracic and Mediastinal Disorders</w:t>
            </w:r>
          </w:p>
        </w:tc>
      </w:tr>
      <w:tr w:rsidR="00561530" w:rsidRPr="00561530" w14:paraId="5BF323B1" w14:textId="77777777" w:rsidTr="00561530">
        <w:tc>
          <w:tcPr>
            <w:tcW w:w="2515" w:type="dxa"/>
          </w:tcPr>
          <w:p w14:paraId="75194DAD"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66C5D1AB" w14:textId="77777777" w:rsidR="00561530" w:rsidRPr="00561530" w:rsidRDefault="00561530" w:rsidP="00561530">
            <w:pPr>
              <w:rPr>
                <w:rFonts w:ascii="Times New Roman" w:hAnsi="Times New Roman"/>
              </w:rPr>
            </w:pPr>
            <w:r w:rsidRPr="00561530">
              <w:rPr>
                <w:rFonts w:ascii="Times New Roman" w:hAnsi="Times New Roman"/>
              </w:rPr>
              <w:t>Dyspnoea</w:t>
            </w:r>
          </w:p>
        </w:tc>
        <w:tc>
          <w:tcPr>
            <w:tcW w:w="3415" w:type="dxa"/>
          </w:tcPr>
          <w:p w14:paraId="4E0975A5" w14:textId="77777777" w:rsidR="00561530" w:rsidRPr="00561530" w:rsidRDefault="00561530" w:rsidP="00561530">
            <w:pPr>
              <w:rPr>
                <w:rFonts w:ascii="Times New Roman" w:hAnsi="Times New Roman"/>
              </w:rPr>
            </w:pPr>
          </w:p>
        </w:tc>
      </w:tr>
      <w:tr w:rsidR="00561530" w:rsidRPr="00561530" w14:paraId="632C2868" w14:textId="77777777" w:rsidTr="00561530">
        <w:tc>
          <w:tcPr>
            <w:tcW w:w="2515" w:type="dxa"/>
          </w:tcPr>
          <w:p w14:paraId="19AD1498"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1FFBD626" w14:textId="77777777" w:rsidR="00561530" w:rsidRPr="00561530" w:rsidRDefault="00561530" w:rsidP="00561530">
            <w:pPr>
              <w:rPr>
                <w:rFonts w:ascii="Times New Roman" w:hAnsi="Times New Roman"/>
              </w:rPr>
            </w:pPr>
          </w:p>
        </w:tc>
        <w:tc>
          <w:tcPr>
            <w:tcW w:w="3415" w:type="dxa"/>
          </w:tcPr>
          <w:p w14:paraId="1B533BDC" w14:textId="77777777" w:rsidR="00561530" w:rsidRPr="00561530" w:rsidRDefault="00561530" w:rsidP="00561530">
            <w:pPr>
              <w:rPr>
                <w:rFonts w:ascii="Times New Roman" w:hAnsi="Times New Roman"/>
              </w:rPr>
            </w:pPr>
            <w:r w:rsidRPr="00561530">
              <w:rPr>
                <w:rFonts w:ascii="Times New Roman" w:hAnsi="Times New Roman"/>
              </w:rPr>
              <w:t>Dyspnoea</w:t>
            </w:r>
          </w:p>
        </w:tc>
      </w:tr>
      <w:tr w:rsidR="00561530" w:rsidRPr="00561530" w14:paraId="007BEE85" w14:textId="77777777" w:rsidTr="00561530">
        <w:tc>
          <w:tcPr>
            <w:tcW w:w="9350" w:type="dxa"/>
            <w:gridSpan w:val="3"/>
            <w:shd w:val="clear" w:color="auto" w:fill="D9D9D9" w:themeFill="background1" w:themeFillShade="D9"/>
          </w:tcPr>
          <w:p w14:paraId="3017148B" w14:textId="77777777" w:rsidR="00561530" w:rsidRPr="00561530" w:rsidRDefault="00561530" w:rsidP="00561530">
            <w:pPr>
              <w:rPr>
                <w:rFonts w:ascii="Times New Roman" w:hAnsi="Times New Roman"/>
              </w:rPr>
            </w:pPr>
            <w:r w:rsidRPr="00561530">
              <w:rPr>
                <w:rFonts w:ascii="Times New Roman" w:hAnsi="Times New Roman"/>
                <w:b/>
              </w:rPr>
              <w:t>Gastrointestinal Disorders</w:t>
            </w:r>
          </w:p>
        </w:tc>
      </w:tr>
      <w:tr w:rsidR="00561530" w:rsidRPr="00561530" w14:paraId="1561108C" w14:textId="77777777" w:rsidTr="00561530">
        <w:tc>
          <w:tcPr>
            <w:tcW w:w="2515" w:type="dxa"/>
          </w:tcPr>
          <w:p w14:paraId="2D7A0583"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3D3237FA" w14:textId="77777777" w:rsidR="00561530" w:rsidRPr="00561530" w:rsidRDefault="00561530" w:rsidP="00561530">
            <w:pPr>
              <w:rPr>
                <w:rFonts w:ascii="Times New Roman" w:hAnsi="Times New Roman"/>
              </w:rPr>
            </w:pPr>
            <w:r w:rsidRPr="00561530">
              <w:rPr>
                <w:rFonts w:ascii="Times New Roman" w:hAnsi="Times New Roman"/>
              </w:rPr>
              <w:t>Diarrhea</w:t>
            </w:r>
          </w:p>
          <w:p w14:paraId="4A9A3871" w14:textId="77777777" w:rsidR="00561530" w:rsidRPr="00561530" w:rsidRDefault="00561530" w:rsidP="00561530">
            <w:pPr>
              <w:rPr>
                <w:rFonts w:ascii="Times New Roman" w:hAnsi="Times New Roman"/>
              </w:rPr>
            </w:pPr>
            <w:r w:rsidRPr="00561530">
              <w:rPr>
                <w:rFonts w:ascii="Times New Roman" w:hAnsi="Times New Roman"/>
              </w:rPr>
              <w:t>Nausea</w:t>
            </w:r>
          </w:p>
        </w:tc>
        <w:tc>
          <w:tcPr>
            <w:tcW w:w="3415" w:type="dxa"/>
          </w:tcPr>
          <w:p w14:paraId="19741547" w14:textId="77777777" w:rsidR="00561530" w:rsidRPr="00561530" w:rsidRDefault="00561530" w:rsidP="00561530">
            <w:pPr>
              <w:rPr>
                <w:rFonts w:ascii="Times New Roman" w:hAnsi="Times New Roman"/>
              </w:rPr>
            </w:pPr>
          </w:p>
        </w:tc>
      </w:tr>
      <w:tr w:rsidR="00561530" w:rsidRPr="00561530" w14:paraId="1F135596" w14:textId="77777777" w:rsidTr="00561530">
        <w:tc>
          <w:tcPr>
            <w:tcW w:w="2515" w:type="dxa"/>
          </w:tcPr>
          <w:p w14:paraId="47C496D6"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5BDB70A0" w14:textId="77777777" w:rsidR="00561530" w:rsidRPr="00561530" w:rsidRDefault="00561530" w:rsidP="00561530">
            <w:pPr>
              <w:rPr>
                <w:rFonts w:ascii="Times New Roman" w:hAnsi="Times New Roman"/>
              </w:rPr>
            </w:pPr>
          </w:p>
        </w:tc>
        <w:tc>
          <w:tcPr>
            <w:tcW w:w="3415" w:type="dxa"/>
          </w:tcPr>
          <w:p w14:paraId="0C7C7EA6" w14:textId="77777777" w:rsidR="00561530" w:rsidRPr="00561530" w:rsidRDefault="00561530" w:rsidP="00561530">
            <w:pPr>
              <w:rPr>
                <w:rFonts w:ascii="Times New Roman" w:hAnsi="Times New Roman"/>
              </w:rPr>
            </w:pPr>
            <w:r w:rsidRPr="00561530">
              <w:rPr>
                <w:rFonts w:ascii="Times New Roman" w:hAnsi="Times New Roman"/>
              </w:rPr>
              <w:t>Nausea</w:t>
            </w:r>
          </w:p>
        </w:tc>
      </w:tr>
      <w:tr w:rsidR="00561530" w:rsidRPr="00561530" w14:paraId="4A1F8907" w14:textId="77777777" w:rsidTr="00561530">
        <w:tc>
          <w:tcPr>
            <w:tcW w:w="9350" w:type="dxa"/>
            <w:gridSpan w:val="3"/>
            <w:shd w:val="clear" w:color="auto" w:fill="D9D9D9" w:themeFill="background1" w:themeFillShade="D9"/>
          </w:tcPr>
          <w:p w14:paraId="43C72692" w14:textId="77777777" w:rsidR="00561530" w:rsidRPr="00561530" w:rsidRDefault="00561530" w:rsidP="00561530">
            <w:pPr>
              <w:rPr>
                <w:rFonts w:ascii="Times New Roman" w:hAnsi="Times New Roman"/>
              </w:rPr>
            </w:pPr>
            <w:r w:rsidRPr="00561530">
              <w:rPr>
                <w:rFonts w:ascii="Times New Roman" w:hAnsi="Times New Roman"/>
                <w:b/>
              </w:rPr>
              <w:t>Musculoskeletal and Connective Tissue Disorders</w:t>
            </w:r>
          </w:p>
        </w:tc>
      </w:tr>
      <w:tr w:rsidR="00561530" w:rsidRPr="00561530" w14:paraId="06074422" w14:textId="77777777" w:rsidTr="00561530">
        <w:tc>
          <w:tcPr>
            <w:tcW w:w="2515" w:type="dxa"/>
          </w:tcPr>
          <w:p w14:paraId="36D8B127"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3210F651" w14:textId="77777777" w:rsidR="00561530" w:rsidRPr="00561530" w:rsidRDefault="00561530" w:rsidP="00561530">
            <w:pPr>
              <w:rPr>
                <w:rFonts w:ascii="Times New Roman" w:hAnsi="Times New Roman"/>
              </w:rPr>
            </w:pPr>
            <w:r w:rsidRPr="00561530">
              <w:rPr>
                <w:rFonts w:ascii="Times New Roman" w:hAnsi="Times New Roman"/>
              </w:rPr>
              <w:t>Back pain</w:t>
            </w:r>
          </w:p>
        </w:tc>
        <w:tc>
          <w:tcPr>
            <w:tcW w:w="3415" w:type="dxa"/>
          </w:tcPr>
          <w:p w14:paraId="4FC65066" w14:textId="77777777" w:rsidR="00561530" w:rsidRPr="00561530" w:rsidRDefault="00561530" w:rsidP="00561530">
            <w:pPr>
              <w:rPr>
                <w:rFonts w:ascii="Times New Roman" w:hAnsi="Times New Roman"/>
              </w:rPr>
            </w:pPr>
          </w:p>
        </w:tc>
      </w:tr>
      <w:tr w:rsidR="00561530" w:rsidRPr="00561530" w14:paraId="2D507D86" w14:textId="77777777" w:rsidTr="00561530">
        <w:tc>
          <w:tcPr>
            <w:tcW w:w="2515" w:type="dxa"/>
          </w:tcPr>
          <w:p w14:paraId="5FCD6F1E"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672CB686" w14:textId="77777777" w:rsidR="00561530" w:rsidRPr="00561530" w:rsidRDefault="00561530" w:rsidP="00561530">
            <w:pPr>
              <w:rPr>
                <w:rFonts w:ascii="Times New Roman" w:hAnsi="Times New Roman"/>
              </w:rPr>
            </w:pPr>
          </w:p>
        </w:tc>
        <w:tc>
          <w:tcPr>
            <w:tcW w:w="3415" w:type="dxa"/>
          </w:tcPr>
          <w:p w14:paraId="396330B6" w14:textId="77777777" w:rsidR="00561530" w:rsidRPr="00561530" w:rsidRDefault="00561530" w:rsidP="00561530">
            <w:pPr>
              <w:rPr>
                <w:rFonts w:ascii="Times New Roman" w:hAnsi="Times New Roman"/>
              </w:rPr>
            </w:pPr>
            <w:r w:rsidRPr="00561530">
              <w:rPr>
                <w:rFonts w:ascii="Times New Roman" w:hAnsi="Times New Roman"/>
              </w:rPr>
              <w:t>Back pain</w:t>
            </w:r>
          </w:p>
        </w:tc>
      </w:tr>
      <w:tr w:rsidR="00561530" w:rsidRPr="00561530" w14:paraId="1D7EB423" w14:textId="77777777" w:rsidTr="00561530">
        <w:tc>
          <w:tcPr>
            <w:tcW w:w="9350" w:type="dxa"/>
            <w:gridSpan w:val="3"/>
            <w:shd w:val="clear" w:color="auto" w:fill="D9D9D9" w:themeFill="background1" w:themeFillShade="D9"/>
          </w:tcPr>
          <w:p w14:paraId="03EC5B7E" w14:textId="77777777" w:rsidR="00561530" w:rsidRPr="00561530" w:rsidRDefault="00561530" w:rsidP="00561530">
            <w:pPr>
              <w:rPr>
                <w:rFonts w:ascii="Times New Roman" w:hAnsi="Times New Roman"/>
              </w:rPr>
            </w:pPr>
            <w:r w:rsidRPr="00561530">
              <w:rPr>
                <w:rFonts w:ascii="Times New Roman" w:hAnsi="Times New Roman"/>
                <w:b/>
              </w:rPr>
              <w:t>General Disorders and Administration Site Conditions</w:t>
            </w:r>
          </w:p>
        </w:tc>
      </w:tr>
      <w:tr w:rsidR="00561530" w:rsidRPr="00561530" w14:paraId="04686C80" w14:textId="77777777" w:rsidTr="00561530">
        <w:tc>
          <w:tcPr>
            <w:tcW w:w="2515" w:type="dxa"/>
          </w:tcPr>
          <w:p w14:paraId="20D16182"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420" w:type="dxa"/>
          </w:tcPr>
          <w:p w14:paraId="1B9673F2" w14:textId="77777777" w:rsidR="00561530" w:rsidRPr="00561530" w:rsidRDefault="00561530" w:rsidP="00561530">
            <w:pPr>
              <w:rPr>
                <w:rFonts w:ascii="Times New Roman" w:hAnsi="Times New Roman"/>
              </w:rPr>
            </w:pPr>
            <w:r w:rsidRPr="00561530">
              <w:rPr>
                <w:rFonts w:ascii="Times New Roman" w:hAnsi="Times New Roman"/>
              </w:rPr>
              <w:t>Fatigue</w:t>
            </w:r>
          </w:p>
          <w:p w14:paraId="75EADBD5" w14:textId="77777777" w:rsidR="00561530" w:rsidRPr="00561530" w:rsidRDefault="00561530" w:rsidP="00561530">
            <w:pPr>
              <w:rPr>
                <w:rFonts w:ascii="Times New Roman" w:hAnsi="Times New Roman"/>
              </w:rPr>
            </w:pPr>
            <w:r w:rsidRPr="00561530">
              <w:rPr>
                <w:rFonts w:ascii="Times New Roman" w:hAnsi="Times New Roman"/>
              </w:rPr>
              <w:t>Asthenia</w:t>
            </w:r>
          </w:p>
        </w:tc>
        <w:tc>
          <w:tcPr>
            <w:tcW w:w="3415" w:type="dxa"/>
          </w:tcPr>
          <w:p w14:paraId="4E00812D" w14:textId="77777777" w:rsidR="00561530" w:rsidRPr="00561530" w:rsidRDefault="00561530" w:rsidP="00561530">
            <w:pPr>
              <w:rPr>
                <w:rFonts w:ascii="Times New Roman" w:hAnsi="Times New Roman"/>
              </w:rPr>
            </w:pPr>
          </w:p>
        </w:tc>
      </w:tr>
      <w:tr w:rsidR="00561530" w:rsidRPr="00561530" w14:paraId="3069614C" w14:textId="77777777" w:rsidTr="00561530">
        <w:tc>
          <w:tcPr>
            <w:tcW w:w="2515" w:type="dxa"/>
          </w:tcPr>
          <w:p w14:paraId="3517131D"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420" w:type="dxa"/>
          </w:tcPr>
          <w:p w14:paraId="5145043E" w14:textId="77777777" w:rsidR="00561530" w:rsidRPr="00561530" w:rsidRDefault="00561530" w:rsidP="00561530">
            <w:pPr>
              <w:rPr>
                <w:rFonts w:ascii="Times New Roman" w:hAnsi="Times New Roman"/>
              </w:rPr>
            </w:pPr>
          </w:p>
        </w:tc>
        <w:tc>
          <w:tcPr>
            <w:tcW w:w="3415" w:type="dxa"/>
          </w:tcPr>
          <w:p w14:paraId="5FC0AE04" w14:textId="77777777" w:rsidR="00561530" w:rsidRPr="00561530" w:rsidRDefault="00561530" w:rsidP="00561530">
            <w:pPr>
              <w:rPr>
                <w:rFonts w:ascii="Times New Roman" w:hAnsi="Times New Roman"/>
              </w:rPr>
            </w:pPr>
            <w:r w:rsidRPr="00561530">
              <w:rPr>
                <w:rFonts w:ascii="Times New Roman" w:hAnsi="Times New Roman"/>
              </w:rPr>
              <w:t>Fatigue</w:t>
            </w:r>
          </w:p>
          <w:p w14:paraId="7DE0B414" w14:textId="77777777" w:rsidR="00561530" w:rsidRPr="00561530" w:rsidRDefault="00561530" w:rsidP="00561530">
            <w:pPr>
              <w:rPr>
                <w:rFonts w:ascii="Times New Roman" w:hAnsi="Times New Roman"/>
              </w:rPr>
            </w:pPr>
            <w:r w:rsidRPr="00561530">
              <w:rPr>
                <w:rFonts w:ascii="Times New Roman" w:hAnsi="Times New Roman"/>
              </w:rPr>
              <w:t>Asthenia</w:t>
            </w:r>
          </w:p>
        </w:tc>
      </w:tr>
    </w:tbl>
    <w:p w14:paraId="55C6682A" w14:textId="77777777" w:rsidR="00561530" w:rsidRPr="00561530" w:rsidRDefault="00561530" w:rsidP="00561530">
      <w:pPr>
        <w:rPr>
          <w:rFonts w:ascii="Times New Roman" w:hAnsi="Times New Roman"/>
          <w:sz w:val="18"/>
          <w:szCs w:val="18"/>
        </w:rPr>
      </w:pPr>
      <w:proofErr w:type="spellStart"/>
      <w:r w:rsidRPr="00561530">
        <w:rPr>
          <w:rFonts w:ascii="Times New Roman" w:hAnsi="Times New Roman"/>
          <w:sz w:val="18"/>
          <w:szCs w:val="18"/>
          <w:vertAlign w:val="superscript"/>
        </w:rPr>
        <w:t>a</w:t>
      </w:r>
      <w:proofErr w:type="spellEnd"/>
      <w:r w:rsidRPr="00561530">
        <w:rPr>
          <w:rFonts w:ascii="Times New Roman" w:hAnsi="Times New Roman"/>
          <w:sz w:val="18"/>
          <w:szCs w:val="18"/>
          <w:vertAlign w:val="superscript"/>
        </w:rPr>
        <w:t xml:space="preserve"> </w:t>
      </w:r>
      <w:r w:rsidRPr="00561530">
        <w:rPr>
          <w:rFonts w:ascii="Times New Roman" w:hAnsi="Times New Roman"/>
          <w:sz w:val="18"/>
          <w:szCs w:val="18"/>
        </w:rPr>
        <w:t>All data included are for Grade 3 events. There were no Grade 4 events.</w:t>
      </w:r>
    </w:p>
    <w:p w14:paraId="3796FF01" w14:textId="77777777" w:rsidR="00561530" w:rsidRPr="00561530" w:rsidRDefault="00561530" w:rsidP="00561530">
      <w:pPr>
        <w:rPr>
          <w:rFonts w:ascii="Times New Roman" w:hAnsi="Times New Roman"/>
        </w:rPr>
      </w:pPr>
    </w:p>
    <w:p w14:paraId="36C1AAD9" w14:textId="77777777" w:rsidR="00561530" w:rsidRPr="00561530" w:rsidRDefault="00561530" w:rsidP="00561530">
      <w:pPr>
        <w:rPr>
          <w:rFonts w:ascii="Times New Roman" w:hAnsi="Times New Roman"/>
          <w:b/>
        </w:rPr>
      </w:pPr>
      <w:r w:rsidRPr="00561530">
        <w:rPr>
          <w:rFonts w:ascii="Times New Roman" w:hAnsi="Times New Roman"/>
          <w:b/>
        </w:rPr>
        <w:t>β-Thalassaemia</w:t>
      </w:r>
    </w:p>
    <w:p w14:paraId="3EC4065F" w14:textId="77777777" w:rsidR="00561530" w:rsidRPr="00561530" w:rsidRDefault="00561530" w:rsidP="00561530">
      <w:pPr>
        <w:rPr>
          <w:rFonts w:ascii="Times New Roman" w:hAnsi="Times New Roman"/>
          <w:u w:val="single"/>
        </w:rPr>
      </w:pPr>
      <w:r w:rsidRPr="00561530">
        <w:rPr>
          <w:rFonts w:ascii="Times New Roman" w:hAnsi="Times New Roman"/>
          <w:u w:val="single"/>
        </w:rPr>
        <w:t>Tabulated Summary of Adverse Events</w:t>
      </w:r>
    </w:p>
    <w:p w14:paraId="0135458E" w14:textId="77777777" w:rsidR="00561530" w:rsidRPr="00561530" w:rsidRDefault="00561530" w:rsidP="00561530">
      <w:pPr>
        <w:rPr>
          <w:rFonts w:ascii="Times New Roman" w:hAnsi="Times New Roman"/>
        </w:rPr>
      </w:pPr>
      <w:r w:rsidRPr="00561530">
        <w:rPr>
          <w:rFonts w:ascii="Times New Roman" w:hAnsi="Times New Roman"/>
        </w:rPr>
        <w:t xml:space="preserve">A list of the treatment-emergent adverse events (TEAEs) that occurred at a frequency ≥ 10% in any arm are provided in </w:t>
      </w:r>
      <w:r w:rsidRPr="00561530">
        <w:rPr>
          <w:rFonts w:ascii="Times New Roman" w:hAnsi="Times New Roman"/>
          <w:b/>
          <w:bCs/>
        </w:rPr>
        <w:t>Table 5</w:t>
      </w:r>
      <w:r w:rsidRPr="00561530">
        <w:rPr>
          <w:rFonts w:ascii="Times New Roman" w:hAnsi="Times New Roman"/>
        </w:rPr>
        <w:t xml:space="preserve"> below.</w:t>
      </w:r>
    </w:p>
    <w:p w14:paraId="73BA004C" w14:textId="77777777" w:rsidR="00561530" w:rsidRPr="00561530" w:rsidRDefault="00561530" w:rsidP="00F91303">
      <w:pPr>
        <w:pageBreakBefore/>
        <w:autoSpaceDE w:val="0"/>
        <w:autoSpaceDN w:val="0"/>
        <w:adjustRightInd w:val="0"/>
        <w:rPr>
          <w:rFonts w:ascii="Times New Roman" w:hAnsi="Times New Roman"/>
          <w:szCs w:val="24"/>
        </w:rPr>
      </w:pPr>
      <w:r w:rsidRPr="00561530">
        <w:rPr>
          <w:rFonts w:ascii="Times New Roman" w:hAnsi="Times New Roman"/>
          <w:b/>
          <w:szCs w:val="24"/>
        </w:rPr>
        <w:t>Table 5: Most Frequently Reported TEAEs in ACE-536-B-THAL-001 (≥ 10.0%)</w:t>
      </w:r>
    </w:p>
    <w:tbl>
      <w:tblPr>
        <w:tblStyle w:val="TableGrid"/>
        <w:tblW w:w="0" w:type="auto"/>
        <w:tblLook w:val="04A0" w:firstRow="1" w:lastRow="0" w:firstColumn="1" w:lastColumn="0" w:noHBand="0" w:noVBand="1"/>
      </w:tblPr>
      <w:tblGrid>
        <w:gridCol w:w="4609"/>
        <w:gridCol w:w="1959"/>
        <w:gridCol w:w="1926"/>
      </w:tblGrid>
      <w:tr w:rsidR="00561530" w:rsidRPr="00561530" w14:paraId="2739905E" w14:textId="77777777" w:rsidTr="00561530">
        <w:tc>
          <w:tcPr>
            <w:tcW w:w="5215" w:type="dxa"/>
          </w:tcPr>
          <w:p w14:paraId="41AA47CA" w14:textId="77777777" w:rsidR="00561530" w:rsidRPr="00561530" w:rsidRDefault="00561530" w:rsidP="00561530">
            <w:pPr>
              <w:autoSpaceDE w:val="0"/>
              <w:autoSpaceDN w:val="0"/>
              <w:adjustRightInd w:val="0"/>
              <w:rPr>
                <w:rFonts w:ascii="Times New Roman" w:hAnsi="Times New Roman"/>
                <w:b/>
                <w:szCs w:val="24"/>
              </w:rPr>
            </w:pPr>
            <w:r w:rsidRPr="00561530">
              <w:rPr>
                <w:rFonts w:ascii="Times New Roman" w:hAnsi="Times New Roman"/>
                <w:b/>
              </w:rPr>
              <w:t>Adverse Events</w:t>
            </w:r>
          </w:p>
        </w:tc>
        <w:tc>
          <w:tcPr>
            <w:tcW w:w="2070" w:type="dxa"/>
          </w:tcPr>
          <w:p w14:paraId="3C90F037"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 xml:space="preserve">% occurrence in REBLOZYL arm </w:t>
            </w:r>
          </w:p>
          <w:p w14:paraId="1F5C5409"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rPr>
              <w:t>(N = 223)</w:t>
            </w:r>
          </w:p>
        </w:tc>
        <w:tc>
          <w:tcPr>
            <w:tcW w:w="2065" w:type="dxa"/>
          </w:tcPr>
          <w:p w14:paraId="34109FE2"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 xml:space="preserve">% occurrence in </w:t>
            </w:r>
          </w:p>
          <w:p w14:paraId="7CD266EE" w14:textId="77777777" w:rsidR="00561530" w:rsidRPr="00561530" w:rsidRDefault="00561530" w:rsidP="00561530">
            <w:pPr>
              <w:autoSpaceDE w:val="0"/>
              <w:autoSpaceDN w:val="0"/>
              <w:adjustRightInd w:val="0"/>
              <w:jc w:val="center"/>
              <w:rPr>
                <w:rFonts w:ascii="Times New Roman" w:hAnsi="Times New Roman"/>
                <w:b/>
              </w:rPr>
            </w:pPr>
            <w:r w:rsidRPr="00561530">
              <w:rPr>
                <w:rFonts w:ascii="Times New Roman" w:hAnsi="Times New Roman"/>
                <w:b/>
              </w:rPr>
              <w:t xml:space="preserve">Placebo arm </w:t>
            </w:r>
          </w:p>
          <w:p w14:paraId="2EC3C3C1"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rPr>
              <w:t>(N = 109)</w:t>
            </w:r>
          </w:p>
        </w:tc>
      </w:tr>
      <w:tr w:rsidR="00561530" w:rsidRPr="00561530" w14:paraId="2AC76ED2" w14:textId="77777777" w:rsidTr="00561530">
        <w:tc>
          <w:tcPr>
            <w:tcW w:w="9350" w:type="dxa"/>
            <w:gridSpan w:val="3"/>
            <w:shd w:val="clear" w:color="auto" w:fill="D9D9D9" w:themeFill="background1" w:themeFillShade="D9"/>
          </w:tcPr>
          <w:p w14:paraId="6664240A" w14:textId="77777777" w:rsidR="00561530" w:rsidRPr="00561530" w:rsidRDefault="00561530" w:rsidP="00561530">
            <w:pPr>
              <w:autoSpaceDE w:val="0"/>
              <w:autoSpaceDN w:val="0"/>
              <w:adjustRightInd w:val="0"/>
              <w:rPr>
                <w:rFonts w:ascii="Times New Roman" w:hAnsi="Times New Roman"/>
                <w:b/>
                <w:szCs w:val="24"/>
              </w:rPr>
            </w:pPr>
            <w:r w:rsidRPr="00561530">
              <w:rPr>
                <w:rFonts w:ascii="Times New Roman" w:hAnsi="Times New Roman"/>
                <w:b/>
              </w:rPr>
              <w:t>Infections and Infestations</w:t>
            </w:r>
          </w:p>
        </w:tc>
      </w:tr>
      <w:tr w:rsidR="00561530" w:rsidRPr="00561530" w14:paraId="051F8247" w14:textId="77777777" w:rsidTr="00561530">
        <w:tc>
          <w:tcPr>
            <w:tcW w:w="5215" w:type="dxa"/>
          </w:tcPr>
          <w:p w14:paraId="3FF34A4D"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Upper respiratory tract infection</w:t>
            </w:r>
          </w:p>
        </w:tc>
        <w:tc>
          <w:tcPr>
            <w:tcW w:w="2070" w:type="dxa"/>
          </w:tcPr>
          <w:p w14:paraId="737647E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27</w:t>
            </w:r>
          </w:p>
        </w:tc>
        <w:tc>
          <w:tcPr>
            <w:tcW w:w="2065" w:type="dxa"/>
          </w:tcPr>
          <w:p w14:paraId="1BB18A9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33</w:t>
            </w:r>
          </w:p>
        </w:tc>
      </w:tr>
      <w:tr w:rsidR="00561530" w:rsidRPr="00561530" w14:paraId="13AF8CA0" w14:textId="77777777" w:rsidTr="00561530">
        <w:tc>
          <w:tcPr>
            <w:tcW w:w="5215" w:type="dxa"/>
          </w:tcPr>
          <w:p w14:paraId="24D59E15"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Pharyngitis</w:t>
            </w:r>
          </w:p>
        </w:tc>
        <w:tc>
          <w:tcPr>
            <w:tcW w:w="2070" w:type="dxa"/>
          </w:tcPr>
          <w:p w14:paraId="321E5FA0"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9</w:t>
            </w:r>
          </w:p>
        </w:tc>
        <w:tc>
          <w:tcPr>
            <w:tcW w:w="2065" w:type="dxa"/>
          </w:tcPr>
          <w:p w14:paraId="5247485A"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12</w:t>
            </w:r>
          </w:p>
        </w:tc>
      </w:tr>
      <w:tr w:rsidR="00561530" w:rsidRPr="00561530" w14:paraId="6BF6CEE2" w14:textId="77777777" w:rsidTr="00561530">
        <w:tc>
          <w:tcPr>
            <w:tcW w:w="9350" w:type="dxa"/>
            <w:gridSpan w:val="3"/>
            <w:shd w:val="clear" w:color="auto" w:fill="D9D9D9" w:themeFill="background1" w:themeFillShade="D9"/>
          </w:tcPr>
          <w:p w14:paraId="50B28721" w14:textId="77777777" w:rsidR="00561530" w:rsidRPr="00561530" w:rsidRDefault="00561530" w:rsidP="00561530">
            <w:pPr>
              <w:autoSpaceDE w:val="0"/>
              <w:autoSpaceDN w:val="0"/>
              <w:adjustRightInd w:val="0"/>
              <w:rPr>
                <w:rFonts w:ascii="Times New Roman" w:hAnsi="Times New Roman"/>
                <w:b/>
              </w:rPr>
            </w:pPr>
            <w:r w:rsidRPr="00561530">
              <w:rPr>
                <w:rFonts w:ascii="Times New Roman" w:hAnsi="Times New Roman"/>
                <w:b/>
              </w:rPr>
              <w:t>Nervous System Disorders</w:t>
            </w:r>
          </w:p>
        </w:tc>
      </w:tr>
      <w:tr w:rsidR="00561530" w:rsidRPr="00561530" w14:paraId="7B32B088" w14:textId="77777777" w:rsidTr="00561530">
        <w:tc>
          <w:tcPr>
            <w:tcW w:w="5215" w:type="dxa"/>
          </w:tcPr>
          <w:p w14:paraId="766BA265"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Headache</w:t>
            </w:r>
          </w:p>
        </w:tc>
        <w:tc>
          <w:tcPr>
            <w:tcW w:w="2070" w:type="dxa"/>
          </w:tcPr>
          <w:p w14:paraId="1A41E4EB"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26</w:t>
            </w:r>
          </w:p>
        </w:tc>
        <w:tc>
          <w:tcPr>
            <w:tcW w:w="2065" w:type="dxa"/>
          </w:tcPr>
          <w:p w14:paraId="6CF7D852"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24</w:t>
            </w:r>
          </w:p>
        </w:tc>
      </w:tr>
      <w:tr w:rsidR="00561530" w:rsidRPr="00561530" w14:paraId="1C0CE663" w14:textId="77777777" w:rsidTr="00561530">
        <w:tc>
          <w:tcPr>
            <w:tcW w:w="5215" w:type="dxa"/>
          </w:tcPr>
          <w:p w14:paraId="62AB3D3A"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Dizziness</w:t>
            </w:r>
          </w:p>
        </w:tc>
        <w:tc>
          <w:tcPr>
            <w:tcW w:w="2070" w:type="dxa"/>
          </w:tcPr>
          <w:p w14:paraId="5E58C29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11</w:t>
            </w:r>
          </w:p>
        </w:tc>
        <w:tc>
          <w:tcPr>
            <w:tcW w:w="2065" w:type="dxa"/>
          </w:tcPr>
          <w:p w14:paraId="0E2E29F9"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5</w:t>
            </w:r>
          </w:p>
        </w:tc>
      </w:tr>
      <w:tr w:rsidR="00561530" w:rsidRPr="00561530" w14:paraId="33E6D33F" w14:textId="77777777" w:rsidTr="00561530">
        <w:tc>
          <w:tcPr>
            <w:tcW w:w="9350" w:type="dxa"/>
            <w:gridSpan w:val="3"/>
            <w:shd w:val="clear" w:color="auto" w:fill="D9D9D9" w:themeFill="background1" w:themeFillShade="D9"/>
          </w:tcPr>
          <w:p w14:paraId="35EF2EE5"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rPr>
              <w:t>Respiratory, Thoracic and Mediastinal Disorders</w:t>
            </w:r>
          </w:p>
        </w:tc>
      </w:tr>
      <w:tr w:rsidR="00561530" w:rsidRPr="00561530" w14:paraId="05C17256" w14:textId="77777777" w:rsidTr="00561530">
        <w:tc>
          <w:tcPr>
            <w:tcW w:w="5215" w:type="dxa"/>
          </w:tcPr>
          <w:p w14:paraId="3942D960"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Cough</w:t>
            </w:r>
          </w:p>
        </w:tc>
        <w:tc>
          <w:tcPr>
            <w:tcW w:w="2070" w:type="dxa"/>
          </w:tcPr>
          <w:p w14:paraId="549A084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14</w:t>
            </w:r>
          </w:p>
        </w:tc>
        <w:tc>
          <w:tcPr>
            <w:tcW w:w="2065" w:type="dxa"/>
          </w:tcPr>
          <w:p w14:paraId="343C3B73"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11</w:t>
            </w:r>
          </w:p>
        </w:tc>
      </w:tr>
      <w:tr w:rsidR="00561530" w:rsidRPr="00561530" w14:paraId="111FDFA9" w14:textId="77777777" w:rsidTr="00561530">
        <w:tc>
          <w:tcPr>
            <w:tcW w:w="5215" w:type="dxa"/>
          </w:tcPr>
          <w:p w14:paraId="694C12A0"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Oropharyngeal pain</w:t>
            </w:r>
          </w:p>
        </w:tc>
        <w:tc>
          <w:tcPr>
            <w:tcW w:w="2070" w:type="dxa"/>
          </w:tcPr>
          <w:p w14:paraId="2673659C"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13</w:t>
            </w:r>
          </w:p>
        </w:tc>
        <w:tc>
          <w:tcPr>
            <w:tcW w:w="2065" w:type="dxa"/>
          </w:tcPr>
          <w:p w14:paraId="340DD13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11</w:t>
            </w:r>
          </w:p>
        </w:tc>
      </w:tr>
      <w:tr w:rsidR="00561530" w:rsidRPr="00561530" w14:paraId="75C835FC" w14:textId="77777777" w:rsidTr="00561530">
        <w:tc>
          <w:tcPr>
            <w:tcW w:w="9350" w:type="dxa"/>
            <w:gridSpan w:val="3"/>
            <w:shd w:val="clear" w:color="auto" w:fill="D9D9D9" w:themeFill="background1" w:themeFillShade="D9"/>
          </w:tcPr>
          <w:p w14:paraId="0ED3FE1C" w14:textId="77777777" w:rsidR="00561530" w:rsidRPr="00561530" w:rsidRDefault="00561530" w:rsidP="00561530">
            <w:pPr>
              <w:autoSpaceDE w:val="0"/>
              <w:autoSpaceDN w:val="0"/>
              <w:adjustRightInd w:val="0"/>
              <w:rPr>
                <w:rFonts w:ascii="Times New Roman" w:hAnsi="Times New Roman"/>
                <w:b/>
                <w:szCs w:val="24"/>
              </w:rPr>
            </w:pPr>
            <w:r w:rsidRPr="00561530">
              <w:rPr>
                <w:rFonts w:ascii="Times New Roman" w:hAnsi="Times New Roman"/>
                <w:b/>
                <w:szCs w:val="24"/>
              </w:rPr>
              <w:t>Gastrointestinal Disorders</w:t>
            </w:r>
          </w:p>
        </w:tc>
      </w:tr>
      <w:tr w:rsidR="00561530" w:rsidRPr="00561530" w14:paraId="3CC3D425" w14:textId="77777777" w:rsidTr="00561530">
        <w:tc>
          <w:tcPr>
            <w:tcW w:w="5215" w:type="dxa"/>
          </w:tcPr>
          <w:p w14:paraId="1CCBFF22"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Diarrhea</w:t>
            </w:r>
          </w:p>
        </w:tc>
        <w:tc>
          <w:tcPr>
            <w:tcW w:w="2070" w:type="dxa"/>
          </w:tcPr>
          <w:p w14:paraId="5907751F"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12</w:t>
            </w:r>
          </w:p>
        </w:tc>
        <w:tc>
          <w:tcPr>
            <w:tcW w:w="2065" w:type="dxa"/>
          </w:tcPr>
          <w:p w14:paraId="0E2501D4"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10</w:t>
            </w:r>
          </w:p>
        </w:tc>
      </w:tr>
      <w:tr w:rsidR="00561530" w:rsidRPr="00561530" w14:paraId="1E43C0C6" w14:textId="77777777" w:rsidTr="00561530">
        <w:tc>
          <w:tcPr>
            <w:tcW w:w="9350" w:type="dxa"/>
            <w:gridSpan w:val="3"/>
            <w:shd w:val="clear" w:color="auto" w:fill="D9D9D9" w:themeFill="background1" w:themeFillShade="D9"/>
          </w:tcPr>
          <w:p w14:paraId="3FAE56C6" w14:textId="77777777" w:rsidR="00561530" w:rsidRPr="00561530" w:rsidRDefault="00561530" w:rsidP="00561530">
            <w:pPr>
              <w:autoSpaceDE w:val="0"/>
              <w:autoSpaceDN w:val="0"/>
              <w:adjustRightInd w:val="0"/>
              <w:rPr>
                <w:rFonts w:ascii="Times New Roman" w:hAnsi="Times New Roman"/>
                <w:b/>
                <w:szCs w:val="24"/>
              </w:rPr>
            </w:pPr>
            <w:r w:rsidRPr="00561530">
              <w:rPr>
                <w:rFonts w:ascii="Times New Roman" w:hAnsi="Times New Roman"/>
                <w:b/>
                <w:szCs w:val="24"/>
              </w:rPr>
              <w:t>Musculoskeletal and Connective Tissue Disorders</w:t>
            </w:r>
          </w:p>
        </w:tc>
      </w:tr>
      <w:tr w:rsidR="00561530" w:rsidRPr="00561530" w14:paraId="6369BEC5" w14:textId="77777777" w:rsidTr="00561530">
        <w:tc>
          <w:tcPr>
            <w:tcW w:w="5215" w:type="dxa"/>
          </w:tcPr>
          <w:p w14:paraId="2847336A"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Back pain</w:t>
            </w:r>
          </w:p>
        </w:tc>
        <w:tc>
          <w:tcPr>
            <w:tcW w:w="2070" w:type="dxa"/>
          </w:tcPr>
          <w:p w14:paraId="4E8C27EC"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27</w:t>
            </w:r>
          </w:p>
        </w:tc>
        <w:tc>
          <w:tcPr>
            <w:tcW w:w="2065" w:type="dxa"/>
          </w:tcPr>
          <w:p w14:paraId="71E46E5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29</w:t>
            </w:r>
          </w:p>
        </w:tc>
      </w:tr>
      <w:tr w:rsidR="00561530" w:rsidRPr="00561530" w14:paraId="4322435A" w14:textId="77777777" w:rsidTr="00561530">
        <w:tc>
          <w:tcPr>
            <w:tcW w:w="5215" w:type="dxa"/>
          </w:tcPr>
          <w:p w14:paraId="6AC86A33"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Bone pain</w:t>
            </w:r>
          </w:p>
        </w:tc>
        <w:tc>
          <w:tcPr>
            <w:tcW w:w="2070" w:type="dxa"/>
          </w:tcPr>
          <w:p w14:paraId="259F102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20</w:t>
            </w:r>
          </w:p>
        </w:tc>
        <w:tc>
          <w:tcPr>
            <w:tcW w:w="2065" w:type="dxa"/>
          </w:tcPr>
          <w:p w14:paraId="623C6CA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8</w:t>
            </w:r>
          </w:p>
        </w:tc>
      </w:tr>
      <w:tr w:rsidR="00561530" w:rsidRPr="00561530" w14:paraId="246357D5" w14:textId="77777777" w:rsidTr="00561530">
        <w:tc>
          <w:tcPr>
            <w:tcW w:w="5215" w:type="dxa"/>
          </w:tcPr>
          <w:p w14:paraId="147E9C01"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Arthralgia</w:t>
            </w:r>
          </w:p>
        </w:tc>
        <w:tc>
          <w:tcPr>
            <w:tcW w:w="2070" w:type="dxa"/>
          </w:tcPr>
          <w:p w14:paraId="583390B4"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19</w:t>
            </w:r>
          </w:p>
        </w:tc>
        <w:tc>
          <w:tcPr>
            <w:tcW w:w="2065" w:type="dxa"/>
          </w:tcPr>
          <w:p w14:paraId="4D43280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12</w:t>
            </w:r>
          </w:p>
        </w:tc>
      </w:tr>
      <w:tr w:rsidR="00561530" w:rsidRPr="00561530" w14:paraId="390DA0B7" w14:textId="77777777" w:rsidTr="00561530">
        <w:tc>
          <w:tcPr>
            <w:tcW w:w="5215" w:type="dxa"/>
          </w:tcPr>
          <w:p w14:paraId="122D3E34"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Myalgia</w:t>
            </w:r>
          </w:p>
        </w:tc>
        <w:tc>
          <w:tcPr>
            <w:tcW w:w="2070" w:type="dxa"/>
          </w:tcPr>
          <w:p w14:paraId="6CB810BA"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10</w:t>
            </w:r>
          </w:p>
        </w:tc>
        <w:tc>
          <w:tcPr>
            <w:tcW w:w="2065" w:type="dxa"/>
          </w:tcPr>
          <w:p w14:paraId="6C66A67B"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10</w:t>
            </w:r>
          </w:p>
        </w:tc>
      </w:tr>
      <w:tr w:rsidR="00561530" w:rsidRPr="00561530" w14:paraId="2B05CB16" w14:textId="77777777" w:rsidTr="00561530">
        <w:tc>
          <w:tcPr>
            <w:tcW w:w="9350" w:type="dxa"/>
            <w:gridSpan w:val="3"/>
            <w:shd w:val="clear" w:color="auto" w:fill="D9D9D9" w:themeFill="background1" w:themeFillShade="D9"/>
          </w:tcPr>
          <w:p w14:paraId="5ADB52D6" w14:textId="77777777" w:rsidR="00561530" w:rsidRPr="00561530" w:rsidRDefault="00561530" w:rsidP="00561530">
            <w:pPr>
              <w:autoSpaceDE w:val="0"/>
              <w:autoSpaceDN w:val="0"/>
              <w:adjustRightInd w:val="0"/>
              <w:rPr>
                <w:rFonts w:ascii="Times New Roman" w:hAnsi="Times New Roman"/>
                <w:b/>
                <w:szCs w:val="24"/>
              </w:rPr>
            </w:pPr>
            <w:r w:rsidRPr="00561530">
              <w:rPr>
                <w:rFonts w:ascii="Times New Roman" w:hAnsi="Times New Roman"/>
                <w:b/>
                <w:szCs w:val="24"/>
              </w:rPr>
              <w:t>General Disorders and Administration Site Conditions</w:t>
            </w:r>
          </w:p>
        </w:tc>
      </w:tr>
      <w:tr w:rsidR="00561530" w:rsidRPr="00561530" w14:paraId="6F7DF33E" w14:textId="77777777" w:rsidTr="00561530">
        <w:tc>
          <w:tcPr>
            <w:tcW w:w="5215" w:type="dxa"/>
          </w:tcPr>
          <w:p w14:paraId="184CE1B0"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Pyrexia</w:t>
            </w:r>
          </w:p>
        </w:tc>
        <w:tc>
          <w:tcPr>
            <w:tcW w:w="2070" w:type="dxa"/>
          </w:tcPr>
          <w:p w14:paraId="587AD67B" w14:textId="77777777" w:rsidR="00561530" w:rsidRPr="00561530" w:rsidDel="006F51B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16</w:t>
            </w:r>
          </w:p>
        </w:tc>
        <w:tc>
          <w:tcPr>
            <w:tcW w:w="2065" w:type="dxa"/>
          </w:tcPr>
          <w:p w14:paraId="7B8319B3" w14:textId="77777777" w:rsidR="00561530" w:rsidRPr="00561530" w:rsidDel="006F51B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21</w:t>
            </w:r>
          </w:p>
        </w:tc>
      </w:tr>
      <w:tr w:rsidR="00561530" w:rsidRPr="00561530" w14:paraId="3EA95968" w14:textId="77777777" w:rsidTr="00561530">
        <w:tc>
          <w:tcPr>
            <w:tcW w:w="5215" w:type="dxa"/>
          </w:tcPr>
          <w:p w14:paraId="4DE97E3E"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Fatigue</w:t>
            </w:r>
          </w:p>
        </w:tc>
        <w:tc>
          <w:tcPr>
            <w:tcW w:w="2070" w:type="dxa"/>
          </w:tcPr>
          <w:p w14:paraId="119CFFF2"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14</w:t>
            </w:r>
          </w:p>
        </w:tc>
        <w:tc>
          <w:tcPr>
            <w:tcW w:w="2065" w:type="dxa"/>
          </w:tcPr>
          <w:p w14:paraId="4F139E3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13</w:t>
            </w:r>
          </w:p>
        </w:tc>
      </w:tr>
      <w:tr w:rsidR="00561530" w:rsidRPr="00561530" w14:paraId="383ABED1" w14:textId="77777777" w:rsidTr="00561530">
        <w:tc>
          <w:tcPr>
            <w:tcW w:w="5215" w:type="dxa"/>
          </w:tcPr>
          <w:p w14:paraId="01D7B1D1"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Asthenia</w:t>
            </w:r>
          </w:p>
        </w:tc>
        <w:tc>
          <w:tcPr>
            <w:tcW w:w="2070" w:type="dxa"/>
          </w:tcPr>
          <w:p w14:paraId="4ACD59E5"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10</w:t>
            </w:r>
          </w:p>
        </w:tc>
        <w:tc>
          <w:tcPr>
            <w:tcW w:w="2065" w:type="dxa"/>
          </w:tcPr>
          <w:p w14:paraId="42FE7E29"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10</w:t>
            </w:r>
          </w:p>
        </w:tc>
      </w:tr>
    </w:tbl>
    <w:p w14:paraId="4BC1231F" w14:textId="77777777" w:rsidR="00561530" w:rsidRPr="00561530" w:rsidRDefault="00561530" w:rsidP="00561530">
      <w:pPr>
        <w:rPr>
          <w:rFonts w:ascii="Times New Roman" w:hAnsi="Times New Roman"/>
          <w:u w:val="single"/>
        </w:rPr>
      </w:pPr>
      <w:r w:rsidRPr="00561530">
        <w:rPr>
          <w:rFonts w:ascii="Times New Roman" w:hAnsi="Times New Roman"/>
          <w:u w:val="single"/>
        </w:rPr>
        <w:t>Tabulated List of Adverse Drug Reactions</w:t>
      </w:r>
    </w:p>
    <w:p w14:paraId="4B6D3341" w14:textId="77777777" w:rsidR="00561530" w:rsidRPr="00561530" w:rsidRDefault="00561530" w:rsidP="00561530">
      <w:pPr>
        <w:rPr>
          <w:rFonts w:ascii="Times New Roman" w:hAnsi="Times New Roman"/>
        </w:rPr>
      </w:pPr>
      <w:r w:rsidRPr="00561530">
        <w:rPr>
          <w:rFonts w:ascii="Times New Roman" w:hAnsi="Times New Roman"/>
        </w:rPr>
        <w:t xml:space="preserve">The adverse drug reactions (ADRs) listed below have been assessed as being at least possibly related to treatment. The relatedness to treatment has been determined </w:t>
      </w:r>
      <w:proofErr w:type="gramStart"/>
      <w:r w:rsidRPr="00561530">
        <w:rPr>
          <w:rFonts w:ascii="Times New Roman" w:hAnsi="Times New Roman"/>
        </w:rPr>
        <w:t>by:</w:t>
      </w:r>
      <w:proofErr w:type="gramEnd"/>
      <w:r w:rsidRPr="00561530">
        <w:rPr>
          <w:rFonts w:ascii="Times New Roman" w:hAnsi="Times New Roman"/>
        </w:rPr>
        <w:t xml:space="preserve"> biological/pharmacological plausibility for a drug-event relationship, known morbidities of target population and disease being treated, adverse reactions suspected with medicines of this class, weight of evidence (e.g., positive rechallenge, positive </w:t>
      </w:r>
      <w:proofErr w:type="spellStart"/>
      <w:r w:rsidRPr="00561530">
        <w:rPr>
          <w:rFonts w:ascii="Times New Roman" w:hAnsi="Times New Roman"/>
        </w:rPr>
        <w:t>dechallenge</w:t>
      </w:r>
      <w:proofErr w:type="spellEnd"/>
      <w:r w:rsidRPr="00561530">
        <w:rPr>
          <w:rFonts w:ascii="Times New Roman" w:hAnsi="Times New Roman"/>
        </w:rPr>
        <w:t>, time to onset, lack of confounding factors) and medical judgment.</w:t>
      </w:r>
    </w:p>
    <w:p w14:paraId="37541A08" w14:textId="77777777" w:rsidR="00561530" w:rsidRPr="00561530" w:rsidRDefault="00561530" w:rsidP="00561530">
      <w:pPr>
        <w:rPr>
          <w:rFonts w:ascii="Times New Roman" w:hAnsi="Times New Roman"/>
        </w:rPr>
      </w:pPr>
      <w:r w:rsidRPr="00561530">
        <w:rPr>
          <w:rFonts w:ascii="Times New Roman" w:hAnsi="Times New Roman"/>
        </w:rPr>
        <w:t>Frequencies are defined in accordance with current guidance, as: very common (≥ 1/10), common (≥ 1/100 to &lt;1/10); and uncommon (≥ 1/1,000 to &lt;1/100).</w:t>
      </w:r>
    </w:p>
    <w:p w14:paraId="30778172" w14:textId="77777777" w:rsidR="00561530" w:rsidRPr="00561530" w:rsidRDefault="00561530" w:rsidP="00561530">
      <w:pPr>
        <w:rPr>
          <w:rFonts w:ascii="Times New Roman" w:hAnsi="Times New Roman"/>
        </w:rPr>
      </w:pPr>
      <w:r w:rsidRPr="00561530">
        <w:rPr>
          <w:rFonts w:ascii="Times New Roman" w:hAnsi="Times New Roman"/>
          <w:b/>
        </w:rPr>
        <w:t>Table 6:</w:t>
      </w:r>
      <w:r w:rsidRPr="00561530">
        <w:rPr>
          <w:rFonts w:ascii="Times New Roman" w:hAnsi="Times New Roman"/>
        </w:rPr>
        <w:t xml:space="preserve"> </w:t>
      </w:r>
      <w:r w:rsidRPr="00561530">
        <w:rPr>
          <w:rFonts w:ascii="Times New Roman" w:hAnsi="Times New Roman"/>
          <w:b/>
        </w:rPr>
        <w:t>Adverse Drug Reactions Reported in Patients Treated with REBLOZYL in the ACE-536-B-THAL-001 Study</w:t>
      </w:r>
    </w:p>
    <w:tbl>
      <w:tblPr>
        <w:tblStyle w:val="TableGrid"/>
        <w:tblW w:w="0" w:type="auto"/>
        <w:tblLook w:val="04A0" w:firstRow="1" w:lastRow="0" w:firstColumn="1" w:lastColumn="0" w:noHBand="0" w:noVBand="1"/>
      </w:tblPr>
      <w:tblGrid>
        <w:gridCol w:w="2802"/>
        <w:gridCol w:w="2846"/>
        <w:gridCol w:w="2846"/>
      </w:tblGrid>
      <w:tr w:rsidR="00561530" w:rsidRPr="00561530" w14:paraId="53E2CAC9" w14:textId="77777777" w:rsidTr="00561530">
        <w:tc>
          <w:tcPr>
            <w:tcW w:w="3116" w:type="dxa"/>
          </w:tcPr>
          <w:p w14:paraId="73ADB266" w14:textId="77777777" w:rsidR="00561530" w:rsidRPr="00561530" w:rsidRDefault="00561530" w:rsidP="00561530">
            <w:pPr>
              <w:rPr>
                <w:rFonts w:ascii="Times New Roman" w:hAnsi="Times New Roman"/>
              </w:rPr>
            </w:pPr>
          </w:p>
        </w:tc>
        <w:tc>
          <w:tcPr>
            <w:tcW w:w="3117" w:type="dxa"/>
          </w:tcPr>
          <w:p w14:paraId="69A1F7E6" w14:textId="77777777" w:rsidR="00561530" w:rsidRPr="00561530" w:rsidRDefault="00561530" w:rsidP="00561530">
            <w:pPr>
              <w:jc w:val="center"/>
              <w:rPr>
                <w:rFonts w:ascii="Times New Roman" w:hAnsi="Times New Roman"/>
                <w:b/>
              </w:rPr>
            </w:pPr>
            <w:r w:rsidRPr="00561530">
              <w:rPr>
                <w:rFonts w:ascii="Times New Roman" w:hAnsi="Times New Roman"/>
                <w:b/>
              </w:rPr>
              <w:t>All ADRs</w:t>
            </w:r>
          </w:p>
        </w:tc>
        <w:tc>
          <w:tcPr>
            <w:tcW w:w="3117" w:type="dxa"/>
          </w:tcPr>
          <w:p w14:paraId="05B034B6" w14:textId="77777777" w:rsidR="00561530" w:rsidRPr="00561530" w:rsidRDefault="00561530" w:rsidP="00561530">
            <w:pPr>
              <w:jc w:val="center"/>
              <w:rPr>
                <w:rFonts w:ascii="Times New Roman" w:hAnsi="Times New Roman"/>
                <w:b/>
              </w:rPr>
            </w:pPr>
            <w:r w:rsidRPr="00561530">
              <w:rPr>
                <w:rFonts w:ascii="Times New Roman" w:hAnsi="Times New Roman"/>
                <w:b/>
              </w:rPr>
              <w:t>Grade 3/4 ADRs</w:t>
            </w:r>
          </w:p>
        </w:tc>
      </w:tr>
      <w:tr w:rsidR="00561530" w:rsidRPr="00561530" w14:paraId="5DEBEEA9" w14:textId="77777777" w:rsidTr="00561530">
        <w:tc>
          <w:tcPr>
            <w:tcW w:w="9350" w:type="dxa"/>
            <w:gridSpan w:val="3"/>
            <w:shd w:val="clear" w:color="auto" w:fill="D9D9D9" w:themeFill="background1" w:themeFillShade="D9"/>
          </w:tcPr>
          <w:p w14:paraId="3E8A625A" w14:textId="77777777" w:rsidR="00561530" w:rsidRPr="00561530" w:rsidRDefault="00561530" w:rsidP="00561530">
            <w:pPr>
              <w:rPr>
                <w:rFonts w:ascii="Times New Roman" w:hAnsi="Times New Roman"/>
                <w:b/>
              </w:rPr>
            </w:pPr>
            <w:r w:rsidRPr="00561530">
              <w:rPr>
                <w:rFonts w:ascii="Times New Roman" w:hAnsi="Times New Roman"/>
                <w:b/>
              </w:rPr>
              <w:t>Infections and Infestations</w:t>
            </w:r>
          </w:p>
        </w:tc>
      </w:tr>
      <w:tr w:rsidR="00561530" w:rsidRPr="00561530" w14:paraId="43A5C552" w14:textId="77777777" w:rsidTr="00561530">
        <w:tc>
          <w:tcPr>
            <w:tcW w:w="3116" w:type="dxa"/>
          </w:tcPr>
          <w:p w14:paraId="3F2FACAD"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117" w:type="dxa"/>
          </w:tcPr>
          <w:p w14:paraId="2300362D" w14:textId="77777777" w:rsidR="00561530" w:rsidRPr="00561530" w:rsidRDefault="00561530" w:rsidP="00561530">
            <w:pPr>
              <w:rPr>
                <w:rFonts w:ascii="Times New Roman" w:hAnsi="Times New Roman"/>
              </w:rPr>
            </w:pPr>
            <w:r w:rsidRPr="00561530">
              <w:rPr>
                <w:rFonts w:ascii="Times New Roman" w:hAnsi="Times New Roman"/>
              </w:rPr>
              <w:t>Influenza</w:t>
            </w:r>
          </w:p>
        </w:tc>
        <w:tc>
          <w:tcPr>
            <w:tcW w:w="3117" w:type="dxa"/>
          </w:tcPr>
          <w:p w14:paraId="5A2B2135" w14:textId="77777777" w:rsidR="00561530" w:rsidRPr="00561530" w:rsidRDefault="00561530" w:rsidP="00561530">
            <w:pPr>
              <w:rPr>
                <w:rFonts w:ascii="Times New Roman" w:hAnsi="Times New Roman"/>
              </w:rPr>
            </w:pPr>
          </w:p>
        </w:tc>
      </w:tr>
      <w:tr w:rsidR="00561530" w:rsidRPr="00561530" w14:paraId="297311C4" w14:textId="77777777" w:rsidTr="00561530">
        <w:tc>
          <w:tcPr>
            <w:tcW w:w="9350" w:type="dxa"/>
            <w:gridSpan w:val="3"/>
            <w:shd w:val="clear" w:color="auto" w:fill="D9D9D9" w:themeFill="background1" w:themeFillShade="D9"/>
          </w:tcPr>
          <w:p w14:paraId="498FB72D" w14:textId="77777777" w:rsidR="00561530" w:rsidRPr="00561530" w:rsidRDefault="00561530" w:rsidP="00561530">
            <w:pPr>
              <w:rPr>
                <w:rFonts w:ascii="Times New Roman" w:hAnsi="Times New Roman"/>
                <w:b/>
              </w:rPr>
            </w:pPr>
            <w:r w:rsidRPr="00561530">
              <w:rPr>
                <w:rFonts w:ascii="Times New Roman" w:hAnsi="Times New Roman"/>
                <w:b/>
              </w:rPr>
              <w:t>Metabolism and Nutrition Disorders</w:t>
            </w:r>
          </w:p>
        </w:tc>
      </w:tr>
      <w:tr w:rsidR="00561530" w:rsidRPr="00561530" w14:paraId="440F4CE0" w14:textId="77777777" w:rsidTr="00561530">
        <w:tc>
          <w:tcPr>
            <w:tcW w:w="3116" w:type="dxa"/>
          </w:tcPr>
          <w:p w14:paraId="3E7D4C91"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117" w:type="dxa"/>
          </w:tcPr>
          <w:p w14:paraId="67EF31A3" w14:textId="77777777" w:rsidR="00561530" w:rsidRPr="00561530" w:rsidRDefault="00561530" w:rsidP="00561530">
            <w:pPr>
              <w:rPr>
                <w:rFonts w:ascii="Times New Roman" w:hAnsi="Times New Roman"/>
              </w:rPr>
            </w:pPr>
            <w:r w:rsidRPr="00561530">
              <w:rPr>
                <w:rFonts w:ascii="Times New Roman" w:hAnsi="Times New Roman"/>
                <w:szCs w:val="24"/>
              </w:rPr>
              <w:t>Hyperuricemia</w:t>
            </w:r>
          </w:p>
        </w:tc>
        <w:tc>
          <w:tcPr>
            <w:tcW w:w="3117" w:type="dxa"/>
          </w:tcPr>
          <w:p w14:paraId="5E5027AF" w14:textId="77777777" w:rsidR="00561530" w:rsidRPr="00561530" w:rsidRDefault="00561530" w:rsidP="00561530">
            <w:pPr>
              <w:rPr>
                <w:rFonts w:ascii="Times New Roman" w:hAnsi="Times New Roman"/>
              </w:rPr>
            </w:pPr>
            <w:r w:rsidRPr="00561530">
              <w:rPr>
                <w:rFonts w:ascii="Times New Roman" w:hAnsi="Times New Roman"/>
                <w:szCs w:val="24"/>
              </w:rPr>
              <w:t>Hyperuricemia</w:t>
            </w:r>
          </w:p>
        </w:tc>
      </w:tr>
      <w:tr w:rsidR="00561530" w:rsidRPr="00561530" w14:paraId="4D0CA4FF" w14:textId="77777777" w:rsidTr="00561530">
        <w:tc>
          <w:tcPr>
            <w:tcW w:w="9350" w:type="dxa"/>
            <w:gridSpan w:val="3"/>
            <w:shd w:val="clear" w:color="auto" w:fill="D9D9D9" w:themeFill="background1" w:themeFillShade="D9"/>
          </w:tcPr>
          <w:p w14:paraId="1A050139" w14:textId="77777777" w:rsidR="00561530" w:rsidRPr="00561530" w:rsidRDefault="00561530" w:rsidP="00561530">
            <w:pPr>
              <w:rPr>
                <w:rFonts w:ascii="Times New Roman" w:hAnsi="Times New Roman"/>
                <w:b/>
              </w:rPr>
            </w:pPr>
            <w:r w:rsidRPr="00561530">
              <w:rPr>
                <w:rFonts w:ascii="Times New Roman" w:hAnsi="Times New Roman"/>
                <w:b/>
              </w:rPr>
              <w:t>Nervous System Disorders</w:t>
            </w:r>
          </w:p>
        </w:tc>
      </w:tr>
      <w:tr w:rsidR="00561530" w:rsidRPr="00561530" w14:paraId="69446068" w14:textId="77777777" w:rsidTr="00561530">
        <w:tc>
          <w:tcPr>
            <w:tcW w:w="3116" w:type="dxa"/>
          </w:tcPr>
          <w:p w14:paraId="7922BACD"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117" w:type="dxa"/>
          </w:tcPr>
          <w:p w14:paraId="44654774" w14:textId="77777777" w:rsidR="00561530" w:rsidRPr="00561530" w:rsidRDefault="00561530" w:rsidP="00561530">
            <w:pPr>
              <w:rPr>
                <w:rFonts w:ascii="Times New Roman" w:hAnsi="Times New Roman"/>
              </w:rPr>
            </w:pPr>
            <w:r w:rsidRPr="00561530">
              <w:rPr>
                <w:rFonts w:ascii="Times New Roman" w:hAnsi="Times New Roman"/>
              </w:rPr>
              <w:t>Headache</w:t>
            </w:r>
          </w:p>
          <w:p w14:paraId="7C730614" w14:textId="77777777" w:rsidR="00561530" w:rsidRPr="00561530" w:rsidRDefault="00561530" w:rsidP="00561530">
            <w:pPr>
              <w:rPr>
                <w:rFonts w:ascii="Times New Roman" w:hAnsi="Times New Roman"/>
              </w:rPr>
            </w:pPr>
            <w:r w:rsidRPr="00561530">
              <w:rPr>
                <w:rFonts w:ascii="Times New Roman" w:hAnsi="Times New Roman"/>
              </w:rPr>
              <w:t>Dizziness</w:t>
            </w:r>
          </w:p>
        </w:tc>
        <w:tc>
          <w:tcPr>
            <w:tcW w:w="3117" w:type="dxa"/>
          </w:tcPr>
          <w:p w14:paraId="63BD1E68" w14:textId="77777777" w:rsidR="00561530" w:rsidRPr="00561530" w:rsidRDefault="00561530" w:rsidP="00561530">
            <w:pPr>
              <w:rPr>
                <w:rFonts w:ascii="Times New Roman" w:hAnsi="Times New Roman"/>
              </w:rPr>
            </w:pPr>
          </w:p>
        </w:tc>
      </w:tr>
      <w:tr w:rsidR="00561530" w:rsidRPr="00561530" w14:paraId="356D3397" w14:textId="77777777" w:rsidTr="00561530">
        <w:tc>
          <w:tcPr>
            <w:tcW w:w="3116" w:type="dxa"/>
          </w:tcPr>
          <w:p w14:paraId="7F3373CF" w14:textId="77777777" w:rsidR="00561530" w:rsidRPr="00561530" w:rsidRDefault="00561530" w:rsidP="00561530">
            <w:pPr>
              <w:rPr>
                <w:rFonts w:ascii="Times New Roman" w:hAnsi="Times New Roman"/>
              </w:rPr>
            </w:pPr>
            <w:r w:rsidRPr="00561530">
              <w:rPr>
                <w:rFonts w:ascii="Times New Roman" w:hAnsi="Times New Roman"/>
              </w:rPr>
              <w:t>Uncommon</w:t>
            </w:r>
          </w:p>
        </w:tc>
        <w:tc>
          <w:tcPr>
            <w:tcW w:w="3117" w:type="dxa"/>
          </w:tcPr>
          <w:p w14:paraId="73EEB9F7" w14:textId="77777777" w:rsidR="00561530" w:rsidRPr="00561530" w:rsidRDefault="00561530" w:rsidP="00561530">
            <w:pPr>
              <w:rPr>
                <w:rFonts w:ascii="Times New Roman" w:hAnsi="Times New Roman"/>
              </w:rPr>
            </w:pPr>
          </w:p>
        </w:tc>
        <w:tc>
          <w:tcPr>
            <w:tcW w:w="3117" w:type="dxa"/>
          </w:tcPr>
          <w:p w14:paraId="28613CFB" w14:textId="77777777" w:rsidR="00561530" w:rsidRPr="00561530" w:rsidRDefault="00561530" w:rsidP="00561530">
            <w:pPr>
              <w:rPr>
                <w:rFonts w:ascii="Times New Roman" w:hAnsi="Times New Roman"/>
              </w:rPr>
            </w:pPr>
            <w:r w:rsidRPr="00561530">
              <w:rPr>
                <w:rFonts w:ascii="Times New Roman" w:hAnsi="Times New Roman"/>
              </w:rPr>
              <w:t>Headache</w:t>
            </w:r>
          </w:p>
        </w:tc>
      </w:tr>
      <w:tr w:rsidR="00561530" w:rsidRPr="00561530" w14:paraId="55EA651B" w14:textId="77777777" w:rsidTr="00561530">
        <w:tc>
          <w:tcPr>
            <w:tcW w:w="9350" w:type="dxa"/>
            <w:gridSpan w:val="3"/>
            <w:shd w:val="clear" w:color="auto" w:fill="D9D9D9" w:themeFill="background1" w:themeFillShade="D9"/>
          </w:tcPr>
          <w:p w14:paraId="3960E97E" w14:textId="77777777" w:rsidR="00561530" w:rsidRPr="00561530" w:rsidRDefault="00561530" w:rsidP="00561530">
            <w:pPr>
              <w:rPr>
                <w:rFonts w:ascii="Times New Roman" w:hAnsi="Times New Roman"/>
              </w:rPr>
            </w:pPr>
            <w:r w:rsidRPr="00561530">
              <w:rPr>
                <w:rFonts w:ascii="Times New Roman" w:hAnsi="Times New Roman"/>
                <w:b/>
              </w:rPr>
              <w:t>Vascular Disorders</w:t>
            </w:r>
          </w:p>
        </w:tc>
      </w:tr>
      <w:tr w:rsidR="00561530" w:rsidRPr="00561530" w14:paraId="395ED404" w14:textId="77777777" w:rsidTr="00561530">
        <w:tc>
          <w:tcPr>
            <w:tcW w:w="3116" w:type="dxa"/>
          </w:tcPr>
          <w:p w14:paraId="1C35B0F3" w14:textId="77777777" w:rsidR="00561530" w:rsidRPr="00561530" w:rsidRDefault="00561530" w:rsidP="00561530">
            <w:pPr>
              <w:rPr>
                <w:rFonts w:ascii="Times New Roman" w:hAnsi="Times New Roman"/>
              </w:rPr>
            </w:pPr>
            <w:r w:rsidRPr="00561530">
              <w:rPr>
                <w:rFonts w:ascii="Times New Roman" w:hAnsi="Times New Roman"/>
              </w:rPr>
              <w:t>Common</w:t>
            </w:r>
          </w:p>
        </w:tc>
        <w:tc>
          <w:tcPr>
            <w:tcW w:w="3117" w:type="dxa"/>
          </w:tcPr>
          <w:p w14:paraId="52D22295" w14:textId="77777777" w:rsidR="00561530" w:rsidRPr="00561530" w:rsidRDefault="00561530" w:rsidP="00561530">
            <w:pPr>
              <w:rPr>
                <w:rFonts w:ascii="Times New Roman" w:hAnsi="Times New Roman"/>
              </w:rPr>
            </w:pPr>
            <w:r w:rsidRPr="00561530">
              <w:rPr>
                <w:rFonts w:ascii="Times New Roman" w:hAnsi="Times New Roman"/>
              </w:rPr>
              <w:t>Hypertension</w:t>
            </w:r>
          </w:p>
        </w:tc>
        <w:tc>
          <w:tcPr>
            <w:tcW w:w="3117" w:type="dxa"/>
          </w:tcPr>
          <w:p w14:paraId="628592D5" w14:textId="77777777" w:rsidR="00561530" w:rsidRPr="00561530" w:rsidRDefault="00561530" w:rsidP="00561530">
            <w:pPr>
              <w:rPr>
                <w:rFonts w:ascii="Times New Roman" w:hAnsi="Times New Roman"/>
              </w:rPr>
            </w:pPr>
            <w:r w:rsidRPr="00561530">
              <w:rPr>
                <w:rFonts w:ascii="Times New Roman" w:hAnsi="Times New Roman"/>
              </w:rPr>
              <w:t>Hypertension</w:t>
            </w:r>
          </w:p>
        </w:tc>
      </w:tr>
      <w:tr w:rsidR="00561530" w:rsidRPr="00561530" w14:paraId="24A410D9" w14:textId="77777777" w:rsidTr="00561530">
        <w:tc>
          <w:tcPr>
            <w:tcW w:w="9350" w:type="dxa"/>
            <w:gridSpan w:val="3"/>
            <w:shd w:val="clear" w:color="auto" w:fill="D9D9D9" w:themeFill="background1" w:themeFillShade="D9"/>
          </w:tcPr>
          <w:p w14:paraId="05F860BE" w14:textId="77777777" w:rsidR="00561530" w:rsidRPr="00561530" w:rsidRDefault="00561530" w:rsidP="00561530">
            <w:pPr>
              <w:rPr>
                <w:rFonts w:ascii="Times New Roman" w:hAnsi="Times New Roman"/>
              </w:rPr>
            </w:pPr>
            <w:r w:rsidRPr="00561530">
              <w:rPr>
                <w:rFonts w:ascii="Times New Roman" w:hAnsi="Times New Roman"/>
                <w:b/>
              </w:rPr>
              <w:t>Gastrointestinal Disorders</w:t>
            </w:r>
          </w:p>
        </w:tc>
      </w:tr>
      <w:tr w:rsidR="00561530" w:rsidRPr="00561530" w14:paraId="2894B014" w14:textId="77777777" w:rsidTr="00561530">
        <w:tc>
          <w:tcPr>
            <w:tcW w:w="3116" w:type="dxa"/>
          </w:tcPr>
          <w:p w14:paraId="452714AC"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117" w:type="dxa"/>
          </w:tcPr>
          <w:p w14:paraId="0750DB09" w14:textId="77777777" w:rsidR="00561530" w:rsidRPr="00561530" w:rsidRDefault="00561530" w:rsidP="00561530">
            <w:pPr>
              <w:rPr>
                <w:rFonts w:ascii="Times New Roman" w:hAnsi="Times New Roman"/>
              </w:rPr>
            </w:pPr>
            <w:r w:rsidRPr="00561530">
              <w:rPr>
                <w:rFonts w:ascii="Times New Roman" w:hAnsi="Times New Roman"/>
              </w:rPr>
              <w:t>Diarrhea</w:t>
            </w:r>
          </w:p>
          <w:p w14:paraId="43EFA5DC" w14:textId="77777777" w:rsidR="00561530" w:rsidRPr="00561530" w:rsidRDefault="00561530" w:rsidP="00561530">
            <w:pPr>
              <w:rPr>
                <w:rFonts w:ascii="Times New Roman" w:hAnsi="Times New Roman"/>
              </w:rPr>
            </w:pPr>
            <w:r w:rsidRPr="00561530">
              <w:rPr>
                <w:rFonts w:ascii="Times New Roman" w:hAnsi="Times New Roman"/>
              </w:rPr>
              <w:t>Nausea</w:t>
            </w:r>
          </w:p>
        </w:tc>
        <w:tc>
          <w:tcPr>
            <w:tcW w:w="3117" w:type="dxa"/>
          </w:tcPr>
          <w:p w14:paraId="5BBACE99" w14:textId="77777777" w:rsidR="00561530" w:rsidRPr="00561530" w:rsidRDefault="00561530" w:rsidP="00561530">
            <w:pPr>
              <w:rPr>
                <w:rFonts w:ascii="Times New Roman" w:hAnsi="Times New Roman"/>
              </w:rPr>
            </w:pPr>
          </w:p>
        </w:tc>
      </w:tr>
      <w:tr w:rsidR="00561530" w:rsidRPr="00561530" w14:paraId="02F6827F" w14:textId="77777777" w:rsidTr="00561530">
        <w:tc>
          <w:tcPr>
            <w:tcW w:w="3116" w:type="dxa"/>
          </w:tcPr>
          <w:p w14:paraId="6B33C9B4" w14:textId="77777777" w:rsidR="00561530" w:rsidRPr="00561530" w:rsidRDefault="00561530" w:rsidP="00561530">
            <w:pPr>
              <w:rPr>
                <w:rFonts w:ascii="Times New Roman" w:hAnsi="Times New Roman"/>
              </w:rPr>
            </w:pPr>
            <w:r w:rsidRPr="00561530">
              <w:rPr>
                <w:rFonts w:ascii="Times New Roman" w:hAnsi="Times New Roman"/>
              </w:rPr>
              <w:t>Uncommon</w:t>
            </w:r>
          </w:p>
        </w:tc>
        <w:tc>
          <w:tcPr>
            <w:tcW w:w="3117" w:type="dxa"/>
          </w:tcPr>
          <w:p w14:paraId="3CCDE172" w14:textId="77777777" w:rsidR="00561530" w:rsidRPr="00561530" w:rsidRDefault="00561530" w:rsidP="00561530">
            <w:pPr>
              <w:rPr>
                <w:rFonts w:ascii="Times New Roman" w:hAnsi="Times New Roman"/>
              </w:rPr>
            </w:pPr>
          </w:p>
        </w:tc>
        <w:tc>
          <w:tcPr>
            <w:tcW w:w="3117" w:type="dxa"/>
          </w:tcPr>
          <w:p w14:paraId="414EB159" w14:textId="77777777" w:rsidR="00561530" w:rsidRPr="00561530" w:rsidRDefault="00561530" w:rsidP="00561530">
            <w:pPr>
              <w:rPr>
                <w:rFonts w:ascii="Times New Roman" w:hAnsi="Times New Roman"/>
              </w:rPr>
            </w:pPr>
            <w:r w:rsidRPr="00561530">
              <w:rPr>
                <w:rFonts w:ascii="Times New Roman" w:hAnsi="Times New Roman"/>
              </w:rPr>
              <w:t>Diarrhea</w:t>
            </w:r>
          </w:p>
        </w:tc>
      </w:tr>
      <w:tr w:rsidR="00561530" w:rsidRPr="00561530" w14:paraId="7921AEA8" w14:textId="77777777" w:rsidTr="00561530">
        <w:tc>
          <w:tcPr>
            <w:tcW w:w="9350" w:type="dxa"/>
            <w:gridSpan w:val="3"/>
            <w:shd w:val="clear" w:color="auto" w:fill="D9D9D9" w:themeFill="background1" w:themeFillShade="D9"/>
          </w:tcPr>
          <w:p w14:paraId="45F8E979" w14:textId="77777777" w:rsidR="00561530" w:rsidRPr="00561530" w:rsidRDefault="00561530" w:rsidP="00561530">
            <w:pPr>
              <w:rPr>
                <w:rFonts w:ascii="Times New Roman" w:hAnsi="Times New Roman"/>
              </w:rPr>
            </w:pPr>
            <w:r w:rsidRPr="00561530">
              <w:rPr>
                <w:rFonts w:ascii="Times New Roman" w:hAnsi="Times New Roman"/>
                <w:b/>
              </w:rPr>
              <w:t>Musculoskeletal and Connective Tissue Disorders</w:t>
            </w:r>
          </w:p>
        </w:tc>
      </w:tr>
      <w:tr w:rsidR="00561530" w:rsidRPr="00561530" w14:paraId="15A2A1FD" w14:textId="77777777" w:rsidTr="00561530">
        <w:tc>
          <w:tcPr>
            <w:tcW w:w="3116" w:type="dxa"/>
          </w:tcPr>
          <w:p w14:paraId="1C3662DD"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117" w:type="dxa"/>
          </w:tcPr>
          <w:p w14:paraId="6D7B6743" w14:textId="77777777" w:rsidR="00561530" w:rsidRPr="00561530" w:rsidRDefault="00561530" w:rsidP="00561530">
            <w:pPr>
              <w:rPr>
                <w:rFonts w:ascii="Times New Roman" w:hAnsi="Times New Roman"/>
              </w:rPr>
            </w:pPr>
            <w:r w:rsidRPr="00561530">
              <w:rPr>
                <w:rFonts w:ascii="Times New Roman" w:hAnsi="Times New Roman"/>
              </w:rPr>
              <w:t>Bone pain</w:t>
            </w:r>
          </w:p>
          <w:p w14:paraId="32357146" w14:textId="77777777" w:rsidR="00561530" w:rsidRPr="00561530" w:rsidRDefault="00561530" w:rsidP="00561530">
            <w:pPr>
              <w:rPr>
                <w:rFonts w:ascii="Times New Roman" w:hAnsi="Times New Roman"/>
              </w:rPr>
            </w:pPr>
            <w:r w:rsidRPr="00561530">
              <w:rPr>
                <w:rFonts w:ascii="Times New Roman" w:hAnsi="Times New Roman"/>
              </w:rPr>
              <w:t>Arthralgia</w:t>
            </w:r>
          </w:p>
        </w:tc>
        <w:tc>
          <w:tcPr>
            <w:tcW w:w="3117" w:type="dxa"/>
          </w:tcPr>
          <w:p w14:paraId="47474EB0" w14:textId="77777777" w:rsidR="00561530" w:rsidRPr="00561530" w:rsidRDefault="00561530" w:rsidP="00561530">
            <w:pPr>
              <w:rPr>
                <w:rFonts w:ascii="Times New Roman" w:hAnsi="Times New Roman"/>
              </w:rPr>
            </w:pPr>
            <w:r w:rsidRPr="00561530">
              <w:rPr>
                <w:rFonts w:ascii="Times New Roman" w:hAnsi="Times New Roman"/>
              </w:rPr>
              <w:t>Bone pain</w:t>
            </w:r>
          </w:p>
        </w:tc>
      </w:tr>
      <w:tr w:rsidR="00561530" w:rsidRPr="00561530" w14:paraId="2BECDE8D" w14:textId="77777777" w:rsidTr="00561530">
        <w:tc>
          <w:tcPr>
            <w:tcW w:w="9350" w:type="dxa"/>
            <w:gridSpan w:val="3"/>
            <w:shd w:val="clear" w:color="auto" w:fill="D9D9D9" w:themeFill="background1" w:themeFillShade="D9"/>
          </w:tcPr>
          <w:p w14:paraId="1B2D178B" w14:textId="77777777" w:rsidR="00561530" w:rsidRPr="00561530" w:rsidRDefault="00561530" w:rsidP="00561530">
            <w:pPr>
              <w:rPr>
                <w:rFonts w:ascii="Times New Roman" w:hAnsi="Times New Roman"/>
              </w:rPr>
            </w:pPr>
            <w:r w:rsidRPr="00561530">
              <w:rPr>
                <w:rFonts w:ascii="Times New Roman" w:hAnsi="Times New Roman"/>
                <w:b/>
              </w:rPr>
              <w:t>General Disorders and Administration Site Conditions</w:t>
            </w:r>
          </w:p>
        </w:tc>
      </w:tr>
      <w:tr w:rsidR="00561530" w:rsidRPr="00561530" w14:paraId="4D059182" w14:textId="77777777" w:rsidTr="00561530">
        <w:tc>
          <w:tcPr>
            <w:tcW w:w="3116" w:type="dxa"/>
          </w:tcPr>
          <w:p w14:paraId="3922A3C3" w14:textId="77777777" w:rsidR="00561530" w:rsidRPr="00561530" w:rsidRDefault="00561530" w:rsidP="00561530">
            <w:pPr>
              <w:rPr>
                <w:rFonts w:ascii="Times New Roman" w:hAnsi="Times New Roman"/>
              </w:rPr>
            </w:pPr>
            <w:r w:rsidRPr="00561530">
              <w:rPr>
                <w:rFonts w:ascii="Times New Roman" w:hAnsi="Times New Roman"/>
              </w:rPr>
              <w:t>Very Common</w:t>
            </w:r>
          </w:p>
        </w:tc>
        <w:tc>
          <w:tcPr>
            <w:tcW w:w="3117" w:type="dxa"/>
          </w:tcPr>
          <w:p w14:paraId="00F12FD5" w14:textId="77777777" w:rsidR="00561530" w:rsidRPr="00561530" w:rsidRDefault="00561530" w:rsidP="00561530">
            <w:pPr>
              <w:rPr>
                <w:rFonts w:ascii="Times New Roman" w:hAnsi="Times New Roman"/>
              </w:rPr>
            </w:pPr>
            <w:r w:rsidRPr="00561530">
              <w:rPr>
                <w:rFonts w:ascii="Times New Roman" w:hAnsi="Times New Roman"/>
              </w:rPr>
              <w:t>Fatigue</w:t>
            </w:r>
          </w:p>
          <w:p w14:paraId="3FC4B680" w14:textId="77777777" w:rsidR="00561530" w:rsidRPr="00561530" w:rsidRDefault="00561530" w:rsidP="00561530">
            <w:pPr>
              <w:rPr>
                <w:rFonts w:ascii="Times New Roman" w:hAnsi="Times New Roman"/>
              </w:rPr>
            </w:pPr>
            <w:r w:rsidRPr="00561530">
              <w:rPr>
                <w:rFonts w:ascii="Times New Roman" w:hAnsi="Times New Roman"/>
              </w:rPr>
              <w:t>Asthenia</w:t>
            </w:r>
          </w:p>
        </w:tc>
        <w:tc>
          <w:tcPr>
            <w:tcW w:w="3117" w:type="dxa"/>
          </w:tcPr>
          <w:p w14:paraId="789A2836" w14:textId="77777777" w:rsidR="00561530" w:rsidRPr="00561530" w:rsidRDefault="00561530" w:rsidP="00561530">
            <w:pPr>
              <w:rPr>
                <w:rFonts w:ascii="Times New Roman" w:hAnsi="Times New Roman"/>
              </w:rPr>
            </w:pPr>
          </w:p>
        </w:tc>
      </w:tr>
    </w:tbl>
    <w:p w14:paraId="076211A5" w14:textId="77777777" w:rsidR="00561530" w:rsidRPr="00561530" w:rsidRDefault="00561530" w:rsidP="00561530">
      <w:pPr>
        <w:rPr>
          <w:rFonts w:ascii="Times New Roman" w:hAnsi="Times New Roman"/>
        </w:rPr>
      </w:pPr>
      <w:r w:rsidRPr="00561530">
        <w:rPr>
          <w:rFonts w:ascii="Times New Roman" w:hAnsi="Times New Roman"/>
          <w:b/>
        </w:rPr>
        <w:t>Description of Selected Adverse Reactions (MDS and β-Thalassaemia)</w:t>
      </w:r>
    </w:p>
    <w:p w14:paraId="584B93F9" w14:textId="77777777" w:rsidR="00561530" w:rsidRPr="00561530" w:rsidRDefault="00561530" w:rsidP="00561530">
      <w:pPr>
        <w:rPr>
          <w:rFonts w:ascii="Times New Roman" w:hAnsi="Times New Roman"/>
        </w:rPr>
      </w:pPr>
      <w:r w:rsidRPr="00561530">
        <w:rPr>
          <w:rFonts w:ascii="Times New Roman" w:hAnsi="Times New Roman"/>
          <w:u w:val="single"/>
        </w:rPr>
        <w:t>Hypersensitivity Reactions</w:t>
      </w:r>
    </w:p>
    <w:p w14:paraId="667897AA" w14:textId="77777777" w:rsidR="00561530" w:rsidRPr="00561530" w:rsidRDefault="00561530" w:rsidP="00561530">
      <w:pPr>
        <w:rPr>
          <w:rFonts w:ascii="Times New Roman" w:hAnsi="Times New Roman"/>
        </w:rPr>
      </w:pPr>
      <w:r w:rsidRPr="00561530">
        <w:rPr>
          <w:rFonts w:ascii="Times New Roman" w:hAnsi="Times New Roman"/>
        </w:rPr>
        <w:t>Hypersensitivity reactions (including eyelid oedema, drug sensitivity, swelling face, periorbital oedema, hypersensitivity, face oedema, angioedema, lip swelling and drug eruption) occurred in 4.6% of MDS patients and 4.5% of β</w:t>
      </w:r>
      <w:r w:rsidRPr="00561530">
        <w:rPr>
          <w:rFonts w:ascii="Times New Roman" w:hAnsi="Times New Roman"/>
        </w:rPr>
        <w:noBreakHyphen/>
        <w:t>thalassaemia patients treated with REBLOZYL. In clinical studies, all events were Grade 1/2 and non-serious. Hypersensitivity led to treatment discontinuation in 1 β</w:t>
      </w:r>
      <w:r w:rsidRPr="00561530">
        <w:rPr>
          <w:rFonts w:ascii="Times New Roman" w:hAnsi="Times New Roman"/>
        </w:rPr>
        <w:noBreakHyphen/>
        <w:t>thalassaemia patient (0.4%).</w:t>
      </w:r>
    </w:p>
    <w:p w14:paraId="3B5F374A" w14:textId="77777777" w:rsidR="00561530" w:rsidRPr="00561530" w:rsidRDefault="00561530" w:rsidP="00561530">
      <w:pPr>
        <w:rPr>
          <w:rFonts w:ascii="Times New Roman" w:hAnsi="Times New Roman"/>
        </w:rPr>
      </w:pPr>
      <w:r w:rsidRPr="00561530">
        <w:rPr>
          <w:rFonts w:ascii="Times New Roman" w:hAnsi="Times New Roman"/>
          <w:u w:val="single"/>
        </w:rPr>
        <w:t>Injection Site Reactions</w:t>
      </w:r>
    </w:p>
    <w:p w14:paraId="4ED8E640" w14:textId="77777777" w:rsidR="00561530" w:rsidRPr="00561530" w:rsidRDefault="00561530" w:rsidP="00561530">
      <w:pPr>
        <w:rPr>
          <w:rFonts w:ascii="Times New Roman" w:hAnsi="Times New Roman"/>
        </w:rPr>
      </w:pPr>
      <w:r w:rsidRPr="00561530">
        <w:rPr>
          <w:rFonts w:ascii="Times New Roman" w:hAnsi="Times New Roman"/>
        </w:rPr>
        <w:t>Injection site reactions (including injection site erythema, injection site pruritus, injection site swelling and injection site rash) occurred in 3.9% of MDS patients and 2.2% of β</w:t>
      </w:r>
      <w:r w:rsidRPr="00561530">
        <w:rPr>
          <w:rFonts w:ascii="Times New Roman" w:hAnsi="Times New Roman"/>
        </w:rPr>
        <w:noBreakHyphen/>
        <w:t>thalassaemia patients receiving REBLOZYL and 1.1% of patients treated with placebo. In clinical studies, all events were Grade 1 and non</w:t>
      </w:r>
      <w:r w:rsidRPr="00561530">
        <w:rPr>
          <w:rFonts w:ascii="Times New Roman" w:hAnsi="Times New Roman"/>
        </w:rPr>
        <w:noBreakHyphen/>
        <w:t>serious.</w:t>
      </w:r>
    </w:p>
    <w:p w14:paraId="72061351" w14:textId="77777777" w:rsidR="00561530" w:rsidRPr="00561530" w:rsidRDefault="00561530" w:rsidP="00561530">
      <w:pPr>
        <w:rPr>
          <w:rFonts w:ascii="Times New Roman" w:hAnsi="Times New Roman"/>
          <w:u w:val="single"/>
        </w:rPr>
      </w:pPr>
      <w:r w:rsidRPr="00561530">
        <w:rPr>
          <w:rFonts w:ascii="Times New Roman" w:hAnsi="Times New Roman"/>
          <w:u w:val="single"/>
        </w:rPr>
        <w:t>Immunogenicity</w:t>
      </w:r>
    </w:p>
    <w:p w14:paraId="6E20041B" w14:textId="77777777" w:rsidR="00561530" w:rsidRPr="00561530" w:rsidRDefault="00561530" w:rsidP="00561530">
      <w:pPr>
        <w:rPr>
          <w:rFonts w:ascii="Times New Roman" w:hAnsi="Times New Roman"/>
        </w:rPr>
      </w:pPr>
      <w:r w:rsidRPr="00561530">
        <w:rPr>
          <w:rFonts w:ascii="Times New Roman" w:hAnsi="Times New Roman"/>
        </w:rPr>
        <w:t xml:space="preserve">In clinical studies in MDS, an analysis of 260 MDS patients who were treated with </w:t>
      </w:r>
      <w:proofErr w:type="spellStart"/>
      <w:r w:rsidRPr="00561530">
        <w:rPr>
          <w:rFonts w:ascii="Times New Roman" w:hAnsi="Times New Roman"/>
        </w:rPr>
        <w:t>luspatercept</w:t>
      </w:r>
      <w:proofErr w:type="spellEnd"/>
      <w:r w:rsidRPr="00561530">
        <w:rPr>
          <w:rFonts w:ascii="Times New Roman" w:hAnsi="Times New Roman"/>
        </w:rPr>
        <w:t xml:space="preserve"> and who were evaluable for the presence of anti-</w:t>
      </w:r>
      <w:proofErr w:type="spellStart"/>
      <w:r w:rsidRPr="00561530">
        <w:rPr>
          <w:rFonts w:ascii="Times New Roman" w:hAnsi="Times New Roman"/>
        </w:rPr>
        <w:t>luspatercept</w:t>
      </w:r>
      <w:proofErr w:type="spellEnd"/>
      <w:r w:rsidRPr="00561530">
        <w:rPr>
          <w:rFonts w:ascii="Times New Roman" w:hAnsi="Times New Roman"/>
        </w:rPr>
        <w:t xml:space="preserve"> antibodies showed that 23 (8.8%) MDS patients tested positive for treatment-emergent anti-</w:t>
      </w:r>
      <w:proofErr w:type="spellStart"/>
      <w:r w:rsidRPr="00561530">
        <w:rPr>
          <w:rFonts w:ascii="Times New Roman" w:hAnsi="Times New Roman"/>
        </w:rPr>
        <w:t>luspatercept</w:t>
      </w:r>
      <w:proofErr w:type="spellEnd"/>
      <w:r w:rsidRPr="00561530">
        <w:rPr>
          <w:rFonts w:ascii="Times New Roman" w:hAnsi="Times New Roman"/>
        </w:rPr>
        <w:t xml:space="preserve"> antibodies, including 9 (3.5%) MDS patients who had neutralising antibodies against </w:t>
      </w:r>
      <w:proofErr w:type="spellStart"/>
      <w:r w:rsidRPr="00561530">
        <w:rPr>
          <w:rFonts w:ascii="Times New Roman" w:hAnsi="Times New Roman"/>
        </w:rPr>
        <w:t>luspatercept</w:t>
      </w:r>
      <w:proofErr w:type="spellEnd"/>
      <w:r w:rsidRPr="00561530">
        <w:rPr>
          <w:rFonts w:ascii="Times New Roman" w:hAnsi="Times New Roman"/>
        </w:rPr>
        <w:t>.</w:t>
      </w:r>
    </w:p>
    <w:p w14:paraId="5D4A7F69" w14:textId="77777777" w:rsidR="00561530" w:rsidRPr="00561530" w:rsidRDefault="00561530" w:rsidP="00561530">
      <w:pPr>
        <w:rPr>
          <w:rFonts w:ascii="Times New Roman" w:hAnsi="Times New Roman"/>
        </w:rPr>
      </w:pPr>
      <w:r w:rsidRPr="00561530">
        <w:rPr>
          <w:rFonts w:ascii="Times New Roman" w:hAnsi="Times New Roman"/>
        </w:rPr>
        <w:t xml:space="preserve">In clinical studies in β-thalassaemia, an analysis of 284 β-thalassaemia patients who were treated with </w:t>
      </w:r>
      <w:proofErr w:type="spellStart"/>
      <w:r w:rsidRPr="00561530">
        <w:rPr>
          <w:rFonts w:ascii="Times New Roman" w:hAnsi="Times New Roman"/>
        </w:rPr>
        <w:t>luspatercept</w:t>
      </w:r>
      <w:proofErr w:type="spellEnd"/>
      <w:r w:rsidRPr="00561530">
        <w:rPr>
          <w:rFonts w:ascii="Times New Roman" w:hAnsi="Times New Roman"/>
        </w:rPr>
        <w:t xml:space="preserve"> and who were evaluable for the presence of anti-</w:t>
      </w:r>
      <w:proofErr w:type="spellStart"/>
      <w:r w:rsidRPr="00561530">
        <w:rPr>
          <w:rFonts w:ascii="Times New Roman" w:hAnsi="Times New Roman"/>
        </w:rPr>
        <w:t>luspatercept</w:t>
      </w:r>
      <w:proofErr w:type="spellEnd"/>
      <w:r w:rsidRPr="00561530">
        <w:rPr>
          <w:rFonts w:ascii="Times New Roman" w:hAnsi="Times New Roman"/>
        </w:rPr>
        <w:t xml:space="preserve"> antibodies showed that 4 (1.4%) β-thalassaemia patients tested positive for treatment-emergent anti-</w:t>
      </w:r>
      <w:proofErr w:type="spellStart"/>
      <w:r w:rsidRPr="00561530">
        <w:rPr>
          <w:rFonts w:ascii="Times New Roman" w:hAnsi="Times New Roman"/>
        </w:rPr>
        <w:t>luspatercept</w:t>
      </w:r>
      <w:proofErr w:type="spellEnd"/>
      <w:r w:rsidRPr="00561530">
        <w:rPr>
          <w:rFonts w:ascii="Times New Roman" w:hAnsi="Times New Roman"/>
        </w:rPr>
        <w:t xml:space="preserve"> antibodies, including 2 (0.7%) β-thalassaemia patients who had neutralising antibodies against </w:t>
      </w:r>
      <w:proofErr w:type="spellStart"/>
      <w:r w:rsidRPr="00561530">
        <w:rPr>
          <w:rFonts w:ascii="Times New Roman" w:hAnsi="Times New Roman"/>
        </w:rPr>
        <w:t>luspatercept</w:t>
      </w:r>
      <w:proofErr w:type="spellEnd"/>
      <w:r w:rsidRPr="00561530">
        <w:rPr>
          <w:rFonts w:ascii="Times New Roman" w:hAnsi="Times New Roman"/>
        </w:rPr>
        <w:t>.</w:t>
      </w:r>
    </w:p>
    <w:p w14:paraId="0E06C5E0" w14:textId="77777777" w:rsidR="00561530" w:rsidRPr="00561530" w:rsidRDefault="00561530" w:rsidP="00561530">
      <w:pPr>
        <w:rPr>
          <w:rFonts w:ascii="Times New Roman" w:hAnsi="Times New Roman"/>
        </w:rPr>
      </w:pPr>
      <w:proofErr w:type="spellStart"/>
      <w:r w:rsidRPr="00561530">
        <w:rPr>
          <w:rFonts w:ascii="Times New Roman" w:hAnsi="Times New Roman"/>
        </w:rPr>
        <w:t>Luspatercept</w:t>
      </w:r>
      <w:proofErr w:type="spellEnd"/>
      <w:r w:rsidRPr="00561530">
        <w:rPr>
          <w:rFonts w:ascii="Times New Roman" w:hAnsi="Times New Roman"/>
        </w:rPr>
        <w:t xml:space="preserve"> serum concentration tended to decrease in the presence of neutralising antibodies. There were no systemic hypersensitivity reactions reported for patients with anti-</w:t>
      </w:r>
      <w:proofErr w:type="spellStart"/>
      <w:r w:rsidRPr="00561530">
        <w:rPr>
          <w:rFonts w:ascii="Times New Roman" w:hAnsi="Times New Roman"/>
        </w:rPr>
        <w:t>luspatercept</w:t>
      </w:r>
      <w:proofErr w:type="spellEnd"/>
      <w:r w:rsidRPr="00561530">
        <w:rPr>
          <w:rFonts w:ascii="Times New Roman" w:hAnsi="Times New Roman"/>
        </w:rPr>
        <w:t xml:space="preserve"> antibodies in </w:t>
      </w:r>
      <w:proofErr w:type="spellStart"/>
      <w:r w:rsidRPr="00561530">
        <w:rPr>
          <w:rFonts w:ascii="Times New Roman" w:hAnsi="Times New Roman"/>
        </w:rPr>
        <w:t>luspatercept</w:t>
      </w:r>
      <w:proofErr w:type="spellEnd"/>
      <w:r w:rsidRPr="00561530">
        <w:rPr>
          <w:rFonts w:ascii="Times New Roman" w:hAnsi="Times New Roman"/>
        </w:rPr>
        <w:t xml:space="preserve"> clinical trials, and there was no association between hypersensitivity type or injection site reactions and presence of anti-</w:t>
      </w:r>
      <w:proofErr w:type="spellStart"/>
      <w:r w:rsidRPr="00561530">
        <w:rPr>
          <w:rFonts w:ascii="Times New Roman" w:hAnsi="Times New Roman"/>
        </w:rPr>
        <w:t>luspatercept</w:t>
      </w:r>
      <w:proofErr w:type="spellEnd"/>
      <w:r w:rsidRPr="00561530">
        <w:rPr>
          <w:rFonts w:ascii="Times New Roman" w:hAnsi="Times New Roman"/>
        </w:rPr>
        <w:t xml:space="preserve"> antibodies.</w:t>
      </w:r>
    </w:p>
    <w:p w14:paraId="34E1D6FA" w14:textId="77777777" w:rsidR="00561530" w:rsidRPr="00987EA6" w:rsidRDefault="00561530" w:rsidP="00561530">
      <w:pPr>
        <w:pStyle w:val="Heading3"/>
        <w:rPr>
          <w:rFonts w:ascii="Times New Roman" w:hAnsi="Times New Roman"/>
          <w:sz w:val="24"/>
          <w:szCs w:val="20"/>
        </w:rPr>
      </w:pPr>
      <w:bookmarkStart w:id="109" w:name="_Toc102045215"/>
      <w:r w:rsidRPr="00987EA6">
        <w:rPr>
          <w:rFonts w:ascii="Times New Roman" w:hAnsi="Times New Roman"/>
          <w:sz w:val="24"/>
          <w:szCs w:val="20"/>
        </w:rPr>
        <w:t>Reporting Suspected Adverse Effects</w:t>
      </w:r>
      <w:bookmarkEnd w:id="109"/>
    </w:p>
    <w:p w14:paraId="5700FBED" w14:textId="77777777" w:rsidR="00561530" w:rsidRPr="00561530" w:rsidRDefault="00561530" w:rsidP="00561530">
      <w:pPr>
        <w:rPr>
          <w:rFonts w:ascii="Times New Roman" w:hAnsi="Times New Roman"/>
          <w:lang w:val="en"/>
        </w:rPr>
      </w:pPr>
      <w:r w:rsidRPr="00561530">
        <w:rPr>
          <w:rFonts w:ascii="Times New Roman" w:hAnsi="Times New Roman"/>
          <w:lang w:val="en"/>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38" w:history="1">
        <w:r w:rsidRPr="00561530">
          <w:rPr>
            <w:rStyle w:val="Hyperlink"/>
            <w:rFonts w:ascii="Times New Roman" w:hAnsi="Times New Roman"/>
            <w:lang w:val="en"/>
          </w:rPr>
          <w:t>www.tga.gov.au/reporting-problems</w:t>
        </w:r>
      </w:hyperlink>
      <w:r w:rsidRPr="00561530">
        <w:rPr>
          <w:rFonts w:ascii="Times New Roman" w:hAnsi="Times New Roman"/>
          <w:lang w:val="en"/>
        </w:rPr>
        <w:t>.</w:t>
      </w:r>
    </w:p>
    <w:p w14:paraId="5BCD9B65" w14:textId="1AEE0E1A" w:rsidR="00561530" w:rsidRPr="00987EA6" w:rsidRDefault="00561530" w:rsidP="00561530">
      <w:pPr>
        <w:pStyle w:val="Heading2"/>
        <w:rPr>
          <w:rFonts w:ascii="Times New Roman" w:hAnsi="Times New Roman"/>
          <w:sz w:val="26"/>
        </w:rPr>
      </w:pPr>
      <w:bookmarkStart w:id="110" w:name="_Toc102045216"/>
      <w:r w:rsidRPr="00987EA6">
        <w:rPr>
          <w:rFonts w:ascii="Times New Roman" w:hAnsi="Times New Roman"/>
          <w:sz w:val="26"/>
        </w:rPr>
        <w:t>4.9</w:t>
      </w:r>
      <w:r w:rsidRPr="00987EA6">
        <w:rPr>
          <w:rFonts w:ascii="Times New Roman" w:hAnsi="Times New Roman"/>
          <w:sz w:val="26"/>
        </w:rPr>
        <w:tab/>
        <w:t>O</w:t>
      </w:r>
      <w:r w:rsidR="00987EA6" w:rsidRPr="00987EA6">
        <w:rPr>
          <w:rFonts w:ascii="Times New Roman" w:hAnsi="Times New Roman"/>
          <w:sz w:val="26"/>
        </w:rPr>
        <w:t>VERDOSE</w:t>
      </w:r>
      <w:bookmarkEnd w:id="110"/>
    </w:p>
    <w:p w14:paraId="79CF6BE5" w14:textId="77777777" w:rsidR="00561530" w:rsidRPr="00561530" w:rsidRDefault="00561530" w:rsidP="00561530">
      <w:pPr>
        <w:rPr>
          <w:rFonts w:ascii="Times New Roman" w:hAnsi="Times New Roman"/>
          <w:lang w:val="en"/>
        </w:rPr>
      </w:pPr>
      <w:r w:rsidRPr="00561530">
        <w:rPr>
          <w:rFonts w:ascii="Times New Roman" w:hAnsi="Times New Roman"/>
          <w:szCs w:val="24"/>
        </w:rPr>
        <w:t>Overdosage may cause haemoglobin levels above the desired level. In the event of an overdose, treatment should be delayed until Hb ≤ 110 g/L.</w:t>
      </w:r>
    </w:p>
    <w:p w14:paraId="256B3A36" w14:textId="77777777" w:rsidR="00561530" w:rsidRPr="00561530" w:rsidRDefault="00561530" w:rsidP="00561530">
      <w:pPr>
        <w:rPr>
          <w:rFonts w:ascii="Times New Roman" w:hAnsi="Times New Roman"/>
          <w:lang w:val="en"/>
        </w:rPr>
      </w:pPr>
      <w:r w:rsidRPr="00561530">
        <w:rPr>
          <w:rFonts w:ascii="Times New Roman" w:hAnsi="Times New Roman"/>
          <w:lang w:val="en"/>
        </w:rPr>
        <w:t>For information on the management of overdose, contact the Poisons Information Centre on 13 11 26 (Australia).</w:t>
      </w:r>
    </w:p>
    <w:p w14:paraId="1DA4F393" w14:textId="1AB47DE0" w:rsidR="00561530" w:rsidRPr="00987EA6" w:rsidRDefault="00561530" w:rsidP="00440EF2">
      <w:pPr>
        <w:pStyle w:val="Heading1"/>
        <w:numPr>
          <w:ilvl w:val="0"/>
          <w:numId w:val="22"/>
        </w:numPr>
        <w:ind w:left="0" w:firstLine="0"/>
        <w:rPr>
          <w:rFonts w:ascii="Times New Roman" w:hAnsi="Times New Roman" w:cs="Times New Roman"/>
          <w:sz w:val="28"/>
          <w:szCs w:val="28"/>
        </w:rPr>
      </w:pPr>
      <w:r w:rsidRPr="00987EA6">
        <w:rPr>
          <w:rFonts w:ascii="Times New Roman" w:hAnsi="Times New Roman" w:cs="Times New Roman"/>
          <w:sz w:val="28"/>
          <w:szCs w:val="28"/>
        </w:rPr>
        <w:t>P</w:t>
      </w:r>
      <w:r w:rsidR="00987EA6" w:rsidRPr="00987EA6">
        <w:rPr>
          <w:rFonts w:ascii="Times New Roman" w:hAnsi="Times New Roman" w:cs="Times New Roman"/>
          <w:sz w:val="28"/>
          <w:szCs w:val="28"/>
        </w:rPr>
        <w:t>HARMACOLOGICAL PROPERTIES</w:t>
      </w:r>
    </w:p>
    <w:p w14:paraId="5C210C97" w14:textId="1EDA253E" w:rsidR="00561530" w:rsidRPr="00987EA6" w:rsidRDefault="00561530" w:rsidP="00561530">
      <w:pPr>
        <w:pStyle w:val="Heading2"/>
        <w:rPr>
          <w:rFonts w:ascii="Times New Roman" w:hAnsi="Times New Roman"/>
          <w:sz w:val="26"/>
        </w:rPr>
      </w:pPr>
      <w:bookmarkStart w:id="111" w:name="_Toc102045217"/>
      <w:r w:rsidRPr="00987EA6">
        <w:rPr>
          <w:rFonts w:ascii="Times New Roman" w:hAnsi="Times New Roman"/>
          <w:sz w:val="26"/>
        </w:rPr>
        <w:t>5.1</w:t>
      </w:r>
      <w:r w:rsidRPr="00987EA6">
        <w:rPr>
          <w:rFonts w:ascii="Times New Roman" w:hAnsi="Times New Roman"/>
          <w:sz w:val="26"/>
        </w:rPr>
        <w:tab/>
        <w:t>P</w:t>
      </w:r>
      <w:r w:rsidR="00987EA6" w:rsidRPr="00987EA6">
        <w:rPr>
          <w:rFonts w:ascii="Times New Roman" w:hAnsi="Times New Roman"/>
          <w:sz w:val="26"/>
        </w:rPr>
        <w:t>HARMACODYNAMIC PROPERTIES</w:t>
      </w:r>
      <w:bookmarkEnd w:id="111"/>
      <w:r w:rsidR="00987EA6" w:rsidRPr="00987EA6">
        <w:rPr>
          <w:rFonts w:ascii="Times New Roman" w:hAnsi="Times New Roman"/>
          <w:sz w:val="26"/>
        </w:rPr>
        <w:t xml:space="preserve"> </w:t>
      </w:r>
    </w:p>
    <w:p w14:paraId="7AECF3EA" w14:textId="77777777" w:rsidR="00561530" w:rsidRPr="00561530" w:rsidRDefault="00561530" w:rsidP="00561530">
      <w:pPr>
        <w:rPr>
          <w:rFonts w:ascii="Times New Roman" w:hAnsi="Times New Roman"/>
        </w:rPr>
      </w:pPr>
      <w:r w:rsidRPr="00561530">
        <w:rPr>
          <w:rFonts w:ascii="Times New Roman" w:hAnsi="Times New Roman"/>
        </w:rPr>
        <w:t>Pharmacotherapeutic group: Anti-anaemic preparations, other anti-anaemic preparations, ATC code: B03XA06</w:t>
      </w:r>
    </w:p>
    <w:p w14:paraId="6F5649E5" w14:textId="77777777" w:rsidR="00561530" w:rsidRPr="00987EA6" w:rsidRDefault="00561530" w:rsidP="00561530">
      <w:pPr>
        <w:pStyle w:val="Heading3"/>
        <w:rPr>
          <w:rFonts w:ascii="Times New Roman" w:hAnsi="Times New Roman"/>
          <w:sz w:val="24"/>
          <w:szCs w:val="20"/>
        </w:rPr>
      </w:pPr>
      <w:bookmarkStart w:id="112" w:name="_Toc102045218"/>
      <w:r w:rsidRPr="00987EA6">
        <w:rPr>
          <w:rFonts w:ascii="Times New Roman" w:hAnsi="Times New Roman"/>
          <w:sz w:val="24"/>
          <w:szCs w:val="20"/>
        </w:rPr>
        <w:t>Mechanism of Action</w:t>
      </w:r>
      <w:bookmarkEnd w:id="112"/>
    </w:p>
    <w:p w14:paraId="5C5DD9FD" w14:textId="77777777" w:rsidR="00561530" w:rsidRPr="00561530" w:rsidRDefault="00561530" w:rsidP="00561530">
      <w:pPr>
        <w:rPr>
          <w:rFonts w:ascii="Times New Roman" w:hAnsi="Times New Roman"/>
          <w:szCs w:val="24"/>
        </w:rPr>
      </w:pPr>
      <w:bookmarkStart w:id="113" w:name="_Hlk518993706"/>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is a recombinant fusion protein consisting of a modified form of the extracellular domain of the human activin receptor type IIB (</w:t>
      </w:r>
      <w:proofErr w:type="spellStart"/>
      <w:r w:rsidRPr="00561530">
        <w:rPr>
          <w:rFonts w:ascii="Times New Roman" w:hAnsi="Times New Roman"/>
          <w:szCs w:val="24"/>
        </w:rPr>
        <w:t>ActRIIB</w:t>
      </w:r>
      <w:proofErr w:type="spellEnd"/>
      <w:r w:rsidRPr="00561530">
        <w:rPr>
          <w:rFonts w:ascii="Times New Roman" w:hAnsi="Times New Roman"/>
          <w:szCs w:val="24"/>
        </w:rPr>
        <w:t xml:space="preserve">) linked to the human immunoglobin G1 (IgG1) Fc domain. It acts as a ligand trap for select TGF-β superfamily ligands. By binding to certain endogenous ligands that act as negative regulators of </w:t>
      </w:r>
      <w:proofErr w:type="gramStart"/>
      <w:r w:rsidRPr="00561530">
        <w:rPr>
          <w:rFonts w:ascii="Times New Roman" w:hAnsi="Times New Roman"/>
          <w:szCs w:val="24"/>
        </w:rPr>
        <w:t xml:space="preserve">erythropoiesis,  </w:t>
      </w:r>
      <w:proofErr w:type="spellStart"/>
      <w:r w:rsidRPr="00561530">
        <w:rPr>
          <w:rFonts w:ascii="Times New Roman" w:hAnsi="Times New Roman"/>
          <w:szCs w:val="24"/>
        </w:rPr>
        <w:t>luspatercept</w:t>
      </w:r>
      <w:proofErr w:type="spellEnd"/>
      <w:proofErr w:type="gramEnd"/>
      <w:r w:rsidRPr="00561530">
        <w:rPr>
          <w:rFonts w:ascii="Times New Roman" w:hAnsi="Times New Roman"/>
          <w:szCs w:val="24"/>
        </w:rPr>
        <w:t xml:space="preserve"> inhibits downstream Smad2/3 signalling, resulting in erythroid maturation through differentiation of late-stage erythroid precursors (normoblasts) in the bone marrow. TGF-β superfamily signalling through Smad2/3 is abnormally high in disease models characterised by ineffective erythropoiesis, i.e., MDS and </w:t>
      </w:r>
      <w:r w:rsidRPr="00561530">
        <w:rPr>
          <w:rFonts w:ascii="Times New Roman" w:hAnsi="Times New Roman"/>
        </w:rPr>
        <w:t>β</w:t>
      </w:r>
      <w:r w:rsidRPr="00561530">
        <w:rPr>
          <w:rFonts w:ascii="Times New Roman" w:hAnsi="Times New Roman"/>
        </w:rPr>
        <w:noBreakHyphen/>
        <w:t>thalassaemia, and in the bone marrow of MDS patients.</w:t>
      </w:r>
    </w:p>
    <w:p w14:paraId="1780AC3C" w14:textId="77777777" w:rsidR="00561530" w:rsidRPr="00561530" w:rsidRDefault="00561530" w:rsidP="00561530">
      <w:pPr>
        <w:rPr>
          <w:rFonts w:ascii="Times New Roman" w:hAnsi="Times New Roman"/>
          <w:szCs w:val="24"/>
        </w:rPr>
      </w:pPr>
      <w:r w:rsidRPr="00561530">
        <w:rPr>
          <w:rFonts w:ascii="Times New Roman" w:hAnsi="Times New Roman"/>
          <w:b/>
          <w:szCs w:val="24"/>
        </w:rPr>
        <w:t>Pharmacodynamic Effects</w:t>
      </w:r>
    </w:p>
    <w:p w14:paraId="3E5C2DCC" w14:textId="77777777" w:rsidR="00561530" w:rsidRPr="00561530" w:rsidRDefault="00561530" w:rsidP="00561530">
      <w:pPr>
        <w:rPr>
          <w:rFonts w:ascii="Times New Roman" w:hAnsi="Times New Roman"/>
          <w:szCs w:val="24"/>
        </w:rPr>
      </w:pPr>
      <w:bookmarkStart w:id="114" w:name="_Hlk1431880"/>
      <w:bookmarkEnd w:id="113"/>
      <w:r w:rsidRPr="00561530">
        <w:rPr>
          <w:rFonts w:ascii="Times New Roman" w:hAnsi="Times New Roman"/>
          <w:szCs w:val="24"/>
          <w:u w:val="single"/>
        </w:rPr>
        <w:t>Haemoglobin Response</w:t>
      </w:r>
    </w:p>
    <w:p w14:paraId="7155C732" w14:textId="77777777" w:rsidR="00561530" w:rsidRPr="00561530" w:rsidRDefault="00561530" w:rsidP="00561530">
      <w:pPr>
        <w:rPr>
          <w:rFonts w:ascii="Times New Roman" w:hAnsi="Times New Roman"/>
          <w:szCs w:val="24"/>
        </w:rPr>
      </w:pPr>
      <w:r w:rsidRPr="00561530">
        <w:rPr>
          <w:rFonts w:ascii="Times New Roman" w:hAnsi="Times New Roman"/>
          <w:szCs w:val="24"/>
        </w:rPr>
        <w:t xml:space="preserve">Haemoglobin </w:t>
      </w:r>
      <w:proofErr w:type="gramStart"/>
      <w:r w:rsidRPr="00561530">
        <w:rPr>
          <w:rFonts w:ascii="Times New Roman" w:hAnsi="Times New Roman"/>
          <w:szCs w:val="24"/>
        </w:rPr>
        <w:t>increase</w:t>
      </w:r>
      <w:proofErr w:type="gramEnd"/>
      <w:r w:rsidRPr="00561530">
        <w:rPr>
          <w:rFonts w:ascii="Times New Roman" w:hAnsi="Times New Roman"/>
          <w:szCs w:val="24"/>
        </w:rPr>
        <w:t xml:space="preserve"> in patients treated with REBLOZYL was evident within 7 days of therapy initiation and temporally correlated with the time for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w:t>
      </w:r>
      <w:proofErr w:type="spellStart"/>
      <w:r w:rsidRPr="00561530">
        <w:rPr>
          <w:rFonts w:ascii="Times New Roman" w:hAnsi="Times New Roman"/>
          <w:szCs w:val="24"/>
        </w:rPr>
        <w:t>C</w:t>
      </w:r>
      <w:r w:rsidRPr="00561530">
        <w:rPr>
          <w:rFonts w:ascii="Times New Roman" w:hAnsi="Times New Roman"/>
          <w:szCs w:val="24"/>
          <w:vertAlign w:val="subscript"/>
        </w:rPr>
        <w:t>max</w:t>
      </w:r>
      <w:proofErr w:type="spellEnd"/>
      <w:r w:rsidRPr="00561530">
        <w:rPr>
          <w:rFonts w:ascii="Times New Roman" w:hAnsi="Times New Roman"/>
          <w:szCs w:val="24"/>
        </w:rPr>
        <w:t>. The most pronounced Hb increase was observed after the first dose, with additional increases at subsequent doses for the Q3W dosing schedule. At therapeutic dose levels (0.6 – 1.75 mg/kg), the time for the increased Hb to return to its baseline value appeared to be approximately 6 to 8 weeks from the last dose.</w:t>
      </w:r>
    </w:p>
    <w:p w14:paraId="02C7AC13" w14:textId="77777777" w:rsidR="00561530" w:rsidRPr="00561530" w:rsidRDefault="00561530" w:rsidP="00561530">
      <w:pPr>
        <w:rPr>
          <w:rFonts w:ascii="Times New Roman" w:hAnsi="Times New Roman"/>
          <w:szCs w:val="24"/>
        </w:rPr>
      </w:pPr>
      <w:r w:rsidRPr="00561530">
        <w:rPr>
          <w:rFonts w:ascii="Times New Roman" w:hAnsi="Times New Roman"/>
          <w:szCs w:val="24"/>
        </w:rPr>
        <w:t xml:space="preserve">Increasing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serum exposure (AUC) was associated with greater Hb increase in patients with MDS or </w:t>
      </w:r>
      <w:r w:rsidRPr="00561530">
        <w:rPr>
          <w:rFonts w:ascii="Times New Roman" w:hAnsi="Times New Roman"/>
        </w:rPr>
        <w:t>β</w:t>
      </w:r>
      <w:r w:rsidRPr="00561530">
        <w:rPr>
          <w:rFonts w:ascii="Times New Roman" w:hAnsi="Times New Roman"/>
        </w:rPr>
        <w:noBreakHyphen/>
        <w:t>thalassaemia.</w:t>
      </w:r>
    </w:p>
    <w:p w14:paraId="4120FF63" w14:textId="77777777" w:rsidR="00561530" w:rsidRPr="00987EA6" w:rsidRDefault="00561530" w:rsidP="00561530">
      <w:pPr>
        <w:pStyle w:val="Heading3"/>
        <w:rPr>
          <w:rFonts w:ascii="Times New Roman" w:hAnsi="Times New Roman"/>
          <w:b w:val="0"/>
          <w:sz w:val="24"/>
          <w:szCs w:val="20"/>
        </w:rPr>
      </w:pPr>
      <w:bookmarkStart w:id="115" w:name="_Toc102045219"/>
      <w:bookmarkEnd w:id="114"/>
      <w:r w:rsidRPr="00987EA6">
        <w:rPr>
          <w:rFonts w:ascii="Times New Roman" w:hAnsi="Times New Roman"/>
          <w:sz w:val="24"/>
          <w:szCs w:val="20"/>
        </w:rPr>
        <w:t>Clinical Trials</w:t>
      </w:r>
      <w:bookmarkEnd w:id="115"/>
    </w:p>
    <w:p w14:paraId="29F2526F" w14:textId="77777777" w:rsidR="00561530" w:rsidRPr="00561530" w:rsidRDefault="00561530" w:rsidP="00561530">
      <w:pPr>
        <w:rPr>
          <w:rFonts w:ascii="Times New Roman" w:hAnsi="Times New Roman"/>
          <w:szCs w:val="24"/>
        </w:rPr>
      </w:pPr>
      <w:r w:rsidRPr="00561530">
        <w:rPr>
          <w:rFonts w:ascii="Times New Roman" w:hAnsi="Times New Roman"/>
          <w:szCs w:val="24"/>
          <w:u w:val="single"/>
        </w:rPr>
        <w:t>Myelodysplastic Syndromes (MDS)</w:t>
      </w:r>
    </w:p>
    <w:p w14:paraId="50513228" w14:textId="77777777" w:rsidR="00561530" w:rsidRPr="00561530" w:rsidRDefault="00561530" w:rsidP="00561530">
      <w:pPr>
        <w:rPr>
          <w:rFonts w:ascii="Times New Roman" w:hAnsi="Times New Roman"/>
          <w:szCs w:val="24"/>
        </w:rPr>
      </w:pPr>
      <w:r w:rsidRPr="00561530">
        <w:rPr>
          <w:rFonts w:ascii="Times New Roman" w:hAnsi="Times New Roman"/>
          <w:szCs w:val="24"/>
        </w:rPr>
        <w:t xml:space="preserve">The efficacy and safety of REBLOZYL were evaluated in a Phase 3 multicentre, randomised, double-blind, placebo-controlled study MEDALIST (ACE-536-MDS-001) in adult patients with anaemia requiring RBC transfusions due to IPSS-R very low-, low- or intermediate-risk MDS who have ring </w:t>
      </w:r>
      <w:proofErr w:type="spellStart"/>
      <w:r w:rsidRPr="00561530">
        <w:rPr>
          <w:rFonts w:ascii="Times New Roman" w:hAnsi="Times New Roman"/>
          <w:szCs w:val="24"/>
        </w:rPr>
        <w:t>sideroblasts</w:t>
      </w:r>
      <w:proofErr w:type="spellEnd"/>
      <w:r w:rsidRPr="00561530">
        <w:rPr>
          <w:rFonts w:ascii="Times New Roman" w:hAnsi="Times New Roman"/>
          <w:szCs w:val="24"/>
        </w:rPr>
        <w:t>.</w:t>
      </w:r>
    </w:p>
    <w:p w14:paraId="55FE0D75" w14:textId="77777777" w:rsidR="00561530" w:rsidRPr="00561530" w:rsidRDefault="00561530" w:rsidP="00561530">
      <w:pPr>
        <w:rPr>
          <w:rFonts w:ascii="Times New Roman" w:hAnsi="Times New Roman"/>
          <w:szCs w:val="24"/>
        </w:rPr>
      </w:pPr>
      <w:r w:rsidRPr="00561530">
        <w:rPr>
          <w:rFonts w:ascii="Times New Roman" w:hAnsi="Times New Roman"/>
          <w:szCs w:val="24"/>
        </w:rPr>
        <w:t>Patients in both arms were treated for 24 weeks, then continued treatment if they had demonstrated clinical benefit and absence of disease progression.</w:t>
      </w:r>
    </w:p>
    <w:p w14:paraId="0E57350C" w14:textId="77777777" w:rsidR="00561530" w:rsidRPr="00561530" w:rsidRDefault="00561530" w:rsidP="00561530">
      <w:pPr>
        <w:rPr>
          <w:rFonts w:ascii="Times New Roman" w:hAnsi="Times New Roman"/>
          <w:szCs w:val="24"/>
        </w:rPr>
      </w:pPr>
      <w:r w:rsidRPr="00561530">
        <w:rPr>
          <w:rFonts w:ascii="Times New Roman" w:hAnsi="Times New Roman"/>
          <w:szCs w:val="24"/>
        </w:rPr>
        <w:t>A total of 229 patients were randomised to receive REBLOZYL 1.0 mg/kg (n=153) or placebo (n=76) subcutaneously every 3 weeks. Dose titration up to 1.75 mg/kg was allowed. All patients were eligible to receive best supportive care (BSC), which included RBC transfusions, iron-chelating agents, use of antibiotic, antiviral and antifungal therapy, and nutritional support, as needed. Patients were required to have received prior treatment with ESA, determined to be unlikely to respond to ESA treatment with serum erythropoietin (EPO) (&gt;200 U/L), or intolerant. Patients with deletion 5q (del5q) MDS, white blood cell count &gt; 13 Gi/L, neutrophils &lt;0.5 Gi/L, platelets &lt; 50 Gi/L, or with prior use of a disease modifying agent for treatment of MDS were excluded from the study. The median age of the 229 study participants was 71 years (range: 26, 95 years). Majority of patients were white (69%) and male (63%).</w:t>
      </w:r>
    </w:p>
    <w:p w14:paraId="429AC448" w14:textId="77777777" w:rsidR="00561530" w:rsidRPr="00561530" w:rsidRDefault="00561530" w:rsidP="00561530">
      <w:pPr>
        <w:rPr>
          <w:rFonts w:ascii="Times New Roman" w:hAnsi="Times New Roman"/>
          <w:szCs w:val="24"/>
        </w:rPr>
      </w:pPr>
      <w:r w:rsidRPr="00561530">
        <w:rPr>
          <w:rFonts w:ascii="Times New Roman" w:hAnsi="Times New Roman"/>
          <w:b/>
          <w:szCs w:val="24"/>
        </w:rPr>
        <w:t>Table 7</w:t>
      </w:r>
      <w:r w:rsidRPr="00561530">
        <w:rPr>
          <w:rFonts w:ascii="Times New Roman" w:hAnsi="Times New Roman"/>
          <w:szCs w:val="24"/>
        </w:rPr>
        <w:t xml:space="preserve"> summarises the baseline disease characteristics in patients with MDS in the MEDALIST study.</w:t>
      </w:r>
    </w:p>
    <w:p w14:paraId="4668DD77" w14:textId="77777777" w:rsidR="00561530" w:rsidRPr="00561530" w:rsidRDefault="00561530" w:rsidP="00F91303">
      <w:pPr>
        <w:pageBreakBefore/>
        <w:rPr>
          <w:rFonts w:ascii="Times New Roman" w:hAnsi="Times New Roman"/>
          <w:szCs w:val="24"/>
        </w:rPr>
      </w:pPr>
      <w:r w:rsidRPr="00561530">
        <w:rPr>
          <w:rFonts w:ascii="Times New Roman" w:hAnsi="Times New Roman"/>
          <w:b/>
          <w:szCs w:val="24"/>
        </w:rPr>
        <w:t>Table 7: Baseline Disease Characteristics for MDS Patients in ACE-536-MDS-001</w:t>
      </w:r>
    </w:p>
    <w:tbl>
      <w:tblPr>
        <w:tblStyle w:val="TableGrid"/>
        <w:tblW w:w="9445" w:type="dxa"/>
        <w:tblLook w:val="04A0" w:firstRow="1" w:lastRow="0" w:firstColumn="1" w:lastColumn="0" w:noHBand="0" w:noVBand="1"/>
      </w:tblPr>
      <w:tblGrid>
        <w:gridCol w:w="5395"/>
        <w:gridCol w:w="1980"/>
        <w:gridCol w:w="2070"/>
      </w:tblGrid>
      <w:tr w:rsidR="00561530" w:rsidRPr="00561530" w14:paraId="3FF51B6C" w14:textId="77777777" w:rsidTr="00561530">
        <w:tc>
          <w:tcPr>
            <w:tcW w:w="5395" w:type="dxa"/>
          </w:tcPr>
          <w:p w14:paraId="4004F9DE" w14:textId="77777777" w:rsidR="00561530" w:rsidRPr="00561530" w:rsidRDefault="00561530" w:rsidP="00561530">
            <w:pPr>
              <w:rPr>
                <w:rFonts w:ascii="Times New Roman" w:hAnsi="Times New Roman"/>
                <w:szCs w:val="24"/>
              </w:rPr>
            </w:pPr>
          </w:p>
        </w:tc>
        <w:tc>
          <w:tcPr>
            <w:tcW w:w="1980" w:type="dxa"/>
          </w:tcPr>
          <w:p w14:paraId="19F2991C"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 xml:space="preserve">REBLOZYL </w:t>
            </w:r>
          </w:p>
          <w:p w14:paraId="0AE88A63"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(N = 153)</w:t>
            </w:r>
          </w:p>
        </w:tc>
        <w:tc>
          <w:tcPr>
            <w:tcW w:w="2070" w:type="dxa"/>
          </w:tcPr>
          <w:p w14:paraId="1611A8D2"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 xml:space="preserve">Placebo </w:t>
            </w:r>
          </w:p>
          <w:p w14:paraId="3E864440"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(N = 76)</w:t>
            </w:r>
          </w:p>
        </w:tc>
      </w:tr>
      <w:tr w:rsidR="00561530" w:rsidRPr="00561530" w14:paraId="175E4B0A" w14:textId="77777777" w:rsidTr="00561530">
        <w:tc>
          <w:tcPr>
            <w:tcW w:w="9445" w:type="dxa"/>
            <w:gridSpan w:val="3"/>
            <w:shd w:val="clear" w:color="auto" w:fill="D9D9D9" w:themeFill="background1" w:themeFillShade="D9"/>
          </w:tcPr>
          <w:p w14:paraId="3929E5B6" w14:textId="77777777" w:rsidR="00561530" w:rsidRPr="00561530" w:rsidRDefault="00561530" w:rsidP="00561530">
            <w:pPr>
              <w:rPr>
                <w:rFonts w:ascii="Times New Roman" w:hAnsi="Times New Roman"/>
                <w:b/>
                <w:szCs w:val="24"/>
              </w:rPr>
            </w:pPr>
            <w:r w:rsidRPr="00561530">
              <w:rPr>
                <w:rFonts w:ascii="Times New Roman" w:hAnsi="Times New Roman"/>
                <w:b/>
                <w:bCs/>
                <w:szCs w:val="24"/>
              </w:rPr>
              <w:t xml:space="preserve">Time Since Original MDS </w:t>
            </w:r>
            <w:proofErr w:type="spellStart"/>
            <w:r w:rsidRPr="00561530">
              <w:rPr>
                <w:rFonts w:ascii="Times New Roman" w:hAnsi="Times New Roman"/>
                <w:b/>
                <w:bCs/>
                <w:szCs w:val="24"/>
              </w:rPr>
              <w:t>Diagnosis</w:t>
            </w:r>
            <w:r w:rsidRPr="00561530">
              <w:rPr>
                <w:rFonts w:ascii="Times New Roman" w:hAnsi="Times New Roman"/>
                <w:b/>
                <w:bCs/>
                <w:szCs w:val="24"/>
                <w:vertAlign w:val="superscript"/>
              </w:rPr>
              <w:t>a</w:t>
            </w:r>
            <w:proofErr w:type="spellEnd"/>
            <w:r w:rsidRPr="00561530">
              <w:rPr>
                <w:rFonts w:ascii="Times New Roman" w:hAnsi="Times New Roman"/>
                <w:b/>
                <w:bCs/>
                <w:szCs w:val="24"/>
              </w:rPr>
              <w:t xml:space="preserve"> (months)</w:t>
            </w:r>
          </w:p>
        </w:tc>
      </w:tr>
      <w:tr w:rsidR="00561530" w:rsidRPr="00561530" w14:paraId="2C6483A5" w14:textId="77777777" w:rsidTr="00561530">
        <w:tc>
          <w:tcPr>
            <w:tcW w:w="5395" w:type="dxa"/>
          </w:tcPr>
          <w:p w14:paraId="177182E5" w14:textId="77777777" w:rsidR="00561530" w:rsidRPr="00561530" w:rsidRDefault="00561530" w:rsidP="00561530">
            <w:pPr>
              <w:rPr>
                <w:rFonts w:ascii="Times New Roman" w:hAnsi="Times New Roman"/>
                <w:szCs w:val="24"/>
              </w:rPr>
            </w:pPr>
            <w:r w:rsidRPr="00561530">
              <w:rPr>
                <w:rFonts w:ascii="Times New Roman" w:hAnsi="Times New Roman"/>
                <w:szCs w:val="24"/>
              </w:rPr>
              <w:t>Mean (SD)</w:t>
            </w:r>
          </w:p>
        </w:tc>
        <w:tc>
          <w:tcPr>
            <w:tcW w:w="1980" w:type="dxa"/>
          </w:tcPr>
          <w:p w14:paraId="78B750DF"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57.8 (56.59)</w:t>
            </w:r>
          </w:p>
        </w:tc>
        <w:tc>
          <w:tcPr>
            <w:tcW w:w="2070" w:type="dxa"/>
          </w:tcPr>
          <w:p w14:paraId="2BA6785E"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52.7 (42.29)</w:t>
            </w:r>
          </w:p>
        </w:tc>
      </w:tr>
      <w:tr w:rsidR="00561530" w:rsidRPr="00561530" w14:paraId="06CD53DA" w14:textId="77777777" w:rsidTr="00561530">
        <w:tc>
          <w:tcPr>
            <w:tcW w:w="5395" w:type="dxa"/>
          </w:tcPr>
          <w:p w14:paraId="271B0E16" w14:textId="77777777" w:rsidR="00561530" w:rsidRPr="00561530" w:rsidRDefault="00561530" w:rsidP="00561530">
            <w:pPr>
              <w:rPr>
                <w:rFonts w:ascii="Times New Roman" w:hAnsi="Times New Roman"/>
                <w:szCs w:val="24"/>
              </w:rPr>
            </w:pPr>
            <w:r w:rsidRPr="00561530">
              <w:rPr>
                <w:rFonts w:ascii="Times New Roman" w:hAnsi="Times New Roman"/>
                <w:szCs w:val="24"/>
              </w:rPr>
              <w:t>Median (Min, Max)</w:t>
            </w:r>
          </w:p>
        </w:tc>
        <w:tc>
          <w:tcPr>
            <w:tcW w:w="1980" w:type="dxa"/>
          </w:tcPr>
          <w:p w14:paraId="53F81DDC"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44.0 (3, 421)</w:t>
            </w:r>
          </w:p>
        </w:tc>
        <w:tc>
          <w:tcPr>
            <w:tcW w:w="2070" w:type="dxa"/>
          </w:tcPr>
          <w:p w14:paraId="709E5FC7"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36.1 (4, 193)</w:t>
            </w:r>
          </w:p>
        </w:tc>
      </w:tr>
      <w:tr w:rsidR="00561530" w:rsidRPr="00561530" w14:paraId="0FE236DE" w14:textId="77777777" w:rsidTr="00561530">
        <w:tc>
          <w:tcPr>
            <w:tcW w:w="9445" w:type="dxa"/>
            <w:gridSpan w:val="3"/>
            <w:shd w:val="clear" w:color="auto" w:fill="D9D9D9" w:themeFill="background1" w:themeFillShade="D9"/>
          </w:tcPr>
          <w:p w14:paraId="0E167DBB" w14:textId="77777777" w:rsidR="00561530" w:rsidRPr="00561530" w:rsidRDefault="00561530" w:rsidP="00561530">
            <w:pPr>
              <w:rPr>
                <w:rFonts w:ascii="Times New Roman" w:hAnsi="Times New Roman"/>
                <w:bCs/>
                <w:szCs w:val="24"/>
              </w:rPr>
            </w:pPr>
            <w:r w:rsidRPr="00561530">
              <w:rPr>
                <w:rFonts w:ascii="Times New Roman" w:hAnsi="Times New Roman"/>
                <w:b/>
                <w:bCs/>
                <w:szCs w:val="24"/>
              </w:rPr>
              <w:t>MDS Classification, n (%)</w:t>
            </w:r>
          </w:p>
        </w:tc>
      </w:tr>
      <w:tr w:rsidR="00561530" w:rsidRPr="00561530" w14:paraId="7EF610E5" w14:textId="77777777" w:rsidTr="00561530">
        <w:tc>
          <w:tcPr>
            <w:tcW w:w="5395" w:type="dxa"/>
          </w:tcPr>
          <w:p w14:paraId="745FA482" w14:textId="77777777" w:rsidR="00561530" w:rsidRPr="00561530" w:rsidRDefault="00561530" w:rsidP="00561530">
            <w:pPr>
              <w:rPr>
                <w:rFonts w:ascii="Times New Roman" w:hAnsi="Times New Roman"/>
                <w:szCs w:val="24"/>
              </w:rPr>
            </w:pPr>
            <w:r w:rsidRPr="00561530">
              <w:rPr>
                <w:rFonts w:ascii="Times New Roman" w:hAnsi="Times New Roman"/>
                <w:szCs w:val="24"/>
              </w:rPr>
              <w:t>MDS RARS</w:t>
            </w:r>
          </w:p>
        </w:tc>
        <w:tc>
          <w:tcPr>
            <w:tcW w:w="1980" w:type="dxa"/>
          </w:tcPr>
          <w:p w14:paraId="14370278"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7 (4.6)</w:t>
            </w:r>
          </w:p>
        </w:tc>
        <w:tc>
          <w:tcPr>
            <w:tcW w:w="2070" w:type="dxa"/>
          </w:tcPr>
          <w:p w14:paraId="1D667729"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2 (2.6)</w:t>
            </w:r>
          </w:p>
        </w:tc>
      </w:tr>
      <w:tr w:rsidR="00561530" w:rsidRPr="00561530" w14:paraId="5FEFFEF8" w14:textId="77777777" w:rsidTr="00561530">
        <w:tc>
          <w:tcPr>
            <w:tcW w:w="5395" w:type="dxa"/>
          </w:tcPr>
          <w:p w14:paraId="40F31974" w14:textId="77777777" w:rsidR="00561530" w:rsidRPr="00561530" w:rsidRDefault="00561530" w:rsidP="00561530">
            <w:pPr>
              <w:rPr>
                <w:rFonts w:ascii="Times New Roman" w:hAnsi="Times New Roman"/>
                <w:szCs w:val="24"/>
              </w:rPr>
            </w:pPr>
            <w:r w:rsidRPr="00561530">
              <w:rPr>
                <w:rFonts w:ascii="Times New Roman" w:hAnsi="Times New Roman"/>
                <w:szCs w:val="24"/>
              </w:rPr>
              <w:t>MDS RCMD-RS</w:t>
            </w:r>
          </w:p>
        </w:tc>
        <w:tc>
          <w:tcPr>
            <w:tcW w:w="1980" w:type="dxa"/>
          </w:tcPr>
          <w:p w14:paraId="49243F25"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145 (94.8)</w:t>
            </w:r>
          </w:p>
        </w:tc>
        <w:tc>
          <w:tcPr>
            <w:tcW w:w="2070" w:type="dxa"/>
          </w:tcPr>
          <w:p w14:paraId="0E975DA3"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74 (97.4)</w:t>
            </w:r>
          </w:p>
        </w:tc>
      </w:tr>
      <w:tr w:rsidR="00561530" w:rsidRPr="00561530" w14:paraId="7B473BFE" w14:textId="77777777" w:rsidTr="00561530">
        <w:tc>
          <w:tcPr>
            <w:tcW w:w="5395" w:type="dxa"/>
          </w:tcPr>
          <w:p w14:paraId="1515583F" w14:textId="77777777" w:rsidR="00561530" w:rsidRPr="00561530" w:rsidRDefault="00561530" w:rsidP="00561530">
            <w:pPr>
              <w:rPr>
                <w:rFonts w:ascii="Times New Roman" w:hAnsi="Times New Roman"/>
                <w:szCs w:val="24"/>
              </w:rPr>
            </w:pPr>
            <w:r w:rsidRPr="00561530">
              <w:rPr>
                <w:rFonts w:ascii="Times New Roman" w:hAnsi="Times New Roman"/>
                <w:szCs w:val="24"/>
              </w:rPr>
              <w:t>Other</w:t>
            </w:r>
          </w:p>
        </w:tc>
        <w:tc>
          <w:tcPr>
            <w:tcW w:w="1980" w:type="dxa"/>
          </w:tcPr>
          <w:p w14:paraId="6EE72ECB"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1 (0.7)</w:t>
            </w:r>
          </w:p>
        </w:tc>
        <w:tc>
          <w:tcPr>
            <w:tcW w:w="2070" w:type="dxa"/>
          </w:tcPr>
          <w:p w14:paraId="35FB0DA5" w14:textId="77777777" w:rsidR="00561530" w:rsidRPr="00561530" w:rsidRDefault="00561530" w:rsidP="00561530">
            <w:pPr>
              <w:jc w:val="center"/>
              <w:rPr>
                <w:rFonts w:ascii="Times New Roman" w:hAnsi="Times New Roman"/>
                <w:bCs/>
                <w:szCs w:val="24"/>
              </w:rPr>
            </w:pPr>
            <w:r w:rsidRPr="00561530">
              <w:rPr>
                <w:rFonts w:ascii="Times New Roman" w:hAnsi="Times New Roman"/>
                <w:bCs/>
                <w:szCs w:val="24"/>
              </w:rPr>
              <w:t>0</w:t>
            </w:r>
          </w:p>
        </w:tc>
      </w:tr>
      <w:tr w:rsidR="00561530" w:rsidRPr="00561530" w14:paraId="781AD68B" w14:textId="77777777" w:rsidTr="00561530">
        <w:tc>
          <w:tcPr>
            <w:tcW w:w="9445" w:type="dxa"/>
            <w:gridSpan w:val="3"/>
            <w:shd w:val="clear" w:color="auto" w:fill="D9D9D9" w:themeFill="background1" w:themeFillShade="D9"/>
          </w:tcPr>
          <w:p w14:paraId="76D5834B" w14:textId="77777777" w:rsidR="00561530" w:rsidRPr="00561530" w:rsidRDefault="00561530" w:rsidP="00561530">
            <w:pPr>
              <w:rPr>
                <w:rFonts w:ascii="Times New Roman" w:hAnsi="Times New Roman"/>
                <w:szCs w:val="24"/>
              </w:rPr>
            </w:pPr>
            <w:r w:rsidRPr="00561530">
              <w:rPr>
                <w:rFonts w:ascii="Times New Roman" w:hAnsi="Times New Roman"/>
                <w:b/>
                <w:szCs w:val="24"/>
              </w:rPr>
              <w:t xml:space="preserve">Serum EPO (U/L) </w:t>
            </w:r>
            <w:proofErr w:type="spellStart"/>
            <w:r w:rsidRPr="00561530">
              <w:rPr>
                <w:rFonts w:ascii="Times New Roman" w:hAnsi="Times New Roman"/>
                <w:b/>
                <w:szCs w:val="24"/>
              </w:rPr>
              <w:t>categories</w:t>
            </w:r>
            <w:r w:rsidRPr="00561530">
              <w:rPr>
                <w:rFonts w:ascii="Times New Roman" w:hAnsi="Times New Roman"/>
                <w:b/>
                <w:szCs w:val="24"/>
                <w:vertAlign w:val="superscript"/>
              </w:rPr>
              <w:t>b</w:t>
            </w:r>
            <w:proofErr w:type="spellEnd"/>
            <w:r w:rsidRPr="00561530">
              <w:rPr>
                <w:rFonts w:ascii="Times New Roman" w:hAnsi="Times New Roman"/>
                <w:b/>
                <w:szCs w:val="24"/>
              </w:rPr>
              <w:t>, n (%)</w:t>
            </w:r>
          </w:p>
        </w:tc>
      </w:tr>
      <w:tr w:rsidR="00561530" w:rsidRPr="00561530" w14:paraId="64667CBE" w14:textId="77777777" w:rsidTr="00561530">
        <w:tc>
          <w:tcPr>
            <w:tcW w:w="5395" w:type="dxa"/>
          </w:tcPr>
          <w:p w14:paraId="38A58DE7" w14:textId="77777777" w:rsidR="00561530" w:rsidRPr="00561530" w:rsidRDefault="00561530" w:rsidP="00561530">
            <w:pPr>
              <w:rPr>
                <w:rFonts w:ascii="Times New Roman" w:hAnsi="Times New Roman"/>
                <w:szCs w:val="24"/>
              </w:rPr>
            </w:pPr>
            <w:r w:rsidRPr="00561530">
              <w:rPr>
                <w:rFonts w:ascii="Times New Roman" w:hAnsi="Times New Roman"/>
                <w:szCs w:val="24"/>
              </w:rPr>
              <w:t>&lt; 200</w:t>
            </w:r>
          </w:p>
          <w:p w14:paraId="4241B70D" w14:textId="77777777" w:rsidR="00561530" w:rsidRPr="00561530" w:rsidRDefault="00561530" w:rsidP="00561530">
            <w:pPr>
              <w:rPr>
                <w:rFonts w:ascii="Times New Roman" w:hAnsi="Times New Roman"/>
                <w:szCs w:val="24"/>
              </w:rPr>
            </w:pPr>
            <w:r w:rsidRPr="00561530">
              <w:rPr>
                <w:rFonts w:ascii="Times New Roman" w:hAnsi="Times New Roman"/>
                <w:szCs w:val="24"/>
              </w:rPr>
              <w:t>200 to 500</w:t>
            </w:r>
          </w:p>
          <w:p w14:paraId="6E184948" w14:textId="77777777" w:rsidR="00561530" w:rsidRPr="00561530" w:rsidRDefault="00561530" w:rsidP="00561530">
            <w:pPr>
              <w:rPr>
                <w:rFonts w:ascii="Times New Roman" w:hAnsi="Times New Roman"/>
                <w:szCs w:val="24"/>
              </w:rPr>
            </w:pPr>
            <w:r w:rsidRPr="00561530">
              <w:rPr>
                <w:rFonts w:ascii="Times New Roman" w:hAnsi="Times New Roman"/>
                <w:szCs w:val="24"/>
              </w:rPr>
              <w:t>&gt; 500</w:t>
            </w:r>
          </w:p>
          <w:p w14:paraId="34C04E03" w14:textId="77777777" w:rsidR="00561530" w:rsidRPr="00561530" w:rsidRDefault="00561530" w:rsidP="00561530">
            <w:pPr>
              <w:rPr>
                <w:rFonts w:ascii="Times New Roman" w:hAnsi="Times New Roman"/>
                <w:szCs w:val="24"/>
              </w:rPr>
            </w:pPr>
            <w:r w:rsidRPr="00561530">
              <w:rPr>
                <w:rFonts w:ascii="Times New Roman" w:hAnsi="Times New Roman"/>
                <w:szCs w:val="24"/>
              </w:rPr>
              <w:t>Missing</w:t>
            </w:r>
          </w:p>
        </w:tc>
        <w:tc>
          <w:tcPr>
            <w:tcW w:w="1980" w:type="dxa"/>
          </w:tcPr>
          <w:p w14:paraId="507D907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88 (57.5)</w:t>
            </w:r>
          </w:p>
          <w:p w14:paraId="7C1D35F2"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43 (28.1)</w:t>
            </w:r>
          </w:p>
          <w:p w14:paraId="07AB6EA4"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21 (13.7)</w:t>
            </w:r>
          </w:p>
          <w:p w14:paraId="56C04871"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 (0.7)</w:t>
            </w:r>
          </w:p>
        </w:tc>
        <w:tc>
          <w:tcPr>
            <w:tcW w:w="2070" w:type="dxa"/>
          </w:tcPr>
          <w:p w14:paraId="29A8001A"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50 (65.8)</w:t>
            </w:r>
          </w:p>
          <w:p w14:paraId="2D18B240"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15 (19.7)</w:t>
            </w:r>
          </w:p>
          <w:p w14:paraId="277AFBB2"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11 (14.5)</w:t>
            </w:r>
          </w:p>
          <w:p w14:paraId="3416A93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0</w:t>
            </w:r>
          </w:p>
        </w:tc>
      </w:tr>
      <w:tr w:rsidR="00561530" w:rsidRPr="00561530" w14:paraId="20DB2DDE" w14:textId="77777777" w:rsidTr="00561530">
        <w:tc>
          <w:tcPr>
            <w:tcW w:w="9445" w:type="dxa"/>
            <w:gridSpan w:val="3"/>
            <w:shd w:val="clear" w:color="auto" w:fill="D9D9D9" w:themeFill="background1" w:themeFillShade="D9"/>
          </w:tcPr>
          <w:p w14:paraId="4ACC7617" w14:textId="77777777" w:rsidR="00561530" w:rsidRPr="00561530" w:rsidRDefault="00561530" w:rsidP="00561530">
            <w:pPr>
              <w:rPr>
                <w:rFonts w:ascii="Times New Roman" w:hAnsi="Times New Roman"/>
                <w:szCs w:val="24"/>
              </w:rPr>
            </w:pPr>
            <w:r w:rsidRPr="00561530">
              <w:rPr>
                <w:rFonts w:ascii="Times New Roman" w:hAnsi="Times New Roman"/>
                <w:b/>
                <w:szCs w:val="24"/>
              </w:rPr>
              <w:t>IPSS-R classification risk category, n (%)</w:t>
            </w:r>
          </w:p>
        </w:tc>
      </w:tr>
      <w:tr w:rsidR="00561530" w:rsidRPr="00561530" w14:paraId="72E0E821" w14:textId="77777777" w:rsidTr="00561530">
        <w:tc>
          <w:tcPr>
            <w:tcW w:w="5395" w:type="dxa"/>
          </w:tcPr>
          <w:p w14:paraId="137B6B81" w14:textId="77777777" w:rsidR="00561530" w:rsidRPr="00561530" w:rsidRDefault="00561530" w:rsidP="00561530">
            <w:pPr>
              <w:rPr>
                <w:rFonts w:ascii="Times New Roman" w:hAnsi="Times New Roman"/>
                <w:szCs w:val="24"/>
              </w:rPr>
            </w:pPr>
            <w:r w:rsidRPr="00561530">
              <w:rPr>
                <w:rFonts w:ascii="Times New Roman" w:hAnsi="Times New Roman"/>
                <w:szCs w:val="24"/>
              </w:rPr>
              <w:t>Very low</w:t>
            </w:r>
          </w:p>
          <w:p w14:paraId="00D7DCC7" w14:textId="77777777" w:rsidR="00561530" w:rsidRPr="00561530" w:rsidRDefault="00561530" w:rsidP="00561530">
            <w:pPr>
              <w:rPr>
                <w:rFonts w:ascii="Times New Roman" w:hAnsi="Times New Roman"/>
                <w:szCs w:val="24"/>
              </w:rPr>
            </w:pPr>
            <w:r w:rsidRPr="00561530">
              <w:rPr>
                <w:rFonts w:ascii="Times New Roman" w:hAnsi="Times New Roman"/>
                <w:szCs w:val="24"/>
              </w:rPr>
              <w:t>Low</w:t>
            </w:r>
          </w:p>
          <w:p w14:paraId="743D7882" w14:textId="77777777" w:rsidR="00561530" w:rsidRPr="00561530" w:rsidRDefault="00561530" w:rsidP="00561530">
            <w:pPr>
              <w:rPr>
                <w:rFonts w:ascii="Times New Roman" w:hAnsi="Times New Roman"/>
                <w:szCs w:val="24"/>
              </w:rPr>
            </w:pPr>
            <w:r w:rsidRPr="00561530">
              <w:rPr>
                <w:rFonts w:ascii="Times New Roman" w:hAnsi="Times New Roman"/>
                <w:szCs w:val="24"/>
              </w:rPr>
              <w:t>Intermediate</w:t>
            </w:r>
          </w:p>
          <w:p w14:paraId="75451899" w14:textId="77777777" w:rsidR="00561530" w:rsidRPr="00561530" w:rsidRDefault="00561530" w:rsidP="00561530">
            <w:pPr>
              <w:rPr>
                <w:rFonts w:ascii="Times New Roman" w:hAnsi="Times New Roman"/>
                <w:szCs w:val="24"/>
              </w:rPr>
            </w:pPr>
            <w:r w:rsidRPr="00561530">
              <w:rPr>
                <w:rFonts w:ascii="Times New Roman" w:hAnsi="Times New Roman"/>
                <w:szCs w:val="24"/>
              </w:rPr>
              <w:t>Other</w:t>
            </w:r>
          </w:p>
        </w:tc>
        <w:tc>
          <w:tcPr>
            <w:tcW w:w="1980" w:type="dxa"/>
          </w:tcPr>
          <w:p w14:paraId="76CD973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18 (11.8)</w:t>
            </w:r>
          </w:p>
          <w:p w14:paraId="48303ADB"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109 (71.2)</w:t>
            </w:r>
          </w:p>
          <w:p w14:paraId="7D4EBDD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25 (16.3)</w:t>
            </w:r>
          </w:p>
          <w:p w14:paraId="50D602F3"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 (0.7)</w:t>
            </w:r>
          </w:p>
        </w:tc>
        <w:tc>
          <w:tcPr>
            <w:tcW w:w="2070" w:type="dxa"/>
          </w:tcPr>
          <w:p w14:paraId="3D3C0B4E"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6 (7.9)</w:t>
            </w:r>
          </w:p>
          <w:p w14:paraId="438A7FC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57 (75.0)</w:t>
            </w:r>
          </w:p>
          <w:p w14:paraId="33560530"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13(17.1)</w:t>
            </w:r>
          </w:p>
          <w:p w14:paraId="0611C5E0"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0</w:t>
            </w:r>
          </w:p>
        </w:tc>
      </w:tr>
      <w:tr w:rsidR="00561530" w:rsidRPr="00561530" w14:paraId="71015482" w14:textId="77777777" w:rsidTr="00561530">
        <w:tc>
          <w:tcPr>
            <w:tcW w:w="9445" w:type="dxa"/>
            <w:gridSpan w:val="3"/>
            <w:shd w:val="clear" w:color="auto" w:fill="D9D9D9" w:themeFill="background1" w:themeFillShade="D9"/>
          </w:tcPr>
          <w:p w14:paraId="39363E50" w14:textId="77777777" w:rsidR="00561530" w:rsidRPr="00561530" w:rsidRDefault="00561530" w:rsidP="00561530">
            <w:pPr>
              <w:rPr>
                <w:rFonts w:ascii="Times New Roman" w:hAnsi="Times New Roman"/>
                <w:szCs w:val="24"/>
              </w:rPr>
            </w:pPr>
            <w:r w:rsidRPr="00561530">
              <w:rPr>
                <w:rFonts w:ascii="Times New Roman" w:hAnsi="Times New Roman"/>
                <w:b/>
                <w:szCs w:val="24"/>
              </w:rPr>
              <w:t>Baseline RBC transfusion burden / 8 weeks categories, n (%)</w:t>
            </w:r>
          </w:p>
        </w:tc>
      </w:tr>
      <w:tr w:rsidR="00561530" w:rsidRPr="00561530" w14:paraId="5034FC9E" w14:textId="77777777" w:rsidTr="00561530">
        <w:tc>
          <w:tcPr>
            <w:tcW w:w="5395" w:type="dxa"/>
          </w:tcPr>
          <w:p w14:paraId="5B13EA13" w14:textId="77777777" w:rsidR="00561530" w:rsidRPr="00561530" w:rsidRDefault="00561530" w:rsidP="00561530">
            <w:pPr>
              <w:rPr>
                <w:rFonts w:ascii="Times New Roman" w:hAnsi="Times New Roman"/>
                <w:szCs w:val="24"/>
              </w:rPr>
            </w:pPr>
            <w:r w:rsidRPr="00561530">
              <w:rPr>
                <w:rFonts w:ascii="Times New Roman" w:hAnsi="Times New Roman"/>
                <w:szCs w:val="24"/>
              </w:rPr>
              <w:t>≥ 6 units</w:t>
            </w:r>
          </w:p>
          <w:p w14:paraId="2607B5A4" w14:textId="77777777" w:rsidR="00561530" w:rsidRPr="00561530" w:rsidRDefault="00561530" w:rsidP="00561530">
            <w:pPr>
              <w:rPr>
                <w:rFonts w:ascii="Times New Roman" w:hAnsi="Times New Roman"/>
                <w:szCs w:val="24"/>
              </w:rPr>
            </w:pPr>
            <w:r w:rsidRPr="00561530">
              <w:rPr>
                <w:rFonts w:ascii="Times New Roman" w:hAnsi="Times New Roman"/>
                <w:szCs w:val="24"/>
              </w:rPr>
              <w:t>&lt; 6 units</w:t>
            </w:r>
          </w:p>
          <w:p w14:paraId="10D02D26" w14:textId="77777777" w:rsidR="00561530" w:rsidRPr="00561530" w:rsidRDefault="00561530" w:rsidP="00561530">
            <w:pPr>
              <w:rPr>
                <w:rFonts w:ascii="Times New Roman" w:hAnsi="Times New Roman"/>
                <w:szCs w:val="24"/>
              </w:rPr>
            </w:pPr>
            <w:r w:rsidRPr="00561530">
              <w:rPr>
                <w:rFonts w:ascii="Times New Roman" w:hAnsi="Times New Roman"/>
                <w:szCs w:val="24"/>
              </w:rPr>
              <w:t>≥ 4 and &lt; 6 units</w:t>
            </w:r>
          </w:p>
          <w:p w14:paraId="1D60B2BE" w14:textId="77777777" w:rsidR="00561530" w:rsidRPr="00561530" w:rsidRDefault="00561530" w:rsidP="00561530">
            <w:pPr>
              <w:rPr>
                <w:rFonts w:ascii="Times New Roman" w:hAnsi="Times New Roman"/>
                <w:szCs w:val="24"/>
              </w:rPr>
            </w:pPr>
            <w:r w:rsidRPr="00561530">
              <w:rPr>
                <w:rFonts w:ascii="Times New Roman" w:hAnsi="Times New Roman"/>
                <w:szCs w:val="24"/>
              </w:rPr>
              <w:t>&lt; 4 units</w:t>
            </w:r>
          </w:p>
        </w:tc>
        <w:tc>
          <w:tcPr>
            <w:tcW w:w="1980" w:type="dxa"/>
          </w:tcPr>
          <w:p w14:paraId="21B5F5B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78(51.0)</w:t>
            </w:r>
          </w:p>
          <w:p w14:paraId="5CA1683E"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75 (49.0)</w:t>
            </w:r>
          </w:p>
          <w:p w14:paraId="3728F3C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47(30.7)</w:t>
            </w:r>
          </w:p>
          <w:p w14:paraId="391D10A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28(18.3)</w:t>
            </w:r>
          </w:p>
        </w:tc>
        <w:tc>
          <w:tcPr>
            <w:tcW w:w="2070" w:type="dxa"/>
          </w:tcPr>
          <w:p w14:paraId="2B14BE12"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46(60.5)</w:t>
            </w:r>
          </w:p>
          <w:p w14:paraId="55CC857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30(39.5)</w:t>
            </w:r>
          </w:p>
          <w:p w14:paraId="2229FB2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19(25.0)</w:t>
            </w:r>
          </w:p>
          <w:p w14:paraId="3F94F2D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11(14.5)</w:t>
            </w:r>
          </w:p>
        </w:tc>
      </w:tr>
    </w:tbl>
    <w:p w14:paraId="1BCC236D" w14:textId="77777777" w:rsidR="00561530" w:rsidRPr="00561530" w:rsidRDefault="00561530" w:rsidP="00561530">
      <w:pPr>
        <w:pStyle w:val="NoSpacing"/>
        <w:rPr>
          <w:rFonts w:cs="Times New Roman"/>
          <w:sz w:val="18"/>
          <w:szCs w:val="18"/>
        </w:rPr>
      </w:pPr>
      <w:r w:rsidRPr="00561530">
        <w:rPr>
          <w:rFonts w:cs="Times New Roman"/>
          <w:sz w:val="18"/>
          <w:szCs w:val="18"/>
        </w:rPr>
        <w:t>EPO = erythropoietin; IPSS-R = International Prognostic Scoring System-Revised</w:t>
      </w:r>
    </w:p>
    <w:p w14:paraId="0177C0E7"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a</w:t>
      </w:r>
      <w:r w:rsidRPr="00561530">
        <w:rPr>
          <w:rFonts w:cs="Times New Roman"/>
          <w:sz w:val="18"/>
          <w:szCs w:val="18"/>
        </w:rPr>
        <w:t xml:space="preserve"> Time since original MDS diagnosis was defined as the number of years from the date of original diagnosis to the</w:t>
      </w:r>
    </w:p>
    <w:p w14:paraId="6A300926" w14:textId="77777777" w:rsidR="00561530" w:rsidRPr="00561530" w:rsidRDefault="00561530" w:rsidP="00561530">
      <w:pPr>
        <w:pStyle w:val="NoSpacing"/>
        <w:rPr>
          <w:rFonts w:cs="Times New Roman"/>
          <w:sz w:val="18"/>
          <w:szCs w:val="18"/>
        </w:rPr>
      </w:pPr>
      <w:r w:rsidRPr="00561530">
        <w:rPr>
          <w:rFonts w:cs="Times New Roman"/>
          <w:sz w:val="18"/>
          <w:szCs w:val="18"/>
        </w:rPr>
        <w:t xml:space="preserve">  date of informed consent.</w:t>
      </w:r>
    </w:p>
    <w:p w14:paraId="4FDBEF97"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 xml:space="preserve">b </w:t>
      </w:r>
      <w:r w:rsidRPr="00561530">
        <w:rPr>
          <w:rFonts w:cs="Times New Roman"/>
          <w:sz w:val="18"/>
          <w:szCs w:val="18"/>
        </w:rPr>
        <w:t>Baseline EPO was defined as the highest EPO value within 35 days of the first dose of study drug.</w:t>
      </w:r>
    </w:p>
    <w:p w14:paraId="438351AA" w14:textId="77777777" w:rsidR="00561530" w:rsidRPr="00561530" w:rsidRDefault="00561530" w:rsidP="00561530">
      <w:pPr>
        <w:rPr>
          <w:rFonts w:ascii="Times New Roman" w:hAnsi="Times New Roman"/>
          <w:szCs w:val="24"/>
        </w:rPr>
      </w:pPr>
    </w:p>
    <w:p w14:paraId="238C06D1"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 xml:space="preserve">A summary of the overall efficacy results </w:t>
      </w:r>
      <w:proofErr w:type="gramStart"/>
      <w:r w:rsidRPr="00561530">
        <w:rPr>
          <w:rFonts w:ascii="Times New Roman" w:hAnsi="Times New Roman"/>
          <w:szCs w:val="24"/>
        </w:rPr>
        <w:t>are</w:t>
      </w:r>
      <w:proofErr w:type="gramEnd"/>
      <w:r w:rsidRPr="00561530">
        <w:rPr>
          <w:rFonts w:ascii="Times New Roman" w:hAnsi="Times New Roman"/>
          <w:szCs w:val="24"/>
        </w:rPr>
        <w:t xml:space="preserve"> presented below in </w:t>
      </w:r>
      <w:r w:rsidRPr="00561530">
        <w:rPr>
          <w:rFonts w:ascii="Times New Roman" w:hAnsi="Times New Roman"/>
          <w:b/>
          <w:szCs w:val="24"/>
        </w:rPr>
        <w:t>Table 8</w:t>
      </w:r>
      <w:r w:rsidRPr="00561530">
        <w:rPr>
          <w:rFonts w:ascii="Times New Roman" w:hAnsi="Times New Roman"/>
          <w:szCs w:val="24"/>
        </w:rPr>
        <w:t>.</w:t>
      </w:r>
    </w:p>
    <w:p w14:paraId="4DEE47EE" w14:textId="77777777" w:rsidR="00561530" w:rsidRPr="00561530" w:rsidRDefault="00561530" w:rsidP="00F91303">
      <w:pPr>
        <w:pageBreakBefore/>
        <w:rPr>
          <w:rFonts w:ascii="Times New Roman" w:hAnsi="Times New Roman"/>
          <w:szCs w:val="24"/>
        </w:rPr>
      </w:pPr>
      <w:r w:rsidRPr="00561530">
        <w:rPr>
          <w:rFonts w:ascii="Times New Roman" w:hAnsi="Times New Roman"/>
          <w:b/>
          <w:szCs w:val="24"/>
        </w:rPr>
        <w:t>Table 8: Summary of Overall Efficacy Data – ACE-536-MDS-001</w:t>
      </w:r>
    </w:p>
    <w:tbl>
      <w:tblPr>
        <w:tblStyle w:val="TableGrid"/>
        <w:tblW w:w="0" w:type="auto"/>
        <w:tblLook w:val="04A0" w:firstRow="1" w:lastRow="0" w:firstColumn="1" w:lastColumn="0" w:noHBand="0" w:noVBand="1"/>
      </w:tblPr>
      <w:tblGrid>
        <w:gridCol w:w="5108"/>
        <w:gridCol w:w="1733"/>
        <w:gridCol w:w="1653"/>
      </w:tblGrid>
      <w:tr w:rsidR="00561530" w:rsidRPr="00561530" w14:paraId="569267A0" w14:textId="77777777" w:rsidTr="00561530">
        <w:tc>
          <w:tcPr>
            <w:tcW w:w="5755" w:type="dxa"/>
          </w:tcPr>
          <w:p w14:paraId="494A64A7" w14:textId="77777777" w:rsidR="00561530" w:rsidRPr="00561530" w:rsidRDefault="00561530" w:rsidP="00561530">
            <w:pPr>
              <w:rPr>
                <w:rFonts w:ascii="Times New Roman" w:hAnsi="Times New Roman"/>
                <w:szCs w:val="24"/>
              </w:rPr>
            </w:pPr>
          </w:p>
        </w:tc>
        <w:tc>
          <w:tcPr>
            <w:tcW w:w="1800" w:type="dxa"/>
          </w:tcPr>
          <w:p w14:paraId="460449C9"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REBLOZYL</w:t>
            </w:r>
          </w:p>
          <w:p w14:paraId="2D8F8C2C"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(N = 153)</w:t>
            </w:r>
          </w:p>
        </w:tc>
        <w:tc>
          <w:tcPr>
            <w:tcW w:w="1795" w:type="dxa"/>
          </w:tcPr>
          <w:p w14:paraId="770139E4"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Placebo</w:t>
            </w:r>
          </w:p>
          <w:p w14:paraId="0516CBBB" w14:textId="77777777" w:rsidR="00561530" w:rsidRPr="00561530" w:rsidRDefault="00561530" w:rsidP="00561530">
            <w:pPr>
              <w:jc w:val="center"/>
              <w:rPr>
                <w:rFonts w:ascii="Times New Roman" w:hAnsi="Times New Roman"/>
                <w:b/>
                <w:szCs w:val="24"/>
              </w:rPr>
            </w:pPr>
            <w:r w:rsidRPr="00561530">
              <w:rPr>
                <w:rFonts w:ascii="Times New Roman" w:hAnsi="Times New Roman"/>
                <w:b/>
                <w:szCs w:val="24"/>
              </w:rPr>
              <w:t>(N = 76)</w:t>
            </w:r>
          </w:p>
        </w:tc>
      </w:tr>
      <w:tr w:rsidR="00561530" w:rsidRPr="00561530" w14:paraId="5774F4CE" w14:textId="77777777" w:rsidTr="00561530">
        <w:tc>
          <w:tcPr>
            <w:tcW w:w="9350" w:type="dxa"/>
            <w:gridSpan w:val="3"/>
            <w:shd w:val="clear" w:color="auto" w:fill="D9D9D9" w:themeFill="background1" w:themeFillShade="D9"/>
          </w:tcPr>
          <w:p w14:paraId="499E42C9" w14:textId="77777777" w:rsidR="00561530" w:rsidRPr="00561530" w:rsidRDefault="00561530" w:rsidP="00561530">
            <w:pPr>
              <w:rPr>
                <w:rFonts w:ascii="Times New Roman" w:hAnsi="Times New Roman"/>
                <w:szCs w:val="24"/>
              </w:rPr>
            </w:pPr>
            <w:r w:rsidRPr="00561530">
              <w:rPr>
                <w:rFonts w:ascii="Times New Roman" w:hAnsi="Times New Roman"/>
                <w:b/>
                <w:szCs w:val="24"/>
              </w:rPr>
              <w:t>Primary Endpoint</w:t>
            </w:r>
          </w:p>
        </w:tc>
      </w:tr>
      <w:tr w:rsidR="00561530" w:rsidRPr="00561530" w14:paraId="7EE5263E" w14:textId="77777777" w:rsidTr="00561530">
        <w:tc>
          <w:tcPr>
            <w:tcW w:w="5755" w:type="dxa"/>
          </w:tcPr>
          <w:p w14:paraId="3CE0703B" w14:textId="77777777" w:rsidR="00561530" w:rsidRPr="00561530" w:rsidRDefault="00561530" w:rsidP="00561530">
            <w:pPr>
              <w:rPr>
                <w:rFonts w:ascii="Times New Roman" w:hAnsi="Times New Roman"/>
                <w:szCs w:val="24"/>
              </w:rPr>
            </w:pPr>
            <w:r w:rsidRPr="00561530">
              <w:rPr>
                <w:rFonts w:ascii="Times New Roman" w:hAnsi="Times New Roman"/>
                <w:b/>
                <w:szCs w:val="24"/>
              </w:rPr>
              <w:t>RBC-TI ≥ 8 weeks (Weeks 1-24)</w:t>
            </w:r>
          </w:p>
          <w:p w14:paraId="093E68C5"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w:t>
            </w:r>
          </w:p>
        </w:tc>
        <w:tc>
          <w:tcPr>
            <w:tcW w:w="1800" w:type="dxa"/>
            <w:vAlign w:val="bottom"/>
          </w:tcPr>
          <w:p w14:paraId="3A45FF2B"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58 (37.9)</w:t>
            </w:r>
          </w:p>
        </w:tc>
        <w:tc>
          <w:tcPr>
            <w:tcW w:w="1795" w:type="dxa"/>
            <w:vAlign w:val="bottom"/>
          </w:tcPr>
          <w:p w14:paraId="2A5AF7E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10 (13.2)</w:t>
            </w:r>
          </w:p>
        </w:tc>
      </w:tr>
      <w:tr w:rsidR="00561530" w:rsidRPr="00561530" w14:paraId="276F5766" w14:textId="77777777" w:rsidTr="00561530">
        <w:tc>
          <w:tcPr>
            <w:tcW w:w="5755" w:type="dxa"/>
          </w:tcPr>
          <w:p w14:paraId="37F903BF"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Common risk difference on response rate (95% CI)</w:t>
            </w:r>
          </w:p>
        </w:tc>
        <w:tc>
          <w:tcPr>
            <w:tcW w:w="3595" w:type="dxa"/>
            <w:gridSpan w:val="2"/>
            <w:vAlign w:val="bottom"/>
          </w:tcPr>
          <w:p w14:paraId="67118D8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24.56 (14.48, 34.64)</w:t>
            </w:r>
          </w:p>
        </w:tc>
      </w:tr>
      <w:tr w:rsidR="00561530" w:rsidRPr="00561530" w14:paraId="7C541AC3" w14:textId="77777777" w:rsidTr="00561530">
        <w:tc>
          <w:tcPr>
            <w:tcW w:w="5755" w:type="dxa"/>
          </w:tcPr>
          <w:p w14:paraId="7578B859"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 xml:space="preserve">Odds ratio (95% </w:t>
            </w:r>
            <w:proofErr w:type="gramStart"/>
            <w:r w:rsidRPr="00561530">
              <w:rPr>
                <w:rFonts w:ascii="Times New Roman" w:hAnsi="Times New Roman"/>
                <w:szCs w:val="24"/>
              </w:rPr>
              <w:t>CI)</w:t>
            </w:r>
            <w:r w:rsidRPr="00561530">
              <w:rPr>
                <w:rFonts w:ascii="Times New Roman" w:hAnsi="Times New Roman"/>
                <w:szCs w:val="24"/>
                <w:vertAlign w:val="superscript"/>
              </w:rPr>
              <w:t>a</w:t>
            </w:r>
            <w:proofErr w:type="gramEnd"/>
          </w:p>
        </w:tc>
        <w:tc>
          <w:tcPr>
            <w:tcW w:w="3595" w:type="dxa"/>
            <w:gridSpan w:val="2"/>
            <w:vAlign w:val="bottom"/>
          </w:tcPr>
          <w:p w14:paraId="3345156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5.065 (2.278, 11.259)</w:t>
            </w:r>
          </w:p>
        </w:tc>
      </w:tr>
      <w:tr w:rsidR="00561530" w:rsidRPr="00561530" w14:paraId="12B456AD" w14:textId="77777777" w:rsidTr="00561530">
        <w:tc>
          <w:tcPr>
            <w:tcW w:w="5755" w:type="dxa"/>
          </w:tcPr>
          <w:p w14:paraId="4193AA11"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p-value</w:t>
            </w:r>
          </w:p>
        </w:tc>
        <w:tc>
          <w:tcPr>
            <w:tcW w:w="3595" w:type="dxa"/>
            <w:gridSpan w:val="2"/>
            <w:vAlign w:val="bottom"/>
          </w:tcPr>
          <w:p w14:paraId="58F0387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&lt; 0.0001</w:t>
            </w:r>
          </w:p>
        </w:tc>
      </w:tr>
      <w:tr w:rsidR="00561530" w:rsidRPr="00561530" w14:paraId="3302104A" w14:textId="77777777" w:rsidTr="00561530">
        <w:tc>
          <w:tcPr>
            <w:tcW w:w="9350" w:type="dxa"/>
            <w:gridSpan w:val="3"/>
            <w:shd w:val="clear" w:color="auto" w:fill="D9D9D9" w:themeFill="background1" w:themeFillShade="D9"/>
          </w:tcPr>
          <w:p w14:paraId="2B6DEBF6" w14:textId="77777777" w:rsidR="00561530" w:rsidRPr="00561530" w:rsidRDefault="00561530" w:rsidP="00561530">
            <w:pPr>
              <w:rPr>
                <w:rFonts w:ascii="Times New Roman" w:hAnsi="Times New Roman"/>
                <w:szCs w:val="24"/>
              </w:rPr>
            </w:pPr>
            <w:r w:rsidRPr="00561530">
              <w:rPr>
                <w:rFonts w:ascii="Times New Roman" w:hAnsi="Times New Roman"/>
                <w:b/>
                <w:szCs w:val="24"/>
              </w:rPr>
              <w:t>Secondary Endpoints</w:t>
            </w:r>
          </w:p>
        </w:tc>
      </w:tr>
      <w:tr w:rsidR="00561530" w:rsidRPr="00561530" w14:paraId="30A07E1E" w14:textId="77777777" w:rsidTr="00561530">
        <w:tc>
          <w:tcPr>
            <w:tcW w:w="5755" w:type="dxa"/>
          </w:tcPr>
          <w:p w14:paraId="7137AB24" w14:textId="77777777" w:rsidR="00561530" w:rsidRPr="00561530" w:rsidRDefault="00561530" w:rsidP="00561530">
            <w:pPr>
              <w:rPr>
                <w:rFonts w:ascii="Times New Roman" w:hAnsi="Times New Roman"/>
                <w:szCs w:val="24"/>
              </w:rPr>
            </w:pPr>
            <w:r w:rsidRPr="00561530">
              <w:rPr>
                <w:rFonts w:ascii="Times New Roman" w:hAnsi="Times New Roman"/>
                <w:b/>
                <w:szCs w:val="24"/>
              </w:rPr>
              <w:t>RBC-TI ≥ 12 weeks (Weeks 1-24)</w:t>
            </w:r>
          </w:p>
          <w:p w14:paraId="7FAD701F"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w:t>
            </w:r>
          </w:p>
        </w:tc>
        <w:tc>
          <w:tcPr>
            <w:tcW w:w="1800" w:type="dxa"/>
            <w:vAlign w:val="bottom"/>
          </w:tcPr>
          <w:p w14:paraId="3BB352C4"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43 (28.1)</w:t>
            </w:r>
          </w:p>
        </w:tc>
        <w:tc>
          <w:tcPr>
            <w:tcW w:w="1795" w:type="dxa"/>
            <w:vAlign w:val="bottom"/>
          </w:tcPr>
          <w:p w14:paraId="697B0CA1"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6 (7.9)</w:t>
            </w:r>
          </w:p>
        </w:tc>
      </w:tr>
      <w:tr w:rsidR="00561530" w:rsidRPr="00561530" w14:paraId="7B46E6E8" w14:textId="77777777" w:rsidTr="00561530">
        <w:tc>
          <w:tcPr>
            <w:tcW w:w="5755" w:type="dxa"/>
          </w:tcPr>
          <w:p w14:paraId="18130185"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Common risk difference on response rate (95% CI)</w:t>
            </w:r>
          </w:p>
        </w:tc>
        <w:tc>
          <w:tcPr>
            <w:tcW w:w="3595" w:type="dxa"/>
            <w:gridSpan w:val="2"/>
            <w:vAlign w:val="bottom"/>
          </w:tcPr>
          <w:p w14:paraId="2C2DFCC5"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20.00 (10.92, 29.08)</w:t>
            </w:r>
          </w:p>
        </w:tc>
      </w:tr>
      <w:tr w:rsidR="00561530" w:rsidRPr="00561530" w14:paraId="47540835" w14:textId="77777777" w:rsidTr="00561530">
        <w:tc>
          <w:tcPr>
            <w:tcW w:w="5755" w:type="dxa"/>
          </w:tcPr>
          <w:p w14:paraId="6A154E36"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 xml:space="preserve">Odds ratio (95% </w:t>
            </w:r>
            <w:proofErr w:type="gramStart"/>
            <w:r w:rsidRPr="00561530">
              <w:rPr>
                <w:rFonts w:ascii="Times New Roman" w:hAnsi="Times New Roman"/>
                <w:szCs w:val="24"/>
              </w:rPr>
              <w:t>CI)</w:t>
            </w:r>
            <w:r w:rsidRPr="00561530">
              <w:rPr>
                <w:rFonts w:ascii="Times New Roman" w:hAnsi="Times New Roman"/>
                <w:szCs w:val="24"/>
                <w:vertAlign w:val="superscript"/>
              </w:rPr>
              <w:t>a</w:t>
            </w:r>
            <w:proofErr w:type="gramEnd"/>
          </w:p>
        </w:tc>
        <w:tc>
          <w:tcPr>
            <w:tcW w:w="3595" w:type="dxa"/>
            <w:gridSpan w:val="2"/>
            <w:vAlign w:val="bottom"/>
          </w:tcPr>
          <w:p w14:paraId="4E66583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5.071 (2.002, 12.844)</w:t>
            </w:r>
          </w:p>
        </w:tc>
      </w:tr>
      <w:tr w:rsidR="00561530" w:rsidRPr="00561530" w14:paraId="36712AE0" w14:textId="77777777" w:rsidTr="00561530">
        <w:tc>
          <w:tcPr>
            <w:tcW w:w="5755" w:type="dxa"/>
          </w:tcPr>
          <w:p w14:paraId="7DCBB03E"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p-value</w:t>
            </w:r>
          </w:p>
        </w:tc>
        <w:tc>
          <w:tcPr>
            <w:tcW w:w="3595" w:type="dxa"/>
            <w:gridSpan w:val="2"/>
            <w:vAlign w:val="bottom"/>
          </w:tcPr>
          <w:p w14:paraId="0A35364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0.0002</w:t>
            </w:r>
          </w:p>
        </w:tc>
      </w:tr>
      <w:tr w:rsidR="00561530" w:rsidRPr="00561530" w14:paraId="47969B5F" w14:textId="77777777" w:rsidTr="00561530">
        <w:tc>
          <w:tcPr>
            <w:tcW w:w="5755" w:type="dxa"/>
          </w:tcPr>
          <w:p w14:paraId="2E86935D" w14:textId="77777777" w:rsidR="00561530" w:rsidRPr="00561530" w:rsidRDefault="00561530" w:rsidP="00561530">
            <w:pPr>
              <w:rPr>
                <w:rFonts w:ascii="Times New Roman" w:hAnsi="Times New Roman"/>
                <w:szCs w:val="24"/>
              </w:rPr>
            </w:pPr>
            <w:r w:rsidRPr="00561530">
              <w:rPr>
                <w:rFonts w:ascii="Times New Roman" w:hAnsi="Times New Roman"/>
                <w:b/>
                <w:szCs w:val="24"/>
              </w:rPr>
              <w:t>RBC-TI ≥ 12 weeks (Weeks 1-48)</w:t>
            </w:r>
          </w:p>
          <w:p w14:paraId="7BD03544"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w:t>
            </w:r>
          </w:p>
        </w:tc>
        <w:tc>
          <w:tcPr>
            <w:tcW w:w="1800" w:type="dxa"/>
            <w:vAlign w:val="bottom"/>
          </w:tcPr>
          <w:p w14:paraId="7D9873C6"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51 (33.3)</w:t>
            </w:r>
          </w:p>
        </w:tc>
        <w:tc>
          <w:tcPr>
            <w:tcW w:w="1795" w:type="dxa"/>
            <w:vAlign w:val="bottom"/>
          </w:tcPr>
          <w:p w14:paraId="5C9E7FB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9 (11.8)</w:t>
            </w:r>
          </w:p>
        </w:tc>
      </w:tr>
      <w:tr w:rsidR="00561530" w:rsidRPr="00561530" w14:paraId="001CA1BB" w14:textId="77777777" w:rsidTr="00561530">
        <w:tc>
          <w:tcPr>
            <w:tcW w:w="5755" w:type="dxa"/>
          </w:tcPr>
          <w:p w14:paraId="77D36A11"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Common risk difference on response rate (95% CI)</w:t>
            </w:r>
          </w:p>
        </w:tc>
        <w:tc>
          <w:tcPr>
            <w:tcW w:w="3595" w:type="dxa"/>
            <w:gridSpan w:val="2"/>
            <w:vAlign w:val="bottom"/>
          </w:tcPr>
          <w:p w14:paraId="04991739"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21.37 (11.23, 31.51)</w:t>
            </w:r>
          </w:p>
        </w:tc>
      </w:tr>
      <w:tr w:rsidR="00561530" w:rsidRPr="00561530" w14:paraId="1C21B706" w14:textId="77777777" w:rsidTr="00561530">
        <w:tc>
          <w:tcPr>
            <w:tcW w:w="5755" w:type="dxa"/>
          </w:tcPr>
          <w:p w14:paraId="65752300"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 xml:space="preserve">Odds ratio (95% </w:t>
            </w:r>
            <w:proofErr w:type="gramStart"/>
            <w:r w:rsidRPr="00561530">
              <w:rPr>
                <w:rFonts w:ascii="Times New Roman" w:hAnsi="Times New Roman"/>
                <w:szCs w:val="24"/>
              </w:rPr>
              <w:t>CI)</w:t>
            </w:r>
            <w:r w:rsidRPr="00561530">
              <w:rPr>
                <w:rFonts w:ascii="Times New Roman" w:hAnsi="Times New Roman"/>
                <w:szCs w:val="24"/>
                <w:vertAlign w:val="superscript"/>
              </w:rPr>
              <w:t>a</w:t>
            </w:r>
            <w:proofErr w:type="gramEnd"/>
          </w:p>
        </w:tc>
        <w:tc>
          <w:tcPr>
            <w:tcW w:w="3595" w:type="dxa"/>
            <w:gridSpan w:val="2"/>
            <w:vAlign w:val="bottom"/>
          </w:tcPr>
          <w:p w14:paraId="59CCAD50"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4.045 (1.827, 8.956)</w:t>
            </w:r>
          </w:p>
        </w:tc>
      </w:tr>
      <w:tr w:rsidR="00561530" w:rsidRPr="00561530" w14:paraId="3CF8E660" w14:textId="77777777" w:rsidTr="00561530">
        <w:tc>
          <w:tcPr>
            <w:tcW w:w="5755" w:type="dxa"/>
          </w:tcPr>
          <w:p w14:paraId="5477164E"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p-value</w:t>
            </w:r>
          </w:p>
        </w:tc>
        <w:tc>
          <w:tcPr>
            <w:tcW w:w="3595" w:type="dxa"/>
            <w:gridSpan w:val="2"/>
            <w:vAlign w:val="bottom"/>
          </w:tcPr>
          <w:p w14:paraId="779F7FDB"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0.0003</w:t>
            </w:r>
          </w:p>
        </w:tc>
      </w:tr>
      <w:tr w:rsidR="00561530" w:rsidRPr="00561530" w14:paraId="3D0E6ADD" w14:textId="77777777" w:rsidTr="00561530">
        <w:tc>
          <w:tcPr>
            <w:tcW w:w="5755" w:type="dxa"/>
          </w:tcPr>
          <w:p w14:paraId="33AAC76B" w14:textId="77777777" w:rsidR="00561530" w:rsidRPr="00561530" w:rsidRDefault="00561530" w:rsidP="00561530">
            <w:pPr>
              <w:rPr>
                <w:rFonts w:ascii="Times New Roman" w:hAnsi="Times New Roman"/>
                <w:szCs w:val="24"/>
              </w:rPr>
            </w:pPr>
            <w:r w:rsidRPr="00561530">
              <w:rPr>
                <w:rFonts w:ascii="Times New Roman" w:hAnsi="Times New Roman"/>
                <w:b/>
                <w:szCs w:val="24"/>
              </w:rPr>
              <w:t>RBC-TI ≥ 8 weeks (Weeks 1-48)</w:t>
            </w:r>
          </w:p>
          <w:p w14:paraId="39B125D8"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w:t>
            </w:r>
          </w:p>
        </w:tc>
        <w:tc>
          <w:tcPr>
            <w:tcW w:w="1800" w:type="dxa"/>
            <w:vAlign w:val="bottom"/>
          </w:tcPr>
          <w:p w14:paraId="5C059E5E"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69 (45.1)</w:t>
            </w:r>
          </w:p>
        </w:tc>
        <w:tc>
          <w:tcPr>
            <w:tcW w:w="1795" w:type="dxa"/>
            <w:vAlign w:val="bottom"/>
          </w:tcPr>
          <w:p w14:paraId="5E996040"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12 (15.8)</w:t>
            </w:r>
          </w:p>
        </w:tc>
      </w:tr>
      <w:tr w:rsidR="00561530" w:rsidRPr="00561530" w14:paraId="0F4F8EE1" w14:textId="77777777" w:rsidTr="00561530">
        <w:tc>
          <w:tcPr>
            <w:tcW w:w="5755" w:type="dxa"/>
          </w:tcPr>
          <w:p w14:paraId="6D268489"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Common risk difference on response rate (95% CI)</w:t>
            </w:r>
          </w:p>
        </w:tc>
        <w:tc>
          <w:tcPr>
            <w:tcW w:w="3595" w:type="dxa"/>
            <w:gridSpan w:val="2"/>
            <w:vAlign w:val="bottom"/>
          </w:tcPr>
          <w:p w14:paraId="79B77D51"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29.55 (18.73, 40.36)</w:t>
            </w:r>
          </w:p>
        </w:tc>
      </w:tr>
      <w:tr w:rsidR="00561530" w:rsidRPr="00561530" w14:paraId="0E8392B9" w14:textId="77777777" w:rsidTr="00561530">
        <w:tc>
          <w:tcPr>
            <w:tcW w:w="5755" w:type="dxa"/>
          </w:tcPr>
          <w:p w14:paraId="7A290A5A"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 xml:space="preserve">Odds ratio (95% </w:t>
            </w:r>
            <w:proofErr w:type="gramStart"/>
            <w:r w:rsidRPr="00561530">
              <w:rPr>
                <w:rFonts w:ascii="Times New Roman" w:hAnsi="Times New Roman"/>
                <w:szCs w:val="24"/>
              </w:rPr>
              <w:t>CI)</w:t>
            </w:r>
            <w:r w:rsidRPr="00561530">
              <w:rPr>
                <w:rFonts w:ascii="Times New Roman" w:hAnsi="Times New Roman"/>
                <w:szCs w:val="24"/>
                <w:vertAlign w:val="superscript"/>
              </w:rPr>
              <w:t>a</w:t>
            </w:r>
            <w:proofErr w:type="gramEnd"/>
          </w:p>
        </w:tc>
        <w:tc>
          <w:tcPr>
            <w:tcW w:w="3595" w:type="dxa"/>
            <w:gridSpan w:val="2"/>
            <w:vAlign w:val="bottom"/>
          </w:tcPr>
          <w:p w14:paraId="137F1CE1"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5.306 (2.526, 11.146)</w:t>
            </w:r>
          </w:p>
        </w:tc>
      </w:tr>
      <w:tr w:rsidR="00561530" w:rsidRPr="00561530" w14:paraId="5D545B82" w14:textId="77777777" w:rsidTr="00561530">
        <w:tc>
          <w:tcPr>
            <w:tcW w:w="5755" w:type="dxa"/>
          </w:tcPr>
          <w:p w14:paraId="68A07269"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p-value</w:t>
            </w:r>
          </w:p>
        </w:tc>
        <w:tc>
          <w:tcPr>
            <w:tcW w:w="3595" w:type="dxa"/>
            <w:gridSpan w:val="2"/>
            <w:vAlign w:val="bottom"/>
          </w:tcPr>
          <w:p w14:paraId="6E52109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&lt; 0.0001</w:t>
            </w:r>
          </w:p>
        </w:tc>
      </w:tr>
      <w:tr w:rsidR="00561530" w:rsidRPr="00561530" w14:paraId="22C788E6" w14:textId="77777777" w:rsidTr="00561530">
        <w:tc>
          <w:tcPr>
            <w:tcW w:w="5755" w:type="dxa"/>
          </w:tcPr>
          <w:p w14:paraId="08476977" w14:textId="77777777" w:rsidR="00561530" w:rsidRPr="00561530" w:rsidRDefault="00561530" w:rsidP="00561530">
            <w:pPr>
              <w:rPr>
                <w:rFonts w:ascii="Times New Roman" w:hAnsi="Times New Roman"/>
                <w:szCs w:val="24"/>
              </w:rPr>
            </w:pPr>
            <w:proofErr w:type="spellStart"/>
            <w:r w:rsidRPr="00561530">
              <w:rPr>
                <w:rFonts w:ascii="Times New Roman" w:hAnsi="Times New Roman"/>
                <w:b/>
                <w:szCs w:val="24"/>
              </w:rPr>
              <w:t>mHI</w:t>
            </w:r>
            <w:proofErr w:type="spellEnd"/>
            <w:r w:rsidRPr="00561530">
              <w:rPr>
                <w:rFonts w:ascii="Times New Roman" w:hAnsi="Times New Roman"/>
                <w:b/>
                <w:szCs w:val="24"/>
              </w:rPr>
              <w:t>-E</w:t>
            </w:r>
            <w:r w:rsidRPr="00561530">
              <w:rPr>
                <w:rFonts w:ascii="Times New Roman" w:hAnsi="Times New Roman"/>
                <w:b/>
                <w:szCs w:val="24"/>
                <w:vertAlign w:val="superscript"/>
              </w:rPr>
              <w:t>b</w:t>
            </w:r>
            <w:r w:rsidRPr="00561530">
              <w:rPr>
                <w:rFonts w:ascii="Times New Roman" w:hAnsi="Times New Roman"/>
                <w:b/>
                <w:szCs w:val="24"/>
              </w:rPr>
              <w:t xml:space="preserve"> (Weeks 1-24)</w:t>
            </w:r>
          </w:p>
          <w:p w14:paraId="36A5A889"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 (95% CI)</w:t>
            </w:r>
          </w:p>
        </w:tc>
        <w:tc>
          <w:tcPr>
            <w:tcW w:w="1800" w:type="dxa"/>
            <w:vAlign w:val="bottom"/>
          </w:tcPr>
          <w:p w14:paraId="0C3F735A"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81 (52.9)</w:t>
            </w:r>
          </w:p>
          <w:p w14:paraId="7939068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(44.72, 61.05)</w:t>
            </w:r>
          </w:p>
        </w:tc>
        <w:tc>
          <w:tcPr>
            <w:tcW w:w="1795" w:type="dxa"/>
            <w:vAlign w:val="bottom"/>
          </w:tcPr>
          <w:p w14:paraId="1BBC6A26"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9 (11.8)</w:t>
            </w:r>
          </w:p>
          <w:p w14:paraId="2640E615"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(5.56, 21.29)</w:t>
            </w:r>
          </w:p>
        </w:tc>
      </w:tr>
      <w:tr w:rsidR="00561530" w:rsidRPr="00561530" w14:paraId="5B51A293" w14:textId="77777777" w:rsidTr="00561530">
        <w:tc>
          <w:tcPr>
            <w:tcW w:w="5755" w:type="dxa"/>
          </w:tcPr>
          <w:p w14:paraId="5BDBAE27"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c</w:t>
            </w:r>
            <w:proofErr w:type="spellEnd"/>
          </w:p>
        </w:tc>
        <w:tc>
          <w:tcPr>
            <w:tcW w:w="3595" w:type="dxa"/>
            <w:gridSpan w:val="2"/>
            <w:vAlign w:val="bottom"/>
          </w:tcPr>
          <w:p w14:paraId="15B4FCC4"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&lt;0.0001</w:t>
            </w:r>
          </w:p>
        </w:tc>
      </w:tr>
      <w:tr w:rsidR="00561530" w:rsidRPr="00561530" w14:paraId="5A3A9BF0" w14:textId="77777777" w:rsidTr="00561530">
        <w:tc>
          <w:tcPr>
            <w:tcW w:w="5755" w:type="dxa"/>
          </w:tcPr>
          <w:p w14:paraId="65D6C428" w14:textId="77777777" w:rsidR="00561530" w:rsidRPr="00561530" w:rsidRDefault="00561530" w:rsidP="00561530">
            <w:pPr>
              <w:ind w:left="432"/>
              <w:rPr>
                <w:rFonts w:ascii="Times New Roman" w:hAnsi="Times New Roman"/>
                <w:szCs w:val="24"/>
                <w:vertAlign w:val="superscript"/>
              </w:rPr>
            </w:pPr>
            <w:r w:rsidRPr="00561530">
              <w:rPr>
                <w:rFonts w:ascii="Times New Roman" w:hAnsi="Times New Roman"/>
                <w:szCs w:val="24"/>
              </w:rPr>
              <w:t>RBC transfusion reduction of 4 units / 8 weeks, n (</w:t>
            </w:r>
            <w:proofErr w:type="gramStart"/>
            <w:r w:rsidRPr="00561530">
              <w:rPr>
                <w:rFonts w:ascii="Times New Roman" w:hAnsi="Times New Roman"/>
                <w:szCs w:val="24"/>
              </w:rPr>
              <w:t>%)</w:t>
            </w:r>
            <w:r w:rsidRPr="00561530">
              <w:rPr>
                <w:rFonts w:ascii="Times New Roman" w:hAnsi="Times New Roman"/>
                <w:szCs w:val="24"/>
                <w:vertAlign w:val="superscript"/>
              </w:rPr>
              <w:t>d</w:t>
            </w:r>
            <w:proofErr w:type="gramEnd"/>
          </w:p>
        </w:tc>
        <w:tc>
          <w:tcPr>
            <w:tcW w:w="1800" w:type="dxa"/>
            <w:vAlign w:val="bottom"/>
          </w:tcPr>
          <w:p w14:paraId="7B301BC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52/107 (48.6)</w:t>
            </w:r>
          </w:p>
        </w:tc>
        <w:tc>
          <w:tcPr>
            <w:tcW w:w="1795" w:type="dxa"/>
            <w:vAlign w:val="bottom"/>
          </w:tcPr>
          <w:p w14:paraId="7FA78F8A"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8/56 (14.3)</w:t>
            </w:r>
          </w:p>
        </w:tc>
      </w:tr>
      <w:tr w:rsidR="00561530" w:rsidRPr="00561530" w14:paraId="6CEB5D8B" w14:textId="77777777" w:rsidTr="00561530">
        <w:tc>
          <w:tcPr>
            <w:tcW w:w="5755" w:type="dxa"/>
          </w:tcPr>
          <w:p w14:paraId="157D3B4E" w14:textId="77777777" w:rsidR="00561530" w:rsidRPr="00561530" w:rsidRDefault="00561530" w:rsidP="00561530">
            <w:pPr>
              <w:ind w:left="432"/>
              <w:rPr>
                <w:rFonts w:ascii="Times New Roman" w:hAnsi="Times New Roman"/>
                <w:szCs w:val="24"/>
                <w:vertAlign w:val="superscript"/>
              </w:rPr>
            </w:pPr>
            <w:r w:rsidRPr="00561530">
              <w:rPr>
                <w:rFonts w:ascii="Times New Roman" w:hAnsi="Times New Roman"/>
                <w:szCs w:val="24"/>
              </w:rPr>
              <w:t xml:space="preserve">Mean haemoglobin increase of ≥ 15 g/L for 8 weeks, </w:t>
            </w:r>
            <w:proofErr w:type="gramStart"/>
            <w:r w:rsidRPr="00561530">
              <w:rPr>
                <w:rFonts w:ascii="Times New Roman" w:hAnsi="Times New Roman"/>
                <w:szCs w:val="24"/>
              </w:rPr>
              <w:t>n(</w:t>
            </w:r>
            <w:proofErr w:type="gramEnd"/>
            <w:r w:rsidRPr="00561530">
              <w:rPr>
                <w:rFonts w:ascii="Times New Roman" w:hAnsi="Times New Roman"/>
                <w:szCs w:val="24"/>
              </w:rPr>
              <w:t>%)</w:t>
            </w:r>
            <w:r w:rsidRPr="00561530">
              <w:rPr>
                <w:rFonts w:ascii="Times New Roman" w:hAnsi="Times New Roman"/>
                <w:szCs w:val="24"/>
                <w:vertAlign w:val="superscript"/>
              </w:rPr>
              <w:t>e</w:t>
            </w:r>
          </w:p>
        </w:tc>
        <w:tc>
          <w:tcPr>
            <w:tcW w:w="1800" w:type="dxa"/>
            <w:vAlign w:val="bottom"/>
          </w:tcPr>
          <w:p w14:paraId="0058CF25"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29/46 (63.0)</w:t>
            </w:r>
          </w:p>
        </w:tc>
        <w:tc>
          <w:tcPr>
            <w:tcW w:w="1795" w:type="dxa"/>
            <w:vAlign w:val="bottom"/>
          </w:tcPr>
          <w:p w14:paraId="6A0F6D92"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1/20 (5.0)</w:t>
            </w:r>
          </w:p>
        </w:tc>
      </w:tr>
      <w:tr w:rsidR="00561530" w:rsidRPr="00561530" w14:paraId="4C7D0181" w14:textId="77777777" w:rsidTr="00561530">
        <w:tc>
          <w:tcPr>
            <w:tcW w:w="5755" w:type="dxa"/>
          </w:tcPr>
          <w:p w14:paraId="1C708E1E" w14:textId="77777777" w:rsidR="00561530" w:rsidRPr="00561530" w:rsidRDefault="00561530" w:rsidP="00561530">
            <w:pPr>
              <w:rPr>
                <w:rFonts w:ascii="Times New Roman" w:hAnsi="Times New Roman"/>
                <w:szCs w:val="24"/>
              </w:rPr>
            </w:pPr>
            <w:proofErr w:type="spellStart"/>
            <w:r w:rsidRPr="00561530">
              <w:rPr>
                <w:rFonts w:ascii="Times New Roman" w:hAnsi="Times New Roman"/>
                <w:b/>
                <w:szCs w:val="24"/>
              </w:rPr>
              <w:t>mHI</w:t>
            </w:r>
            <w:proofErr w:type="spellEnd"/>
            <w:r w:rsidRPr="00561530">
              <w:rPr>
                <w:rFonts w:ascii="Times New Roman" w:hAnsi="Times New Roman"/>
                <w:b/>
                <w:szCs w:val="24"/>
              </w:rPr>
              <w:t>-E</w:t>
            </w:r>
            <w:r w:rsidRPr="00561530">
              <w:rPr>
                <w:rFonts w:ascii="Times New Roman" w:hAnsi="Times New Roman"/>
                <w:b/>
                <w:szCs w:val="24"/>
                <w:vertAlign w:val="superscript"/>
              </w:rPr>
              <w:t>b</w:t>
            </w:r>
            <w:r w:rsidRPr="00561530">
              <w:rPr>
                <w:rFonts w:ascii="Times New Roman" w:hAnsi="Times New Roman"/>
                <w:b/>
                <w:szCs w:val="24"/>
              </w:rPr>
              <w:t xml:space="preserve"> (Weeks 1-48)</w:t>
            </w:r>
          </w:p>
          <w:p w14:paraId="2508C8AD" w14:textId="77777777" w:rsidR="00561530" w:rsidRPr="00561530" w:rsidRDefault="00561530" w:rsidP="00561530">
            <w:pPr>
              <w:ind w:left="288"/>
              <w:rPr>
                <w:rFonts w:ascii="Times New Roman" w:hAnsi="Times New Roman"/>
                <w:szCs w:val="24"/>
              </w:rPr>
            </w:pPr>
            <w:r w:rsidRPr="00561530">
              <w:rPr>
                <w:rFonts w:ascii="Times New Roman" w:hAnsi="Times New Roman"/>
                <w:szCs w:val="24"/>
              </w:rPr>
              <w:t>Number of responders (response rate %) (95% CI)</w:t>
            </w:r>
          </w:p>
        </w:tc>
        <w:tc>
          <w:tcPr>
            <w:tcW w:w="1800" w:type="dxa"/>
            <w:vAlign w:val="bottom"/>
          </w:tcPr>
          <w:p w14:paraId="5D075C07"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90 (58.8)</w:t>
            </w:r>
          </w:p>
          <w:p w14:paraId="7E6267CF"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(50.59, 66.71)</w:t>
            </w:r>
          </w:p>
        </w:tc>
        <w:tc>
          <w:tcPr>
            <w:tcW w:w="1795" w:type="dxa"/>
            <w:vAlign w:val="bottom"/>
          </w:tcPr>
          <w:p w14:paraId="2035664A"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13 (17.1)</w:t>
            </w:r>
          </w:p>
          <w:p w14:paraId="3BA1E28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(9.43, 27.47)</w:t>
            </w:r>
          </w:p>
        </w:tc>
      </w:tr>
      <w:tr w:rsidR="00561530" w:rsidRPr="00561530" w14:paraId="4C755FFD" w14:textId="77777777" w:rsidTr="00561530">
        <w:tc>
          <w:tcPr>
            <w:tcW w:w="5755" w:type="dxa"/>
          </w:tcPr>
          <w:p w14:paraId="72AF9A3C" w14:textId="77777777" w:rsidR="00561530" w:rsidRPr="00561530" w:rsidRDefault="00561530" w:rsidP="00561530">
            <w:pPr>
              <w:ind w:left="288"/>
              <w:rPr>
                <w:rFonts w:ascii="Times New Roman" w:hAnsi="Times New Roman"/>
                <w:szCs w:val="24"/>
                <w:vertAlign w:val="superscript"/>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c</w:t>
            </w:r>
            <w:proofErr w:type="spellEnd"/>
          </w:p>
        </w:tc>
        <w:tc>
          <w:tcPr>
            <w:tcW w:w="3595" w:type="dxa"/>
            <w:gridSpan w:val="2"/>
            <w:vAlign w:val="bottom"/>
          </w:tcPr>
          <w:p w14:paraId="55BCF0F9"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&lt; 0.0001</w:t>
            </w:r>
          </w:p>
        </w:tc>
      </w:tr>
      <w:tr w:rsidR="00561530" w:rsidRPr="00561530" w14:paraId="4AB78ACA" w14:textId="77777777" w:rsidTr="00561530">
        <w:tc>
          <w:tcPr>
            <w:tcW w:w="5755" w:type="dxa"/>
          </w:tcPr>
          <w:p w14:paraId="4DF05D74" w14:textId="77777777" w:rsidR="00561530" w:rsidRPr="00561530" w:rsidRDefault="00561530" w:rsidP="00561530">
            <w:pPr>
              <w:ind w:left="432"/>
              <w:rPr>
                <w:rFonts w:ascii="Times New Roman" w:hAnsi="Times New Roman"/>
                <w:szCs w:val="24"/>
                <w:vertAlign w:val="superscript"/>
              </w:rPr>
            </w:pPr>
            <w:r w:rsidRPr="00561530">
              <w:rPr>
                <w:rFonts w:ascii="Times New Roman" w:hAnsi="Times New Roman"/>
                <w:szCs w:val="24"/>
              </w:rPr>
              <w:t>RBC transfusion reduction of 4 units / 8 weeks, n (</w:t>
            </w:r>
            <w:proofErr w:type="gramStart"/>
            <w:r w:rsidRPr="00561530">
              <w:rPr>
                <w:rFonts w:ascii="Times New Roman" w:hAnsi="Times New Roman"/>
                <w:szCs w:val="24"/>
              </w:rPr>
              <w:t>%)</w:t>
            </w:r>
            <w:r w:rsidRPr="00561530">
              <w:rPr>
                <w:rFonts w:ascii="Times New Roman" w:hAnsi="Times New Roman"/>
                <w:szCs w:val="24"/>
                <w:vertAlign w:val="superscript"/>
              </w:rPr>
              <w:t>d</w:t>
            </w:r>
            <w:proofErr w:type="gramEnd"/>
          </w:p>
        </w:tc>
        <w:tc>
          <w:tcPr>
            <w:tcW w:w="1800" w:type="dxa"/>
            <w:vAlign w:val="bottom"/>
          </w:tcPr>
          <w:p w14:paraId="193DFE3D"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58/107 (54.2)</w:t>
            </w:r>
          </w:p>
        </w:tc>
        <w:tc>
          <w:tcPr>
            <w:tcW w:w="1795" w:type="dxa"/>
            <w:vAlign w:val="bottom"/>
          </w:tcPr>
          <w:p w14:paraId="7A4F2E7E"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12/56 (21.4)</w:t>
            </w:r>
          </w:p>
        </w:tc>
      </w:tr>
      <w:tr w:rsidR="00561530" w:rsidRPr="00561530" w14:paraId="5F5AF6CD" w14:textId="77777777" w:rsidTr="00561530">
        <w:tc>
          <w:tcPr>
            <w:tcW w:w="5755" w:type="dxa"/>
          </w:tcPr>
          <w:p w14:paraId="7E543A53" w14:textId="77777777" w:rsidR="00561530" w:rsidRPr="00561530" w:rsidRDefault="00561530" w:rsidP="00561530">
            <w:pPr>
              <w:ind w:left="432"/>
              <w:rPr>
                <w:rFonts w:ascii="Times New Roman" w:hAnsi="Times New Roman"/>
                <w:szCs w:val="24"/>
                <w:vertAlign w:val="superscript"/>
              </w:rPr>
            </w:pPr>
            <w:r w:rsidRPr="00561530">
              <w:rPr>
                <w:rFonts w:ascii="Times New Roman" w:hAnsi="Times New Roman"/>
                <w:szCs w:val="24"/>
              </w:rPr>
              <w:t>Mean haemoglobin increase of ≥ 15 g/L for 8 weeks, n (</w:t>
            </w:r>
            <w:proofErr w:type="gramStart"/>
            <w:r w:rsidRPr="00561530">
              <w:rPr>
                <w:rFonts w:ascii="Times New Roman" w:hAnsi="Times New Roman"/>
                <w:szCs w:val="24"/>
              </w:rPr>
              <w:t>%)</w:t>
            </w:r>
            <w:r w:rsidRPr="00561530">
              <w:rPr>
                <w:rFonts w:ascii="Times New Roman" w:hAnsi="Times New Roman"/>
                <w:szCs w:val="24"/>
                <w:vertAlign w:val="superscript"/>
              </w:rPr>
              <w:t>e</w:t>
            </w:r>
            <w:proofErr w:type="gramEnd"/>
          </w:p>
        </w:tc>
        <w:tc>
          <w:tcPr>
            <w:tcW w:w="1800" w:type="dxa"/>
            <w:vAlign w:val="bottom"/>
          </w:tcPr>
          <w:p w14:paraId="004E8548"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32/46 (69.6)</w:t>
            </w:r>
          </w:p>
        </w:tc>
        <w:tc>
          <w:tcPr>
            <w:tcW w:w="1795" w:type="dxa"/>
            <w:vAlign w:val="bottom"/>
          </w:tcPr>
          <w:p w14:paraId="5F5BC9D6" w14:textId="77777777" w:rsidR="00561530" w:rsidRPr="00561530" w:rsidRDefault="00561530" w:rsidP="00561530">
            <w:pPr>
              <w:jc w:val="center"/>
              <w:rPr>
                <w:rFonts w:ascii="Times New Roman" w:hAnsi="Times New Roman"/>
                <w:szCs w:val="24"/>
              </w:rPr>
            </w:pPr>
            <w:r w:rsidRPr="00561530">
              <w:rPr>
                <w:rFonts w:ascii="Times New Roman" w:hAnsi="Times New Roman"/>
                <w:szCs w:val="24"/>
              </w:rPr>
              <w:t>1/20 (5.0)</w:t>
            </w:r>
          </w:p>
        </w:tc>
      </w:tr>
    </w:tbl>
    <w:p w14:paraId="3FBAF974" w14:textId="77777777" w:rsidR="00561530" w:rsidRPr="00561530" w:rsidRDefault="00561530" w:rsidP="00561530">
      <w:pPr>
        <w:pStyle w:val="NoSpacing"/>
        <w:rPr>
          <w:rFonts w:cs="Times New Roman"/>
          <w:sz w:val="18"/>
          <w:szCs w:val="18"/>
        </w:rPr>
      </w:pPr>
      <w:r w:rsidRPr="00561530">
        <w:rPr>
          <w:rFonts w:cs="Times New Roman"/>
          <w:sz w:val="18"/>
          <w:szCs w:val="18"/>
        </w:rPr>
        <w:t xml:space="preserve">RBC-TI = RBC transfusion independent; CI = confidence interval; </w:t>
      </w:r>
      <w:proofErr w:type="spellStart"/>
      <w:r w:rsidRPr="00561530">
        <w:rPr>
          <w:rFonts w:cs="Times New Roman"/>
          <w:sz w:val="18"/>
          <w:szCs w:val="18"/>
        </w:rPr>
        <w:t>mHI</w:t>
      </w:r>
      <w:proofErr w:type="spellEnd"/>
      <w:r w:rsidRPr="00561530">
        <w:rPr>
          <w:rFonts w:cs="Times New Roman"/>
          <w:sz w:val="18"/>
          <w:szCs w:val="18"/>
        </w:rPr>
        <w:t>-E = modified haematological improvement - erythroid</w:t>
      </w:r>
    </w:p>
    <w:p w14:paraId="0300AEF6"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a</w:t>
      </w:r>
      <w:r w:rsidRPr="00561530">
        <w:rPr>
          <w:rFonts w:cs="Times New Roman"/>
          <w:sz w:val="18"/>
          <w:szCs w:val="18"/>
        </w:rPr>
        <w:t xml:space="preserve"> Cochran-Mantel-Haenszel test stratified for average baseline transfusion burden (≥ 6 units versus &lt; 6 units per 8 weeks), </w:t>
      </w:r>
      <w:proofErr w:type="gramStart"/>
      <w:r w:rsidRPr="00561530">
        <w:rPr>
          <w:rFonts w:cs="Times New Roman"/>
          <w:sz w:val="18"/>
          <w:szCs w:val="18"/>
        </w:rPr>
        <w:t>and  baseline</w:t>
      </w:r>
      <w:proofErr w:type="gramEnd"/>
      <w:r w:rsidRPr="00561530">
        <w:rPr>
          <w:rFonts w:cs="Times New Roman"/>
          <w:sz w:val="18"/>
          <w:szCs w:val="18"/>
        </w:rPr>
        <w:t xml:space="preserve"> IPSS-R score (very low or low versus intermediate).</w:t>
      </w:r>
    </w:p>
    <w:p w14:paraId="4C44C259"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b</w:t>
      </w:r>
      <w:r w:rsidRPr="00561530">
        <w:rPr>
          <w:rFonts w:cs="Times New Roman"/>
          <w:sz w:val="18"/>
          <w:szCs w:val="18"/>
        </w:rPr>
        <w:t xml:space="preserve"> Proportion of patients meeting the HI-E criteria as per International Working Group (IWG) 2006 criteria (</w:t>
      </w:r>
      <w:proofErr w:type="spellStart"/>
      <w:r w:rsidRPr="00561530">
        <w:rPr>
          <w:rFonts w:cs="Times New Roman"/>
          <w:sz w:val="18"/>
          <w:szCs w:val="18"/>
        </w:rPr>
        <w:t>Cheson</w:t>
      </w:r>
      <w:proofErr w:type="spellEnd"/>
      <w:r w:rsidRPr="00561530">
        <w:rPr>
          <w:rFonts w:cs="Times New Roman"/>
          <w:sz w:val="18"/>
          <w:szCs w:val="18"/>
        </w:rPr>
        <w:t xml:space="preserve"> et al., 2006) sustained over a consecutive 56-day period during the indicated treatment period.</w:t>
      </w:r>
    </w:p>
    <w:p w14:paraId="04E0A5E8"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 xml:space="preserve">c </w:t>
      </w:r>
      <w:r w:rsidRPr="00561530">
        <w:rPr>
          <w:rFonts w:cs="Times New Roman"/>
          <w:sz w:val="18"/>
          <w:szCs w:val="18"/>
        </w:rPr>
        <w:t xml:space="preserve">p-value from Cochran-Mantel-Haenszel test to compare </w:t>
      </w:r>
      <w:proofErr w:type="spellStart"/>
      <w:r w:rsidRPr="00561530">
        <w:rPr>
          <w:rFonts w:cs="Times New Roman"/>
          <w:sz w:val="18"/>
          <w:szCs w:val="18"/>
        </w:rPr>
        <w:t>luspatercept</w:t>
      </w:r>
      <w:proofErr w:type="spellEnd"/>
      <w:r w:rsidRPr="00561530">
        <w:rPr>
          <w:rFonts w:cs="Times New Roman"/>
          <w:sz w:val="18"/>
          <w:szCs w:val="18"/>
        </w:rPr>
        <w:t xml:space="preserve"> treatment arm to placebo arm.</w:t>
      </w:r>
    </w:p>
    <w:p w14:paraId="39496A08"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 xml:space="preserve">d </w:t>
      </w:r>
      <w:proofErr w:type="gramStart"/>
      <w:r w:rsidRPr="00561530">
        <w:rPr>
          <w:rFonts w:cs="Times New Roman"/>
          <w:sz w:val="18"/>
          <w:szCs w:val="18"/>
        </w:rPr>
        <w:t>For</w:t>
      </w:r>
      <w:proofErr w:type="gramEnd"/>
      <w:r w:rsidRPr="00561530">
        <w:rPr>
          <w:rFonts w:cs="Times New Roman"/>
          <w:sz w:val="18"/>
          <w:szCs w:val="18"/>
        </w:rPr>
        <w:t xml:space="preserve"> patients with baseline RBC transfusion burden of ≥ 4 units/8 weeks, </w:t>
      </w:r>
      <w:proofErr w:type="spellStart"/>
      <w:r w:rsidRPr="00561530">
        <w:rPr>
          <w:rFonts w:cs="Times New Roman"/>
          <w:sz w:val="18"/>
          <w:szCs w:val="18"/>
        </w:rPr>
        <w:t>mHI</w:t>
      </w:r>
      <w:proofErr w:type="spellEnd"/>
      <w:r w:rsidRPr="00561530">
        <w:rPr>
          <w:rFonts w:cs="Times New Roman"/>
          <w:sz w:val="18"/>
          <w:szCs w:val="18"/>
        </w:rPr>
        <w:t>-E was defined as a reduction in RBC transfusion of at least 4 units/8 weeks.</w:t>
      </w:r>
    </w:p>
    <w:p w14:paraId="507589F3"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 xml:space="preserve">e </w:t>
      </w:r>
      <w:proofErr w:type="gramStart"/>
      <w:r w:rsidRPr="00561530">
        <w:rPr>
          <w:rFonts w:cs="Times New Roman"/>
          <w:sz w:val="18"/>
          <w:szCs w:val="18"/>
        </w:rPr>
        <w:t>For</w:t>
      </w:r>
      <w:proofErr w:type="gramEnd"/>
      <w:r w:rsidRPr="00561530">
        <w:rPr>
          <w:rFonts w:cs="Times New Roman"/>
          <w:sz w:val="18"/>
          <w:szCs w:val="18"/>
        </w:rPr>
        <w:t xml:space="preserve"> patients with baseline RBC transfusion burden of &lt; 4 units/8 weeks, </w:t>
      </w:r>
      <w:proofErr w:type="spellStart"/>
      <w:r w:rsidRPr="00561530">
        <w:rPr>
          <w:rFonts w:cs="Times New Roman"/>
          <w:sz w:val="18"/>
          <w:szCs w:val="18"/>
        </w:rPr>
        <w:t>mHI</w:t>
      </w:r>
      <w:proofErr w:type="spellEnd"/>
      <w:r w:rsidRPr="00561530">
        <w:rPr>
          <w:rFonts w:cs="Times New Roman"/>
          <w:sz w:val="18"/>
          <w:szCs w:val="18"/>
        </w:rPr>
        <w:t>-E was defined as a mean increase in Hb of ≥ 15 g/L for 8 weeks in the absence of RBC transfusions.</w:t>
      </w:r>
    </w:p>
    <w:p w14:paraId="483A0F56" w14:textId="77777777" w:rsidR="00561530" w:rsidRPr="00561530" w:rsidRDefault="00561530" w:rsidP="00561530">
      <w:pPr>
        <w:rPr>
          <w:rFonts w:ascii="Times New Roman" w:hAnsi="Times New Roman"/>
          <w:szCs w:val="24"/>
        </w:rPr>
      </w:pPr>
    </w:p>
    <w:p w14:paraId="766B2AD5" w14:textId="77777777" w:rsidR="00561530" w:rsidRPr="00561530" w:rsidRDefault="00561530" w:rsidP="00561530">
      <w:pPr>
        <w:rPr>
          <w:rFonts w:ascii="Times New Roman" w:hAnsi="Times New Roman"/>
          <w:szCs w:val="24"/>
        </w:rPr>
      </w:pPr>
      <w:r w:rsidRPr="00561530">
        <w:rPr>
          <w:rFonts w:ascii="Times New Roman" w:hAnsi="Times New Roman"/>
          <w:szCs w:val="24"/>
        </w:rPr>
        <w:t>The median duration of the longest RBC-TI period among responders in the REBLOZYL treatment arm was 30.6 weeks.</w:t>
      </w:r>
    </w:p>
    <w:p w14:paraId="0857305B" w14:textId="77777777" w:rsidR="00561530" w:rsidRPr="00561530" w:rsidRDefault="00561530" w:rsidP="00561530">
      <w:pPr>
        <w:rPr>
          <w:rFonts w:ascii="Times New Roman" w:hAnsi="Times New Roman"/>
          <w:szCs w:val="24"/>
        </w:rPr>
      </w:pPr>
      <w:r w:rsidRPr="00561530">
        <w:rPr>
          <w:rFonts w:ascii="Times New Roman" w:hAnsi="Times New Roman"/>
          <w:szCs w:val="24"/>
        </w:rPr>
        <w:t>More than 62% (36/58) of the REBLOZYL responders who achieved RBC-TI ≥ 8 weeks from Weeks 1-24 had 2 or more episodes of RBC-TI at the time of analysis.</w:t>
      </w:r>
    </w:p>
    <w:p w14:paraId="13E6DA05" w14:textId="77777777" w:rsidR="00561530" w:rsidRPr="00561530" w:rsidRDefault="00561530" w:rsidP="00561530">
      <w:pPr>
        <w:rPr>
          <w:rFonts w:ascii="Times New Roman" w:hAnsi="Times New Roman"/>
          <w:szCs w:val="24"/>
        </w:rPr>
      </w:pPr>
      <w:r w:rsidRPr="00561530">
        <w:rPr>
          <w:rFonts w:ascii="Times New Roman" w:hAnsi="Times New Roman"/>
          <w:szCs w:val="24"/>
        </w:rPr>
        <w:t>A treatment effect in favour of REBLOZYL over placebo was observed in all subgroups analysed including patients with high baseline endogenous EPO level (≥ 200 U/L) and high RBC transfusion burden (≥ 4 units / 8 weeks).</w:t>
      </w:r>
    </w:p>
    <w:p w14:paraId="1A46A5D2" w14:textId="77777777" w:rsidR="00561530" w:rsidRPr="00561530" w:rsidRDefault="00561530" w:rsidP="00561530">
      <w:pPr>
        <w:rPr>
          <w:rFonts w:ascii="Times New Roman" w:hAnsi="Times New Roman"/>
          <w:szCs w:val="24"/>
        </w:rPr>
      </w:pPr>
      <w:r w:rsidRPr="00561530">
        <w:rPr>
          <w:rFonts w:ascii="Times New Roman" w:hAnsi="Times New Roman"/>
          <w:szCs w:val="24"/>
        </w:rPr>
        <w:t xml:space="preserve">A reduction in mean serum ferritin levels was observed from baseline in the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arm compared to an increase in the placebo at both Week 9-24 (-2.7 </w:t>
      </w:r>
      <w:proofErr w:type="spellStart"/>
      <w:r w:rsidRPr="00561530">
        <w:rPr>
          <w:rFonts w:ascii="Times New Roman" w:hAnsi="Times New Roman"/>
          <w:szCs w:val="24"/>
        </w:rPr>
        <w:t>μg</w:t>
      </w:r>
      <w:proofErr w:type="spellEnd"/>
      <w:r w:rsidRPr="00561530">
        <w:rPr>
          <w:rFonts w:ascii="Times New Roman" w:hAnsi="Times New Roman"/>
          <w:szCs w:val="24"/>
        </w:rPr>
        <w:t xml:space="preserve">/L </w:t>
      </w:r>
      <w:r w:rsidRPr="00561530">
        <w:rPr>
          <w:rFonts w:ascii="Times New Roman" w:hAnsi="Times New Roman"/>
          <w:i/>
          <w:szCs w:val="24"/>
        </w:rPr>
        <w:t>versus</w:t>
      </w:r>
      <w:r w:rsidRPr="00561530">
        <w:rPr>
          <w:rFonts w:ascii="Times New Roman" w:hAnsi="Times New Roman"/>
          <w:szCs w:val="24"/>
        </w:rPr>
        <w:t xml:space="preserve"> +226.5 </w:t>
      </w:r>
      <w:proofErr w:type="spellStart"/>
      <w:r w:rsidRPr="00561530">
        <w:rPr>
          <w:rFonts w:ascii="Times New Roman" w:hAnsi="Times New Roman"/>
          <w:szCs w:val="24"/>
        </w:rPr>
        <w:t>μg</w:t>
      </w:r>
      <w:proofErr w:type="spellEnd"/>
      <w:r w:rsidRPr="00561530">
        <w:rPr>
          <w:rFonts w:ascii="Times New Roman" w:hAnsi="Times New Roman"/>
          <w:szCs w:val="24"/>
        </w:rPr>
        <w:t xml:space="preserve">/L, p=0.0024) and Week 33-48 (-72.0 </w:t>
      </w:r>
      <w:proofErr w:type="spellStart"/>
      <w:r w:rsidRPr="00561530">
        <w:rPr>
          <w:rFonts w:ascii="Times New Roman" w:hAnsi="Times New Roman"/>
          <w:szCs w:val="24"/>
        </w:rPr>
        <w:t>μg</w:t>
      </w:r>
      <w:proofErr w:type="spellEnd"/>
      <w:r w:rsidRPr="00561530">
        <w:rPr>
          <w:rFonts w:ascii="Times New Roman" w:hAnsi="Times New Roman"/>
          <w:szCs w:val="24"/>
        </w:rPr>
        <w:t xml:space="preserve">/L </w:t>
      </w:r>
      <w:r w:rsidRPr="00561530">
        <w:rPr>
          <w:rFonts w:ascii="Times New Roman" w:hAnsi="Times New Roman"/>
          <w:i/>
          <w:szCs w:val="24"/>
        </w:rPr>
        <w:t>versus</w:t>
      </w:r>
      <w:r w:rsidRPr="00561530">
        <w:rPr>
          <w:rFonts w:ascii="Times New Roman" w:hAnsi="Times New Roman"/>
          <w:szCs w:val="24"/>
        </w:rPr>
        <w:t xml:space="preserve"> +247.4 </w:t>
      </w:r>
      <w:proofErr w:type="spellStart"/>
      <w:r w:rsidRPr="00561530">
        <w:rPr>
          <w:rFonts w:ascii="Times New Roman" w:hAnsi="Times New Roman"/>
          <w:szCs w:val="24"/>
        </w:rPr>
        <w:t>μg</w:t>
      </w:r>
      <w:proofErr w:type="spellEnd"/>
      <w:r w:rsidRPr="00561530">
        <w:rPr>
          <w:rFonts w:ascii="Times New Roman" w:hAnsi="Times New Roman"/>
          <w:szCs w:val="24"/>
        </w:rPr>
        <w:t xml:space="preserve">/L, p=0.0294) which resulted in a least square mean treatment difference of -229.1 </w:t>
      </w:r>
      <w:proofErr w:type="spellStart"/>
      <w:r w:rsidRPr="00561530">
        <w:rPr>
          <w:rFonts w:ascii="Times New Roman" w:hAnsi="Times New Roman"/>
          <w:szCs w:val="24"/>
        </w:rPr>
        <w:t>μg</w:t>
      </w:r>
      <w:proofErr w:type="spellEnd"/>
      <w:r w:rsidRPr="00561530">
        <w:rPr>
          <w:rFonts w:ascii="Times New Roman" w:hAnsi="Times New Roman"/>
          <w:szCs w:val="24"/>
        </w:rPr>
        <w:t xml:space="preserve">/L (95% CI: -375.8, -82.4) and -319.5 </w:t>
      </w:r>
      <w:proofErr w:type="spellStart"/>
      <w:r w:rsidRPr="00561530">
        <w:rPr>
          <w:rFonts w:ascii="Times New Roman" w:hAnsi="Times New Roman"/>
          <w:szCs w:val="24"/>
        </w:rPr>
        <w:t>μg</w:t>
      </w:r>
      <w:proofErr w:type="spellEnd"/>
      <w:r w:rsidRPr="00561530">
        <w:rPr>
          <w:rFonts w:ascii="Times New Roman" w:hAnsi="Times New Roman"/>
          <w:szCs w:val="24"/>
        </w:rPr>
        <w:t>/L (95% CI: -606.3, -32.7), respectively.</w:t>
      </w:r>
    </w:p>
    <w:p w14:paraId="23541F04" w14:textId="77777777" w:rsidR="00561530" w:rsidRPr="00561530" w:rsidRDefault="00561530" w:rsidP="00561530">
      <w:pPr>
        <w:rPr>
          <w:rFonts w:ascii="Times New Roman" w:hAnsi="Times New Roman"/>
          <w:szCs w:val="24"/>
        </w:rPr>
      </w:pPr>
      <w:r w:rsidRPr="00561530">
        <w:rPr>
          <w:rFonts w:ascii="Times New Roman" w:hAnsi="Times New Roman"/>
          <w:szCs w:val="24"/>
        </w:rPr>
        <w:t xml:space="preserve">In open-label Phase 2 studies, the safety and efficacy of REBLOZYL were evaluated in 23 adult patients with lower-risk MDS without ring </w:t>
      </w:r>
      <w:proofErr w:type="spellStart"/>
      <w:r w:rsidRPr="00561530">
        <w:rPr>
          <w:rFonts w:ascii="Times New Roman" w:hAnsi="Times New Roman"/>
          <w:szCs w:val="24"/>
        </w:rPr>
        <w:t>sideroblasts</w:t>
      </w:r>
      <w:proofErr w:type="spellEnd"/>
      <w:r w:rsidRPr="00561530">
        <w:rPr>
          <w:rFonts w:ascii="Times New Roman" w:hAnsi="Times New Roman"/>
          <w:szCs w:val="24"/>
        </w:rPr>
        <w:t xml:space="preserve"> who had a median baseline transfusion burden of 4 units (range: 2-8 units), and median EPO levels of 429 IU/L (range: 0.3-1960 IU/L) with 48% of patients having an EPO level above 500 IU/L. Of these patients, 30.4% (7/23, 95% CI: 13.2 to 52.9) of patients achieved RBC-TI ≥ 8 weeks. The median duration of longest RBC-TI (min, max) was 196 days (70, 378). The safety profile in patients with MDS without ring </w:t>
      </w:r>
      <w:proofErr w:type="spellStart"/>
      <w:r w:rsidRPr="00561530">
        <w:rPr>
          <w:rFonts w:ascii="Times New Roman" w:hAnsi="Times New Roman"/>
          <w:szCs w:val="24"/>
        </w:rPr>
        <w:t>sideroblasts</w:t>
      </w:r>
      <w:proofErr w:type="spellEnd"/>
      <w:r w:rsidRPr="00561530">
        <w:rPr>
          <w:rFonts w:ascii="Times New Roman" w:hAnsi="Times New Roman"/>
          <w:szCs w:val="24"/>
        </w:rPr>
        <w:t xml:space="preserve"> was generally consistent with that of the Phase 3 population.</w:t>
      </w:r>
    </w:p>
    <w:p w14:paraId="6D3698FE" w14:textId="77777777" w:rsidR="00561530" w:rsidRPr="00561530" w:rsidRDefault="00561530" w:rsidP="00561530">
      <w:pPr>
        <w:rPr>
          <w:rFonts w:ascii="Times New Roman" w:hAnsi="Times New Roman"/>
          <w:szCs w:val="24"/>
          <w:u w:val="single"/>
        </w:rPr>
      </w:pPr>
      <w:r w:rsidRPr="00561530">
        <w:rPr>
          <w:rFonts w:ascii="Times New Roman" w:hAnsi="Times New Roman"/>
          <w:szCs w:val="24"/>
          <w:u w:val="single"/>
        </w:rPr>
        <w:t>β-Thalassaemia</w:t>
      </w:r>
    </w:p>
    <w:p w14:paraId="62983F7C" w14:textId="77777777" w:rsidR="00561530" w:rsidRPr="00561530" w:rsidRDefault="00561530" w:rsidP="00561530">
      <w:pPr>
        <w:rPr>
          <w:rFonts w:ascii="Times New Roman" w:hAnsi="Times New Roman"/>
        </w:rPr>
      </w:pPr>
      <w:r w:rsidRPr="00561530">
        <w:rPr>
          <w:rFonts w:ascii="Times New Roman" w:hAnsi="Times New Roman"/>
        </w:rPr>
        <w:t>The efficacy and safety of REBLOZYL were evaluated in a Phase III multi-centre, randomised, double-blind, placebo-controlled study BELIEVE (ACE-536-B-THAL-001) in patients with β</w:t>
      </w:r>
      <w:r w:rsidRPr="00561530">
        <w:rPr>
          <w:rFonts w:ascii="Times New Roman" w:hAnsi="Times New Roman"/>
        </w:rPr>
        <w:noBreakHyphen/>
        <w:t>thalassaemia requiring regular red blood cell transfusions (6-20 RBC units per 24 weeks) with no transfusion-free period greater than 35 days during that period.</w:t>
      </w:r>
    </w:p>
    <w:p w14:paraId="05C85197" w14:textId="77777777" w:rsidR="00561530" w:rsidRPr="00561530" w:rsidRDefault="00561530" w:rsidP="00561530">
      <w:pPr>
        <w:rPr>
          <w:rFonts w:ascii="Times New Roman" w:hAnsi="Times New Roman"/>
        </w:rPr>
      </w:pPr>
      <w:r w:rsidRPr="00561530">
        <w:rPr>
          <w:rFonts w:ascii="Times New Roman" w:eastAsia="MS Mincho" w:hAnsi="Times New Roman"/>
        </w:rPr>
        <w:t xml:space="preserve">Patients in both the </w:t>
      </w:r>
      <w:proofErr w:type="spellStart"/>
      <w:r w:rsidRPr="00561530">
        <w:rPr>
          <w:rFonts w:ascii="Times New Roman" w:eastAsia="MS Mincho" w:hAnsi="Times New Roman"/>
        </w:rPr>
        <w:t>luspatercept</w:t>
      </w:r>
      <w:proofErr w:type="spellEnd"/>
      <w:r w:rsidRPr="00561530">
        <w:rPr>
          <w:rFonts w:ascii="Times New Roman" w:eastAsia="MS Mincho" w:hAnsi="Times New Roman"/>
        </w:rPr>
        <w:t xml:space="preserve"> and placebo arms were treated for at least 48 weeks. </w:t>
      </w:r>
      <w:r w:rsidRPr="00561530">
        <w:rPr>
          <w:rFonts w:ascii="Times New Roman" w:hAnsi="Times New Roman"/>
        </w:rPr>
        <w:t xml:space="preserve">After unblinding, placebo patients were able to cross-over to </w:t>
      </w:r>
      <w:proofErr w:type="spellStart"/>
      <w:r w:rsidRPr="00561530">
        <w:rPr>
          <w:rFonts w:ascii="Times New Roman" w:hAnsi="Times New Roman"/>
        </w:rPr>
        <w:t>luspatercept</w:t>
      </w:r>
      <w:proofErr w:type="spellEnd"/>
      <w:r w:rsidRPr="00561530">
        <w:rPr>
          <w:rFonts w:ascii="Times New Roman" w:hAnsi="Times New Roman"/>
        </w:rPr>
        <w:t>.</w:t>
      </w:r>
    </w:p>
    <w:p w14:paraId="70EEC3A7" w14:textId="77777777" w:rsidR="00561530" w:rsidRPr="00561530" w:rsidRDefault="00561530" w:rsidP="00561530">
      <w:pPr>
        <w:rPr>
          <w:rFonts w:ascii="Times New Roman" w:hAnsi="Times New Roman"/>
        </w:rPr>
      </w:pPr>
      <w:r w:rsidRPr="00561530">
        <w:rPr>
          <w:rFonts w:ascii="Times New Roman" w:hAnsi="Times New Roman"/>
        </w:rPr>
        <w:t>A total of 336 patients with β</w:t>
      </w:r>
      <w:r w:rsidRPr="00561530">
        <w:rPr>
          <w:rFonts w:ascii="Times New Roman" w:hAnsi="Times New Roman"/>
        </w:rPr>
        <w:noBreakHyphen/>
        <w:t>thalassaemia were randomised to receive REBLOZYL (n=224) or placebo (n=112) subcutaneously once every 3 weeks.</w:t>
      </w:r>
      <w:r w:rsidRPr="00561530">
        <w:rPr>
          <w:rFonts w:ascii="Times New Roman" w:eastAsia="TimesNewRoman" w:hAnsi="Times New Roman"/>
        </w:rPr>
        <w:t xml:space="preserve"> </w:t>
      </w:r>
      <w:r w:rsidRPr="00561530">
        <w:rPr>
          <w:rFonts w:ascii="Times New Roman" w:hAnsi="Times New Roman"/>
        </w:rPr>
        <w:t>All patients were eligible to receive best supportive care, which included RBC transfusions; iron-chelating agents; use of antibiotic, antiviral, and antifungal therapy; and/or nutritional support, as needed.</w:t>
      </w:r>
    </w:p>
    <w:p w14:paraId="12D4C78B" w14:textId="77777777" w:rsidR="00561530" w:rsidRPr="00561530" w:rsidRDefault="00561530" w:rsidP="00561530">
      <w:pPr>
        <w:rPr>
          <w:rFonts w:ascii="Times New Roman" w:hAnsi="Times New Roman"/>
        </w:rPr>
      </w:pPr>
      <w:r w:rsidRPr="00561530">
        <w:rPr>
          <w:rFonts w:ascii="Times New Roman" w:hAnsi="Times New Roman"/>
        </w:rPr>
        <w:t xml:space="preserve">The study excluded patients with haemoglobin S/β-thalassaemia or alpha-thalassaemia or who had major organ damage (liver disease, heart disease, lung disease, renal insufficiency). Patients with recent deep vein thrombosis or stroke or recent use of erythropoiesis-stimulating agent (ESA), immunosuppressant, or hydroxyurea therapy were also excluded. </w:t>
      </w:r>
    </w:p>
    <w:p w14:paraId="07F7EC4D" w14:textId="77777777" w:rsidR="00561530" w:rsidRPr="00561530" w:rsidRDefault="00561530" w:rsidP="00561530">
      <w:pPr>
        <w:rPr>
          <w:rFonts w:ascii="Times New Roman" w:hAnsi="Times New Roman"/>
          <w:szCs w:val="24"/>
        </w:rPr>
      </w:pPr>
      <w:r w:rsidRPr="00561530">
        <w:rPr>
          <w:rFonts w:ascii="Times New Roman" w:hAnsi="Times New Roman"/>
          <w:szCs w:val="24"/>
        </w:rPr>
        <w:t>The median age was 30 years (range: 18-66). The trial was comprised of patients who were 42% male, 54.2% White, 34.8% Asian, and 0.3% Black or African American. The percent of patients reporting their race as “other” was 7.7%, and race was not collected or reported for 3% of patients.</w:t>
      </w:r>
    </w:p>
    <w:p w14:paraId="4D31006B" w14:textId="77777777" w:rsidR="00561530" w:rsidRPr="00561530" w:rsidRDefault="00561530" w:rsidP="00561530">
      <w:pPr>
        <w:rPr>
          <w:rFonts w:ascii="Times New Roman" w:hAnsi="Times New Roman"/>
        </w:rPr>
      </w:pPr>
      <w:r w:rsidRPr="00561530">
        <w:rPr>
          <w:rFonts w:ascii="Times New Roman" w:hAnsi="Times New Roman"/>
          <w:b/>
          <w:szCs w:val="24"/>
        </w:rPr>
        <w:t>Table 9</w:t>
      </w:r>
      <w:r w:rsidRPr="00561530">
        <w:rPr>
          <w:rFonts w:ascii="Times New Roman" w:hAnsi="Times New Roman"/>
          <w:szCs w:val="24"/>
        </w:rPr>
        <w:t xml:space="preserve"> summarises the baseline disease characteristics in patients with </w:t>
      </w:r>
      <w:r w:rsidRPr="00561530">
        <w:rPr>
          <w:rFonts w:ascii="Times New Roman" w:hAnsi="Times New Roman"/>
        </w:rPr>
        <w:t>β</w:t>
      </w:r>
      <w:r w:rsidRPr="00561530">
        <w:rPr>
          <w:rFonts w:ascii="Times New Roman" w:hAnsi="Times New Roman"/>
        </w:rPr>
        <w:noBreakHyphen/>
        <w:t>thalassaemia in the BELIEVE study.</w:t>
      </w:r>
    </w:p>
    <w:p w14:paraId="6BE9D66B" w14:textId="77777777" w:rsidR="00561530" w:rsidRPr="00987EA6" w:rsidRDefault="00561530" w:rsidP="00561530">
      <w:pPr>
        <w:pStyle w:val="C-BodyText"/>
        <w:spacing w:before="0" w:after="0" w:line="240" w:lineRule="auto"/>
        <w:rPr>
          <w:b/>
          <w:sz w:val="22"/>
          <w:szCs w:val="22"/>
        </w:rPr>
      </w:pPr>
      <w:r w:rsidRPr="00987EA6">
        <w:rPr>
          <w:b/>
          <w:sz w:val="22"/>
          <w:szCs w:val="18"/>
        </w:rPr>
        <w:t>Table 9: Baseline Disease Characteristics for β-</w:t>
      </w:r>
      <w:proofErr w:type="spellStart"/>
      <w:r w:rsidRPr="00987EA6">
        <w:rPr>
          <w:b/>
          <w:sz w:val="22"/>
          <w:szCs w:val="18"/>
        </w:rPr>
        <w:t>thalassaemia</w:t>
      </w:r>
      <w:proofErr w:type="spellEnd"/>
      <w:r w:rsidRPr="00987EA6">
        <w:rPr>
          <w:b/>
          <w:sz w:val="22"/>
          <w:szCs w:val="18"/>
        </w:rPr>
        <w:t xml:space="preserve"> Patients in ACE-536-B-THAL-001</w:t>
      </w:r>
    </w:p>
    <w:tbl>
      <w:tblPr>
        <w:tblStyle w:val="TableGrid"/>
        <w:tblW w:w="0" w:type="auto"/>
        <w:tblLook w:val="04A0" w:firstRow="1" w:lastRow="0" w:firstColumn="1" w:lastColumn="0" w:noHBand="0" w:noVBand="1"/>
      </w:tblPr>
      <w:tblGrid>
        <w:gridCol w:w="4772"/>
        <w:gridCol w:w="1896"/>
        <w:gridCol w:w="1826"/>
      </w:tblGrid>
      <w:tr w:rsidR="00561530" w:rsidRPr="00561530" w14:paraId="4265814C" w14:textId="77777777" w:rsidTr="00561530">
        <w:tc>
          <w:tcPr>
            <w:tcW w:w="5395" w:type="dxa"/>
          </w:tcPr>
          <w:p w14:paraId="04D3C701" w14:textId="77777777" w:rsidR="00561530" w:rsidRPr="00561530" w:rsidRDefault="00561530" w:rsidP="00561530">
            <w:pPr>
              <w:rPr>
                <w:rFonts w:ascii="Times New Roman" w:hAnsi="Times New Roman"/>
              </w:rPr>
            </w:pPr>
          </w:p>
        </w:tc>
        <w:tc>
          <w:tcPr>
            <w:tcW w:w="1980" w:type="dxa"/>
          </w:tcPr>
          <w:p w14:paraId="4B8615DA" w14:textId="77777777" w:rsidR="00561530" w:rsidRPr="00561530" w:rsidRDefault="00561530" w:rsidP="00561530">
            <w:pPr>
              <w:jc w:val="center"/>
              <w:rPr>
                <w:rFonts w:ascii="Times New Roman" w:hAnsi="Times New Roman"/>
                <w:b/>
              </w:rPr>
            </w:pPr>
            <w:r w:rsidRPr="00561530">
              <w:rPr>
                <w:rFonts w:ascii="Times New Roman" w:hAnsi="Times New Roman"/>
                <w:b/>
              </w:rPr>
              <w:t xml:space="preserve">REBLOZYL </w:t>
            </w:r>
          </w:p>
          <w:p w14:paraId="720137A4" w14:textId="77777777" w:rsidR="00561530" w:rsidRPr="00561530" w:rsidRDefault="00561530" w:rsidP="00561530">
            <w:pPr>
              <w:jc w:val="center"/>
              <w:rPr>
                <w:rFonts w:ascii="Times New Roman" w:hAnsi="Times New Roman"/>
                <w:b/>
              </w:rPr>
            </w:pPr>
            <w:r w:rsidRPr="00561530">
              <w:rPr>
                <w:rFonts w:ascii="Times New Roman" w:hAnsi="Times New Roman"/>
                <w:b/>
              </w:rPr>
              <w:t>(N = 224)</w:t>
            </w:r>
          </w:p>
        </w:tc>
        <w:tc>
          <w:tcPr>
            <w:tcW w:w="1975" w:type="dxa"/>
          </w:tcPr>
          <w:p w14:paraId="33C07A8D" w14:textId="77777777" w:rsidR="00561530" w:rsidRPr="00561530" w:rsidRDefault="00561530" w:rsidP="00561530">
            <w:pPr>
              <w:jc w:val="center"/>
              <w:rPr>
                <w:rFonts w:ascii="Times New Roman" w:hAnsi="Times New Roman"/>
                <w:b/>
              </w:rPr>
            </w:pPr>
            <w:r w:rsidRPr="00561530">
              <w:rPr>
                <w:rFonts w:ascii="Times New Roman" w:hAnsi="Times New Roman"/>
                <w:b/>
              </w:rPr>
              <w:t xml:space="preserve">Placebo </w:t>
            </w:r>
          </w:p>
          <w:p w14:paraId="7A2A4351" w14:textId="77777777" w:rsidR="00561530" w:rsidRPr="00561530" w:rsidRDefault="00561530" w:rsidP="00561530">
            <w:pPr>
              <w:jc w:val="center"/>
              <w:rPr>
                <w:rFonts w:ascii="Times New Roman" w:hAnsi="Times New Roman"/>
                <w:b/>
              </w:rPr>
            </w:pPr>
            <w:r w:rsidRPr="00561530">
              <w:rPr>
                <w:rFonts w:ascii="Times New Roman" w:hAnsi="Times New Roman"/>
                <w:b/>
              </w:rPr>
              <w:t>(N = 112)</w:t>
            </w:r>
          </w:p>
        </w:tc>
      </w:tr>
      <w:tr w:rsidR="00561530" w:rsidRPr="00561530" w14:paraId="5CA4828D" w14:textId="77777777" w:rsidTr="00561530">
        <w:tc>
          <w:tcPr>
            <w:tcW w:w="9350" w:type="dxa"/>
            <w:gridSpan w:val="3"/>
            <w:shd w:val="clear" w:color="auto" w:fill="D9D9D9" w:themeFill="background1" w:themeFillShade="D9"/>
          </w:tcPr>
          <w:p w14:paraId="4B1E18A6" w14:textId="77777777" w:rsidR="00561530" w:rsidRPr="00561530" w:rsidRDefault="00561530" w:rsidP="00561530">
            <w:pPr>
              <w:rPr>
                <w:rFonts w:ascii="Times New Roman" w:hAnsi="Times New Roman"/>
              </w:rPr>
            </w:pPr>
            <w:r w:rsidRPr="00561530">
              <w:rPr>
                <w:rFonts w:ascii="Times New Roman" w:hAnsi="Times New Roman"/>
                <w:b/>
              </w:rPr>
              <w:t>Baseline transfusion burden 12 weeks prior to randomisation</w:t>
            </w:r>
          </w:p>
        </w:tc>
      </w:tr>
      <w:tr w:rsidR="00561530" w:rsidRPr="00561530" w14:paraId="673A9FB6" w14:textId="77777777" w:rsidTr="00561530">
        <w:tc>
          <w:tcPr>
            <w:tcW w:w="5395" w:type="dxa"/>
          </w:tcPr>
          <w:p w14:paraId="2E314ACB" w14:textId="77777777" w:rsidR="00561530" w:rsidRPr="00561530" w:rsidRDefault="00561530" w:rsidP="00561530">
            <w:pPr>
              <w:rPr>
                <w:rFonts w:ascii="Times New Roman" w:hAnsi="Times New Roman"/>
              </w:rPr>
            </w:pPr>
            <w:r w:rsidRPr="00561530">
              <w:rPr>
                <w:rFonts w:ascii="Times New Roman" w:hAnsi="Times New Roman"/>
              </w:rPr>
              <w:t>Median (min, max)</w:t>
            </w:r>
          </w:p>
        </w:tc>
        <w:tc>
          <w:tcPr>
            <w:tcW w:w="1980" w:type="dxa"/>
          </w:tcPr>
          <w:p w14:paraId="340F12FB" w14:textId="77777777" w:rsidR="00561530" w:rsidRPr="00561530" w:rsidRDefault="00561530" w:rsidP="00561530">
            <w:pPr>
              <w:jc w:val="center"/>
              <w:rPr>
                <w:rFonts w:ascii="Times New Roman" w:hAnsi="Times New Roman"/>
              </w:rPr>
            </w:pPr>
            <w:r w:rsidRPr="00561530">
              <w:rPr>
                <w:rFonts w:ascii="Times New Roman" w:hAnsi="Times New Roman"/>
                <w:szCs w:val="24"/>
              </w:rPr>
              <w:t>6.12 (3.0, 14.0)</w:t>
            </w:r>
          </w:p>
        </w:tc>
        <w:tc>
          <w:tcPr>
            <w:tcW w:w="1975" w:type="dxa"/>
          </w:tcPr>
          <w:p w14:paraId="4157FABB" w14:textId="77777777" w:rsidR="00561530" w:rsidRPr="00561530" w:rsidRDefault="00561530" w:rsidP="00561530">
            <w:pPr>
              <w:jc w:val="center"/>
              <w:rPr>
                <w:rFonts w:ascii="Times New Roman" w:hAnsi="Times New Roman"/>
              </w:rPr>
            </w:pPr>
            <w:r w:rsidRPr="00561530">
              <w:rPr>
                <w:rFonts w:ascii="Times New Roman" w:hAnsi="Times New Roman"/>
                <w:szCs w:val="24"/>
              </w:rPr>
              <w:t>6.27 (3.0, 12.0)</w:t>
            </w:r>
          </w:p>
        </w:tc>
      </w:tr>
      <w:tr w:rsidR="00561530" w:rsidRPr="00561530" w14:paraId="68999FAF" w14:textId="77777777" w:rsidTr="00561530">
        <w:tc>
          <w:tcPr>
            <w:tcW w:w="9350" w:type="dxa"/>
            <w:gridSpan w:val="3"/>
            <w:shd w:val="clear" w:color="auto" w:fill="D9D9D9" w:themeFill="background1" w:themeFillShade="D9"/>
          </w:tcPr>
          <w:p w14:paraId="4F0E09C5" w14:textId="77777777" w:rsidR="00561530" w:rsidRPr="00561530" w:rsidRDefault="00561530" w:rsidP="00561530">
            <w:pPr>
              <w:rPr>
                <w:rFonts w:ascii="Times New Roman" w:hAnsi="Times New Roman"/>
              </w:rPr>
            </w:pPr>
            <w:r w:rsidRPr="00561530">
              <w:rPr>
                <w:rFonts w:ascii="Times New Roman" w:hAnsi="Times New Roman"/>
                <w:b/>
              </w:rPr>
              <w:t xml:space="preserve">β-thalassaemia gene mutation grouping, n (%) </w:t>
            </w:r>
          </w:p>
        </w:tc>
      </w:tr>
      <w:tr w:rsidR="00561530" w:rsidRPr="00561530" w14:paraId="2E4E8D2B" w14:textId="77777777" w:rsidTr="00561530">
        <w:tc>
          <w:tcPr>
            <w:tcW w:w="5395" w:type="dxa"/>
          </w:tcPr>
          <w:p w14:paraId="688FE399" w14:textId="77777777" w:rsidR="00561530" w:rsidRPr="00561530" w:rsidRDefault="00561530" w:rsidP="00561530">
            <w:pPr>
              <w:keepNext/>
              <w:keepLines/>
              <w:autoSpaceDE w:val="0"/>
              <w:autoSpaceDN w:val="0"/>
              <w:adjustRightInd w:val="0"/>
              <w:rPr>
                <w:rFonts w:ascii="Times New Roman" w:hAnsi="Times New Roman"/>
              </w:rPr>
            </w:pPr>
            <w:r w:rsidRPr="00561530">
              <w:rPr>
                <w:rFonts w:ascii="Times New Roman" w:hAnsi="Times New Roman"/>
              </w:rPr>
              <w:t>β0/β0</w:t>
            </w:r>
          </w:p>
          <w:p w14:paraId="731B5B6A" w14:textId="77777777" w:rsidR="00561530" w:rsidRPr="00561530" w:rsidRDefault="00561530" w:rsidP="00561530">
            <w:pPr>
              <w:keepNext/>
              <w:keepLines/>
              <w:autoSpaceDE w:val="0"/>
              <w:autoSpaceDN w:val="0"/>
              <w:adjustRightInd w:val="0"/>
              <w:rPr>
                <w:rFonts w:ascii="Times New Roman" w:hAnsi="Times New Roman"/>
              </w:rPr>
            </w:pPr>
            <w:r w:rsidRPr="00561530">
              <w:rPr>
                <w:rFonts w:ascii="Times New Roman" w:hAnsi="Times New Roman"/>
              </w:rPr>
              <w:t>Non-β0/β0</w:t>
            </w:r>
          </w:p>
          <w:p w14:paraId="7B8EF4DB" w14:textId="77777777" w:rsidR="00561530" w:rsidRPr="00561530" w:rsidRDefault="00561530" w:rsidP="00561530">
            <w:pPr>
              <w:keepNext/>
              <w:keepLines/>
              <w:autoSpaceDE w:val="0"/>
              <w:autoSpaceDN w:val="0"/>
              <w:adjustRightInd w:val="0"/>
              <w:rPr>
                <w:rFonts w:ascii="Times New Roman" w:hAnsi="Times New Roman"/>
              </w:rPr>
            </w:pPr>
            <w:proofErr w:type="spellStart"/>
            <w:r w:rsidRPr="00561530">
              <w:rPr>
                <w:rFonts w:ascii="Times New Roman" w:hAnsi="Times New Roman"/>
              </w:rPr>
              <w:t>Missing</w:t>
            </w:r>
            <w:r w:rsidRPr="00561530">
              <w:rPr>
                <w:rFonts w:ascii="Times New Roman" w:hAnsi="Times New Roman"/>
                <w:vertAlign w:val="superscript"/>
              </w:rPr>
              <w:t>a</w:t>
            </w:r>
            <w:proofErr w:type="spellEnd"/>
          </w:p>
        </w:tc>
        <w:tc>
          <w:tcPr>
            <w:tcW w:w="1980" w:type="dxa"/>
          </w:tcPr>
          <w:p w14:paraId="36545F6F" w14:textId="77777777" w:rsidR="00561530" w:rsidRPr="00561530" w:rsidRDefault="00561530" w:rsidP="00561530">
            <w:pPr>
              <w:keepNext/>
              <w:keepLines/>
              <w:autoSpaceDE w:val="0"/>
              <w:autoSpaceDN w:val="0"/>
              <w:adjustRightInd w:val="0"/>
              <w:jc w:val="center"/>
              <w:rPr>
                <w:rFonts w:ascii="Times New Roman" w:hAnsi="Times New Roman"/>
              </w:rPr>
            </w:pPr>
            <w:r w:rsidRPr="00561530">
              <w:rPr>
                <w:rFonts w:ascii="Times New Roman" w:hAnsi="Times New Roman"/>
              </w:rPr>
              <w:t>68 (30.4)</w:t>
            </w:r>
          </w:p>
          <w:p w14:paraId="5DDDF220" w14:textId="77777777" w:rsidR="00561530" w:rsidRPr="00561530" w:rsidRDefault="00561530" w:rsidP="00561530">
            <w:pPr>
              <w:keepNext/>
              <w:keepLines/>
              <w:autoSpaceDE w:val="0"/>
              <w:autoSpaceDN w:val="0"/>
              <w:adjustRightInd w:val="0"/>
              <w:jc w:val="center"/>
              <w:rPr>
                <w:rFonts w:ascii="Times New Roman" w:hAnsi="Times New Roman"/>
              </w:rPr>
            </w:pPr>
            <w:r w:rsidRPr="00561530">
              <w:rPr>
                <w:rFonts w:ascii="Times New Roman" w:hAnsi="Times New Roman"/>
              </w:rPr>
              <w:t>155 (69.2)</w:t>
            </w:r>
          </w:p>
          <w:p w14:paraId="269E966F" w14:textId="77777777" w:rsidR="00561530" w:rsidRPr="00561530" w:rsidRDefault="00561530" w:rsidP="00561530">
            <w:pPr>
              <w:jc w:val="center"/>
              <w:rPr>
                <w:rFonts w:ascii="Times New Roman" w:hAnsi="Times New Roman"/>
              </w:rPr>
            </w:pPr>
            <w:r w:rsidRPr="00561530">
              <w:rPr>
                <w:rFonts w:ascii="Times New Roman" w:hAnsi="Times New Roman"/>
              </w:rPr>
              <w:t>1 (0.4)</w:t>
            </w:r>
          </w:p>
        </w:tc>
        <w:tc>
          <w:tcPr>
            <w:tcW w:w="1975" w:type="dxa"/>
          </w:tcPr>
          <w:p w14:paraId="2CFDEDE0" w14:textId="77777777" w:rsidR="00561530" w:rsidRPr="00561530" w:rsidRDefault="00561530" w:rsidP="00561530">
            <w:pPr>
              <w:keepNext/>
              <w:keepLines/>
              <w:autoSpaceDE w:val="0"/>
              <w:autoSpaceDN w:val="0"/>
              <w:adjustRightInd w:val="0"/>
              <w:jc w:val="center"/>
              <w:rPr>
                <w:rFonts w:ascii="Times New Roman" w:hAnsi="Times New Roman"/>
              </w:rPr>
            </w:pPr>
            <w:r w:rsidRPr="00561530">
              <w:rPr>
                <w:rFonts w:ascii="Times New Roman" w:hAnsi="Times New Roman"/>
              </w:rPr>
              <w:t>35 (31.3)</w:t>
            </w:r>
          </w:p>
          <w:p w14:paraId="249B8424" w14:textId="77777777" w:rsidR="00561530" w:rsidRPr="00561530" w:rsidRDefault="00561530" w:rsidP="00561530">
            <w:pPr>
              <w:keepNext/>
              <w:keepLines/>
              <w:autoSpaceDE w:val="0"/>
              <w:autoSpaceDN w:val="0"/>
              <w:adjustRightInd w:val="0"/>
              <w:jc w:val="center"/>
              <w:rPr>
                <w:rFonts w:ascii="Times New Roman" w:hAnsi="Times New Roman"/>
              </w:rPr>
            </w:pPr>
            <w:r w:rsidRPr="00561530">
              <w:rPr>
                <w:rFonts w:ascii="Times New Roman" w:hAnsi="Times New Roman"/>
              </w:rPr>
              <w:t>77 (68.8)</w:t>
            </w:r>
          </w:p>
          <w:p w14:paraId="7D2923C7" w14:textId="77777777" w:rsidR="00561530" w:rsidRPr="00561530" w:rsidRDefault="00561530" w:rsidP="00561530">
            <w:pPr>
              <w:jc w:val="center"/>
              <w:rPr>
                <w:rFonts w:ascii="Times New Roman" w:hAnsi="Times New Roman"/>
              </w:rPr>
            </w:pPr>
            <w:r w:rsidRPr="00561530">
              <w:rPr>
                <w:rFonts w:ascii="Times New Roman" w:hAnsi="Times New Roman"/>
              </w:rPr>
              <w:t>0</w:t>
            </w:r>
          </w:p>
        </w:tc>
      </w:tr>
    </w:tbl>
    <w:p w14:paraId="168A7879" w14:textId="77777777" w:rsidR="00561530" w:rsidRPr="00561530" w:rsidRDefault="00561530" w:rsidP="00561530">
      <w:pPr>
        <w:rPr>
          <w:rFonts w:ascii="Times New Roman" w:hAnsi="Times New Roman"/>
        </w:rPr>
      </w:pPr>
      <w:r w:rsidRPr="00561530">
        <w:rPr>
          <w:rFonts w:ascii="Times New Roman" w:hAnsi="Times New Roman"/>
          <w:vertAlign w:val="superscript"/>
        </w:rPr>
        <w:t>a</w:t>
      </w:r>
      <w:r w:rsidRPr="00561530">
        <w:rPr>
          <w:rFonts w:ascii="Times New Roman" w:hAnsi="Times New Roman"/>
          <w:sz w:val="18"/>
          <w:szCs w:val="18"/>
        </w:rPr>
        <w:t xml:space="preserve"> “Missing" category includes patients in the population who had no result for the parameter listed.</w:t>
      </w:r>
    </w:p>
    <w:p w14:paraId="593C893B" w14:textId="77777777" w:rsidR="00561530" w:rsidRPr="00561530" w:rsidRDefault="00561530" w:rsidP="00561530">
      <w:pPr>
        <w:rPr>
          <w:rFonts w:ascii="Times New Roman" w:hAnsi="Times New Roman"/>
        </w:rPr>
      </w:pPr>
      <w:r w:rsidRPr="00561530">
        <w:rPr>
          <w:rFonts w:ascii="Times New Roman" w:hAnsi="Times New Roman"/>
        </w:rPr>
        <w:t>The study was unblinded for analyses when all patients had received at least 48 weeks of treatment or discontinued treatment.</w:t>
      </w:r>
    </w:p>
    <w:p w14:paraId="02697D05"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 xml:space="preserve">Efficacy was based on the primary endpoint of RBC transfusion burden reduction (≥33% reduction from baseline) with a reduction of at least 2 units from Week 13 to Week 24. There were significantly more patients taking </w:t>
      </w:r>
      <w:proofErr w:type="spellStart"/>
      <w:r w:rsidRPr="00561530">
        <w:rPr>
          <w:rFonts w:ascii="Times New Roman" w:hAnsi="Times New Roman"/>
          <w:szCs w:val="24"/>
        </w:rPr>
        <w:t>Reblozyl</w:t>
      </w:r>
      <w:proofErr w:type="spellEnd"/>
      <w:r w:rsidRPr="00561530">
        <w:rPr>
          <w:rFonts w:ascii="Times New Roman" w:hAnsi="Times New Roman"/>
          <w:szCs w:val="24"/>
        </w:rPr>
        <w:t xml:space="preserve"> who achieved the primary endpoint compared to placebo (21.4% vs. 4.5%, respectively; p &lt;0.0001).</w:t>
      </w:r>
    </w:p>
    <w:p w14:paraId="23EDE177"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 xml:space="preserve">A summary of the overall efficacy results </w:t>
      </w:r>
      <w:proofErr w:type="gramStart"/>
      <w:r w:rsidRPr="00561530">
        <w:rPr>
          <w:rFonts w:ascii="Times New Roman" w:hAnsi="Times New Roman"/>
          <w:szCs w:val="24"/>
        </w:rPr>
        <w:t>are</w:t>
      </w:r>
      <w:proofErr w:type="gramEnd"/>
      <w:r w:rsidRPr="00561530">
        <w:rPr>
          <w:rFonts w:ascii="Times New Roman" w:hAnsi="Times New Roman"/>
          <w:szCs w:val="24"/>
        </w:rPr>
        <w:t xml:space="preserve"> presented below in </w:t>
      </w:r>
      <w:r w:rsidRPr="00561530">
        <w:rPr>
          <w:rFonts w:ascii="Times New Roman" w:hAnsi="Times New Roman"/>
          <w:b/>
          <w:szCs w:val="24"/>
        </w:rPr>
        <w:t>Table 10</w:t>
      </w:r>
      <w:r w:rsidRPr="00561530">
        <w:rPr>
          <w:rFonts w:ascii="Times New Roman" w:hAnsi="Times New Roman"/>
          <w:szCs w:val="24"/>
        </w:rPr>
        <w:t>.</w:t>
      </w:r>
    </w:p>
    <w:p w14:paraId="77EF51FE" w14:textId="77777777" w:rsidR="00561530" w:rsidRPr="00561530" w:rsidRDefault="00561530" w:rsidP="00F91303">
      <w:pPr>
        <w:pageBreakBefore/>
        <w:autoSpaceDE w:val="0"/>
        <w:autoSpaceDN w:val="0"/>
        <w:adjustRightInd w:val="0"/>
        <w:rPr>
          <w:rFonts w:ascii="Times New Roman" w:hAnsi="Times New Roman"/>
          <w:szCs w:val="24"/>
        </w:rPr>
      </w:pPr>
      <w:r w:rsidRPr="00561530">
        <w:rPr>
          <w:rFonts w:ascii="Times New Roman" w:hAnsi="Times New Roman"/>
          <w:b/>
          <w:szCs w:val="24"/>
        </w:rPr>
        <w:t>Table 10: Summary of Overall Efficacy Data – ACE-536-B-THAL-001</w:t>
      </w:r>
    </w:p>
    <w:tbl>
      <w:tblPr>
        <w:tblStyle w:val="TableGrid"/>
        <w:tblW w:w="0" w:type="auto"/>
        <w:tblLook w:val="04A0" w:firstRow="1" w:lastRow="0" w:firstColumn="1" w:lastColumn="0" w:noHBand="0" w:noVBand="1"/>
      </w:tblPr>
      <w:tblGrid>
        <w:gridCol w:w="4028"/>
        <w:gridCol w:w="2271"/>
        <w:gridCol w:w="2195"/>
      </w:tblGrid>
      <w:tr w:rsidR="00561530" w:rsidRPr="00561530" w14:paraId="706B140C" w14:textId="77777777" w:rsidTr="00561530">
        <w:tc>
          <w:tcPr>
            <w:tcW w:w="4495" w:type="dxa"/>
          </w:tcPr>
          <w:p w14:paraId="33298438" w14:textId="77777777" w:rsidR="00561530" w:rsidRPr="00561530" w:rsidRDefault="00561530" w:rsidP="00561530">
            <w:pPr>
              <w:autoSpaceDE w:val="0"/>
              <w:autoSpaceDN w:val="0"/>
              <w:adjustRightInd w:val="0"/>
              <w:rPr>
                <w:rFonts w:ascii="Times New Roman" w:hAnsi="Times New Roman"/>
                <w:szCs w:val="24"/>
              </w:rPr>
            </w:pPr>
          </w:p>
        </w:tc>
        <w:tc>
          <w:tcPr>
            <w:tcW w:w="2430" w:type="dxa"/>
          </w:tcPr>
          <w:p w14:paraId="5AC2376D"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szCs w:val="24"/>
              </w:rPr>
              <w:t>REBLOZYL</w:t>
            </w:r>
          </w:p>
          <w:p w14:paraId="67D53DB1"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szCs w:val="24"/>
              </w:rPr>
              <w:t>(N = 224)</w:t>
            </w:r>
          </w:p>
        </w:tc>
        <w:tc>
          <w:tcPr>
            <w:tcW w:w="2425" w:type="dxa"/>
          </w:tcPr>
          <w:p w14:paraId="7AAC9B1F"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szCs w:val="24"/>
              </w:rPr>
              <w:t>Placebo</w:t>
            </w:r>
          </w:p>
          <w:p w14:paraId="4AC7DCB6" w14:textId="77777777" w:rsidR="00561530" w:rsidRPr="00561530" w:rsidRDefault="00561530" w:rsidP="00561530">
            <w:pPr>
              <w:autoSpaceDE w:val="0"/>
              <w:autoSpaceDN w:val="0"/>
              <w:adjustRightInd w:val="0"/>
              <w:jc w:val="center"/>
              <w:rPr>
                <w:rFonts w:ascii="Times New Roman" w:hAnsi="Times New Roman"/>
                <w:b/>
                <w:szCs w:val="24"/>
              </w:rPr>
            </w:pPr>
            <w:r w:rsidRPr="00561530">
              <w:rPr>
                <w:rFonts w:ascii="Times New Roman" w:hAnsi="Times New Roman"/>
                <w:b/>
                <w:szCs w:val="24"/>
              </w:rPr>
              <w:t>(N = 112)</w:t>
            </w:r>
          </w:p>
        </w:tc>
      </w:tr>
      <w:tr w:rsidR="00561530" w:rsidRPr="00561530" w14:paraId="5C347D94" w14:textId="77777777" w:rsidTr="00561530">
        <w:tc>
          <w:tcPr>
            <w:tcW w:w="9350" w:type="dxa"/>
            <w:gridSpan w:val="3"/>
            <w:shd w:val="clear" w:color="auto" w:fill="D9D9D9" w:themeFill="background1" w:themeFillShade="D9"/>
          </w:tcPr>
          <w:p w14:paraId="56ECF9B5"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 33% reduction from baseline in RBC transfusion burden with a reduction of at least 2 units for 12 consecutive weeks</w:t>
            </w:r>
          </w:p>
        </w:tc>
      </w:tr>
      <w:tr w:rsidR="00561530" w:rsidRPr="00561530" w14:paraId="0C4A0298" w14:textId="77777777" w:rsidTr="00561530">
        <w:tc>
          <w:tcPr>
            <w:tcW w:w="4495" w:type="dxa"/>
          </w:tcPr>
          <w:p w14:paraId="64C27506"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Weeks 13-24</w:t>
            </w:r>
            <w:r w:rsidRPr="00561530">
              <w:rPr>
                <w:rFonts w:ascii="Times New Roman" w:hAnsi="Times New Roman"/>
                <w:szCs w:val="24"/>
              </w:rPr>
              <w:t xml:space="preserve"> – </w:t>
            </w:r>
            <w:r w:rsidRPr="00561530">
              <w:rPr>
                <w:rFonts w:ascii="Times New Roman" w:hAnsi="Times New Roman"/>
                <w:i/>
                <w:szCs w:val="24"/>
              </w:rPr>
              <w:t>Primary Endpoint</w:t>
            </w:r>
          </w:p>
        </w:tc>
        <w:tc>
          <w:tcPr>
            <w:tcW w:w="2430" w:type="dxa"/>
          </w:tcPr>
          <w:p w14:paraId="1310545A"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48 (21.4)</w:t>
            </w:r>
          </w:p>
        </w:tc>
        <w:tc>
          <w:tcPr>
            <w:tcW w:w="2425" w:type="dxa"/>
          </w:tcPr>
          <w:p w14:paraId="7480CD1F"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5 (4.5)</w:t>
            </w:r>
          </w:p>
        </w:tc>
      </w:tr>
      <w:tr w:rsidR="00561530" w:rsidRPr="00561530" w14:paraId="4EE3AA63" w14:textId="77777777" w:rsidTr="00561530">
        <w:tc>
          <w:tcPr>
            <w:tcW w:w="4495" w:type="dxa"/>
          </w:tcPr>
          <w:p w14:paraId="0E523D17" w14:textId="77777777" w:rsidR="00561530" w:rsidRPr="00561530" w:rsidRDefault="00561530" w:rsidP="00561530">
            <w:pPr>
              <w:autoSpaceDE w:val="0"/>
              <w:autoSpaceDN w:val="0"/>
              <w:adjustRightInd w:val="0"/>
              <w:ind w:left="360"/>
              <w:rPr>
                <w:rFonts w:ascii="Times New Roman" w:hAnsi="Times New Roman"/>
                <w:szCs w:val="24"/>
                <w:vertAlign w:val="superscript"/>
              </w:rPr>
            </w:pPr>
            <w:r w:rsidRPr="00561530">
              <w:rPr>
                <w:rFonts w:ascii="Times New Roman" w:hAnsi="Times New Roman"/>
                <w:szCs w:val="24"/>
              </w:rPr>
              <w:t xml:space="preserve">Risk difference (95% </w:t>
            </w:r>
            <w:proofErr w:type="gramStart"/>
            <w:r w:rsidRPr="00561530">
              <w:rPr>
                <w:rFonts w:ascii="Times New Roman" w:hAnsi="Times New Roman"/>
                <w:szCs w:val="24"/>
              </w:rPr>
              <w:t>CI)</w:t>
            </w:r>
            <w:r w:rsidRPr="00561530">
              <w:rPr>
                <w:rFonts w:ascii="Times New Roman" w:hAnsi="Times New Roman"/>
                <w:szCs w:val="24"/>
                <w:vertAlign w:val="superscript"/>
              </w:rPr>
              <w:t>a</w:t>
            </w:r>
            <w:proofErr w:type="gramEnd"/>
          </w:p>
        </w:tc>
        <w:tc>
          <w:tcPr>
            <w:tcW w:w="4855" w:type="dxa"/>
            <w:gridSpan w:val="2"/>
          </w:tcPr>
          <w:p w14:paraId="03FE53DB"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17.0 (10.4, 23.6)</w:t>
            </w:r>
          </w:p>
        </w:tc>
      </w:tr>
      <w:tr w:rsidR="00561530" w:rsidRPr="00561530" w14:paraId="2DE2BB51" w14:textId="77777777" w:rsidTr="00561530">
        <w:tc>
          <w:tcPr>
            <w:tcW w:w="4495" w:type="dxa"/>
          </w:tcPr>
          <w:p w14:paraId="0F0C69CA"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6A432B5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&lt;0.0001</w:t>
            </w:r>
          </w:p>
        </w:tc>
      </w:tr>
      <w:tr w:rsidR="00561530" w:rsidRPr="00561530" w14:paraId="16DB34D7" w14:textId="77777777" w:rsidTr="00561530">
        <w:tc>
          <w:tcPr>
            <w:tcW w:w="4495" w:type="dxa"/>
          </w:tcPr>
          <w:p w14:paraId="6E38DEED"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Weeks 37-48</w:t>
            </w:r>
          </w:p>
        </w:tc>
        <w:tc>
          <w:tcPr>
            <w:tcW w:w="2430" w:type="dxa"/>
          </w:tcPr>
          <w:p w14:paraId="16CD156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44 (19.6)</w:t>
            </w:r>
          </w:p>
        </w:tc>
        <w:tc>
          <w:tcPr>
            <w:tcW w:w="2425" w:type="dxa"/>
          </w:tcPr>
          <w:p w14:paraId="54BAA1BA"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4 (3.6)</w:t>
            </w:r>
          </w:p>
        </w:tc>
      </w:tr>
      <w:tr w:rsidR="00561530" w:rsidRPr="00561530" w14:paraId="0A3FBF65" w14:textId="77777777" w:rsidTr="00561530">
        <w:tc>
          <w:tcPr>
            <w:tcW w:w="4495" w:type="dxa"/>
          </w:tcPr>
          <w:p w14:paraId="7286CE88"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38AE1A9D"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16.1 (9.8, 22.4)</w:t>
            </w:r>
          </w:p>
        </w:tc>
      </w:tr>
      <w:tr w:rsidR="00561530" w:rsidRPr="00561530" w14:paraId="5B49E541" w14:textId="77777777" w:rsidTr="00561530">
        <w:tc>
          <w:tcPr>
            <w:tcW w:w="4495" w:type="dxa"/>
          </w:tcPr>
          <w:p w14:paraId="4A9E4EAC"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363CF32D"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&lt;0.0001</w:t>
            </w:r>
          </w:p>
        </w:tc>
      </w:tr>
      <w:tr w:rsidR="00561530" w:rsidRPr="00561530" w14:paraId="7753F9C5" w14:textId="77777777" w:rsidTr="00561530">
        <w:tc>
          <w:tcPr>
            <w:tcW w:w="4495" w:type="dxa"/>
          </w:tcPr>
          <w:p w14:paraId="3CECDBA2" w14:textId="77777777" w:rsidR="00561530" w:rsidRPr="00561530" w:rsidRDefault="00561530" w:rsidP="00561530">
            <w:pPr>
              <w:autoSpaceDE w:val="0"/>
              <w:autoSpaceDN w:val="0"/>
              <w:adjustRightInd w:val="0"/>
              <w:rPr>
                <w:rFonts w:ascii="Times New Roman" w:hAnsi="Times New Roman"/>
                <w:szCs w:val="24"/>
                <w:vertAlign w:val="superscript"/>
              </w:rPr>
            </w:pPr>
            <w:r w:rsidRPr="00561530">
              <w:rPr>
                <w:rFonts w:ascii="Times New Roman" w:hAnsi="Times New Roman"/>
                <w:b/>
                <w:szCs w:val="24"/>
              </w:rPr>
              <w:t xml:space="preserve">Any consecutive 12 </w:t>
            </w:r>
            <w:proofErr w:type="spellStart"/>
            <w:r w:rsidRPr="00561530">
              <w:rPr>
                <w:rFonts w:ascii="Times New Roman" w:hAnsi="Times New Roman"/>
                <w:b/>
                <w:szCs w:val="24"/>
              </w:rPr>
              <w:t>weeks</w:t>
            </w:r>
            <w:r w:rsidRPr="00561530">
              <w:rPr>
                <w:rFonts w:ascii="Times New Roman" w:hAnsi="Times New Roman"/>
                <w:b/>
                <w:szCs w:val="24"/>
                <w:vertAlign w:val="superscript"/>
              </w:rPr>
              <w:t>c</w:t>
            </w:r>
            <w:proofErr w:type="spellEnd"/>
          </w:p>
        </w:tc>
        <w:tc>
          <w:tcPr>
            <w:tcW w:w="2430" w:type="dxa"/>
          </w:tcPr>
          <w:p w14:paraId="65B2BAB4"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158 (70.5)</w:t>
            </w:r>
          </w:p>
        </w:tc>
        <w:tc>
          <w:tcPr>
            <w:tcW w:w="2425" w:type="dxa"/>
          </w:tcPr>
          <w:p w14:paraId="14B177F7"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33 (29.5)</w:t>
            </w:r>
          </w:p>
        </w:tc>
      </w:tr>
      <w:tr w:rsidR="00561530" w:rsidRPr="00561530" w14:paraId="2AD7E310" w14:textId="77777777" w:rsidTr="00561530">
        <w:tc>
          <w:tcPr>
            <w:tcW w:w="4495" w:type="dxa"/>
          </w:tcPr>
          <w:p w14:paraId="6BA1FFDD"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40E1A085"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41.1 (30.7, 51.4)</w:t>
            </w:r>
          </w:p>
        </w:tc>
      </w:tr>
      <w:tr w:rsidR="00561530" w:rsidRPr="00561530" w14:paraId="3276B698" w14:textId="77777777" w:rsidTr="00561530">
        <w:tc>
          <w:tcPr>
            <w:tcW w:w="4495" w:type="dxa"/>
          </w:tcPr>
          <w:p w14:paraId="372EA100"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12E33BB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&lt;0.0001</w:t>
            </w:r>
          </w:p>
        </w:tc>
      </w:tr>
      <w:tr w:rsidR="00561530" w:rsidRPr="00561530" w14:paraId="0A20A1EB" w14:textId="77777777" w:rsidTr="00561530">
        <w:tc>
          <w:tcPr>
            <w:tcW w:w="4495" w:type="dxa"/>
          </w:tcPr>
          <w:p w14:paraId="0F47BA44" w14:textId="77777777" w:rsidR="00561530" w:rsidRPr="00561530" w:rsidRDefault="00561530" w:rsidP="00561530">
            <w:pPr>
              <w:autoSpaceDE w:val="0"/>
              <w:autoSpaceDN w:val="0"/>
              <w:adjustRightInd w:val="0"/>
              <w:rPr>
                <w:rFonts w:ascii="Times New Roman" w:hAnsi="Times New Roman"/>
                <w:szCs w:val="24"/>
                <w:vertAlign w:val="superscript"/>
              </w:rPr>
            </w:pPr>
            <w:r w:rsidRPr="00561530">
              <w:rPr>
                <w:rFonts w:ascii="Times New Roman" w:hAnsi="Times New Roman"/>
                <w:b/>
                <w:szCs w:val="24"/>
              </w:rPr>
              <w:t xml:space="preserve">Any consecutive 24 </w:t>
            </w:r>
            <w:proofErr w:type="spellStart"/>
            <w:r w:rsidRPr="00561530">
              <w:rPr>
                <w:rFonts w:ascii="Times New Roman" w:hAnsi="Times New Roman"/>
                <w:b/>
                <w:szCs w:val="24"/>
              </w:rPr>
              <w:t>weeks</w:t>
            </w:r>
            <w:r w:rsidRPr="00561530">
              <w:rPr>
                <w:rFonts w:ascii="Times New Roman" w:hAnsi="Times New Roman"/>
                <w:b/>
                <w:szCs w:val="24"/>
                <w:vertAlign w:val="superscript"/>
              </w:rPr>
              <w:t>c</w:t>
            </w:r>
            <w:proofErr w:type="spellEnd"/>
          </w:p>
        </w:tc>
        <w:tc>
          <w:tcPr>
            <w:tcW w:w="2430" w:type="dxa"/>
          </w:tcPr>
          <w:p w14:paraId="4DC17C6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92 (41.1)</w:t>
            </w:r>
          </w:p>
        </w:tc>
        <w:tc>
          <w:tcPr>
            <w:tcW w:w="2425" w:type="dxa"/>
          </w:tcPr>
          <w:p w14:paraId="12CE29A7"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 (2.7)</w:t>
            </w:r>
          </w:p>
        </w:tc>
      </w:tr>
      <w:tr w:rsidR="00561530" w:rsidRPr="00561530" w14:paraId="66ABD6D3" w14:textId="77777777" w:rsidTr="00561530">
        <w:tc>
          <w:tcPr>
            <w:tcW w:w="4495" w:type="dxa"/>
          </w:tcPr>
          <w:p w14:paraId="20F07B55"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44B81FE1"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38.4 (31.3, 45.5)</w:t>
            </w:r>
          </w:p>
        </w:tc>
      </w:tr>
      <w:tr w:rsidR="00561530" w:rsidRPr="00561530" w14:paraId="1E896893" w14:textId="77777777" w:rsidTr="00561530">
        <w:tc>
          <w:tcPr>
            <w:tcW w:w="4495" w:type="dxa"/>
          </w:tcPr>
          <w:p w14:paraId="695D3F8E"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395C21CC" w14:textId="77777777" w:rsidR="00561530" w:rsidRPr="00561530" w:rsidRDefault="00561530" w:rsidP="00561530">
            <w:pPr>
              <w:pStyle w:val="C-BodyText"/>
              <w:spacing w:before="0" w:after="0" w:line="240" w:lineRule="auto"/>
              <w:jc w:val="center"/>
              <w:rPr>
                <w:szCs w:val="24"/>
              </w:rPr>
            </w:pPr>
            <w:r w:rsidRPr="00561530">
              <w:rPr>
                <w:szCs w:val="24"/>
              </w:rPr>
              <w:t>&lt; 0.0001</w:t>
            </w:r>
          </w:p>
        </w:tc>
      </w:tr>
      <w:tr w:rsidR="00561530" w:rsidRPr="00561530" w14:paraId="27204937" w14:textId="77777777" w:rsidTr="00561530">
        <w:tc>
          <w:tcPr>
            <w:tcW w:w="9350" w:type="dxa"/>
            <w:gridSpan w:val="3"/>
            <w:shd w:val="clear" w:color="auto" w:fill="D9D9D9" w:themeFill="background1" w:themeFillShade="D9"/>
          </w:tcPr>
          <w:p w14:paraId="187DA499"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 50% reduction from baseline in RBC transfusion burden with a reduction of at least 2 units for 12 consecutive weeks</w:t>
            </w:r>
          </w:p>
        </w:tc>
      </w:tr>
      <w:tr w:rsidR="00561530" w:rsidRPr="00561530" w14:paraId="0F5AF735" w14:textId="77777777" w:rsidTr="00561530">
        <w:tc>
          <w:tcPr>
            <w:tcW w:w="4495" w:type="dxa"/>
          </w:tcPr>
          <w:p w14:paraId="1CA58F56"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Weeks 13-24</w:t>
            </w:r>
          </w:p>
        </w:tc>
        <w:tc>
          <w:tcPr>
            <w:tcW w:w="2430" w:type="dxa"/>
          </w:tcPr>
          <w:p w14:paraId="16788D3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17 (7.6)</w:t>
            </w:r>
          </w:p>
        </w:tc>
        <w:tc>
          <w:tcPr>
            <w:tcW w:w="2425" w:type="dxa"/>
          </w:tcPr>
          <w:p w14:paraId="29CF4370"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 (1.8)</w:t>
            </w:r>
          </w:p>
        </w:tc>
      </w:tr>
      <w:tr w:rsidR="00561530" w:rsidRPr="00561530" w14:paraId="4DECDCF3" w14:textId="77777777" w:rsidTr="00561530">
        <w:tc>
          <w:tcPr>
            <w:tcW w:w="4495" w:type="dxa"/>
          </w:tcPr>
          <w:p w14:paraId="2FCA65BA"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02AD5043"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5.8 (1.6, 10.1)</w:t>
            </w:r>
          </w:p>
        </w:tc>
      </w:tr>
      <w:tr w:rsidR="00561530" w:rsidRPr="00561530" w14:paraId="698549F0" w14:textId="77777777" w:rsidTr="00561530">
        <w:tc>
          <w:tcPr>
            <w:tcW w:w="4495" w:type="dxa"/>
          </w:tcPr>
          <w:p w14:paraId="12E5427B" w14:textId="77777777" w:rsidR="00561530" w:rsidRPr="00561530" w:rsidRDefault="00561530" w:rsidP="00561530">
            <w:pPr>
              <w:autoSpaceDE w:val="0"/>
              <w:autoSpaceDN w:val="0"/>
              <w:adjustRightInd w:val="0"/>
              <w:ind w:left="360"/>
              <w:rPr>
                <w:rFonts w:ascii="Times New Roman" w:hAnsi="Times New Roman"/>
                <w:szCs w:val="24"/>
                <w:vertAlign w:val="superscript"/>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003417E5"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0.0303</w:t>
            </w:r>
          </w:p>
        </w:tc>
      </w:tr>
      <w:tr w:rsidR="00561530" w:rsidRPr="00561530" w14:paraId="7530A873" w14:textId="77777777" w:rsidTr="00561530">
        <w:tc>
          <w:tcPr>
            <w:tcW w:w="4495" w:type="dxa"/>
          </w:tcPr>
          <w:p w14:paraId="39725A4D"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b/>
                <w:szCs w:val="24"/>
              </w:rPr>
              <w:t>Weeks 37-48</w:t>
            </w:r>
          </w:p>
        </w:tc>
        <w:tc>
          <w:tcPr>
            <w:tcW w:w="2430" w:type="dxa"/>
          </w:tcPr>
          <w:p w14:paraId="72FF033A"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23 (10.3)</w:t>
            </w:r>
          </w:p>
        </w:tc>
        <w:tc>
          <w:tcPr>
            <w:tcW w:w="2425" w:type="dxa"/>
          </w:tcPr>
          <w:p w14:paraId="3C2BBE4F"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 (0.9)</w:t>
            </w:r>
          </w:p>
        </w:tc>
      </w:tr>
      <w:tr w:rsidR="00561530" w:rsidRPr="00561530" w14:paraId="2E7575EB" w14:textId="77777777" w:rsidTr="00561530">
        <w:tc>
          <w:tcPr>
            <w:tcW w:w="4495" w:type="dxa"/>
          </w:tcPr>
          <w:p w14:paraId="66BB361E"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3717FDE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9.4 (5.0, 13.7)</w:t>
            </w:r>
          </w:p>
        </w:tc>
      </w:tr>
      <w:tr w:rsidR="00561530" w:rsidRPr="00561530" w14:paraId="299B8D6D" w14:textId="77777777" w:rsidTr="00561530">
        <w:tc>
          <w:tcPr>
            <w:tcW w:w="4495" w:type="dxa"/>
          </w:tcPr>
          <w:p w14:paraId="6B3985C5"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18CDC8C3"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0.0017</w:t>
            </w:r>
          </w:p>
        </w:tc>
      </w:tr>
      <w:tr w:rsidR="00561530" w:rsidRPr="00561530" w14:paraId="19D795E2" w14:textId="77777777" w:rsidTr="00561530">
        <w:tc>
          <w:tcPr>
            <w:tcW w:w="4495" w:type="dxa"/>
          </w:tcPr>
          <w:p w14:paraId="4F8D44FF" w14:textId="77777777" w:rsidR="00561530" w:rsidRPr="00561530" w:rsidRDefault="00561530" w:rsidP="00561530">
            <w:pPr>
              <w:autoSpaceDE w:val="0"/>
              <w:autoSpaceDN w:val="0"/>
              <w:adjustRightInd w:val="0"/>
              <w:rPr>
                <w:rFonts w:ascii="Times New Roman" w:hAnsi="Times New Roman"/>
                <w:b/>
                <w:szCs w:val="24"/>
                <w:vertAlign w:val="superscript"/>
              </w:rPr>
            </w:pPr>
            <w:r w:rsidRPr="00561530">
              <w:rPr>
                <w:rFonts w:ascii="Times New Roman" w:hAnsi="Times New Roman"/>
                <w:b/>
                <w:szCs w:val="24"/>
              </w:rPr>
              <w:t xml:space="preserve">Any consecutive 12 </w:t>
            </w:r>
            <w:proofErr w:type="spellStart"/>
            <w:r w:rsidRPr="00561530">
              <w:rPr>
                <w:rFonts w:ascii="Times New Roman" w:hAnsi="Times New Roman"/>
                <w:b/>
                <w:szCs w:val="24"/>
              </w:rPr>
              <w:t>weeks</w:t>
            </w:r>
            <w:r w:rsidRPr="00561530">
              <w:rPr>
                <w:rFonts w:ascii="Times New Roman" w:hAnsi="Times New Roman"/>
                <w:b/>
                <w:szCs w:val="24"/>
                <w:vertAlign w:val="superscript"/>
              </w:rPr>
              <w:t>c</w:t>
            </w:r>
            <w:proofErr w:type="spellEnd"/>
          </w:p>
        </w:tc>
        <w:tc>
          <w:tcPr>
            <w:tcW w:w="2430" w:type="dxa"/>
          </w:tcPr>
          <w:p w14:paraId="799CBF87"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90 (40.2)</w:t>
            </w:r>
          </w:p>
        </w:tc>
        <w:tc>
          <w:tcPr>
            <w:tcW w:w="2425" w:type="dxa"/>
          </w:tcPr>
          <w:p w14:paraId="0D6C968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7 (6.3)</w:t>
            </w:r>
          </w:p>
        </w:tc>
      </w:tr>
      <w:tr w:rsidR="00561530" w:rsidRPr="00561530" w14:paraId="6E563233" w14:textId="77777777" w:rsidTr="00561530">
        <w:tc>
          <w:tcPr>
            <w:tcW w:w="4495" w:type="dxa"/>
          </w:tcPr>
          <w:p w14:paraId="7E9DB499"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032645F3"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33.9 (26.1, 41.8)</w:t>
            </w:r>
          </w:p>
        </w:tc>
      </w:tr>
      <w:tr w:rsidR="00561530" w:rsidRPr="00561530" w14:paraId="02A1AEF2" w14:textId="77777777" w:rsidTr="00561530">
        <w:tc>
          <w:tcPr>
            <w:tcW w:w="4495" w:type="dxa"/>
          </w:tcPr>
          <w:p w14:paraId="7BD0ADD6"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0FA9DD76"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&lt; 0.0001</w:t>
            </w:r>
          </w:p>
        </w:tc>
      </w:tr>
      <w:tr w:rsidR="00561530" w:rsidRPr="00561530" w14:paraId="6ADC739F" w14:textId="77777777" w:rsidTr="00561530">
        <w:tc>
          <w:tcPr>
            <w:tcW w:w="4495" w:type="dxa"/>
          </w:tcPr>
          <w:p w14:paraId="0FC11A70" w14:textId="77777777" w:rsidR="00561530" w:rsidRPr="00561530" w:rsidRDefault="00561530" w:rsidP="00561530">
            <w:pPr>
              <w:autoSpaceDE w:val="0"/>
              <w:autoSpaceDN w:val="0"/>
              <w:adjustRightInd w:val="0"/>
              <w:rPr>
                <w:rFonts w:ascii="Times New Roman" w:hAnsi="Times New Roman"/>
                <w:szCs w:val="24"/>
                <w:vertAlign w:val="superscript"/>
              </w:rPr>
            </w:pPr>
            <w:r w:rsidRPr="00561530">
              <w:rPr>
                <w:rFonts w:ascii="Times New Roman" w:hAnsi="Times New Roman"/>
                <w:b/>
                <w:szCs w:val="24"/>
              </w:rPr>
              <w:t xml:space="preserve">Any consecutive 24 </w:t>
            </w:r>
            <w:proofErr w:type="spellStart"/>
            <w:r w:rsidRPr="00561530">
              <w:rPr>
                <w:rFonts w:ascii="Times New Roman" w:hAnsi="Times New Roman"/>
                <w:b/>
                <w:szCs w:val="24"/>
              </w:rPr>
              <w:t>weeks</w:t>
            </w:r>
            <w:r w:rsidRPr="00561530">
              <w:rPr>
                <w:rFonts w:ascii="Times New Roman" w:hAnsi="Times New Roman"/>
                <w:b/>
                <w:szCs w:val="24"/>
                <w:vertAlign w:val="superscript"/>
              </w:rPr>
              <w:t>c</w:t>
            </w:r>
            <w:proofErr w:type="spellEnd"/>
          </w:p>
        </w:tc>
        <w:tc>
          <w:tcPr>
            <w:tcW w:w="2430" w:type="dxa"/>
          </w:tcPr>
          <w:p w14:paraId="7E1FE7B8"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37 (16.5)</w:t>
            </w:r>
          </w:p>
        </w:tc>
        <w:tc>
          <w:tcPr>
            <w:tcW w:w="2425" w:type="dxa"/>
          </w:tcPr>
          <w:p w14:paraId="2909750E"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 (0.9)</w:t>
            </w:r>
          </w:p>
        </w:tc>
      </w:tr>
      <w:tr w:rsidR="00561530" w:rsidRPr="00561530" w14:paraId="42382629" w14:textId="77777777" w:rsidTr="00561530">
        <w:tc>
          <w:tcPr>
            <w:tcW w:w="4495" w:type="dxa"/>
          </w:tcPr>
          <w:p w14:paraId="264C9D4A"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Risk difference (95% CI)</w:t>
            </w:r>
            <w:r w:rsidRPr="00561530">
              <w:rPr>
                <w:rFonts w:ascii="Times New Roman" w:hAnsi="Times New Roman"/>
                <w:szCs w:val="24"/>
                <w:vertAlign w:val="superscript"/>
              </w:rPr>
              <w:t xml:space="preserve"> a</w:t>
            </w:r>
          </w:p>
        </w:tc>
        <w:tc>
          <w:tcPr>
            <w:tcW w:w="4855" w:type="dxa"/>
            <w:gridSpan w:val="2"/>
          </w:tcPr>
          <w:p w14:paraId="643AE38B"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15.6 (10.5, 20.8)</w:t>
            </w:r>
          </w:p>
        </w:tc>
      </w:tr>
      <w:tr w:rsidR="00561530" w:rsidRPr="00561530" w14:paraId="709A9882" w14:textId="77777777" w:rsidTr="00561530">
        <w:tc>
          <w:tcPr>
            <w:tcW w:w="4495" w:type="dxa"/>
          </w:tcPr>
          <w:p w14:paraId="7F1CC47D" w14:textId="77777777" w:rsidR="00561530" w:rsidRPr="00561530" w:rsidRDefault="00561530" w:rsidP="00561530">
            <w:pPr>
              <w:autoSpaceDE w:val="0"/>
              <w:autoSpaceDN w:val="0"/>
              <w:adjustRightInd w:val="0"/>
              <w:ind w:left="360"/>
              <w:rPr>
                <w:rFonts w:ascii="Times New Roman" w:hAnsi="Times New Roman"/>
                <w:szCs w:val="24"/>
              </w:rPr>
            </w:pPr>
            <w:r w:rsidRPr="00561530">
              <w:rPr>
                <w:rFonts w:ascii="Times New Roman" w:hAnsi="Times New Roman"/>
                <w:szCs w:val="24"/>
              </w:rPr>
              <w:t>p-</w:t>
            </w:r>
            <w:proofErr w:type="spellStart"/>
            <w:r w:rsidRPr="00561530">
              <w:rPr>
                <w:rFonts w:ascii="Times New Roman" w:hAnsi="Times New Roman"/>
                <w:szCs w:val="24"/>
              </w:rPr>
              <w:t>value</w:t>
            </w:r>
            <w:r w:rsidRPr="00561530">
              <w:rPr>
                <w:rFonts w:ascii="Times New Roman" w:hAnsi="Times New Roman"/>
                <w:szCs w:val="24"/>
                <w:vertAlign w:val="superscript"/>
              </w:rPr>
              <w:t>b</w:t>
            </w:r>
            <w:proofErr w:type="spellEnd"/>
          </w:p>
        </w:tc>
        <w:tc>
          <w:tcPr>
            <w:tcW w:w="4855" w:type="dxa"/>
            <w:gridSpan w:val="2"/>
          </w:tcPr>
          <w:p w14:paraId="0DAAE833" w14:textId="77777777" w:rsidR="00561530" w:rsidRPr="00561530" w:rsidRDefault="00561530" w:rsidP="00561530">
            <w:pPr>
              <w:autoSpaceDE w:val="0"/>
              <w:autoSpaceDN w:val="0"/>
              <w:adjustRightInd w:val="0"/>
              <w:jc w:val="center"/>
              <w:rPr>
                <w:rFonts w:ascii="Times New Roman" w:hAnsi="Times New Roman"/>
                <w:szCs w:val="24"/>
              </w:rPr>
            </w:pPr>
            <w:r w:rsidRPr="00561530">
              <w:rPr>
                <w:rFonts w:ascii="Times New Roman" w:hAnsi="Times New Roman"/>
                <w:szCs w:val="24"/>
              </w:rPr>
              <w:t>&lt; 0.0001</w:t>
            </w:r>
          </w:p>
        </w:tc>
      </w:tr>
    </w:tbl>
    <w:p w14:paraId="75D9A4F7" w14:textId="77777777" w:rsidR="00561530" w:rsidRPr="00561530" w:rsidRDefault="00561530" w:rsidP="00561530">
      <w:pPr>
        <w:pStyle w:val="NoSpacing"/>
        <w:rPr>
          <w:rFonts w:cs="Times New Roman"/>
          <w:sz w:val="18"/>
          <w:szCs w:val="18"/>
        </w:rPr>
      </w:pPr>
      <w:r w:rsidRPr="00561530">
        <w:rPr>
          <w:rFonts w:cs="Times New Roman"/>
          <w:sz w:val="18"/>
          <w:szCs w:val="18"/>
        </w:rPr>
        <w:t>CI =confidence interval</w:t>
      </w:r>
    </w:p>
    <w:p w14:paraId="399A8DBE"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a</w:t>
      </w:r>
      <w:r w:rsidRPr="00561530">
        <w:rPr>
          <w:rFonts w:cs="Times New Roman"/>
          <w:sz w:val="18"/>
          <w:szCs w:val="18"/>
        </w:rPr>
        <w:t xml:space="preserve"> Difference in proportions (</w:t>
      </w:r>
      <w:proofErr w:type="spellStart"/>
      <w:r w:rsidRPr="00561530">
        <w:rPr>
          <w:rFonts w:cs="Times New Roman"/>
          <w:sz w:val="18"/>
          <w:szCs w:val="18"/>
        </w:rPr>
        <w:t>luspatercept</w:t>
      </w:r>
      <w:proofErr w:type="spellEnd"/>
      <w:r w:rsidRPr="00561530">
        <w:rPr>
          <w:rFonts w:cs="Times New Roman"/>
          <w:sz w:val="18"/>
          <w:szCs w:val="18"/>
        </w:rPr>
        <w:t xml:space="preserve"> + BSC – placebo + BSC) and 95% CIs estimated from the unconditional exact test.</w:t>
      </w:r>
    </w:p>
    <w:p w14:paraId="793C8F28"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b</w:t>
      </w:r>
      <w:r w:rsidRPr="00561530">
        <w:rPr>
          <w:rFonts w:cs="Times New Roman"/>
          <w:sz w:val="18"/>
          <w:szCs w:val="18"/>
        </w:rPr>
        <w:t xml:space="preserve"> P-value from the CMH test stratified by the geographical region.</w:t>
      </w:r>
    </w:p>
    <w:p w14:paraId="234CE945" w14:textId="77777777" w:rsidR="00561530" w:rsidRPr="00561530" w:rsidRDefault="00561530" w:rsidP="00561530">
      <w:pPr>
        <w:pStyle w:val="NoSpacing"/>
        <w:rPr>
          <w:rFonts w:cs="Times New Roman"/>
          <w:sz w:val="18"/>
          <w:szCs w:val="18"/>
        </w:rPr>
      </w:pPr>
      <w:r w:rsidRPr="00561530">
        <w:rPr>
          <w:rFonts w:cs="Times New Roman"/>
          <w:sz w:val="18"/>
          <w:szCs w:val="18"/>
          <w:vertAlign w:val="superscript"/>
        </w:rPr>
        <w:t>c</w:t>
      </w:r>
      <w:r w:rsidRPr="00561530">
        <w:rPr>
          <w:rFonts w:cs="Times New Roman"/>
          <w:sz w:val="18"/>
          <w:szCs w:val="18"/>
        </w:rPr>
        <w:t xml:space="preserve"> Response assessed over any consecutive 12- or 24-week interval showing the proportion of patients achieving treatment benefit at any time.</w:t>
      </w:r>
    </w:p>
    <w:p w14:paraId="35EB2795" w14:textId="77777777" w:rsidR="00561530" w:rsidRPr="00561530" w:rsidRDefault="00561530" w:rsidP="00561530">
      <w:pPr>
        <w:rPr>
          <w:rFonts w:ascii="Times New Roman" w:hAnsi="Times New Roman"/>
        </w:rPr>
      </w:pPr>
      <w:r w:rsidRPr="00561530">
        <w:rPr>
          <w:rFonts w:ascii="Times New Roman" w:hAnsi="Times New Roman"/>
        </w:rPr>
        <w:t>More than 65% of the REBLOZYL responders who achieved at least a 33% reduction in transfusion burden during any consecutive 12-week interval achieved 2 or more episodes of response within the treatment exposure period of 64 weeks.</w:t>
      </w:r>
    </w:p>
    <w:p w14:paraId="195A4125" w14:textId="77777777" w:rsidR="00561530" w:rsidRPr="00561530" w:rsidRDefault="00561530" w:rsidP="00561530">
      <w:pPr>
        <w:rPr>
          <w:rFonts w:ascii="Times New Roman" w:hAnsi="Times New Roman"/>
        </w:rPr>
      </w:pPr>
      <w:bookmarkStart w:id="116" w:name="_Hlk1123268"/>
      <w:r w:rsidRPr="00561530">
        <w:rPr>
          <w:rFonts w:ascii="Times New Roman" w:hAnsi="Times New Roman"/>
        </w:rPr>
        <w:t>A treatment effect in favour of REBLOZYL over placebo was observed in all subgroups analysed, including patients with a severe disease condition, such as patients with the β0/β0 gene mutation or with a high transfusion burden (&gt; 6 units/12 week) at baseline.</w:t>
      </w:r>
    </w:p>
    <w:bookmarkEnd w:id="116"/>
    <w:p w14:paraId="3681DCE4" w14:textId="77777777" w:rsidR="00561530" w:rsidRPr="00561530" w:rsidRDefault="00561530" w:rsidP="00561530">
      <w:pPr>
        <w:autoSpaceDE w:val="0"/>
        <w:autoSpaceDN w:val="0"/>
        <w:adjustRightInd w:val="0"/>
        <w:rPr>
          <w:rFonts w:ascii="Times New Roman" w:hAnsi="Times New Roman"/>
        </w:rPr>
      </w:pPr>
      <w:r w:rsidRPr="00561530">
        <w:rPr>
          <w:rFonts w:ascii="Times New Roman" w:hAnsi="Times New Roman"/>
          <w:lang w:eastAsia="ja-JP"/>
        </w:rPr>
        <w:t xml:space="preserve">A reduction in mean serum ferritin levels was observed from baseline in the </w:t>
      </w:r>
      <w:proofErr w:type="spellStart"/>
      <w:r w:rsidRPr="00561530">
        <w:rPr>
          <w:rFonts w:ascii="Times New Roman" w:hAnsi="Times New Roman"/>
          <w:lang w:eastAsia="ja-JP"/>
        </w:rPr>
        <w:t>luspatercept</w:t>
      </w:r>
      <w:proofErr w:type="spellEnd"/>
      <w:r w:rsidRPr="00561530">
        <w:rPr>
          <w:rFonts w:ascii="Times New Roman" w:hAnsi="Times New Roman"/>
          <w:lang w:eastAsia="ja-JP"/>
        </w:rPr>
        <w:t xml:space="preserve"> arm compared to an increase in the placebo arm at Week 48 (</w:t>
      </w:r>
      <w:r w:rsidRPr="00561530">
        <w:rPr>
          <w:rFonts w:ascii="Times New Roman" w:hAnsi="Times New Roman"/>
          <w:lang w:eastAsia="ja-JP"/>
        </w:rPr>
        <w:noBreakHyphen/>
        <w:t>248.02 </w:t>
      </w:r>
      <w:proofErr w:type="spellStart"/>
      <w:r w:rsidRPr="00561530">
        <w:rPr>
          <w:rFonts w:ascii="Times New Roman" w:hAnsi="Times New Roman"/>
        </w:rPr>
        <w:t>μ</w:t>
      </w:r>
      <w:r w:rsidRPr="00561530">
        <w:rPr>
          <w:rFonts w:ascii="Times New Roman" w:hAnsi="Times New Roman"/>
          <w:lang w:eastAsia="ja-JP"/>
        </w:rPr>
        <w:t>g</w:t>
      </w:r>
      <w:proofErr w:type="spellEnd"/>
      <w:r w:rsidRPr="00561530">
        <w:rPr>
          <w:rFonts w:ascii="Times New Roman" w:hAnsi="Times New Roman"/>
          <w:lang w:eastAsia="ja-JP"/>
        </w:rPr>
        <w:t xml:space="preserve">/L </w:t>
      </w:r>
      <w:r w:rsidRPr="00561530">
        <w:rPr>
          <w:rFonts w:ascii="Times New Roman" w:hAnsi="Times New Roman"/>
          <w:i/>
          <w:lang w:eastAsia="ja-JP"/>
        </w:rPr>
        <w:t>versus</w:t>
      </w:r>
      <w:r w:rsidRPr="00561530">
        <w:rPr>
          <w:rFonts w:ascii="Times New Roman" w:hAnsi="Times New Roman"/>
          <w:lang w:eastAsia="ja-JP"/>
        </w:rPr>
        <w:t xml:space="preserve"> +106.62</w:t>
      </w:r>
      <w:r w:rsidRPr="00561530">
        <w:rPr>
          <w:rFonts w:ascii="Times New Roman" w:hAnsi="Times New Roman"/>
        </w:rPr>
        <w:t> </w:t>
      </w:r>
      <w:proofErr w:type="spellStart"/>
      <w:r w:rsidRPr="00561530">
        <w:rPr>
          <w:rFonts w:ascii="Times New Roman" w:hAnsi="Times New Roman"/>
        </w:rPr>
        <w:t>μg</w:t>
      </w:r>
      <w:proofErr w:type="spellEnd"/>
      <w:r w:rsidRPr="00561530">
        <w:rPr>
          <w:rFonts w:ascii="Times New Roman" w:hAnsi="Times New Roman"/>
        </w:rPr>
        <w:t xml:space="preserve">/L p=0.0024) which resulted in a least square mean treatment difference of </w:t>
      </w:r>
      <w:r w:rsidRPr="00561530">
        <w:rPr>
          <w:rFonts w:ascii="Times New Roman" w:hAnsi="Times New Roman"/>
        </w:rPr>
        <w:noBreakHyphen/>
        <w:t xml:space="preserve">347.8 µg/L (95% CI: </w:t>
      </w:r>
      <w:r w:rsidRPr="00561530">
        <w:rPr>
          <w:rFonts w:ascii="Times New Roman" w:hAnsi="Times New Roman"/>
        </w:rPr>
        <w:noBreakHyphen/>
        <w:t xml:space="preserve">516.95, </w:t>
      </w:r>
      <w:r w:rsidRPr="00561530">
        <w:rPr>
          <w:rFonts w:ascii="Times New Roman" w:hAnsi="Times New Roman"/>
        </w:rPr>
        <w:noBreakHyphen/>
        <w:t xml:space="preserve">178.65). </w:t>
      </w:r>
    </w:p>
    <w:p w14:paraId="2F03F65D"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 xml:space="preserve">The onset of action was rapid with the median time from first dose to first erythroid response ranging from 12 to 25 days in the </w:t>
      </w:r>
      <w:proofErr w:type="spellStart"/>
      <w:r w:rsidRPr="00561530">
        <w:rPr>
          <w:rFonts w:ascii="Times New Roman" w:hAnsi="Times New Roman"/>
          <w:szCs w:val="24"/>
        </w:rPr>
        <w:t>luspatercept+BSC</w:t>
      </w:r>
      <w:proofErr w:type="spellEnd"/>
      <w:r w:rsidRPr="00561530">
        <w:rPr>
          <w:rFonts w:ascii="Times New Roman" w:hAnsi="Times New Roman"/>
          <w:szCs w:val="24"/>
        </w:rPr>
        <w:t xml:space="preserve"> group compared to 43-107 days in the placebo group.</w:t>
      </w:r>
    </w:p>
    <w:p w14:paraId="460F17F7" w14:textId="77777777" w:rsidR="00561530" w:rsidRPr="00561530" w:rsidRDefault="00561530" w:rsidP="00561530">
      <w:pPr>
        <w:autoSpaceDE w:val="0"/>
        <w:autoSpaceDN w:val="0"/>
        <w:adjustRightInd w:val="0"/>
        <w:rPr>
          <w:rFonts w:ascii="Times New Roman" w:hAnsi="Times New Roman"/>
          <w:szCs w:val="24"/>
        </w:rPr>
      </w:pPr>
      <w:r w:rsidRPr="00561530">
        <w:rPr>
          <w:rFonts w:ascii="Times New Roman" w:hAnsi="Times New Roman"/>
          <w:szCs w:val="24"/>
        </w:rPr>
        <w:t>No clinically meaningful change in liver iron concentration was observed in β-thalassemia patients treated with REBLOZYL plus best supportive care (BSC) compared to patients treated with placebo plus BSC at 48 weeks.</w:t>
      </w:r>
    </w:p>
    <w:p w14:paraId="4C1731D3" w14:textId="02AF47FC" w:rsidR="00561530" w:rsidRPr="006372FE" w:rsidRDefault="00561530" w:rsidP="00561530">
      <w:pPr>
        <w:pStyle w:val="Heading2"/>
        <w:rPr>
          <w:rFonts w:ascii="Times New Roman" w:hAnsi="Times New Roman"/>
          <w:sz w:val="26"/>
        </w:rPr>
      </w:pPr>
      <w:bookmarkStart w:id="117" w:name="_Toc102045220"/>
      <w:r w:rsidRPr="006372FE">
        <w:rPr>
          <w:rFonts w:ascii="Times New Roman" w:hAnsi="Times New Roman"/>
          <w:sz w:val="26"/>
        </w:rPr>
        <w:t>5.2</w:t>
      </w:r>
      <w:r w:rsidRPr="006372FE">
        <w:rPr>
          <w:rFonts w:ascii="Times New Roman" w:hAnsi="Times New Roman"/>
          <w:sz w:val="26"/>
        </w:rPr>
        <w:tab/>
        <w:t>P</w:t>
      </w:r>
      <w:r w:rsidR="006372FE" w:rsidRPr="006372FE">
        <w:rPr>
          <w:rFonts w:ascii="Times New Roman" w:hAnsi="Times New Roman"/>
          <w:sz w:val="26"/>
        </w:rPr>
        <w:t>HARMACOKINETIC PROPERTIES</w:t>
      </w:r>
      <w:bookmarkEnd w:id="117"/>
      <w:r w:rsidR="006372FE" w:rsidRPr="006372FE">
        <w:rPr>
          <w:rFonts w:ascii="Times New Roman" w:hAnsi="Times New Roman"/>
          <w:sz w:val="26"/>
        </w:rPr>
        <w:t xml:space="preserve"> </w:t>
      </w:r>
    </w:p>
    <w:p w14:paraId="30DF565A" w14:textId="77777777" w:rsidR="00561530" w:rsidRPr="006372FE" w:rsidRDefault="00561530" w:rsidP="00561530">
      <w:pPr>
        <w:pStyle w:val="Heading3"/>
        <w:rPr>
          <w:rFonts w:ascii="Times New Roman" w:hAnsi="Times New Roman"/>
          <w:b w:val="0"/>
          <w:sz w:val="24"/>
          <w:szCs w:val="20"/>
        </w:rPr>
      </w:pPr>
      <w:bookmarkStart w:id="118" w:name="_Toc102045221"/>
      <w:r w:rsidRPr="006372FE">
        <w:rPr>
          <w:rFonts w:ascii="Times New Roman" w:hAnsi="Times New Roman"/>
          <w:sz w:val="24"/>
          <w:szCs w:val="20"/>
        </w:rPr>
        <w:t>Absorption</w:t>
      </w:r>
      <w:bookmarkEnd w:id="118"/>
    </w:p>
    <w:p w14:paraId="0300875A" w14:textId="77777777" w:rsidR="00561530" w:rsidRPr="00561530" w:rsidRDefault="00561530" w:rsidP="00561530">
      <w:pPr>
        <w:rPr>
          <w:rFonts w:ascii="Times New Roman" w:hAnsi="Times New Roman"/>
        </w:rPr>
      </w:pPr>
      <w:r w:rsidRPr="00561530">
        <w:rPr>
          <w:rFonts w:ascii="Times New Roman" w:hAnsi="Times New Roman"/>
        </w:rPr>
        <w:t xml:space="preserve">In healthy volunteers and patients, </w:t>
      </w:r>
      <w:proofErr w:type="spellStart"/>
      <w:r w:rsidRPr="00561530">
        <w:rPr>
          <w:rFonts w:ascii="Times New Roman" w:hAnsi="Times New Roman"/>
        </w:rPr>
        <w:t>luspatercept</w:t>
      </w:r>
      <w:proofErr w:type="spellEnd"/>
      <w:r w:rsidRPr="00561530">
        <w:rPr>
          <w:rFonts w:ascii="Times New Roman" w:hAnsi="Times New Roman"/>
        </w:rPr>
        <w:t xml:space="preserve"> is slowly absorbed following SC administration, with the </w:t>
      </w:r>
      <w:proofErr w:type="spellStart"/>
      <w:r w:rsidRPr="00561530">
        <w:rPr>
          <w:rFonts w:ascii="Times New Roman" w:hAnsi="Times New Roman"/>
        </w:rPr>
        <w:t>C</w:t>
      </w:r>
      <w:r w:rsidRPr="00561530">
        <w:rPr>
          <w:rFonts w:ascii="Times New Roman" w:hAnsi="Times New Roman"/>
          <w:vertAlign w:val="subscript"/>
        </w:rPr>
        <w:t>max</w:t>
      </w:r>
      <w:proofErr w:type="spellEnd"/>
      <w:r w:rsidRPr="00561530">
        <w:rPr>
          <w:rFonts w:ascii="Times New Roman" w:hAnsi="Times New Roman"/>
        </w:rPr>
        <w:t xml:space="preserve"> in serum often observed approximately 7 days post-dose across all dose levels. Population pharmacokinetic (PK) analysis suggests that the absorption of </w:t>
      </w:r>
      <w:proofErr w:type="spellStart"/>
      <w:r w:rsidRPr="00561530">
        <w:rPr>
          <w:rFonts w:ascii="Times New Roman" w:hAnsi="Times New Roman"/>
        </w:rPr>
        <w:t>luspatercept</w:t>
      </w:r>
      <w:proofErr w:type="spellEnd"/>
      <w:r w:rsidRPr="00561530">
        <w:rPr>
          <w:rFonts w:ascii="Times New Roman" w:hAnsi="Times New Roman"/>
        </w:rPr>
        <w:t xml:space="preserve"> into circulation is linear over the range of studied doses, and the absorption is not significantly affected by the location of SC (upper arm, thigh, or abdomen). Interindividual variability in AUC was approximately 38% in MDS patients and 36% in β</w:t>
      </w:r>
      <w:r w:rsidRPr="00561530">
        <w:rPr>
          <w:rFonts w:ascii="Times New Roman" w:hAnsi="Times New Roman"/>
        </w:rPr>
        <w:noBreakHyphen/>
        <w:t>thalassaemia patients.</w:t>
      </w:r>
    </w:p>
    <w:p w14:paraId="46553434" w14:textId="77777777" w:rsidR="00561530" w:rsidRPr="006372FE" w:rsidRDefault="00561530" w:rsidP="00561530">
      <w:pPr>
        <w:pStyle w:val="Heading3"/>
        <w:rPr>
          <w:rFonts w:ascii="Times New Roman" w:hAnsi="Times New Roman"/>
          <w:sz w:val="24"/>
          <w:szCs w:val="20"/>
        </w:rPr>
      </w:pPr>
      <w:bookmarkStart w:id="119" w:name="_Toc102045222"/>
      <w:r w:rsidRPr="006372FE">
        <w:rPr>
          <w:rFonts w:ascii="Times New Roman" w:hAnsi="Times New Roman"/>
          <w:sz w:val="24"/>
          <w:szCs w:val="20"/>
        </w:rPr>
        <w:t>Distribution</w:t>
      </w:r>
      <w:bookmarkEnd w:id="119"/>
    </w:p>
    <w:p w14:paraId="4DC084AF" w14:textId="77777777" w:rsidR="00561530" w:rsidRPr="00561530" w:rsidRDefault="00561530" w:rsidP="00561530">
      <w:pPr>
        <w:rPr>
          <w:rFonts w:ascii="Times New Roman" w:hAnsi="Times New Roman"/>
        </w:rPr>
      </w:pPr>
      <w:r w:rsidRPr="00561530">
        <w:rPr>
          <w:rFonts w:ascii="Times New Roman" w:hAnsi="Times New Roman"/>
          <w:szCs w:val="24"/>
        </w:rPr>
        <w:t xml:space="preserve">At the recommended doses, the mean apparent volume of distribution was 9.68 L for MDS patients and 7.08 L for </w:t>
      </w:r>
      <w:r w:rsidRPr="00561530">
        <w:rPr>
          <w:rFonts w:ascii="Times New Roman" w:hAnsi="Times New Roman"/>
        </w:rPr>
        <w:t>β</w:t>
      </w:r>
      <w:r w:rsidRPr="00561530">
        <w:rPr>
          <w:rFonts w:ascii="Times New Roman" w:hAnsi="Times New Roman"/>
        </w:rPr>
        <w:noBreakHyphen/>
        <w:t>thalassaemia patients</w:t>
      </w:r>
      <w:r w:rsidRPr="00561530">
        <w:rPr>
          <w:rFonts w:ascii="Times New Roman" w:hAnsi="Times New Roman"/>
          <w:szCs w:val="24"/>
        </w:rPr>
        <w:t xml:space="preserve">. The small volume of distribution indicates that </w:t>
      </w:r>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is confined primarily in extracellular fluids, consistent with its large molecular mass.</w:t>
      </w:r>
    </w:p>
    <w:p w14:paraId="6DAF1D97" w14:textId="77777777" w:rsidR="00561530" w:rsidRPr="006372FE" w:rsidRDefault="00561530" w:rsidP="00561530">
      <w:pPr>
        <w:pStyle w:val="Heading3"/>
        <w:rPr>
          <w:rFonts w:ascii="Times New Roman" w:hAnsi="Times New Roman"/>
          <w:sz w:val="24"/>
          <w:szCs w:val="20"/>
        </w:rPr>
      </w:pPr>
      <w:bookmarkStart w:id="120" w:name="_Toc102045223"/>
      <w:r w:rsidRPr="006372FE">
        <w:rPr>
          <w:rFonts w:ascii="Times New Roman" w:hAnsi="Times New Roman"/>
          <w:sz w:val="24"/>
          <w:szCs w:val="20"/>
        </w:rPr>
        <w:t>Metabolism</w:t>
      </w:r>
      <w:bookmarkEnd w:id="120"/>
    </w:p>
    <w:p w14:paraId="720F18E5" w14:textId="77777777" w:rsidR="00561530" w:rsidRPr="00561530" w:rsidRDefault="00561530" w:rsidP="00561530">
      <w:pPr>
        <w:rPr>
          <w:rFonts w:ascii="Times New Roman" w:hAnsi="Times New Roman"/>
        </w:rPr>
      </w:pPr>
      <w:bookmarkStart w:id="121" w:name="_Hlk510351614"/>
      <w:proofErr w:type="spellStart"/>
      <w:r w:rsidRPr="00561530">
        <w:rPr>
          <w:rFonts w:ascii="Times New Roman" w:hAnsi="Times New Roman"/>
          <w:szCs w:val="24"/>
        </w:rPr>
        <w:t>Luspatercept</w:t>
      </w:r>
      <w:proofErr w:type="spellEnd"/>
      <w:r w:rsidRPr="00561530">
        <w:rPr>
          <w:rFonts w:ascii="Times New Roman" w:hAnsi="Times New Roman"/>
          <w:szCs w:val="24"/>
        </w:rPr>
        <w:t xml:space="preserve"> is expected to be catabolised into amino acids by general protein degradation process.</w:t>
      </w:r>
      <w:bookmarkEnd w:id="121"/>
    </w:p>
    <w:p w14:paraId="483B10E3" w14:textId="77777777" w:rsidR="00561530" w:rsidRPr="006372FE" w:rsidRDefault="00561530" w:rsidP="00561530">
      <w:pPr>
        <w:pStyle w:val="Heading3"/>
        <w:rPr>
          <w:rFonts w:ascii="Times New Roman" w:hAnsi="Times New Roman"/>
          <w:sz w:val="24"/>
          <w:szCs w:val="20"/>
        </w:rPr>
      </w:pPr>
      <w:bookmarkStart w:id="122" w:name="_Toc102045224"/>
      <w:r w:rsidRPr="006372FE">
        <w:rPr>
          <w:rFonts w:ascii="Times New Roman" w:hAnsi="Times New Roman"/>
          <w:sz w:val="24"/>
          <w:szCs w:val="20"/>
        </w:rPr>
        <w:t>Excretion</w:t>
      </w:r>
      <w:bookmarkEnd w:id="122"/>
    </w:p>
    <w:p w14:paraId="1D03AC82" w14:textId="77777777" w:rsidR="00561530" w:rsidRPr="00561530" w:rsidRDefault="00561530" w:rsidP="00561530">
      <w:pPr>
        <w:rPr>
          <w:rFonts w:ascii="Times New Roman" w:hAnsi="Times New Roman"/>
        </w:rPr>
      </w:pPr>
      <w:proofErr w:type="spellStart"/>
      <w:r w:rsidRPr="00561530">
        <w:rPr>
          <w:rFonts w:ascii="Times New Roman" w:hAnsi="Times New Roman"/>
        </w:rPr>
        <w:t>Luspatercept</w:t>
      </w:r>
      <w:proofErr w:type="spellEnd"/>
      <w:r w:rsidRPr="00561530">
        <w:rPr>
          <w:rFonts w:ascii="Times New Roman" w:hAnsi="Times New Roman"/>
        </w:rPr>
        <w:t xml:space="preserve"> is not expected to be excreted into urine due to its large molecular mass that is above the glomerular filtration size exclusion threshold. At the recommended doses, the mean apparent total clearance was 0.516 L/day for MDS patients and 0.437 L/day for β</w:t>
      </w:r>
      <w:r w:rsidRPr="00561530">
        <w:rPr>
          <w:rFonts w:ascii="Times New Roman" w:hAnsi="Times New Roman"/>
        </w:rPr>
        <w:noBreakHyphen/>
        <w:t>thalassaemia patients. The clearance was independent of dose or time. The mean half-life in serum was approximately 13 days for MDS patients and 11 days for β</w:t>
      </w:r>
      <w:r w:rsidRPr="00561530">
        <w:rPr>
          <w:rFonts w:ascii="Times New Roman" w:hAnsi="Times New Roman"/>
        </w:rPr>
        <w:noBreakHyphen/>
        <w:t>thalassaemia patients.</w:t>
      </w:r>
    </w:p>
    <w:p w14:paraId="30FDBB1D" w14:textId="381C7560" w:rsidR="00561530" w:rsidRPr="006372FE" w:rsidRDefault="00561530" w:rsidP="00561530">
      <w:pPr>
        <w:pStyle w:val="Heading2"/>
        <w:rPr>
          <w:rFonts w:ascii="Times New Roman" w:hAnsi="Times New Roman"/>
          <w:sz w:val="26"/>
        </w:rPr>
      </w:pPr>
      <w:bookmarkStart w:id="123" w:name="_Toc102045225"/>
      <w:r w:rsidRPr="006372FE">
        <w:rPr>
          <w:rFonts w:ascii="Times New Roman" w:hAnsi="Times New Roman"/>
          <w:sz w:val="26"/>
        </w:rPr>
        <w:t>5.3</w:t>
      </w:r>
      <w:r w:rsidRPr="006372FE">
        <w:rPr>
          <w:rFonts w:ascii="Times New Roman" w:hAnsi="Times New Roman"/>
          <w:sz w:val="26"/>
        </w:rPr>
        <w:tab/>
        <w:t>P</w:t>
      </w:r>
      <w:r w:rsidR="006372FE" w:rsidRPr="006372FE">
        <w:rPr>
          <w:rFonts w:ascii="Times New Roman" w:hAnsi="Times New Roman"/>
          <w:sz w:val="26"/>
        </w:rPr>
        <w:t>RECLINICAL SAFETY DATA</w:t>
      </w:r>
      <w:bookmarkEnd w:id="123"/>
    </w:p>
    <w:p w14:paraId="110010BE" w14:textId="77777777" w:rsidR="00561530" w:rsidRPr="006372FE" w:rsidRDefault="00561530" w:rsidP="00561530">
      <w:pPr>
        <w:pStyle w:val="Heading3"/>
        <w:rPr>
          <w:rFonts w:ascii="Times New Roman" w:hAnsi="Times New Roman"/>
          <w:sz w:val="24"/>
          <w:szCs w:val="24"/>
        </w:rPr>
      </w:pPr>
      <w:bookmarkStart w:id="124" w:name="_Toc102045226"/>
      <w:r w:rsidRPr="006372FE">
        <w:rPr>
          <w:rFonts w:ascii="Times New Roman" w:hAnsi="Times New Roman"/>
          <w:sz w:val="24"/>
          <w:szCs w:val="24"/>
        </w:rPr>
        <w:t>Genotoxicity</w:t>
      </w:r>
      <w:bookmarkEnd w:id="124"/>
    </w:p>
    <w:p w14:paraId="4A8F0E42" w14:textId="77777777" w:rsidR="00561530" w:rsidRPr="00561530" w:rsidRDefault="00561530" w:rsidP="00561530">
      <w:pPr>
        <w:rPr>
          <w:rFonts w:ascii="Times New Roman" w:hAnsi="Times New Roman"/>
        </w:rPr>
      </w:pPr>
      <w:r w:rsidRPr="00561530">
        <w:rPr>
          <w:rFonts w:ascii="Times New Roman" w:hAnsi="Times New Roman"/>
        </w:rPr>
        <w:t xml:space="preserve">Genotoxicity studies have not been conducted. As a large protein molecule, </w:t>
      </w:r>
      <w:proofErr w:type="spellStart"/>
      <w:r w:rsidRPr="00561530">
        <w:rPr>
          <w:rFonts w:ascii="Times New Roman" w:hAnsi="Times New Roman"/>
        </w:rPr>
        <w:t>luspatercept</w:t>
      </w:r>
      <w:proofErr w:type="spellEnd"/>
      <w:r w:rsidRPr="00561530">
        <w:rPr>
          <w:rFonts w:ascii="Times New Roman" w:hAnsi="Times New Roman"/>
        </w:rPr>
        <w:t xml:space="preserve"> is not expected to interact with DNA or other chromosomal material.</w:t>
      </w:r>
    </w:p>
    <w:p w14:paraId="6D22CD85" w14:textId="77777777" w:rsidR="00561530" w:rsidRPr="006372FE" w:rsidRDefault="00561530" w:rsidP="00561530">
      <w:pPr>
        <w:pStyle w:val="Heading3"/>
        <w:rPr>
          <w:rFonts w:ascii="Times New Roman" w:hAnsi="Times New Roman"/>
          <w:sz w:val="24"/>
          <w:szCs w:val="20"/>
        </w:rPr>
      </w:pPr>
      <w:bookmarkStart w:id="125" w:name="_Toc102045227"/>
      <w:r w:rsidRPr="006372FE">
        <w:rPr>
          <w:rFonts w:ascii="Times New Roman" w:hAnsi="Times New Roman"/>
          <w:sz w:val="24"/>
          <w:szCs w:val="20"/>
        </w:rPr>
        <w:t>Carcinogenicity</w:t>
      </w:r>
      <w:bookmarkEnd w:id="125"/>
    </w:p>
    <w:p w14:paraId="6B335575" w14:textId="77777777" w:rsidR="00561530" w:rsidRPr="00561530" w:rsidRDefault="00561530" w:rsidP="00561530">
      <w:pPr>
        <w:rPr>
          <w:rFonts w:ascii="Times New Roman" w:hAnsi="Times New Roman"/>
        </w:rPr>
      </w:pPr>
      <w:r w:rsidRPr="00561530">
        <w:rPr>
          <w:rFonts w:ascii="Times New Roman" w:hAnsi="Times New Roman"/>
        </w:rPr>
        <w:t xml:space="preserve"> No formal carcinogenicity studies have been conducted with </w:t>
      </w:r>
      <w:proofErr w:type="spellStart"/>
      <w:r w:rsidRPr="00561530">
        <w:rPr>
          <w:rFonts w:ascii="Times New Roman" w:hAnsi="Times New Roman"/>
        </w:rPr>
        <w:t>luspatercept</w:t>
      </w:r>
      <w:proofErr w:type="spellEnd"/>
      <w:r w:rsidRPr="00561530">
        <w:rPr>
          <w:rFonts w:ascii="Times New Roman" w:hAnsi="Times New Roman"/>
        </w:rPr>
        <w:t xml:space="preserve">. Haematological malignancies (granulocytic leukaemia, lymphocytic </w:t>
      </w:r>
      <w:proofErr w:type="gramStart"/>
      <w:r w:rsidRPr="00561530">
        <w:rPr>
          <w:rFonts w:ascii="Times New Roman" w:hAnsi="Times New Roman"/>
        </w:rPr>
        <w:t>leukaemia</w:t>
      </w:r>
      <w:proofErr w:type="gramEnd"/>
      <w:r w:rsidRPr="00561530">
        <w:rPr>
          <w:rFonts w:ascii="Times New Roman" w:hAnsi="Times New Roman"/>
        </w:rPr>
        <w:t xml:space="preserve"> and malignant lymphoma) were observed in 3 out of 44 rats given </w:t>
      </w:r>
      <w:proofErr w:type="spellStart"/>
      <w:r w:rsidRPr="00561530">
        <w:rPr>
          <w:rFonts w:ascii="Times New Roman" w:hAnsi="Times New Roman"/>
        </w:rPr>
        <w:t>luspatercept</w:t>
      </w:r>
      <w:proofErr w:type="spellEnd"/>
      <w:r w:rsidRPr="00561530">
        <w:rPr>
          <w:rFonts w:ascii="Times New Roman" w:hAnsi="Times New Roman"/>
        </w:rPr>
        <w:t xml:space="preserve"> at 10 mg/kg every two weeks from postnatal day 7 to 91 in a juvenile toxicity study. This dose yielded 5 times the systemic exposure in patients at the maximum recommended human dose (based on serum AUC). The occurrence of these tumours in such young animals is unusual. A relationship to </w:t>
      </w:r>
      <w:proofErr w:type="spellStart"/>
      <w:r w:rsidRPr="00561530">
        <w:rPr>
          <w:rFonts w:ascii="Times New Roman" w:hAnsi="Times New Roman"/>
        </w:rPr>
        <w:t>luspatercept</w:t>
      </w:r>
      <w:proofErr w:type="spellEnd"/>
      <w:r w:rsidRPr="00561530">
        <w:rPr>
          <w:rFonts w:ascii="Times New Roman" w:hAnsi="Times New Roman"/>
        </w:rPr>
        <w:t xml:space="preserve"> treatment is uncertain but cannot be excluded. No other proliferative or pre-neoplastic lesions attributable to </w:t>
      </w:r>
      <w:proofErr w:type="spellStart"/>
      <w:r w:rsidRPr="00561530">
        <w:rPr>
          <w:rFonts w:ascii="Times New Roman" w:hAnsi="Times New Roman"/>
        </w:rPr>
        <w:t>luspatercept</w:t>
      </w:r>
      <w:proofErr w:type="spellEnd"/>
      <w:r w:rsidRPr="00561530">
        <w:rPr>
          <w:rFonts w:ascii="Times New Roman" w:hAnsi="Times New Roman"/>
        </w:rPr>
        <w:t xml:space="preserve"> were observed in other toxicity studies conducted with </w:t>
      </w:r>
      <w:proofErr w:type="spellStart"/>
      <w:r w:rsidRPr="00561530">
        <w:rPr>
          <w:rFonts w:ascii="Times New Roman" w:hAnsi="Times New Roman"/>
        </w:rPr>
        <w:t>luspatercept</w:t>
      </w:r>
      <w:proofErr w:type="spellEnd"/>
      <w:r w:rsidRPr="00561530">
        <w:rPr>
          <w:rFonts w:ascii="Times New Roman" w:hAnsi="Times New Roman"/>
        </w:rPr>
        <w:t>, including a 6-month study in monkeys where there was equivalent exposure.</w:t>
      </w:r>
    </w:p>
    <w:p w14:paraId="2B626A4F" w14:textId="0E49A471" w:rsidR="00561530" w:rsidRPr="006372FE" w:rsidRDefault="00561530" w:rsidP="00440EF2">
      <w:pPr>
        <w:pStyle w:val="Heading1"/>
        <w:numPr>
          <w:ilvl w:val="0"/>
          <w:numId w:val="22"/>
        </w:numPr>
        <w:ind w:left="0" w:firstLine="0"/>
        <w:rPr>
          <w:rFonts w:ascii="Times New Roman" w:hAnsi="Times New Roman" w:cs="Times New Roman"/>
          <w:sz w:val="28"/>
          <w:szCs w:val="28"/>
        </w:rPr>
      </w:pPr>
      <w:r w:rsidRPr="006372FE">
        <w:rPr>
          <w:rFonts w:ascii="Times New Roman" w:hAnsi="Times New Roman" w:cs="Times New Roman"/>
          <w:sz w:val="28"/>
          <w:szCs w:val="28"/>
        </w:rPr>
        <w:t>P</w:t>
      </w:r>
      <w:r w:rsidR="006372FE" w:rsidRPr="006372FE">
        <w:rPr>
          <w:rFonts w:ascii="Times New Roman" w:hAnsi="Times New Roman" w:cs="Times New Roman"/>
          <w:sz w:val="28"/>
          <w:szCs w:val="28"/>
        </w:rPr>
        <w:t>HARMACEUTICAL PARTICULARS</w:t>
      </w:r>
    </w:p>
    <w:p w14:paraId="79951576" w14:textId="4AC8A262" w:rsidR="00561530" w:rsidRPr="006372FE" w:rsidRDefault="00561530" w:rsidP="00561530">
      <w:pPr>
        <w:pStyle w:val="Heading2"/>
        <w:rPr>
          <w:rFonts w:ascii="Times New Roman" w:hAnsi="Times New Roman"/>
          <w:sz w:val="26"/>
        </w:rPr>
      </w:pPr>
      <w:bookmarkStart w:id="126" w:name="_Toc102045228"/>
      <w:r w:rsidRPr="006372FE">
        <w:rPr>
          <w:rFonts w:ascii="Times New Roman" w:hAnsi="Times New Roman"/>
          <w:sz w:val="26"/>
        </w:rPr>
        <w:t>6.1</w:t>
      </w:r>
      <w:r w:rsidRPr="006372FE">
        <w:rPr>
          <w:rFonts w:ascii="Times New Roman" w:hAnsi="Times New Roman"/>
          <w:sz w:val="26"/>
        </w:rPr>
        <w:tab/>
        <w:t>L</w:t>
      </w:r>
      <w:r w:rsidR="006372FE" w:rsidRPr="006372FE">
        <w:rPr>
          <w:rFonts w:ascii="Times New Roman" w:hAnsi="Times New Roman"/>
          <w:sz w:val="26"/>
        </w:rPr>
        <w:t>IST OF EXCIPIENTS</w:t>
      </w:r>
      <w:bookmarkEnd w:id="126"/>
      <w:r w:rsidR="006372FE" w:rsidRPr="006372FE">
        <w:rPr>
          <w:rFonts w:ascii="Times New Roman" w:hAnsi="Times New Roman"/>
          <w:sz w:val="26"/>
        </w:rPr>
        <w:t xml:space="preserve"> </w:t>
      </w:r>
    </w:p>
    <w:p w14:paraId="67655BFB" w14:textId="77777777" w:rsidR="00561530" w:rsidRPr="00561530" w:rsidRDefault="00561530" w:rsidP="00561530">
      <w:pPr>
        <w:pStyle w:val="NoSpacing"/>
        <w:rPr>
          <w:rFonts w:cs="Times New Roman"/>
          <w:lang w:val="en"/>
        </w:rPr>
      </w:pPr>
      <w:r w:rsidRPr="00561530">
        <w:rPr>
          <w:rFonts w:cs="Times New Roman"/>
          <w:lang w:val="en"/>
        </w:rPr>
        <w:t xml:space="preserve">Citric acid monohydrate </w:t>
      </w:r>
    </w:p>
    <w:p w14:paraId="36869FCD" w14:textId="77777777" w:rsidR="00561530" w:rsidRPr="00561530" w:rsidRDefault="00561530" w:rsidP="00561530">
      <w:pPr>
        <w:pStyle w:val="NoSpacing"/>
        <w:rPr>
          <w:rFonts w:cs="Times New Roman"/>
          <w:lang w:val="en"/>
        </w:rPr>
      </w:pPr>
      <w:r w:rsidRPr="00561530">
        <w:rPr>
          <w:rFonts w:cs="Times New Roman"/>
          <w:lang w:val="en"/>
        </w:rPr>
        <w:t>Sodium citrate dihydrate</w:t>
      </w:r>
    </w:p>
    <w:p w14:paraId="65AD395D" w14:textId="77777777" w:rsidR="00561530" w:rsidRPr="00561530" w:rsidRDefault="00561530" w:rsidP="00561530">
      <w:pPr>
        <w:pStyle w:val="NoSpacing"/>
        <w:rPr>
          <w:rFonts w:cs="Times New Roman"/>
          <w:lang w:val="en"/>
        </w:rPr>
      </w:pPr>
      <w:r w:rsidRPr="00561530">
        <w:rPr>
          <w:rFonts w:cs="Times New Roman"/>
          <w:lang w:val="en"/>
        </w:rPr>
        <w:t>Polysorbate 80</w:t>
      </w:r>
    </w:p>
    <w:p w14:paraId="417E7FF9" w14:textId="77777777" w:rsidR="00561530" w:rsidRPr="00561530" w:rsidRDefault="00561530" w:rsidP="00561530">
      <w:pPr>
        <w:pStyle w:val="NoSpacing"/>
        <w:rPr>
          <w:rFonts w:cs="Times New Roman"/>
          <w:lang w:val="en"/>
        </w:rPr>
      </w:pPr>
      <w:r w:rsidRPr="00561530">
        <w:rPr>
          <w:rFonts w:cs="Times New Roman"/>
          <w:lang w:val="en"/>
        </w:rPr>
        <w:t>Sucrose</w:t>
      </w:r>
    </w:p>
    <w:p w14:paraId="2D004F78" w14:textId="77777777" w:rsidR="00561530" w:rsidRPr="00561530" w:rsidRDefault="00561530" w:rsidP="00561530">
      <w:pPr>
        <w:pStyle w:val="NoSpacing"/>
        <w:rPr>
          <w:rFonts w:cs="Times New Roman"/>
          <w:lang w:val="en"/>
        </w:rPr>
      </w:pPr>
      <w:r w:rsidRPr="00561530">
        <w:rPr>
          <w:rFonts w:cs="Times New Roman"/>
          <w:lang w:val="en"/>
        </w:rPr>
        <w:t>Hydrochloric acid</w:t>
      </w:r>
    </w:p>
    <w:p w14:paraId="7FF58A87" w14:textId="77777777" w:rsidR="00561530" w:rsidRPr="00561530" w:rsidRDefault="00561530" w:rsidP="00561530">
      <w:pPr>
        <w:pStyle w:val="NoSpacing"/>
        <w:rPr>
          <w:rFonts w:cs="Times New Roman"/>
          <w:lang w:val="en"/>
        </w:rPr>
      </w:pPr>
      <w:r w:rsidRPr="00561530">
        <w:rPr>
          <w:rFonts w:cs="Times New Roman"/>
          <w:lang w:val="en"/>
        </w:rPr>
        <w:t>Sodium hydroxide</w:t>
      </w:r>
    </w:p>
    <w:p w14:paraId="18DB341E" w14:textId="3D8D6F22" w:rsidR="00561530" w:rsidRPr="006372FE" w:rsidRDefault="00561530" w:rsidP="00561530">
      <w:pPr>
        <w:pStyle w:val="Heading2"/>
        <w:rPr>
          <w:rFonts w:ascii="Times New Roman" w:hAnsi="Times New Roman"/>
          <w:sz w:val="26"/>
        </w:rPr>
      </w:pPr>
      <w:bookmarkStart w:id="127" w:name="_Toc102045229"/>
      <w:r w:rsidRPr="006372FE">
        <w:rPr>
          <w:rFonts w:ascii="Times New Roman" w:hAnsi="Times New Roman"/>
          <w:sz w:val="26"/>
        </w:rPr>
        <w:t>6.2</w:t>
      </w:r>
      <w:r w:rsidRPr="006372FE">
        <w:rPr>
          <w:rFonts w:ascii="Times New Roman" w:hAnsi="Times New Roman"/>
          <w:sz w:val="26"/>
        </w:rPr>
        <w:tab/>
        <w:t>I</w:t>
      </w:r>
      <w:r w:rsidR="006372FE" w:rsidRPr="006372FE">
        <w:rPr>
          <w:rFonts w:ascii="Times New Roman" w:hAnsi="Times New Roman"/>
          <w:sz w:val="26"/>
        </w:rPr>
        <w:t>NCOMPATIBILITIES</w:t>
      </w:r>
      <w:bookmarkEnd w:id="127"/>
      <w:r w:rsidR="006372FE" w:rsidRPr="006372FE">
        <w:rPr>
          <w:rFonts w:ascii="Times New Roman" w:hAnsi="Times New Roman"/>
          <w:sz w:val="26"/>
        </w:rPr>
        <w:t xml:space="preserve"> </w:t>
      </w:r>
    </w:p>
    <w:p w14:paraId="2C6B2330" w14:textId="77777777" w:rsidR="00561530" w:rsidRPr="00561530" w:rsidRDefault="00561530" w:rsidP="00561530">
      <w:pPr>
        <w:rPr>
          <w:rFonts w:ascii="Times New Roman" w:hAnsi="Times New Roman"/>
          <w:lang w:val="en"/>
        </w:rPr>
      </w:pPr>
      <w:r w:rsidRPr="00561530">
        <w:rPr>
          <w:rFonts w:ascii="Times New Roman" w:hAnsi="Times New Roman"/>
          <w:lang w:val="en"/>
        </w:rPr>
        <w:t xml:space="preserve">This medicinal product must not be mixed with other medicinal products.  </w:t>
      </w:r>
    </w:p>
    <w:p w14:paraId="2531BC6F" w14:textId="273FC01C" w:rsidR="00561530" w:rsidRPr="006372FE" w:rsidRDefault="00561530" w:rsidP="00561530">
      <w:pPr>
        <w:pStyle w:val="Heading2"/>
        <w:rPr>
          <w:rFonts w:ascii="Times New Roman" w:hAnsi="Times New Roman"/>
          <w:sz w:val="26"/>
        </w:rPr>
      </w:pPr>
      <w:bookmarkStart w:id="128" w:name="_Toc102045230"/>
      <w:r w:rsidRPr="006372FE">
        <w:rPr>
          <w:rFonts w:ascii="Times New Roman" w:hAnsi="Times New Roman"/>
          <w:sz w:val="26"/>
        </w:rPr>
        <w:t>6.3</w:t>
      </w:r>
      <w:r w:rsidRPr="006372FE">
        <w:rPr>
          <w:rFonts w:ascii="Times New Roman" w:hAnsi="Times New Roman"/>
          <w:sz w:val="26"/>
        </w:rPr>
        <w:tab/>
        <w:t>S</w:t>
      </w:r>
      <w:r w:rsidR="006372FE" w:rsidRPr="006372FE">
        <w:rPr>
          <w:rFonts w:ascii="Times New Roman" w:hAnsi="Times New Roman"/>
          <w:sz w:val="26"/>
        </w:rPr>
        <w:t>HELF LIFE</w:t>
      </w:r>
      <w:bookmarkEnd w:id="128"/>
      <w:r w:rsidR="006372FE" w:rsidRPr="006372FE">
        <w:rPr>
          <w:rFonts w:ascii="Times New Roman" w:hAnsi="Times New Roman"/>
          <w:sz w:val="26"/>
        </w:rPr>
        <w:t xml:space="preserve"> </w:t>
      </w:r>
    </w:p>
    <w:p w14:paraId="0016B98E" w14:textId="77777777" w:rsidR="00561530" w:rsidRPr="00561530" w:rsidRDefault="00561530" w:rsidP="00561530">
      <w:pPr>
        <w:rPr>
          <w:rFonts w:ascii="Times New Roman" w:hAnsi="Times New Roman"/>
        </w:rPr>
      </w:pPr>
      <w:r w:rsidRPr="00561530">
        <w:rPr>
          <w:rFonts w:ascii="Times New Roman" w:hAnsi="Times New Roman"/>
        </w:rPr>
        <w:t xml:space="preserve">In Australia, information on the shelf life can be found on the public summary of the ARTG. The expiry date can be found on the packaging. </w:t>
      </w:r>
    </w:p>
    <w:p w14:paraId="02D93E27" w14:textId="4AB7E8D3" w:rsidR="00561530" w:rsidRPr="00E60FD9" w:rsidRDefault="00561530" w:rsidP="00561530">
      <w:pPr>
        <w:pStyle w:val="Heading2"/>
        <w:rPr>
          <w:rFonts w:ascii="Times New Roman" w:hAnsi="Times New Roman"/>
          <w:sz w:val="26"/>
        </w:rPr>
      </w:pPr>
      <w:bookmarkStart w:id="129" w:name="_Toc102045231"/>
      <w:r w:rsidRPr="00E60FD9">
        <w:rPr>
          <w:rFonts w:ascii="Times New Roman" w:hAnsi="Times New Roman"/>
          <w:sz w:val="26"/>
        </w:rPr>
        <w:t>6.4</w:t>
      </w:r>
      <w:r w:rsidRPr="00E60FD9">
        <w:rPr>
          <w:rFonts w:ascii="Times New Roman" w:hAnsi="Times New Roman"/>
          <w:sz w:val="26"/>
        </w:rPr>
        <w:tab/>
        <w:t>S</w:t>
      </w:r>
      <w:r w:rsidR="00E60FD9" w:rsidRPr="00E60FD9">
        <w:rPr>
          <w:rFonts w:ascii="Times New Roman" w:hAnsi="Times New Roman"/>
          <w:sz w:val="26"/>
        </w:rPr>
        <w:t>PECIAL PRECAUTIONS FOR STORAGE</w:t>
      </w:r>
      <w:bookmarkEnd w:id="129"/>
      <w:r w:rsidR="00E60FD9" w:rsidRPr="00E60FD9">
        <w:rPr>
          <w:rFonts w:ascii="Times New Roman" w:hAnsi="Times New Roman"/>
          <w:sz w:val="26"/>
        </w:rPr>
        <w:t xml:space="preserve"> </w:t>
      </w:r>
    </w:p>
    <w:p w14:paraId="63320F2C" w14:textId="77777777" w:rsidR="00561530" w:rsidRPr="00561530" w:rsidRDefault="00561530" w:rsidP="00561530">
      <w:pPr>
        <w:rPr>
          <w:rFonts w:ascii="Times New Roman" w:hAnsi="Times New Roman"/>
        </w:rPr>
      </w:pPr>
      <w:r w:rsidRPr="00561530">
        <w:rPr>
          <w:rFonts w:ascii="Times New Roman" w:hAnsi="Times New Roman"/>
          <w:u w:val="single"/>
        </w:rPr>
        <w:t>Unopened Powder Vial</w:t>
      </w:r>
    </w:p>
    <w:p w14:paraId="127CEA8A" w14:textId="77777777" w:rsidR="00561530" w:rsidRPr="00561530" w:rsidRDefault="00561530" w:rsidP="00561530">
      <w:pPr>
        <w:rPr>
          <w:rFonts w:ascii="Times New Roman" w:hAnsi="Times New Roman"/>
        </w:rPr>
      </w:pPr>
      <w:proofErr w:type="spellStart"/>
      <w:r w:rsidRPr="00561530">
        <w:rPr>
          <w:rFonts w:ascii="Times New Roman" w:hAnsi="Times New Roman"/>
        </w:rPr>
        <w:t>Luspatercept</w:t>
      </w:r>
      <w:proofErr w:type="spellEnd"/>
      <w:r w:rsidRPr="00561530">
        <w:rPr>
          <w:rFonts w:ascii="Times New Roman" w:hAnsi="Times New Roman"/>
        </w:rPr>
        <w:t xml:space="preserve"> lyophilised powder supplied in single-use vials should be stored at 2 - 8°C.</w:t>
      </w:r>
    </w:p>
    <w:p w14:paraId="5D3E7271" w14:textId="77777777" w:rsidR="00561530" w:rsidRPr="00561530" w:rsidRDefault="00561530" w:rsidP="00561530">
      <w:pPr>
        <w:rPr>
          <w:rFonts w:ascii="Times New Roman" w:hAnsi="Times New Roman"/>
          <w:szCs w:val="24"/>
          <w:lang w:val="en-GB"/>
        </w:rPr>
      </w:pPr>
      <w:r w:rsidRPr="00561530">
        <w:rPr>
          <w:rFonts w:ascii="Times New Roman" w:hAnsi="Times New Roman"/>
          <w:szCs w:val="24"/>
          <w:lang w:val="en-GB"/>
        </w:rPr>
        <w:t xml:space="preserve">Do not freeze. Store in the original package </w:t>
      </w:r>
      <w:proofErr w:type="gramStart"/>
      <w:r w:rsidRPr="00561530">
        <w:rPr>
          <w:rFonts w:ascii="Times New Roman" w:hAnsi="Times New Roman"/>
          <w:szCs w:val="24"/>
          <w:lang w:val="en-GB"/>
        </w:rPr>
        <w:t>in order to</w:t>
      </w:r>
      <w:proofErr w:type="gramEnd"/>
      <w:r w:rsidRPr="00561530">
        <w:rPr>
          <w:rFonts w:ascii="Times New Roman" w:hAnsi="Times New Roman"/>
          <w:szCs w:val="24"/>
          <w:lang w:val="en-GB"/>
        </w:rPr>
        <w:t xml:space="preserve"> protect from light.</w:t>
      </w:r>
    </w:p>
    <w:p w14:paraId="3FB94FBD" w14:textId="77777777" w:rsidR="00561530" w:rsidRPr="00561530" w:rsidRDefault="00561530" w:rsidP="00561530">
      <w:pPr>
        <w:rPr>
          <w:rFonts w:ascii="Times New Roman" w:hAnsi="Times New Roman"/>
        </w:rPr>
      </w:pPr>
      <w:r w:rsidRPr="00561530">
        <w:rPr>
          <w:rFonts w:ascii="Times New Roman" w:hAnsi="Times New Roman"/>
          <w:u w:val="single"/>
        </w:rPr>
        <w:t>After Reconstitution</w:t>
      </w:r>
    </w:p>
    <w:p w14:paraId="4334D4B6" w14:textId="77777777" w:rsidR="00561530" w:rsidRPr="00561530" w:rsidRDefault="00561530" w:rsidP="00561530">
      <w:pPr>
        <w:rPr>
          <w:rFonts w:ascii="Times New Roman" w:hAnsi="Times New Roman"/>
        </w:rPr>
      </w:pPr>
      <w:r w:rsidRPr="00561530">
        <w:rPr>
          <w:rFonts w:ascii="Times New Roman" w:hAnsi="Times New Roman"/>
          <w:lang w:eastAsia="ja-JP"/>
        </w:rPr>
        <w:t xml:space="preserve">When stored in the original container, chemical and physical in-use stability of the reconstituted medicinal product has been demonstrated for up to 8 hours at room temperature (≤ 25°C) or for up to 24 hours </w:t>
      </w:r>
      <w:r w:rsidRPr="00561530">
        <w:rPr>
          <w:rFonts w:ascii="Times New Roman" w:hAnsi="Times New Roman"/>
        </w:rPr>
        <w:t>at 2 </w:t>
      </w:r>
      <w:r w:rsidRPr="00561530">
        <w:rPr>
          <w:rFonts w:ascii="Times New Roman" w:hAnsi="Times New Roman"/>
        </w:rPr>
        <w:noBreakHyphen/>
        <w:t> 8°C.</w:t>
      </w:r>
    </w:p>
    <w:p w14:paraId="5CD115CB" w14:textId="77777777" w:rsidR="00561530" w:rsidRPr="00561530" w:rsidRDefault="00561530" w:rsidP="00561530">
      <w:pPr>
        <w:rPr>
          <w:rFonts w:ascii="Times New Roman" w:hAnsi="Times New Roman"/>
        </w:rPr>
      </w:pPr>
      <w:r w:rsidRPr="00561530">
        <w:rPr>
          <w:rFonts w:ascii="Times New Roman" w:hAnsi="Times New Roman"/>
          <w:lang w:eastAsia="ja-JP"/>
        </w:rPr>
        <w:t xml:space="preserve">From a microbiological point of view, the medicinal product should be used immediately. If not used immediately, the reconstituted product should not be stored longer than 24 hours </w:t>
      </w:r>
      <w:r w:rsidRPr="00561530">
        <w:rPr>
          <w:rFonts w:ascii="Times New Roman" w:hAnsi="Times New Roman"/>
        </w:rPr>
        <w:t>at 2 </w:t>
      </w:r>
      <w:r w:rsidRPr="00561530">
        <w:rPr>
          <w:rFonts w:ascii="Times New Roman" w:hAnsi="Times New Roman"/>
        </w:rPr>
        <w:noBreakHyphen/>
        <w:t> 8°C.</w:t>
      </w:r>
    </w:p>
    <w:p w14:paraId="5C3DF81E" w14:textId="77777777" w:rsidR="00561530" w:rsidRPr="00561530" w:rsidRDefault="00561530" w:rsidP="00561530">
      <w:pPr>
        <w:rPr>
          <w:rFonts w:ascii="Times New Roman" w:hAnsi="Times New Roman"/>
        </w:rPr>
      </w:pPr>
      <w:r w:rsidRPr="00561530">
        <w:rPr>
          <w:rFonts w:ascii="Times New Roman" w:hAnsi="Times New Roman"/>
        </w:rPr>
        <w:t>Do not freeze the reconstituted solution.</w:t>
      </w:r>
    </w:p>
    <w:p w14:paraId="50647BE7" w14:textId="1DE9A642" w:rsidR="00561530" w:rsidRPr="00E60FD9" w:rsidRDefault="00561530" w:rsidP="00561530">
      <w:pPr>
        <w:pStyle w:val="Heading2"/>
        <w:rPr>
          <w:rFonts w:ascii="Times New Roman" w:hAnsi="Times New Roman"/>
          <w:sz w:val="26"/>
        </w:rPr>
      </w:pPr>
      <w:bookmarkStart w:id="130" w:name="_Toc102045232"/>
      <w:r w:rsidRPr="00E60FD9">
        <w:rPr>
          <w:rFonts w:ascii="Times New Roman" w:hAnsi="Times New Roman"/>
          <w:sz w:val="26"/>
        </w:rPr>
        <w:t>6.5</w:t>
      </w:r>
      <w:r w:rsidRPr="00E60FD9">
        <w:rPr>
          <w:rFonts w:ascii="Times New Roman" w:hAnsi="Times New Roman"/>
          <w:sz w:val="26"/>
        </w:rPr>
        <w:tab/>
        <w:t>N</w:t>
      </w:r>
      <w:r w:rsidR="00E60FD9" w:rsidRPr="00E60FD9">
        <w:rPr>
          <w:rFonts w:ascii="Times New Roman" w:hAnsi="Times New Roman"/>
          <w:sz w:val="26"/>
        </w:rPr>
        <w:t>ATURE AND CONTENTS OF CONTAINER</w:t>
      </w:r>
      <w:bookmarkEnd w:id="130"/>
      <w:r w:rsidR="00E60FD9" w:rsidRPr="00E60FD9">
        <w:rPr>
          <w:rFonts w:ascii="Times New Roman" w:hAnsi="Times New Roman"/>
          <w:sz w:val="26"/>
        </w:rPr>
        <w:t xml:space="preserve"> </w:t>
      </w:r>
    </w:p>
    <w:p w14:paraId="39F22110" w14:textId="77777777" w:rsidR="00561530" w:rsidRPr="00561530" w:rsidRDefault="00561530" w:rsidP="00561530">
      <w:pPr>
        <w:rPr>
          <w:rFonts w:ascii="Times New Roman" w:hAnsi="Times New Roman"/>
          <w:u w:val="single"/>
        </w:rPr>
      </w:pPr>
      <w:r w:rsidRPr="00561530">
        <w:rPr>
          <w:rFonts w:ascii="Times New Roman" w:hAnsi="Times New Roman"/>
          <w:u w:val="single"/>
        </w:rPr>
        <w:t>REBLOZYL 25 mg powder for injection</w:t>
      </w:r>
    </w:p>
    <w:p w14:paraId="18EB3BFB" w14:textId="77777777" w:rsidR="00561530" w:rsidRPr="00561530" w:rsidRDefault="00561530" w:rsidP="00561530">
      <w:pPr>
        <w:rPr>
          <w:rFonts w:ascii="Times New Roman" w:hAnsi="Times New Roman"/>
        </w:rPr>
      </w:pPr>
      <w:r w:rsidRPr="00561530">
        <w:rPr>
          <w:rFonts w:ascii="Times New Roman" w:hAnsi="Times New Roman"/>
        </w:rPr>
        <w:t xml:space="preserve">3 mL Type I glass vial with a hydrophobic inner coating closed with a </w:t>
      </w:r>
      <w:proofErr w:type="spellStart"/>
      <w:r w:rsidRPr="00561530">
        <w:rPr>
          <w:rFonts w:ascii="Times New Roman" w:hAnsi="Times New Roman"/>
        </w:rPr>
        <w:t>bromobutyl</w:t>
      </w:r>
      <w:proofErr w:type="spellEnd"/>
      <w:r w:rsidRPr="00561530">
        <w:rPr>
          <w:rFonts w:ascii="Times New Roman" w:hAnsi="Times New Roman"/>
        </w:rPr>
        <w:t xml:space="preserve"> rubber stopper and an aluminium flip-off seal with yellow polypropylene button.</w:t>
      </w:r>
    </w:p>
    <w:p w14:paraId="1368C582" w14:textId="77777777" w:rsidR="00561530" w:rsidRPr="00561530" w:rsidRDefault="00561530" w:rsidP="00561530">
      <w:pPr>
        <w:rPr>
          <w:rFonts w:ascii="Times New Roman" w:hAnsi="Times New Roman"/>
          <w:u w:val="single"/>
        </w:rPr>
      </w:pPr>
      <w:r w:rsidRPr="00561530">
        <w:rPr>
          <w:rFonts w:ascii="Times New Roman" w:hAnsi="Times New Roman"/>
          <w:u w:val="single"/>
        </w:rPr>
        <w:t>REBLOZYL 75 mg powder for injection</w:t>
      </w:r>
    </w:p>
    <w:p w14:paraId="356DBDFB" w14:textId="77777777" w:rsidR="00561530" w:rsidRPr="00561530" w:rsidRDefault="00561530" w:rsidP="00561530">
      <w:pPr>
        <w:rPr>
          <w:rFonts w:ascii="Times New Roman" w:hAnsi="Times New Roman"/>
        </w:rPr>
      </w:pPr>
      <w:r w:rsidRPr="00561530">
        <w:rPr>
          <w:rFonts w:ascii="Times New Roman" w:hAnsi="Times New Roman"/>
        </w:rPr>
        <w:t xml:space="preserve">3 mL Type I glass vial with a hydrophobic inner coating closed with a </w:t>
      </w:r>
      <w:proofErr w:type="spellStart"/>
      <w:r w:rsidRPr="00561530">
        <w:rPr>
          <w:rFonts w:ascii="Times New Roman" w:hAnsi="Times New Roman"/>
        </w:rPr>
        <w:t>bromobutyl</w:t>
      </w:r>
      <w:proofErr w:type="spellEnd"/>
      <w:r w:rsidRPr="00561530">
        <w:rPr>
          <w:rFonts w:ascii="Times New Roman" w:hAnsi="Times New Roman"/>
        </w:rPr>
        <w:t xml:space="preserve"> rubber stopper and an aluminium flip-off seal with orange polypropylene button.</w:t>
      </w:r>
    </w:p>
    <w:p w14:paraId="4E1E1109" w14:textId="77777777" w:rsidR="00561530" w:rsidRPr="00561530" w:rsidRDefault="00561530" w:rsidP="00561530">
      <w:pPr>
        <w:rPr>
          <w:rFonts w:ascii="Times New Roman" w:hAnsi="Times New Roman"/>
        </w:rPr>
      </w:pPr>
      <w:r w:rsidRPr="00561530">
        <w:rPr>
          <w:rFonts w:ascii="Times New Roman" w:hAnsi="Times New Roman"/>
        </w:rPr>
        <w:t>Pack size: 1 vial</w:t>
      </w:r>
    </w:p>
    <w:p w14:paraId="728071B7" w14:textId="2ADC5A1D" w:rsidR="00561530" w:rsidRPr="00E60FD9" w:rsidRDefault="00561530" w:rsidP="00561530">
      <w:pPr>
        <w:pStyle w:val="Heading2"/>
        <w:rPr>
          <w:rFonts w:ascii="Times New Roman" w:hAnsi="Times New Roman"/>
          <w:sz w:val="26"/>
        </w:rPr>
      </w:pPr>
      <w:bookmarkStart w:id="131" w:name="_Toc102045233"/>
      <w:r w:rsidRPr="00E60FD9">
        <w:rPr>
          <w:rFonts w:ascii="Times New Roman" w:hAnsi="Times New Roman"/>
          <w:sz w:val="26"/>
        </w:rPr>
        <w:t>6.6</w:t>
      </w:r>
      <w:r w:rsidRPr="00E60FD9">
        <w:rPr>
          <w:rFonts w:ascii="Times New Roman" w:hAnsi="Times New Roman"/>
          <w:sz w:val="26"/>
        </w:rPr>
        <w:tab/>
        <w:t>S</w:t>
      </w:r>
      <w:r w:rsidR="00E60FD9" w:rsidRPr="00E60FD9">
        <w:rPr>
          <w:rFonts w:ascii="Times New Roman" w:hAnsi="Times New Roman"/>
          <w:sz w:val="26"/>
        </w:rPr>
        <w:t>PECIAL PRECAUTIONS FOR DISPOSAL</w:t>
      </w:r>
      <w:bookmarkEnd w:id="131"/>
      <w:r w:rsidR="00E60FD9" w:rsidRPr="00E60FD9">
        <w:rPr>
          <w:rFonts w:ascii="Times New Roman" w:hAnsi="Times New Roman"/>
          <w:sz w:val="26"/>
        </w:rPr>
        <w:t xml:space="preserve"> </w:t>
      </w:r>
    </w:p>
    <w:p w14:paraId="44976574" w14:textId="77777777" w:rsidR="00561530" w:rsidRPr="00561530" w:rsidRDefault="00561530" w:rsidP="00561530">
      <w:pPr>
        <w:rPr>
          <w:rFonts w:ascii="Times New Roman" w:hAnsi="Times New Roman"/>
          <w:lang w:val="en"/>
        </w:rPr>
      </w:pPr>
      <w:r w:rsidRPr="00561530">
        <w:rPr>
          <w:rFonts w:ascii="Times New Roman" w:hAnsi="Times New Roman"/>
          <w:lang w:val="en"/>
        </w:rPr>
        <w:t>Each vial of REBLOZYL is for single use in one patient only. Discard any residue.</w:t>
      </w:r>
    </w:p>
    <w:p w14:paraId="7F1BE33C" w14:textId="77777777" w:rsidR="00561530" w:rsidRPr="00561530" w:rsidRDefault="00561530" w:rsidP="00561530">
      <w:pPr>
        <w:rPr>
          <w:rFonts w:ascii="Times New Roman" w:hAnsi="Times New Roman"/>
          <w:lang w:val="en"/>
        </w:rPr>
      </w:pPr>
      <w:r w:rsidRPr="00561530">
        <w:rPr>
          <w:rFonts w:ascii="Times New Roman" w:hAnsi="Times New Roman"/>
          <w:lang w:val="en"/>
        </w:rPr>
        <w:t xml:space="preserve">In Australia, any unused medicine or waste material should be disposed of in accordance with local requirements. </w:t>
      </w:r>
    </w:p>
    <w:p w14:paraId="6BE97BAA" w14:textId="746CBFE5" w:rsidR="00561530" w:rsidRPr="00E60FD9" w:rsidRDefault="00561530" w:rsidP="00561530">
      <w:pPr>
        <w:pStyle w:val="Heading2"/>
        <w:rPr>
          <w:rFonts w:ascii="Times New Roman" w:hAnsi="Times New Roman"/>
          <w:sz w:val="26"/>
        </w:rPr>
      </w:pPr>
      <w:bookmarkStart w:id="132" w:name="_Toc102045234"/>
      <w:r w:rsidRPr="00E60FD9">
        <w:rPr>
          <w:rFonts w:ascii="Times New Roman" w:hAnsi="Times New Roman"/>
          <w:sz w:val="26"/>
        </w:rPr>
        <w:t>6.7</w:t>
      </w:r>
      <w:r w:rsidRPr="00E60FD9">
        <w:rPr>
          <w:rFonts w:ascii="Times New Roman" w:hAnsi="Times New Roman"/>
          <w:sz w:val="26"/>
        </w:rPr>
        <w:tab/>
        <w:t>P</w:t>
      </w:r>
      <w:r w:rsidR="00E60FD9" w:rsidRPr="00E60FD9">
        <w:rPr>
          <w:rFonts w:ascii="Times New Roman" w:hAnsi="Times New Roman"/>
          <w:sz w:val="26"/>
        </w:rPr>
        <w:t>HYSICOCHEMICAL PROPERTIES</w:t>
      </w:r>
      <w:bookmarkEnd w:id="132"/>
    </w:p>
    <w:p w14:paraId="773A2729" w14:textId="77777777" w:rsidR="00561530" w:rsidRPr="00E60FD9" w:rsidRDefault="00561530" w:rsidP="00561530">
      <w:pPr>
        <w:pStyle w:val="Heading3"/>
        <w:rPr>
          <w:rFonts w:ascii="Times New Roman" w:hAnsi="Times New Roman"/>
          <w:sz w:val="24"/>
          <w:szCs w:val="24"/>
        </w:rPr>
      </w:pPr>
      <w:bookmarkStart w:id="133" w:name="_Toc102045235"/>
      <w:r w:rsidRPr="00E60FD9">
        <w:rPr>
          <w:rFonts w:ascii="Times New Roman" w:hAnsi="Times New Roman"/>
          <w:sz w:val="24"/>
          <w:szCs w:val="24"/>
        </w:rPr>
        <w:t>Chemical Name</w:t>
      </w:r>
      <w:bookmarkEnd w:id="133"/>
    </w:p>
    <w:p w14:paraId="0CFD3A39" w14:textId="77777777" w:rsidR="00561530" w:rsidRPr="00561530" w:rsidRDefault="00561530" w:rsidP="00561530">
      <w:pPr>
        <w:rPr>
          <w:rFonts w:ascii="Times New Roman" w:hAnsi="Times New Roman"/>
        </w:rPr>
      </w:pPr>
      <w:r w:rsidRPr="00561530">
        <w:rPr>
          <w:rFonts w:ascii="Times New Roman" w:hAnsi="Times New Roman"/>
          <w:szCs w:val="24"/>
        </w:rPr>
        <w:t>Recombinant fusion protein consisting of two identical chains, each consisting of the modified form of the extracellular domain (ECD) of human activin receptor type IIB (</w:t>
      </w:r>
      <w:proofErr w:type="spellStart"/>
      <w:r w:rsidRPr="00561530">
        <w:rPr>
          <w:rFonts w:ascii="Times New Roman" w:hAnsi="Times New Roman"/>
          <w:szCs w:val="24"/>
        </w:rPr>
        <w:t>ActRIIB</w:t>
      </w:r>
      <w:proofErr w:type="spellEnd"/>
      <w:r w:rsidRPr="00561530">
        <w:rPr>
          <w:rFonts w:ascii="Times New Roman" w:hAnsi="Times New Roman"/>
          <w:szCs w:val="24"/>
        </w:rPr>
        <w:t xml:space="preserve">), linked to the human IgG1 Fc domain (including the hinge, CH2 and CH3 domains) through a </w:t>
      </w:r>
      <w:proofErr w:type="spellStart"/>
      <w:r w:rsidRPr="00561530">
        <w:rPr>
          <w:rFonts w:ascii="Times New Roman" w:hAnsi="Times New Roman"/>
          <w:szCs w:val="24"/>
        </w:rPr>
        <w:t>glycylglycylglycine</w:t>
      </w:r>
      <w:proofErr w:type="spellEnd"/>
      <w:r w:rsidRPr="00561530">
        <w:rPr>
          <w:rFonts w:ascii="Times New Roman" w:hAnsi="Times New Roman"/>
          <w:szCs w:val="24"/>
        </w:rPr>
        <w:t xml:space="preserve"> linker.</w:t>
      </w:r>
    </w:p>
    <w:p w14:paraId="69AF4697" w14:textId="77777777" w:rsidR="00561530" w:rsidRPr="00E60FD9" w:rsidRDefault="00561530" w:rsidP="00561530">
      <w:pPr>
        <w:pStyle w:val="Heading3"/>
        <w:rPr>
          <w:rFonts w:ascii="Times New Roman" w:hAnsi="Times New Roman"/>
          <w:sz w:val="24"/>
          <w:szCs w:val="20"/>
        </w:rPr>
      </w:pPr>
      <w:bookmarkStart w:id="134" w:name="_Toc102045236"/>
      <w:r w:rsidRPr="00E60FD9">
        <w:rPr>
          <w:rFonts w:ascii="Times New Roman" w:hAnsi="Times New Roman"/>
          <w:sz w:val="24"/>
          <w:szCs w:val="20"/>
        </w:rPr>
        <w:t>CAS Number</w:t>
      </w:r>
      <w:bookmarkEnd w:id="134"/>
    </w:p>
    <w:p w14:paraId="0433FD4E" w14:textId="77777777" w:rsidR="00561530" w:rsidRPr="00561530" w:rsidRDefault="00561530" w:rsidP="00561530">
      <w:pPr>
        <w:rPr>
          <w:rFonts w:ascii="Times New Roman" w:hAnsi="Times New Roman"/>
        </w:rPr>
      </w:pPr>
      <w:r w:rsidRPr="00561530">
        <w:rPr>
          <w:rFonts w:ascii="Times New Roman" w:hAnsi="Times New Roman"/>
        </w:rPr>
        <w:t>1373715-00-4</w:t>
      </w:r>
    </w:p>
    <w:p w14:paraId="598942C5" w14:textId="60E30BD9" w:rsidR="00561530" w:rsidRPr="00E60FD9" w:rsidRDefault="00561530" w:rsidP="00440EF2">
      <w:pPr>
        <w:pStyle w:val="Heading1"/>
        <w:numPr>
          <w:ilvl w:val="0"/>
          <w:numId w:val="22"/>
        </w:numPr>
        <w:ind w:left="0" w:firstLine="0"/>
        <w:rPr>
          <w:rFonts w:ascii="Times New Roman" w:hAnsi="Times New Roman" w:cs="Times New Roman"/>
          <w:sz w:val="28"/>
          <w:szCs w:val="28"/>
        </w:rPr>
      </w:pPr>
      <w:r w:rsidRPr="00E60FD9">
        <w:rPr>
          <w:rFonts w:ascii="Times New Roman" w:hAnsi="Times New Roman" w:cs="Times New Roman"/>
          <w:sz w:val="28"/>
          <w:szCs w:val="28"/>
        </w:rPr>
        <w:t>M</w:t>
      </w:r>
      <w:r w:rsidR="00E60FD9" w:rsidRPr="00E60FD9">
        <w:rPr>
          <w:rFonts w:ascii="Times New Roman" w:hAnsi="Times New Roman" w:cs="Times New Roman"/>
          <w:sz w:val="28"/>
          <w:szCs w:val="28"/>
        </w:rPr>
        <w:t>EDICINE SCHEDULE (POISONS STANDARD)</w:t>
      </w:r>
    </w:p>
    <w:p w14:paraId="01D36A91" w14:textId="77777777" w:rsidR="00561530" w:rsidRPr="00561530" w:rsidRDefault="00561530" w:rsidP="00561530">
      <w:pPr>
        <w:rPr>
          <w:rFonts w:ascii="Times New Roman" w:hAnsi="Times New Roman"/>
        </w:rPr>
      </w:pPr>
      <w:r w:rsidRPr="00561530">
        <w:rPr>
          <w:rFonts w:ascii="Times New Roman" w:hAnsi="Times New Roman"/>
        </w:rPr>
        <w:t>Schedule 4 (Prescription Only Medicine)</w:t>
      </w:r>
    </w:p>
    <w:p w14:paraId="26ABFED7" w14:textId="6A7BD7F9" w:rsidR="00561530" w:rsidRPr="00E60FD9" w:rsidRDefault="00561530" w:rsidP="00440EF2">
      <w:pPr>
        <w:pStyle w:val="Heading1"/>
        <w:numPr>
          <w:ilvl w:val="0"/>
          <w:numId w:val="22"/>
        </w:numPr>
        <w:ind w:left="0" w:firstLine="0"/>
        <w:rPr>
          <w:rFonts w:ascii="Times New Roman" w:hAnsi="Times New Roman" w:cs="Times New Roman"/>
          <w:sz w:val="28"/>
          <w:szCs w:val="28"/>
        </w:rPr>
      </w:pPr>
      <w:r w:rsidRPr="00E60FD9">
        <w:rPr>
          <w:rFonts w:ascii="Times New Roman" w:hAnsi="Times New Roman" w:cs="Times New Roman"/>
          <w:sz w:val="28"/>
          <w:szCs w:val="28"/>
        </w:rPr>
        <w:t>S</w:t>
      </w:r>
      <w:r w:rsidR="00E60FD9" w:rsidRPr="00E60FD9">
        <w:rPr>
          <w:rFonts w:ascii="Times New Roman" w:hAnsi="Times New Roman" w:cs="Times New Roman"/>
          <w:sz w:val="28"/>
          <w:szCs w:val="28"/>
        </w:rPr>
        <w:t xml:space="preserve">PONSOR </w:t>
      </w:r>
    </w:p>
    <w:p w14:paraId="2F5C407F" w14:textId="77777777" w:rsidR="00561530" w:rsidRPr="00561530" w:rsidRDefault="00561530" w:rsidP="00561530">
      <w:pPr>
        <w:rPr>
          <w:rFonts w:ascii="Times New Roman" w:hAnsi="Times New Roman"/>
          <w:szCs w:val="24"/>
        </w:rPr>
      </w:pPr>
      <w:r w:rsidRPr="00561530">
        <w:rPr>
          <w:rFonts w:ascii="Times New Roman" w:hAnsi="Times New Roman"/>
          <w:szCs w:val="24"/>
        </w:rPr>
        <w:t>Sponsored in Australia by:</w:t>
      </w:r>
    </w:p>
    <w:p w14:paraId="01231012" w14:textId="77777777" w:rsidR="00561530" w:rsidRPr="00561530" w:rsidRDefault="00561530" w:rsidP="00561530">
      <w:pPr>
        <w:pStyle w:val="NoSpacing"/>
        <w:rPr>
          <w:rFonts w:cs="Times New Roman"/>
        </w:rPr>
      </w:pPr>
      <w:r w:rsidRPr="00561530">
        <w:rPr>
          <w:rFonts w:cs="Times New Roman"/>
        </w:rPr>
        <w:t>Celgene Pty Limited</w:t>
      </w:r>
    </w:p>
    <w:p w14:paraId="392C4467" w14:textId="77777777" w:rsidR="00561530" w:rsidRPr="00561530" w:rsidRDefault="00561530" w:rsidP="00561530">
      <w:pPr>
        <w:pStyle w:val="NoSpacing"/>
        <w:rPr>
          <w:rFonts w:cs="Times New Roman"/>
        </w:rPr>
      </w:pPr>
      <w:r w:rsidRPr="00561530">
        <w:rPr>
          <w:rFonts w:cs="Times New Roman"/>
        </w:rPr>
        <w:t>Level 15, 60 City Road</w:t>
      </w:r>
    </w:p>
    <w:p w14:paraId="7248F04B" w14:textId="77777777" w:rsidR="00561530" w:rsidRPr="00561530" w:rsidRDefault="00561530" w:rsidP="00561530">
      <w:pPr>
        <w:pStyle w:val="NoSpacing"/>
        <w:rPr>
          <w:rFonts w:cs="Times New Roman"/>
        </w:rPr>
      </w:pPr>
      <w:r w:rsidRPr="00561530">
        <w:rPr>
          <w:rFonts w:cs="Times New Roman"/>
        </w:rPr>
        <w:t>Southbank VIC 3006</w:t>
      </w:r>
    </w:p>
    <w:p w14:paraId="7337607C" w14:textId="77777777" w:rsidR="00561530" w:rsidRPr="00561530" w:rsidRDefault="00561530" w:rsidP="00561530">
      <w:pPr>
        <w:pStyle w:val="NoSpacing"/>
        <w:rPr>
          <w:rFonts w:cs="Times New Roman"/>
        </w:rPr>
      </w:pPr>
      <w:r w:rsidRPr="00561530">
        <w:rPr>
          <w:rFonts w:cs="Times New Roman"/>
        </w:rPr>
        <w:t>Australia</w:t>
      </w:r>
    </w:p>
    <w:p w14:paraId="2E7D5CF9" w14:textId="77777777" w:rsidR="00561530" w:rsidRPr="00561530" w:rsidRDefault="00561530" w:rsidP="00561530">
      <w:pPr>
        <w:pStyle w:val="NoSpacing"/>
        <w:rPr>
          <w:rFonts w:cs="Times New Roman"/>
        </w:rPr>
      </w:pPr>
      <w:r w:rsidRPr="00561530">
        <w:rPr>
          <w:rFonts w:cs="Times New Roman"/>
        </w:rPr>
        <w:t>Telephone: 1800 CELGENE (1800 235 4363)</w:t>
      </w:r>
    </w:p>
    <w:p w14:paraId="1A6493E7" w14:textId="77777777" w:rsidR="00561530" w:rsidRPr="00561530" w:rsidRDefault="00561530" w:rsidP="00561530">
      <w:pPr>
        <w:rPr>
          <w:rFonts w:ascii="Times New Roman" w:hAnsi="Times New Roman"/>
        </w:rPr>
      </w:pPr>
    </w:p>
    <w:p w14:paraId="1F8AB76C" w14:textId="620854D2" w:rsidR="00561530" w:rsidRPr="00E60FD9" w:rsidRDefault="00561530" w:rsidP="00440EF2">
      <w:pPr>
        <w:pStyle w:val="Heading1"/>
        <w:numPr>
          <w:ilvl w:val="0"/>
          <w:numId w:val="22"/>
        </w:numPr>
        <w:ind w:left="0" w:firstLine="0"/>
        <w:rPr>
          <w:rFonts w:ascii="Times New Roman" w:hAnsi="Times New Roman" w:cs="Times New Roman"/>
          <w:sz w:val="28"/>
          <w:szCs w:val="28"/>
        </w:rPr>
      </w:pPr>
      <w:r w:rsidRPr="00E60FD9">
        <w:rPr>
          <w:rFonts w:ascii="Times New Roman" w:hAnsi="Times New Roman" w:cs="Times New Roman"/>
          <w:sz w:val="28"/>
          <w:szCs w:val="28"/>
        </w:rPr>
        <w:t>D</w:t>
      </w:r>
      <w:r w:rsidR="00E60FD9" w:rsidRPr="00E60FD9">
        <w:rPr>
          <w:rFonts w:ascii="Times New Roman" w:hAnsi="Times New Roman" w:cs="Times New Roman"/>
          <w:sz w:val="28"/>
          <w:szCs w:val="28"/>
        </w:rPr>
        <w:t xml:space="preserve">ATE OF FIRST APPROVAL  </w:t>
      </w:r>
    </w:p>
    <w:p w14:paraId="27AB6E0C" w14:textId="77777777" w:rsidR="00561530" w:rsidRPr="00561530" w:rsidRDefault="00561530" w:rsidP="00561530">
      <w:pPr>
        <w:rPr>
          <w:rFonts w:ascii="Times New Roman" w:hAnsi="Times New Roman"/>
        </w:rPr>
      </w:pPr>
      <w:r w:rsidRPr="00561530">
        <w:rPr>
          <w:rFonts w:ascii="Times New Roman" w:hAnsi="Times New Roman"/>
        </w:rPr>
        <w:t>30 August 2021</w:t>
      </w:r>
    </w:p>
    <w:p w14:paraId="76A98498" w14:textId="3CDF86ED" w:rsidR="00561530" w:rsidRPr="00E60FD9" w:rsidRDefault="00561530" w:rsidP="00440EF2">
      <w:pPr>
        <w:pStyle w:val="Heading1"/>
        <w:numPr>
          <w:ilvl w:val="0"/>
          <w:numId w:val="22"/>
        </w:numPr>
        <w:ind w:left="0" w:firstLine="0"/>
        <w:rPr>
          <w:rFonts w:ascii="Times New Roman" w:hAnsi="Times New Roman" w:cs="Times New Roman"/>
          <w:sz w:val="28"/>
          <w:szCs w:val="28"/>
        </w:rPr>
      </w:pPr>
      <w:r w:rsidRPr="00E60FD9">
        <w:rPr>
          <w:rFonts w:ascii="Times New Roman" w:hAnsi="Times New Roman" w:cs="Times New Roman"/>
          <w:sz w:val="28"/>
          <w:szCs w:val="28"/>
        </w:rPr>
        <w:t>D</w:t>
      </w:r>
      <w:r w:rsidR="00E60FD9" w:rsidRPr="00E60FD9">
        <w:rPr>
          <w:rFonts w:ascii="Times New Roman" w:hAnsi="Times New Roman" w:cs="Times New Roman"/>
          <w:sz w:val="28"/>
          <w:szCs w:val="28"/>
        </w:rPr>
        <w:t xml:space="preserve">ATE OF REVISION </w:t>
      </w:r>
    </w:p>
    <w:p w14:paraId="6050AAEF" w14:textId="77777777" w:rsidR="00561530" w:rsidRPr="00561530" w:rsidRDefault="00561530" w:rsidP="00561530">
      <w:pPr>
        <w:rPr>
          <w:rFonts w:ascii="Times New Roman" w:hAnsi="Times New Roman"/>
        </w:rPr>
      </w:pPr>
      <w:r w:rsidRPr="00561530">
        <w:rPr>
          <w:rFonts w:ascii="Times New Roman" w:hAnsi="Times New Roman"/>
        </w:rPr>
        <w:t>N/A</w:t>
      </w:r>
    </w:p>
    <w:p w14:paraId="11BA8C70" w14:textId="77777777" w:rsidR="00561530" w:rsidRPr="00E60FD9" w:rsidRDefault="00561530" w:rsidP="00561530">
      <w:pPr>
        <w:pStyle w:val="Heading2"/>
        <w:rPr>
          <w:rFonts w:ascii="Times New Roman" w:hAnsi="Times New Roman"/>
          <w:sz w:val="26"/>
        </w:rPr>
      </w:pPr>
      <w:bookmarkStart w:id="135" w:name="_Toc102045237"/>
      <w:r w:rsidRPr="00E60FD9">
        <w:rPr>
          <w:rFonts w:ascii="Times New Roman" w:hAnsi="Times New Roman"/>
          <w:sz w:val="26"/>
        </w:rPr>
        <w:t>Summary Table of Changes</w:t>
      </w:r>
      <w:bookmarkEnd w:id="135"/>
    </w:p>
    <w:tbl>
      <w:tblPr>
        <w:tblStyle w:val="LightGrid"/>
        <w:tblW w:w="0" w:type="auto"/>
        <w:tblCellMar>
          <w:top w:w="57" w:type="dxa"/>
          <w:bottom w:w="57" w:type="dxa"/>
        </w:tblCellMar>
        <w:tblLook w:val="06A0" w:firstRow="1" w:lastRow="0" w:firstColumn="1" w:lastColumn="0" w:noHBand="1" w:noVBand="1"/>
      </w:tblPr>
      <w:tblGrid>
        <w:gridCol w:w="1348"/>
        <w:gridCol w:w="7136"/>
      </w:tblGrid>
      <w:tr w:rsidR="00561530" w:rsidRPr="00561530" w14:paraId="523900E5" w14:textId="77777777" w:rsidTr="00561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3CAA5099" w14:textId="77777777" w:rsidR="00561530" w:rsidRPr="00561530" w:rsidRDefault="00561530" w:rsidP="00561530">
            <w:pPr>
              <w:rPr>
                <w:rFonts w:ascii="Times New Roman" w:hAnsi="Times New Roman"/>
                <w:szCs w:val="24"/>
                <w:lang w:val="en-US"/>
              </w:rPr>
            </w:pPr>
            <w:r w:rsidRPr="00561530">
              <w:rPr>
                <w:rFonts w:ascii="Times New Roman" w:hAnsi="Times New Roman"/>
                <w:szCs w:val="24"/>
                <w:lang w:val="en-US"/>
              </w:rPr>
              <w:t>Section Changed</w:t>
            </w:r>
          </w:p>
        </w:tc>
        <w:tc>
          <w:tcPr>
            <w:tcW w:w="7858" w:type="dxa"/>
            <w:shd w:val="clear" w:color="auto" w:fill="F2F2F2" w:themeFill="background1" w:themeFillShade="F2"/>
            <w:vAlign w:val="center"/>
          </w:tcPr>
          <w:p w14:paraId="6CE2C1FD" w14:textId="77777777" w:rsidR="00561530" w:rsidRPr="00561530" w:rsidRDefault="00561530" w:rsidP="00561530">
            <w:pPr>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n-US"/>
              </w:rPr>
            </w:pPr>
            <w:r w:rsidRPr="00561530">
              <w:rPr>
                <w:rFonts w:ascii="Times New Roman" w:hAnsi="Times New Roman"/>
                <w:szCs w:val="24"/>
                <w:lang w:val="en-US"/>
              </w:rPr>
              <w:t>Summary of New Information</w:t>
            </w:r>
          </w:p>
        </w:tc>
      </w:tr>
    </w:tbl>
    <w:p w14:paraId="6F877618" w14:textId="0EBB3628" w:rsidR="00561530" w:rsidRPr="00561530" w:rsidRDefault="00561530" w:rsidP="00A6305E">
      <w:pPr>
        <w:autoSpaceDE w:val="0"/>
        <w:autoSpaceDN w:val="0"/>
        <w:adjustRightInd w:val="0"/>
        <w:spacing w:after="0"/>
        <w:rPr>
          <w:rFonts w:ascii="Times New Roman" w:hAnsi="Times New Roman"/>
          <w:lang w:eastAsia="ja-JP"/>
        </w:rPr>
        <w:sectPr w:rsidR="00561530" w:rsidRPr="00561530" w:rsidSect="003066EB">
          <w:headerReference w:type="default" r:id="rId39"/>
          <w:type w:val="continuous"/>
          <w:pgSz w:w="11906" w:h="16838" w:code="9"/>
          <w:pgMar w:top="566" w:right="1701" w:bottom="1191" w:left="1701" w:header="907" w:footer="215"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4666BBB" w14:textId="77777777" w:rsidTr="00A05FA4">
        <w:trPr>
          <w:trHeight w:hRule="exact" w:val="704"/>
        </w:trPr>
        <w:tc>
          <w:tcPr>
            <w:tcW w:w="9175" w:type="dxa"/>
          </w:tcPr>
          <w:p w14:paraId="3ACA77E5" w14:textId="77777777" w:rsidR="001C32CD" w:rsidRPr="00487162" w:rsidRDefault="001C32CD" w:rsidP="00A05FA4">
            <w:pPr>
              <w:pStyle w:val="TGASignoff"/>
            </w:pPr>
            <w:r w:rsidRPr="00487162">
              <w:t>Therapeutic Goods Administration</w:t>
            </w:r>
          </w:p>
        </w:tc>
      </w:tr>
      <w:tr w:rsidR="001C32CD" w:rsidRPr="004C239D" w14:paraId="67BAC345" w14:textId="77777777" w:rsidTr="00A05FA4">
        <w:trPr>
          <w:trHeight w:val="1221"/>
        </w:trPr>
        <w:tc>
          <w:tcPr>
            <w:tcW w:w="9175" w:type="dxa"/>
            <w:tcMar>
              <w:top w:w="28" w:type="dxa"/>
            </w:tcMar>
          </w:tcPr>
          <w:p w14:paraId="683F88BF" w14:textId="77777777" w:rsidR="001C32CD" w:rsidRPr="00487162" w:rsidRDefault="001C32CD" w:rsidP="00A05FA4">
            <w:pPr>
              <w:pStyle w:val="Address"/>
            </w:pPr>
            <w:r w:rsidRPr="00487162">
              <w:t>PO Box 100 Woden ACT 2606 Australia</w:t>
            </w:r>
          </w:p>
          <w:p w14:paraId="686E00D8" w14:textId="60A54B29" w:rsidR="001C32CD" w:rsidRPr="00487162" w:rsidRDefault="001C32CD" w:rsidP="00A05FA4">
            <w:pPr>
              <w:pStyle w:val="Address"/>
            </w:pPr>
            <w:r w:rsidRPr="00487162">
              <w:t xml:space="preserve">Email: </w:t>
            </w:r>
            <w:hyperlink r:id="rId40" w:history="1">
              <w:r w:rsidRPr="004C239D">
                <w:rPr>
                  <w:rStyle w:val="Hyperlink"/>
                </w:rPr>
                <w:t>info@tga.gov.au</w:t>
              </w:r>
            </w:hyperlink>
            <w:r w:rsidR="002A5295">
              <w:t xml:space="preserve"> </w:t>
            </w:r>
            <w:r w:rsidRPr="00487162">
              <w:t>Phone: 1800 020 653</w:t>
            </w:r>
            <w:r w:rsidR="002A5295">
              <w:t xml:space="preserve"> </w:t>
            </w:r>
            <w:r w:rsidRPr="00487162">
              <w:t>Fax: 02 6232 8605</w:t>
            </w:r>
          </w:p>
          <w:p w14:paraId="5F23492A" w14:textId="77777777" w:rsidR="001C32CD" w:rsidRPr="004C239D" w:rsidRDefault="00290DBB"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14:paraId="02E2274E"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52812" w14:textId="77777777" w:rsidR="00F91303" w:rsidRDefault="00F91303" w:rsidP="00C40A36">
      <w:pPr>
        <w:spacing w:after="0"/>
      </w:pPr>
      <w:r>
        <w:separator/>
      </w:r>
    </w:p>
  </w:endnote>
  <w:endnote w:type="continuationSeparator" w:id="0">
    <w:p w14:paraId="4046D5DC" w14:textId="77777777" w:rsidR="00F91303" w:rsidRDefault="00F9130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Times New Roman 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3" w:usb1="09070000" w:usb2="00000010" w:usb3="00000000" w:csb0="000A0001" w:csb1="00000000"/>
  </w:font>
  <w:font w:name="Times-Italic">
    <w:panose1 w:val="00000000000000000000"/>
    <w:charset w:val="00"/>
    <w:family w:val="roman"/>
    <w:notTrueType/>
    <w:pitch w:val="default"/>
    <w:sig w:usb0="00000003" w:usb1="00000000" w:usb2="00000000" w:usb3="00000000" w:csb0="00000001" w:csb1="00000000"/>
  </w:font>
  <w:font w:name="TradeGothicLTStd">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C8E1" w14:textId="77777777" w:rsidR="00F91303" w:rsidRDefault="00F913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91303" w:rsidRPr="00487162" w14:paraId="65EE1254" w14:textId="77777777" w:rsidTr="00DB750B">
      <w:trPr>
        <w:trHeight w:val="269"/>
      </w:trPr>
      <w:tc>
        <w:tcPr>
          <w:tcW w:w="7371" w:type="dxa"/>
          <w:tcMar>
            <w:top w:w="142" w:type="dxa"/>
            <w:bottom w:w="0" w:type="dxa"/>
          </w:tcMar>
        </w:tcPr>
        <w:p w14:paraId="0FA55F25" w14:textId="113F4E63" w:rsidR="00F91303" w:rsidRPr="00487162" w:rsidRDefault="00F91303" w:rsidP="00460036">
          <w:pPr>
            <w:pStyle w:val="Footer"/>
          </w:pPr>
          <w:r w:rsidRPr="00487162">
            <w:t>AusPA</w:t>
          </w:r>
          <w:r>
            <w:t xml:space="preserve">R - </w:t>
          </w:r>
          <w:r w:rsidRPr="001B52A0">
            <w:t>Reblozyl</w:t>
          </w:r>
          <w:r>
            <w:t xml:space="preserve"> </w:t>
          </w:r>
          <w:r w:rsidRPr="00460036">
            <w:t xml:space="preserve">– </w:t>
          </w:r>
          <w:r>
            <w:t>l</w:t>
          </w:r>
          <w:r w:rsidRPr="001B52A0">
            <w:t>uspatercept</w:t>
          </w:r>
          <w:r w:rsidRPr="00460036">
            <w:t xml:space="preserve"> </w:t>
          </w:r>
          <w:r>
            <w:t xml:space="preserve">- </w:t>
          </w:r>
          <w:r w:rsidRPr="001B52A0">
            <w:t>Celgene Pty Ltd</w:t>
          </w:r>
          <w:r>
            <w:t xml:space="preserve"> - </w:t>
          </w:r>
          <w:r w:rsidRPr="00DE5EC4">
            <w:t>PM-2020-01706-1-6</w:t>
          </w:r>
          <w:r>
            <w:br/>
            <w:t>FINAL 27 April 2022</w:t>
          </w:r>
        </w:p>
      </w:tc>
      <w:tc>
        <w:tcPr>
          <w:tcW w:w="1490" w:type="dxa"/>
          <w:tcMar>
            <w:top w:w="142" w:type="dxa"/>
            <w:bottom w:w="0" w:type="dxa"/>
          </w:tcMar>
        </w:tcPr>
        <w:p w14:paraId="563FBACC" w14:textId="651D0D71" w:rsidR="00F91303" w:rsidRPr="00487162" w:rsidRDefault="00F91303" w:rsidP="00DB750B">
          <w:pPr>
            <w:pStyle w:val="Footer"/>
            <w:jc w:val="right"/>
          </w:pPr>
          <w:r w:rsidRPr="00487162">
            <w:t xml:space="preserve">Page </w:t>
          </w:r>
          <w:r>
            <w:fldChar w:fldCharType="begin"/>
          </w:r>
          <w:r>
            <w:instrText xml:space="preserve"> PAGE  \* Arabic </w:instrText>
          </w:r>
          <w:r>
            <w:fldChar w:fldCharType="separate"/>
          </w:r>
          <w:r>
            <w:rPr>
              <w:noProof/>
            </w:rPr>
            <w:t>61</w:t>
          </w:r>
          <w:r>
            <w:fldChar w:fldCharType="end"/>
          </w:r>
          <w:r w:rsidRPr="00487162">
            <w:t xml:space="preserve"> of </w:t>
          </w:r>
          <w:fldSimple w:instr=" NUMPAGES  \* Arabic ">
            <w:r>
              <w:rPr>
                <w:noProof/>
              </w:rPr>
              <w:t>62</w:t>
            </w:r>
          </w:fldSimple>
        </w:p>
      </w:tc>
    </w:tr>
  </w:tbl>
  <w:p w14:paraId="794201C5" w14:textId="77777777" w:rsidR="00F91303" w:rsidRDefault="00F9130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4A0B8" w14:textId="77777777" w:rsidR="00F91303" w:rsidRDefault="00F913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91303" w:rsidRPr="00487162" w14:paraId="7E86CA69" w14:textId="77777777" w:rsidTr="00E45619">
      <w:trPr>
        <w:trHeight w:val="269"/>
      </w:trPr>
      <w:tc>
        <w:tcPr>
          <w:tcW w:w="4519" w:type="dxa"/>
          <w:tcBorders>
            <w:top w:val="single" w:sz="4" w:space="0" w:color="auto"/>
          </w:tcBorders>
          <w:tcMar>
            <w:top w:w="142" w:type="dxa"/>
            <w:bottom w:w="0" w:type="dxa"/>
          </w:tcMar>
        </w:tcPr>
        <w:p w14:paraId="44683501" w14:textId="77777777" w:rsidR="00F91303" w:rsidRPr="00487162" w:rsidRDefault="00F91303" w:rsidP="00FE1DEE">
          <w:pPr>
            <w:pStyle w:val="Footer"/>
          </w:pPr>
          <w:r w:rsidRPr="00487162">
            <w:t>Document title, Part #, Section # - Section title</w:t>
          </w:r>
        </w:p>
        <w:p w14:paraId="6CC64180" w14:textId="77777777" w:rsidR="00F91303" w:rsidRPr="00487162" w:rsidRDefault="00F91303" w:rsidP="00FE1DEE">
          <w:pPr>
            <w:pStyle w:val="Footer"/>
          </w:pPr>
          <w:r w:rsidRPr="00487162">
            <w:t>V1.0 October 2010</w:t>
          </w:r>
        </w:p>
      </w:tc>
      <w:tc>
        <w:tcPr>
          <w:tcW w:w="4342" w:type="dxa"/>
          <w:tcBorders>
            <w:top w:val="single" w:sz="4" w:space="0" w:color="auto"/>
          </w:tcBorders>
          <w:tcMar>
            <w:top w:w="142" w:type="dxa"/>
            <w:bottom w:w="0" w:type="dxa"/>
          </w:tcMar>
        </w:tcPr>
        <w:p w14:paraId="0CCBB90C" w14:textId="77777777" w:rsidR="00F91303" w:rsidRPr="00487162" w:rsidRDefault="00F9130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1410222C" w14:textId="77777777" w:rsidR="00F91303" w:rsidRDefault="00F913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A1CA2" w14:textId="77777777" w:rsidR="00F91303" w:rsidRPr="001C32CD" w:rsidRDefault="00F9130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91303" w14:paraId="313A4E9A" w14:textId="77777777" w:rsidTr="0010601F">
      <w:trPr>
        <w:trHeight w:val="108"/>
      </w:trPr>
      <w:tc>
        <w:tcPr>
          <w:tcW w:w="8875" w:type="dxa"/>
          <w:gridSpan w:val="2"/>
          <w:tcBorders>
            <w:bottom w:val="single" w:sz="4" w:space="0" w:color="auto"/>
          </w:tcBorders>
          <w:tcMar>
            <w:right w:w="284" w:type="dxa"/>
          </w:tcMar>
        </w:tcPr>
        <w:p w14:paraId="36A80027" w14:textId="77777777" w:rsidR="00F91303" w:rsidRDefault="00F91303" w:rsidP="006E08B3">
          <w:pPr>
            <w:pStyle w:val="Heading3"/>
          </w:pPr>
          <w:r>
            <w:t>Copyright</w:t>
          </w:r>
        </w:p>
        <w:p w14:paraId="661AB108" w14:textId="77777777" w:rsidR="00F91303" w:rsidRDefault="00F91303" w:rsidP="006E08B3">
          <w:r>
            <w:rPr>
              <w:rFonts w:cs="Arial"/>
            </w:rPr>
            <w:t>©</w:t>
          </w:r>
          <w:r>
            <w:t xml:space="preserve"> Commonwealth of Australia [add year]</w:t>
          </w:r>
        </w:p>
        <w:p w14:paraId="29066A15" w14:textId="77777777" w:rsidR="00F91303" w:rsidRDefault="00F91303" w:rsidP="006E08B3"/>
        <w:p w14:paraId="762069DD" w14:textId="77777777" w:rsidR="00F91303" w:rsidRDefault="00F9130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48A3301" w14:textId="77777777" w:rsidR="00F91303" w:rsidRDefault="00F91303" w:rsidP="006E08B3"/>
        <w:p w14:paraId="54D3809C" w14:textId="77777777" w:rsidR="00F91303" w:rsidRDefault="00F91303" w:rsidP="006E08B3">
          <w:pPr>
            <w:pStyle w:val="Heading3"/>
          </w:pPr>
          <w:r>
            <w:t>Confidentiality</w:t>
          </w:r>
        </w:p>
        <w:p w14:paraId="50F9B2F1" w14:textId="77777777" w:rsidR="00F91303" w:rsidRDefault="00F9130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652B254" w14:textId="77777777" w:rsidR="00F91303" w:rsidRDefault="00F91303" w:rsidP="006E08B3"/>
        <w:p w14:paraId="7D8FEDC5" w14:textId="77777777" w:rsidR="00F91303" w:rsidRDefault="00F91303" w:rsidP="006E08B3">
          <w:r>
            <w:t>For submission made by individuals, all personal details, other than your name, will be removed from your submission before it is published on the TGA’s Internet site.</w:t>
          </w:r>
        </w:p>
        <w:p w14:paraId="15A193AF" w14:textId="77777777" w:rsidR="00F91303" w:rsidRDefault="00F91303" w:rsidP="006E08B3"/>
        <w:p w14:paraId="72AB5073" w14:textId="77777777" w:rsidR="00F91303" w:rsidRDefault="00F9130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91303" w14:paraId="38F465F0" w14:textId="77777777" w:rsidTr="0010601F">
      <w:trPr>
        <w:trHeight w:val="417"/>
      </w:trPr>
      <w:tc>
        <w:tcPr>
          <w:tcW w:w="4519" w:type="dxa"/>
          <w:tcBorders>
            <w:top w:val="single" w:sz="4" w:space="0" w:color="auto"/>
          </w:tcBorders>
          <w:tcMar>
            <w:top w:w="142" w:type="dxa"/>
            <w:bottom w:w="0" w:type="dxa"/>
          </w:tcMar>
        </w:tcPr>
        <w:p w14:paraId="24E6497B" w14:textId="77777777" w:rsidR="00F91303" w:rsidRDefault="00F91303" w:rsidP="006E08B3">
          <w:r>
            <w:t>Document title, Part #, Section # - Section title</w:t>
          </w:r>
        </w:p>
        <w:p w14:paraId="319DBDDD" w14:textId="77777777" w:rsidR="00F91303" w:rsidRDefault="00F91303" w:rsidP="006E08B3">
          <w:r>
            <w:t>V1.0 October 2010</w:t>
          </w:r>
        </w:p>
      </w:tc>
      <w:tc>
        <w:tcPr>
          <w:tcW w:w="4356" w:type="dxa"/>
          <w:tcBorders>
            <w:top w:val="single" w:sz="4" w:space="0" w:color="auto"/>
          </w:tcBorders>
          <w:tcMar>
            <w:top w:w="142" w:type="dxa"/>
            <w:bottom w:w="0" w:type="dxa"/>
          </w:tcMar>
        </w:tcPr>
        <w:p w14:paraId="0B899A62" w14:textId="77777777" w:rsidR="00F91303" w:rsidRDefault="00F9130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12F774D8" w14:textId="77777777" w:rsidR="00F91303" w:rsidRDefault="00F913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4CA11E" w14:textId="77777777" w:rsidR="00F91303" w:rsidRDefault="00F91303" w:rsidP="00C40A36">
      <w:pPr>
        <w:spacing w:after="0"/>
      </w:pPr>
      <w:r>
        <w:separator/>
      </w:r>
    </w:p>
  </w:footnote>
  <w:footnote w:type="continuationSeparator" w:id="0">
    <w:p w14:paraId="7D714927" w14:textId="77777777" w:rsidR="00F91303" w:rsidRDefault="00F91303" w:rsidP="00C40A36">
      <w:pPr>
        <w:spacing w:after="0"/>
      </w:pPr>
      <w:r>
        <w:continuationSeparator/>
      </w:r>
    </w:p>
  </w:footnote>
  <w:footnote w:id="1">
    <w:p w14:paraId="117079F4" w14:textId="77777777" w:rsidR="00F91303" w:rsidRDefault="00F91303">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F6133B5"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Bejar</w:t>
      </w:r>
      <w:proofErr w:type="spellEnd"/>
      <w:r w:rsidRPr="00DD50BD">
        <w:rPr>
          <w:sz w:val="16"/>
          <w:szCs w:val="16"/>
        </w:rPr>
        <w:t xml:space="preserve">, R. et al. Recent developments in myelodysplastic syndromes, </w:t>
      </w:r>
      <w:r w:rsidRPr="00DD50BD">
        <w:rPr>
          <w:i/>
          <w:iCs/>
          <w:sz w:val="16"/>
          <w:szCs w:val="16"/>
        </w:rPr>
        <w:t>Blood</w:t>
      </w:r>
      <w:r w:rsidRPr="00DD50BD">
        <w:rPr>
          <w:sz w:val="16"/>
          <w:szCs w:val="16"/>
        </w:rPr>
        <w:t xml:space="preserve"> 2014; 124:2793-2803.</w:t>
      </w:r>
    </w:p>
  </w:footnote>
  <w:footnote w:id="3">
    <w:p w14:paraId="7F099E1C"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Da-Silva-Coelho, et al. Clonal evolution in myelodysplastic syndromes, </w:t>
      </w:r>
      <w:r w:rsidRPr="00DD50BD">
        <w:rPr>
          <w:i/>
          <w:iCs/>
          <w:sz w:val="16"/>
          <w:szCs w:val="16"/>
        </w:rPr>
        <w:t xml:space="preserve">Nat </w:t>
      </w:r>
      <w:proofErr w:type="spellStart"/>
      <w:r w:rsidRPr="00DD50BD">
        <w:rPr>
          <w:i/>
          <w:iCs/>
          <w:sz w:val="16"/>
          <w:szCs w:val="16"/>
        </w:rPr>
        <w:t>Commun</w:t>
      </w:r>
      <w:proofErr w:type="spellEnd"/>
      <w:r w:rsidRPr="00DD50BD">
        <w:rPr>
          <w:sz w:val="16"/>
          <w:szCs w:val="16"/>
        </w:rPr>
        <w:t>, 2017; 8: 15099.</w:t>
      </w:r>
    </w:p>
  </w:footnote>
  <w:footnote w:id="4">
    <w:p w14:paraId="2F03A603"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Cogle</w:t>
      </w:r>
      <w:proofErr w:type="spellEnd"/>
      <w:r w:rsidRPr="00DD50BD">
        <w:rPr>
          <w:sz w:val="16"/>
          <w:szCs w:val="16"/>
        </w:rPr>
        <w:t xml:space="preserve">, C., Incidence and burden of the myelodysplastic syndromes, </w:t>
      </w:r>
      <w:proofErr w:type="spellStart"/>
      <w:r w:rsidRPr="00DD50BD">
        <w:rPr>
          <w:sz w:val="16"/>
          <w:szCs w:val="16"/>
        </w:rPr>
        <w:t>Curr</w:t>
      </w:r>
      <w:proofErr w:type="spellEnd"/>
      <w:r w:rsidRPr="00DD50BD">
        <w:rPr>
          <w:sz w:val="16"/>
          <w:szCs w:val="16"/>
        </w:rPr>
        <w:t xml:space="preserve"> </w:t>
      </w:r>
      <w:proofErr w:type="spellStart"/>
      <w:r w:rsidRPr="00DD50BD">
        <w:rPr>
          <w:sz w:val="16"/>
          <w:szCs w:val="16"/>
        </w:rPr>
        <w:t>Hematol</w:t>
      </w:r>
      <w:proofErr w:type="spellEnd"/>
      <w:r w:rsidRPr="00DD50BD">
        <w:rPr>
          <w:sz w:val="16"/>
          <w:szCs w:val="16"/>
        </w:rPr>
        <w:t xml:space="preserve"> </w:t>
      </w:r>
      <w:proofErr w:type="spellStart"/>
      <w:r w:rsidRPr="00DD50BD">
        <w:rPr>
          <w:sz w:val="16"/>
          <w:szCs w:val="16"/>
        </w:rPr>
        <w:t>Malig</w:t>
      </w:r>
      <w:proofErr w:type="spellEnd"/>
      <w:r w:rsidRPr="00DD50BD">
        <w:rPr>
          <w:sz w:val="16"/>
          <w:szCs w:val="16"/>
        </w:rPr>
        <w:t xml:space="preserve"> Rep, 2015;10(3):</w:t>
      </w:r>
      <w:r>
        <w:rPr>
          <w:sz w:val="16"/>
          <w:szCs w:val="16"/>
        </w:rPr>
        <w:t xml:space="preserve"> </w:t>
      </w:r>
      <w:r w:rsidRPr="00DD50BD">
        <w:rPr>
          <w:sz w:val="16"/>
          <w:szCs w:val="16"/>
        </w:rPr>
        <w:t>272-281.</w:t>
      </w:r>
    </w:p>
  </w:footnote>
  <w:footnote w:id="5">
    <w:p w14:paraId="3A049516"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Visser, O. et al, Incidence, </w:t>
      </w:r>
      <w:proofErr w:type="gramStart"/>
      <w:r w:rsidRPr="00DD50BD">
        <w:rPr>
          <w:sz w:val="16"/>
          <w:szCs w:val="16"/>
        </w:rPr>
        <w:t>survival</w:t>
      </w:r>
      <w:proofErr w:type="gramEnd"/>
      <w:r w:rsidRPr="00DD50BD">
        <w:rPr>
          <w:sz w:val="16"/>
          <w:szCs w:val="16"/>
        </w:rPr>
        <w:t xml:space="preserve"> and prevalence of myeloid malignancies in Europe, Eur J Cancer, 2012; 48(17): 3257-3266.</w:t>
      </w:r>
    </w:p>
  </w:footnote>
  <w:footnote w:id="6">
    <w:p w14:paraId="5CD83838"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Haematological Malignancy Research Network (HMRN). Incidence Available from: https://www.hmrn.org/statistics/incidence. Accessed March 2019.</w:t>
      </w:r>
    </w:p>
  </w:footnote>
  <w:footnote w:id="7">
    <w:p w14:paraId="6DF1A444"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r w:rsidRPr="00DD50BD">
        <w:rPr>
          <w:rFonts w:asciiTheme="minorHAnsi" w:eastAsiaTheme="minorHAnsi" w:hAnsiTheme="minorHAnsi"/>
          <w:color w:val="000000"/>
          <w:sz w:val="16"/>
          <w:szCs w:val="16"/>
          <w:lang w:val="en-US"/>
        </w:rPr>
        <w:t xml:space="preserve">Australian Institute of Health and Welfare 2018. Cancer Data in Australia; Australian Cancer Incidence and Mortality (ACIM) books: myelodysplastic syndromes. Canberra: AIHW. Australian Institute of Health and Welfare 2019. Australian Cancer Database (ACD). Available from: </w:t>
      </w:r>
      <w:hyperlink r:id="rId1" w:history="1">
        <w:r w:rsidRPr="00DD50BD">
          <w:rPr>
            <w:rStyle w:val="Hyperlink"/>
            <w:rFonts w:asciiTheme="minorHAnsi" w:eastAsiaTheme="minorHAnsi" w:hAnsiTheme="minorHAnsi"/>
            <w:sz w:val="16"/>
            <w:szCs w:val="16"/>
            <w:lang w:val="en-US"/>
          </w:rPr>
          <w:t>https://www.aihw.gov.au/about-our-data/our-data-collections/australian-cancer-database</w:t>
        </w:r>
      </w:hyperlink>
      <w:r w:rsidRPr="00DD50BD">
        <w:rPr>
          <w:rFonts w:asciiTheme="minorHAnsi" w:eastAsiaTheme="minorHAnsi" w:hAnsiTheme="minorHAnsi"/>
          <w:color w:val="0000FF"/>
          <w:sz w:val="16"/>
          <w:szCs w:val="16"/>
          <w:lang w:val="en-US"/>
        </w:rPr>
        <w:t>.</w:t>
      </w:r>
    </w:p>
  </w:footnote>
  <w:footnote w:id="8">
    <w:p w14:paraId="6A37C26E"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Ma, X. Myelodysplastic syndromes incidence and survival in united states</w:t>
      </w:r>
      <w:r>
        <w:rPr>
          <w:sz w:val="16"/>
          <w:szCs w:val="16"/>
        </w:rPr>
        <w:t>,</w:t>
      </w:r>
      <w:r w:rsidRPr="00DD50BD">
        <w:rPr>
          <w:sz w:val="16"/>
          <w:szCs w:val="16"/>
        </w:rPr>
        <w:t xml:space="preserve"> Cancer 2007; 109: 1536–1542.</w:t>
      </w:r>
    </w:p>
  </w:footnote>
  <w:footnote w:id="9">
    <w:p w14:paraId="782AEE5E" w14:textId="77777777" w:rsidR="00F91303" w:rsidRDefault="00F91303" w:rsidP="00F03961">
      <w:pPr>
        <w:pStyle w:val="FootnoteText"/>
      </w:pPr>
      <w:r w:rsidRPr="00DD50BD">
        <w:rPr>
          <w:rStyle w:val="FootnoteReference"/>
          <w:sz w:val="16"/>
          <w:szCs w:val="16"/>
        </w:rPr>
        <w:footnoteRef/>
      </w:r>
      <w:r w:rsidRPr="00DD50BD">
        <w:rPr>
          <w:sz w:val="16"/>
          <w:szCs w:val="16"/>
        </w:rPr>
        <w:t xml:space="preserve"> Ma, X. Epidemiology of </w:t>
      </w:r>
      <w:r>
        <w:rPr>
          <w:sz w:val="16"/>
          <w:szCs w:val="16"/>
        </w:rPr>
        <w:t>m</w:t>
      </w:r>
      <w:r w:rsidRPr="00DD50BD">
        <w:rPr>
          <w:sz w:val="16"/>
          <w:szCs w:val="16"/>
        </w:rPr>
        <w:t xml:space="preserve">yelodysplastic </w:t>
      </w:r>
      <w:r>
        <w:rPr>
          <w:sz w:val="16"/>
          <w:szCs w:val="16"/>
        </w:rPr>
        <w:t>s</w:t>
      </w:r>
      <w:r w:rsidRPr="00DD50BD">
        <w:rPr>
          <w:sz w:val="16"/>
          <w:szCs w:val="16"/>
        </w:rPr>
        <w:t>yndromes</w:t>
      </w:r>
      <w:r>
        <w:rPr>
          <w:sz w:val="16"/>
          <w:szCs w:val="16"/>
        </w:rPr>
        <w:t>,</w:t>
      </w:r>
      <w:r w:rsidRPr="00DD50BD">
        <w:rPr>
          <w:sz w:val="16"/>
          <w:szCs w:val="16"/>
        </w:rPr>
        <w:t xml:space="preserve"> </w:t>
      </w:r>
      <w:r>
        <w:rPr>
          <w:sz w:val="16"/>
          <w:szCs w:val="16"/>
        </w:rPr>
        <w:t>Am J Med,</w:t>
      </w:r>
      <w:r w:rsidRPr="00DD50BD">
        <w:rPr>
          <w:sz w:val="16"/>
          <w:szCs w:val="16"/>
        </w:rPr>
        <w:t xml:space="preserve"> 2012</w:t>
      </w:r>
      <w:r>
        <w:rPr>
          <w:sz w:val="16"/>
          <w:szCs w:val="16"/>
        </w:rPr>
        <w:t>;</w:t>
      </w:r>
      <w:r w:rsidRPr="00DD50BD">
        <w:rPr>
          <w:sz w:val="16"/>
          <w:szCs w:val="16"/>
        </w:rPr>
        <w:t xml:space="preserve"> 125</w:t>
      </w:r>
      <w:r>
        <w:rPr>
          <w:sz w:val="16"/>
          <w:szCs w:val="16"/>
        </w:rPr>
        <w:t>:</w:t>
      </w:r>
      <w:r w:rsidRPr="00DD50BD">
        <w:rPr>
          <w:sz w:val="16"/>
          <w:szCs w:val="16"/>
        </w:rPr>
        <w:t xml:space="preserve"> S2–S5.</w:t>
      </w:r>
    </w:p>
  </w:footnote>
  <w:footnote w:id="10">
    <w:p w14:paraId="22078862" w14:textId="77777777" w:rsidR="00F91303" w:rsidRDefault="00F91303" w:rsidP="00F03961">
      <w:pPr>
        <w:pStyle w:val="FootnoteText"/>
      </w:pPr>
      <w:r>
        <w:rPr>
          <w:rStyle w:val="FootnoteReference"/>
        </w:rPr>
        <w:footnoteRef/>
      </w:r>
      <w:r>
        <w:t xml:space="preserve"> </w:t>
      </w:r>
      <w:proofErr w:type="spellStart"/>
      <w:r w:rsidRPr="00F10E00">
        <w:t>Germing</w:t>
      </w:r>
      <w:proofErr w:type="spellEnd"/>
      <w:r w:rsidRPr="00F10E00">
        <w:t xml:space="preserve">, U. et al. Survival, prognostic </w:t>
      </w:r>
      <w:proofErr w:type="gramStart"/>
      <w:r w:rsidRPr="00F10E00">
        <w:t>factors</w:t>
      </w:r>
      <w:proofErr w:type="gramEnd"/>
      <w:r w:rsidRPr="00F10E00">
        <w:t xml:space="preserve"> and rates of leukemic transformation in 381 untreated patients with MDS and del(5q): a </w:t>
      </w:r>
      <w:proofErr w:type="spellStart"/>
      <w:r w:rsidRPr="00F10E00">
        <w:t>multicenter</w:t>
      </w:r>
      <w:proofErr w:type="spellEnd"/>
      <w:r w:rsidRPr="00F10E00">
        <w:t xml:space="preserve"> study. Leukemia 2012; 26: 1286-1292.</w:t>
      </w:r>
    </w:p>
  </w:footnote>
  <w:footnote w:id="11">
    <w:p w14:paraId="1607D160" w14:textId="77777777" w:rsidR="00F91303" w:rsidRDefault="00F91303" w:rsidP="00F03961">
      <w:pPr>
        <w:pStyle w:val="FootnoteText"/>
      </w:pPr>
      <w:r>
        <w:rPr>
          <w:rStyle w:val="FootnoteReference"/>
        </w:rPr>
        <w:footnoteRef/>
      </w:r>
      <w:r>
        <w:t xml:space="preserve"> </w:t>
      </w:r>
      <w:proofErr w:type="spellStart"/>
      <w:r>
        <w:t>Fenaux</w:t>
      </w:r>
      <w:proofErr w:type="spellEnd"/>
      <w:r>
        <w:t xml:space="preserve">, P. </w:t>
      </w:r>
      <w:r w:rsidRPr="00D66E1D">
        <w:t xml:space="preserve">Myelodysplastic syndromes: ESMO </w:t>
      </w:r>
      <w:r>
        <w:t>c</w:t>
      </w:r>
      <w:r w:rsidRPr="00D66E1D">
        <w:t xml:space="preserve">linical </w:t>
      </w:r>
      <w:r>
        <w:t>p</w:t>
      </w:r>
      <w:r w:rsidRPr="00D66E1D">
        <w:t xml:space="preserve">ractice </w:t>
      </w:r>
      <w:r>
        <w:t>g</w:t>
      </w:r>
      <w:r w:rsidRPr="00D66E1D">
        <w:t>uidelines for diagnosis, treatment and follow-up</w:t>
      </w:r>
      <w:r>
        <w:t>,</w:t>
      </w:r>
      <w:r w:rsidRPr="00D66E1D">
        <w:t xml:space="preserve"> Ann Oncol</w:t>
      </w:r>
      <w:r>
        <w:t>,</w:t>
      </w:r>
      <w:r w:rsidRPr="00D66E1D">
        <w:t xml:space="preserve"> 2014;</w:t>
      </w:r>
      <w:r>
        <w:t xml:space="preserve"> </w:t>
      </w:r>
      <w:r w:rsidRPr="00D66E1D">
        <w:t>25 Suppl 3: iii57-69.</w:t>
      </w:r>
    </w:p>
  </w:footnote>
  <w:footnote w:id="12">
    <w:p w14:paraId="44F80513" w14:textId="77777777" w:rsidR="00F91303" w:rsidRDefault="00F91303" w:rsidP="00F03961">
      <w:pPr>
        <w:pStyle w:val="FootnoteText"/>
      </w:pPr>
      <w:r>
        <w:rPr>
          <w:rStyle w:val="FootnoteReference"/>
        </w:rPr>
        <w:footnoteRef/>
      </w:r>
      <w:r>
        <w:t xml:space="preserve"> </w:t>
      </w:r>
      <w:r w:rsidRPr="00D2464C">
        <w:t>Ades</w:t>
      </w:r>
      <w:r>
        <w:t>,</w:t>
      </w:r>
      <w:r w:rsidRPr="00D2464C">
        <w:t xml:space="preserve"> L</w:t>
      </w:r>
      <w:r>
        <w:t>. et al</w:t>
      </w:r>
      <w:r w:rsidRPr="00D2464C">
        <w:t>. Myelodysplastic syndromes</w:t>
      </w:r>
      <w:r>
        <w:t>,</w:t>
      </w:r>
      <w:r w:rsidRPr="00D2464C">
        <w:t xml:space="preserve"> </w:t>
      </w:r>
      <w:r w:rsidRPr="00D2464C">
        <w:rPr>
          <w:i/>
          <w:iCs/>
        </w:rPr>
        <w:t>Lancet</w:t>
      </w:r>
      <w:r w:rsidRPr="00D2464C">
        <w:t xml:space="preserve"> 2014; 383:</w:t>
      </w:r>
      <w:r>
        <w:t xml:space="preserve"> </w:t>
      </w:r>
      <w:r w:rsidRPr="00D2464C">
        <w:t>2239-</w:t>
      </w:r>
      <w:r>
        <w:t>22</w:t>
      </w:r>
      <w:r w:rsidRPr="00D2464C">
        <w:t>52.</w:t>
      </w:r>
    </w:p>
  </w:footnote>
  <w:footnote w:id="13">
    <w:p w14:paraId="79E78264" w14:textId="77777777" w:rsidR="00F91303" w:rsidRDefault="00F91303" w:rsidP="00F03961">
      <w:pPr>
        <w:pStyle w:val="FootnoteText"/>
      </w:pPr>
      <w:r>
        <w:rPr>
          <w:rStyle w:val="FootnoteReference"/>
        </w:rPr>
        <w:footnoteRef/>
      </w:r>
      <w:r>
        <w:t xml:space="preserve"> </w:t>
      </w:r>
      <w:proofErr w:type="spellStart"/>
      <w:r w:rsidRPr="00DC585F">
        <w:t>Foran</w:t>
      </w:r>
      <w:proofErr w:type="spellEnd"/>
      <w:r>
        <w:t>,</w:t>
      </w:r>
      <w:r w:rsidRPr="00DC585F">
        <w:t xml:space="preserve"> J.</w:t>
      </w:r>
      <w:r>
        <w:t xml:space="preserve"> et al.</w:t>
      </w:r>
      <w:r w:rsidRPr="00DC585F">
        <w:t xml:space="preserve"> Clinical presentation, diagnosis, and prognosis of myelodysplastic syndromes</w:t>
      </w:r>
      <w:r>
        <w:t>,</w:t>
      </w:r>
      <w:r w:rsidRPr="00DC585F">
        <w:t xml:space="preserve"> </w:t>
      </w:r>
      <w:r w:rsidRPr="002C732A">
        <w:rPr>
          <w:i/>
          <w:iCs/>
        </w:rPr>
        <w:t>Am J Med</w:t>
      </w:r>
      <w:r w:rsidRPr="00DC585F">
        <w:t xml:space="preserve"> 2012;</w:t>
      </w:r>
      <w:r>
        <w:t xml:space="preserve"> </w:t>
      </w:r>
      <w:r w:rsidRPr="00DC585F">
        <w:t>125: S6-13.</w:t>
      </w:r>
    </w:p>
  </w:footnote>
  <w:footnote w:id="14">
    <w:p w14:paraId="41822406" w14:textId="77777777" w:rsidR="00F91303" w:rsidRPr="00DD50BD" w:rsidRDefault="00F91303" w:rsidP="00F03961">
      <w:pPr>
        <w:pStyle w:val="FootnoteText"/>
        <w:rPr>
          <w:lang w:val="en-GB"/>
        </w:rPr>
      </w:pPr>
      <w:r>
        <w:rPr>
          <w:rStyle w:val="FootnoteReference"/>
        </w:rPr>
        <w:footnoteRef/>
      </w:r>
      <w:r>
        <w:t xml:space="preserve"> </w:t>
      </w:r>
      <w:r>
        <w:rPr>
          <w:sz w:val="16"/>
          <w:szCs w:val="16"/>
        </w:rPr>
        <w:t xml:space="preserve">It is estimated that approximately 30% of all MDS patients have &gt; 15% of bone marrow erythroid precursors that are ring sideroblasts. Ring sideroblasts as defined by the International Working Group on Morphology of Myelodysplastic Syndromes (IWG-MDS) is an erythroblast with at least 5 </w:t>
      </w:r>
      <w:proofErr w:type="spellStart"/>
      <w:r>
        <w:rPr>
          <w:sz w:val="16"/>
          <w:szCs w:val="16"/>
        </w:rPr>
        <w:t>siderotic</w:t>
      </w:r>
      <w:proofErr w:type="spellEnd"/>
      <w:r>
        <w:rPr>
          <w:sz w:val="16"/>
          <w:szCs w:val="16"/>
        </w:rPr>
        <w:t xml:space="preserve"> granules covering at least a third of the circumference of the nucleus. Patients with ring sideroblasts with splicing factor mutations have been shown to have ineffective erythropoiesis, possibly related to the defects in iron utilization (Conte, 2015; del Rey, 2015; </w:t>
      </w:r>
      <w:proofErr w:type="spellStart"/>
      <w:r>
        <w:rPr>
          <w:sz w:val="16"/>
          <w:szCs w:val="16"/>
        </w:rPr>
        <w:t>Dolatshad</w:t>
      </w:r>
      <w:proofErr w:type="spellEnd"/>
      <w:r>
        <w:rPr>
          <w:sz w:val="16"/>
          <w:szCs w:val="16"/>
        </w:rPr>
        <w:t xml:space="preserve">, 2015). In patients with refractory anaemia with ring sideroblasts (RARS), the required number of </w:t>
      </w:r>
      <w:proofErr w:type="gramStart"/>
      <w:r>
        <w:rPr>
          <w:sz w:val="16"/>
          <w:szCs w:val="16"/>
        </w:rPr>
        <w:t>ring</w:t>
      </w:r>
      <w:proofErr w:type="gramEnd"/>
      <w:r>
        <w:rPr>
          <w:sz w:val="16"/>
          <w:szCs w:val="16"/>
        </w:rPr>
        <w:t xml:space="preserve"> sideroblasts is ≥ 15%; however, RARS definition also includes cases with ring sideroblasts ≥ 5% if the SF3B1 mutation is present (Arber, 2016).</w:t>
      </w:r>
    </w:p>
  </w:footnote>
  <w:footnote w:id="15">
    <w:p w14:paraId="38ACD106"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Arber, D. The 2016 revision to the World Health Organisation classification of myeloid neoplasms and acute leukemia, Blood, 2016; 127(20): 2391-2405.</w:t>
      </w:r>
    </w:p>
  </w:footnote>
  <w:footnote w:id="16">
    <w:p w14:paraId="58DB9AA9" w14:textId="77777777" w:rsidR="00F91303" w:rsidRPr="00DD50BD" w:rsidRDefault="00F91303" w:rsidP="00F03961">
      <w:pPr>
        <w:pStyle w:val="FootnoteText"/>
        <w:rPr>
          <w:sz w:val="16"/>
          <w:szCs w:val="16"/>
          <w:lang w:val="en-GB"/>
        </w:rPr>
      </w:pPr>
      <w:r>
        <w:rPr>
          <w:rStyle w:val="FootnoteReference"/>
        </w:rPr>
        <w:footnoteRef/>
      </w:r>
      <w:r>
        <w:t xml:space="preserve"> </w:t>
      </w:r>
      <w:r>
        <w:rPr>
          <w:sz w:val="16"/>
          <w:szCs w:val="16"/>
        </w:rPr>
        <w:t>MDS-RS with single lineage dysplasia (MDS-RS-SLD), MDS-RS with multilineage dysplasia (MDS-RS-MLD).</w:t>
      </w:r>
    </w:p>
  </w:footnote>
  <w:footnote w:id="17">
    <w:p w14:paraId="7BC92A2B"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gramStart"/>
      <w:r w:rsidRPr="00DD50BD">
        <w:rPr>
          <w:sz w:val="16"/>
          <w:szCs w:val="16"/>
        </w:rPr>
        <w:t>Greenberg,</w:t>
      </w:r>
      <w:proofErr w:type="gramEnd"/>
      <w:r w:rsidRPr="00DD50BD">
        <w:rPr>
          <w:sz w:val="16"/>
          <w:szCs w:val="16"/>
        </w:rPr>
        <w:t xml:space="preserve"> P. Revised international prognostic scoring system for myelodysplastic syndromes, Blood, 2012; 120(12): 2454-2465.</w:t>
      </w:r>
    </w:p>
  </w:footnote>
  <w:footnote w:id="18">
    <w:p w14:paraId="6F63BF96"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r w:rsidRPr="00DD50BD">
        <w:rPr>
          <w:rFonts w:asciiTheme="minorHAnsi" w:eastAsiaTheme="minorHAnsi" w:hAnsiTheme="minorHAnsi"/>
          <w:sz w:val="16"/>
          <w:szCs w:val="16"/>
          <w:lang w:val="en-US"/>
        </w:rPr>
        <w:t xml:space="preserve">NCCN </w:t>
      </w:r>
      <w:r w:rsidRPr="00DE7745">
        <w:rPr>
          <w:rFonts w:asciiTheme="minorHAnsi" w:eastAsiaTheme="minorHAnsi" w:hAnsiTheme="minorHAnsi"/>
          <w:sz w:val="16"/>
          <w:szCs w:val="16"/>
          <w:lang w:val="en-US"/>
        </w:rPr>
        <w:t>c</w:t>
      </w:r>
      <w:r w:rsidRPr="00DD50BD">
        <w:rPr>
          <w:rFonts w:asciiTheme="minorHAnsi" w:eastAsiaTheme="minorHAnsi" w:hAnsiTheme="minorHAnsi"/>
          <w:sz w:val="16"/>
          <w:szCs w:val="16"/>
          <w:lang w:val="en-US"/>
        </w:rPr>
        <w:t xml:space="preserve">linical </w:t>
      </w:r>
      <w:r w:rsidRPr="00DE7745">
        <w:rPr>
          <w:rFonts w:asciiTheme="minorHAnsi" w:eastAsiaTheme="minorHAnsi" w:hAnsiTheme="minorHAnsi"/>
          <w:sz w:val="16"/>
          <w:szCs w:val="16"/>
          <w:lang w:val="en-US"/>
        </w:rPr>
        <w:t>p</w:t>
      </w:r>
      <w:r w:rsidRPr="00DD50BD">
        <w:rPr>
          <w:rFonts w:asciiTheme="minorHAnsi" w:eastAsiaTheme="minorHAnsi" w:hAnsiTheme="minorHAnsi"/>
          <w:sz w:val="16"/>
          <w:szCs w:val="16"/>
          <w:lang w:val="en-US"/>
        </w:rPr>
        <w:t xml:space="preserve">ractice </w:t>
      </w:r>
      <w:r w:rsidRPr="00DE7745">
        <w:rPr>
          <w:rFonts w:asciiTheme="minorHAnsi" w:eastAsiaTheme="minorHAnsi" w:hAnsiTheme="minorHAnsi"/>
          <w:sz w:val="16"/>
          <w:szCs w:val="16"/>
          <w:lang w:val="en-US"/>
        </w:rPr>
        <w:t>g</w:t>
      </w:r>
      <w:r w:rsidRPr="00DD50BD">
        <w:rPr>
          <w:rFonts w:asciiTheme="minorHAnsi" w:eastAsiaTheme="minorHAnsi" w:hAnsiTheme="minorHAnsi"/>
          <w:sz w:val="16"/>
          <w:szCs w:val="16"/>
          <w:lang w:val="en-US"/>
        </w:rPr>
        <w:t xml:space="preserve">uidelines in </w:t>
      </w:r>
      <w:r w:rsidRPr="00DE7745">
        <w:rPr>
          <w:rFonts w:asciiTheme="minorHAnsi" w:eastAsiaTheme="minorHAnsi" w:hAnsiTheme="minorHAnsi"/>
          <w:sz w:val="16"/>
          <w:szCs w:val="16"/>
          <w:lang w:val="en-US"/>
        </w:rPr>
        <w:t>o</w:t>
      </w:r>
      <w:r w:rsidRPr="00DD50BD">
        <w:rPr>
          <w:rFonts w:asciiTheme="minorHAnsi" w:eastAsiaTheme="minorHAnsi" w:hAnsiTheme="minorHAnsi"/>
          <w:sz w:val="16"/>
          <w:szCs w:val="16"/>
          <w:lang w:val="en-US"/>
        </w:rPr>
        <w:t xml:space="preserve">ncology; </w:t>
      </w:r>
      <w:r w:rsidRPr="00DE7745">
        <w:rPr>
          <w:rFonts w:asciiTheme="minorHAnsi" w:eastAsiaTheme="minorHAnsi" w:hAnsiTheme="minorHAnsi"/>
          <w:sz w:val="16"/>
          <w:szCs w:val="16"/>
          <w:lang w:val="en-US"/>
        </w:rPr>
        <w:t>m</w:t>
      </w:r>
      <w:r w:rsidRPr="00DD50BD">
        <w:rPr>
          <w:rFonts w:asciiTheme="minorHAnsi" w:eastAsiaTheme="minorHAnsi" w:hAnsiTheme="minorHAnsi"/>
          <w:sz w:val="16"/>
          <w:szCs w:val="16"/>
          <w:lang w:val="en-US"/>
        </w:rPr>
        <w:t xml:space="preserve">yelodysplastic </w:t>
      </w:r>
      <w:r w:rsidRPr="00DE7745">
        <w:rPr>
          <w:rFonts w:asciiTheme="minorHAnsi" w:eastAsiaTheme="minorHAnsi" w:hAnsiTheme="minorHAnsi"/>
          <w:sz w:val="16"/>
          <w:szCs w:val="16"/>
          <w:lang w:val="en-US"/>
        </w:rPr>
        <w:t>s</w:t>
      </w:r>
      <w:r w:rsidRPr="00DD50BD">
        <w:rPr>
          <w:rFonts w:asciiTheme="minorHAnsi" w:eastAsiaTheme="minorHAnsi" w:hAnsiTheme="minorHAnsi"/>
          <w:sz w:val="16"/>
          <w:szCs w:val="16"/>
          <w:lang w:val="en-US"/>
        </w:rPr>
        <w:t xml:space="preserve">yndromes, </w:t>
      </w:r>
      <w:r w:rsidRPr="00DE7745">
        <w:rPr>
          <w:rFonts w:asciiTheme="minorHAnsi" w:eastAsiaTheme="minorHAnsi" w:hAnsiTheme="minorHAnsi"/>
          <w:sz w:val="16"/>
          <w:szCs w:val="16"/>
          <w:lang w:val="en-US"/>
        </w:rPr>
        <w:t>v</w:t>
      </w:r>
      <w:r w:rsidRPr="00DD50BD">
        <w:rPr>
          <w:rFonts w:asciiTheme="minorHAnsi" w:eastAsiaTheme="minorHAnsi" w:hAnsiTheme="minorHAnsi"/>
          <w:sz w:val="16"/>
          <w:szCs w:val="16"/>
          <w:lang w:val="en-US"/>
        </w:rPr>
        <w:t xml:space="preserve">ersion 2.2019 </w:t>
      </w:r>
      <w:r w:rsidRPr="00DD50BD">
        <w:rPr>
          <w:rFonts w:asciiTheme="minorHAnsi" w:eastAsiaTheme="minorHAnsi" w:hAnsiTheme="minorHAnsi" w:cs="TimesNewRomanPSMT"/>
          <w:sz w:val="16"/>
          <w:szCs w:val="16"/>
          <w:lang w:val="en-US"/>
        </w:rPr>
        <w:t xml:space="preserve">– </w:t>
      </w:r>
      <w:r w:rsidRPr="00DD50BD">
        <w:rPr>
          <w:rFonts w:asciiTheme="minorHAnsi" w:eastAsiaTheme="minorHAnsi" w:hAnsiTheme="minorHAnsi"/>
          <w:sz w:val="16"/>
          <w:szCs w:val="16"/>
          <w:lang w:val="en-US"/>
        </w:rPr>
        <w:t>October 18, 2018.</w:t>
      </w:r>
    </w:p>
  </w:footnote>
  <w:footnote w:id="19">
    <w:p w14:paraId="60B9C305" w14:textId="77777777" w:rsidR="00F91303" w:rsidRDefault="00F91303" w:rsidP="00F03961">
      <w:pPr>
        <w:pStyle w:val="FootnoteText"/>
      </w:pPr>
      <w:r w:rsidRPr="00DD50BD">
        <w:rPr>
          <w:rStyle w:val="FootnoteReference"/>
          <w:sz w:val="16"/>
          <w:szCs w:val="16"/>
        </w:rPr>
        <w:footnoteRef/>
      </w:r>
      <w:r w:rsidRPr="00DD50BD">
        <w:rPr>
          <w:sz w:val="16"/>
          <w:szCs w:val="16"/>
        </w:rPr>
        <w:t xml:space="preserve"> </w:t>
      </w:r>
      <w:proofErr w:type="spellStart"/>
      <w:r w:rsidRPr="00DD50BD">
        <w:rPr>
          <w:sz w:val="16"/>
          <w:szCs w:val="16"/>
        </w:rPr>
        <w:t>Zini</w:t>
      </w:r>
      <w:proofErr w:type="spellEnd"/>
      <w:r w:rsidRPr="00DD50BD">
        <w:rPr>
          <w:sz w:val="16"/>
          <w:szCs w:val="16"/>
        </w:rPr>
        <w:t xml:space="preserve">, G. </w:t>
      </w:r>
      <w:r w:rsidRPr="00DD50BD">
        <w:rPr>
          <w:rFonts w:asciiTheme="minorHAnsi" w:eastAsiaTheme="minorHAnsi" w:hAnsiTheme="minorHAnsi" w:cs="Times-Italic"/>
          <w:iCs/>
          <w:sz w:val="16"/>
          <w:szCs w:val="16"/>
          <w:lang w:val="en-US"/>
        </w:rPr>
        <w:t xml:space="preserve">Diagnostics and </w:t>
      </w:r>
      <w:proofErr w:type="spellStart"/>
      <w:r w:rsidRPr="00DD50BD">
        <w:rPr>
          <w:rFonts w:asciiTheme="minorHAnsi" w:eastAsiaTheme="minorHAnsi" w:hAnsiTheme="minorHAnsi" w:cs="Times-Italic"/>
          <w:iCs/>
          <w:sz w:val="16"/>
          <w:szCs w:val="16"/>
          <w:lang w:val="en-US"/>
        </w:rPr>
        <w:t>prognostictation</w:t>
      </w:r>
      <w:proofErr w:type="spellEnd"/>
      <w:r w:rsidRPr="00DD50BD">
        <w:rPr>
          <w:rFonts w:asciiTheme="minorHAnsi" w:eastAsiaTheme="minorHAnsi" w:hAnsiTheme="minorHAnsi" w:cs="Times-Italic"/>
          <w:iCs/>
          <w:sz w:val="16"/>
          <w:szCs w:val="16"/>
          <w:lang w:val="en-US"/>
        </w:rPr>
        <w:t xml:space="preserve"> of myelodysplastic syndromes, </w:t>
      </w:r>
      <w:r w:rsidRPr="00DD50BD">
        <w:rPr>
          <w:rFonts w:asciiTheme="minorHAnsi" w:eastAsiaTheme="minorHAnsi" w:hAnsiTheme="minorHAnsi" w:cs="TradeGothicLTStd"/>
          <w:sz w:val="16"/>
          <w:szCs w:val="16"/>
          <w:lang w:val="en-US"/>
        </w:rPr>
        <w:t>Ann Lab Med, 2017; 37: 465-474.</w:t>
      </w:r>
    </w:p>
  </w:footnote>
  <w:footnote w:id="20">
    <w:p w14:paraId="517B7573" w14:textId="77777777" w:rsidR="00F91303" w:rsidRPr="00DD50BD" w:rsidRDefault="00F91303" w:rsidP="00F03961">
      <w:pPr>
        <w:pStyle w:val="FootnoteText"/>
        <w:rPr>
          <w:rFonts w:asciiTheme="minorHAnsi" w:hAnsiTheme="minorHAnsi"/>
          <w:sz w:val="16"/>
          <w:szCs w:val="16"/>
        </w:rPr>
      </w:pPr>
      <w:r w:rsidRPr="00DD50BD">
        <w:rPr>
          <w:rStyle w:val="FootnoteReference"/>
          <w:rFonts w:asciiTheme="minorHAnsi" w:hAnsiTheme="minorHAnsi"/>
          <w:sz w:val="16"/>
          <w:szCs w:val="16"/>
        </w:rPr>
        <w:footnoteRef/>
      </w:r>
      <w:r w:rsidRPr="00DD50BD">
        <w:rPr>
          <w:rFonts w:asciiTheme="minorHAnsi" w:hAnsiTheme="minorHAnsi"/>
          <w:sz w:val="16"/>
          <w:szCs w:val="16"/>
        </w:rPr>
        <w:t xml:space="preserve"> </w:t>
      </w:r>
      <w:proofErr w:type="spellStart"/>
      <w:r w:rsidRPr="00DD50BD">
        <w:rPr>
          <w:rFonts w:asciiTheme="minorHAnsi" w:hAnsiTheme="minorHAnsi"/>
          <w:sz w:val="16"/>
          <w:szCs w:val="16"/>
        </w:rPr>
        <w:t>Rivella</w:t>
      </w:r>
      <w:proofErr w:type="spellEnd"/>
      <w:r w:rsidRPr="00DD50BD">
        <w:rPr>
          <w:rFonts w:asciiTheme="minorHAnsi" w:hAnsiTheme="minorHAnsi"/>
          <w:sz w:val="16"/>
          <w:szCs w:val="16"/>
        </w:rPr>
        <w:t xml:space="preserve">, S. </w:t>
      </w:r>
      <w:r w:rsidRPr="00DD50BD">
        <w:rPr>
          <w:rFonts w:asciiTheme="minorHAnsi" w:eastAsiaTheme="minorHAnsi" w:hAnsiTheme="minorHAnsi" w:cs="TimesNewRoman"/>
          <w:sz w:val="16"/>
          <w:szCs w:val="16"/>
          <w:lang w:val="en-US"/>
        </w:rPr>
        <w:t xml:space="preserve">Ineffective erythropoiesis and </w:t>
      </w:r>
      <w:proofErr w:type="spellStart"/>
      <w:r w:rsidRPr="00DD50BD">
        <w:rPr>
          <w:rFonts w:asciiTheme="minorHAnsi" w:eastAsiaTheme="minorHAnsi" w:hAnsiTheme="minorHAnsi" w:cs="TimesNewRoman"/>
          <w:sz w:val="16"/>
          <w:szCs w:val="16"/>
          <w:lang w:val="en-US"/>
        </w:rPr>
        <w:t>thalassemias</w:t>
      </w:r>
      <w:proofErr w:type="spellEnd"/>
      <w:r w:rsidRPr="00DD50BD">
        <w:rPr>
          <w:rFonts w:asciiTheme="minorHAnsi" w:eastAsiaTheme="minorHAnsi" w:hAnsiTheme="minorHAnsi" w:cs="TimesNewRoman"/>
          <w:sz w:val="16"/>
          <w:szCs w:val="16"/>
          <w:lang w:val="en-US"/>
        </w:rPr>
        <w:t xml:space="preserve">. </w:t>
      </w:r>
      <w:proofErr w:type="spellStart"/>
      <w:r w:rsidRPr="00DD50BD">
        <w:rPr>
          <w:rFonts w:asciiTheme="minorHAnsi" w:eastAsiaTheme="minorHAnsi" w:hAnsiTheme="minorHAnsi"/>
          <w:sz w:val="16"/>
          <w:szCs w:val="16"/>
          <w:lang w:val="en-US"/>
        </w:rPr>
        <w:t>Curr</w:t>
      </w:r>
      <w:proofErr w:type="spellEnd"/>
      <w:r w:rsidRPr="00DD50BD">
        <w:rPr>
          <w:rFonts w:asciiTheme="minorHAnsi" w:eastAsiaTheme="minorHAnsi" w:hAnsiTheme="minorHAnsi"/>
          <w:sz w:val="16"/>
          <w:szCs w:val="16"/>
          <w:lang w:val="en-US"/>
        </w:rPr>
        <w:t xml:space="preserve"> </w:t>
      </w:r>
      <w:proofErr w:type="spellStart"/>
      <w:r w:rsidRPr="00DD50BD">
        <w:rPr>
          <w:rFonts w:asciiTheme="minorHAnsi" w:eastAsiaTheme="minorHAnsi" w:hAnsiTheme="minorHAnsi"/>
          <w:sz w:val="16"/>
          <w:szCs w:val="16"/>
          <w:lang w:val="en-US"/>
        </w:rPr>
        <w:t>Opin</w:t>
      </w:r>
      <w:proofErr w:type="spellEnd"/>
      <w:r w:rsidRPr="00DD50BD">
        <w:rPr>
          <w:rFonts w:asciiTheme="minorHAnsi" w:eastAsiaTheme="minorHAnsi" w:hAnsiTheme="minorHAnsi"/>
          <w:sz w:val="16"/>
          <w:szCs w:val="16"/>
          <w:lang w:val="en-US"/>
        </w:rPr>
        <w:t xml:space="preserve"> </w:t>
      </w:r>
      <w:proofErr w:type="spellStart"/>
      <w:r w:rsidRPr="00DD50BD">
        <w:rPr>
          <w:rFonts w:asciiTheme="minorHAnsi" w:eastAsiaTheme="minorHAnsi" w:hAnsiTheme="minorHAnsi"/>
          <w:sz w:val="16"/>
          <w:szCs w:val="16"/>
          <w:lang w:val="en-US"/>
        </w:rPr>
        <w:t>Hematol</w:t>
      </w:r>
      <w:proofErr w:type="spellEnd"/>
      <w:r w:rsidRPr="00DD50BD">
        <w:rPr>
          <w:rFonts w:asciiTheme="minorHAnsi" w:eastAsiaTheme="minorHAnsi" w:hAnsiTheme="minorHAnsi"/>
          <w:sz w:val="16"/>
          <w:szCs w:val="16"/>
          <w:lang w:val="en-US"/>
        </w:rPr>
        <w:t>, 2009; 16(3): 187–194.</w:t>
      </w:r>
    </w:p>
  </w:footnote>
  <w:footnote w:id="21">
    <w:p w14:paraId="0855A66E" w14:textId="77777777" w:rsidR="00F91303" w:rsidRDefault="00F91303" w:rsidP="00F03961">
      <w:pPr>
        <w:pStyle w:val="FootnoteText"/>
      </w:pPr>
      <w:r w:rsidRPr="00DD50BD">
        <w:rPr>
          <w:rStyle w:val="FootnoteReference"/>
          <w:rFonts w:asciiTheme="minorHAnsi" w:hAnsiTheme="minorHAnsi"/>
          <w:sz w:val="16"/>
          <w:szCs w:val="16"/>
        </w:rPr>
        <w:footnoteRef/>
      </w:r>
      <w:r w:rsidRPr="00DD50BD">
        <w:rPr>
          <w:rFonts w:asciiTheme="minorHAnsi" w:hAnsiTheme="minorHAnsi"/>
          <w:sz w:val="16"/>
          <w:szCs w:val="16"/>
        </w:rPr>
        <w:t xml:space="preserve"> </w:t>
      </w:r>
      <w:r w:rsidRPr="00DD50BD">
        <w:rPr>
          <w:rFonts w:asciiTheme="minorHAnsi" w:hAnsiTheme="minorHAnsi" w:cs="Segoe UI"/>
          <w:color w:val="212121"/>
          <w:sz w:val="16"/>
          <w:szCs w:val="16"/>
          <w:shd w:val="clear" w:color="auto" w:fill="FFFFFF"/>
        </w:rPr>
        <w:t>Modell, B. et al. Global epidemiology of haemoglobin disorders and derived service indicators. Bull World Health Organ, 2008; 86(6) :480-487.</w:t>
      </w:r>
    </w:p>
  </w:footnote>
  <w:footnote w:id="22">
    <w:p w14:paraId="58DE81C8" w14:textId="77777777" w:rsidR="00F91303" w:rsidRPr="00DD50BD" w:rsidRDefault="00F91303" w:rsidP="00F03961">
      <w:pPr>
        <w:pStyle w:val="FootnoteText"/>
        <w:rPr>
          <w:rFonts w:asciiTheme="minorHAnsi" w:hAnsiTheme="minorHAnsi"/>
          <w:sz w:val="16"/>
          <w:szCs w:val="16"/>
        </w:rPr>
      </w:pPr>
      <w:r w:rsidRPr="00DD50BD">
        <w:rPr>
          <w:rStyle w:val="FootnoteReference"/>
          <w:rFonts w:asciiTheme="minorHAnsi" w:hAnsiTheme="minorHAnsi"/>
          <w:sz w:val="16"/>
          <w:szCs w:val="16"/>
        </w:rPr>
        <w:footnoteRef/>
      </w:r>
      <w:r w:rsidRPr="00DD50BD">
        <w:rPr>
          <w:rFonts w:asciiTheme="minorHAnsi" w:hAnsiTheme="minorHAnsi"/>
          <w:sz w:val="16"/>
          <w:szCs w:val="16"/>
        </w:rPr>
        <w:t xml:space="preserve"> </w:t>
      </w:r>
      <w:proofErr w:type="spellStart"/>
      <w:r w:rsidRPr="00DD50BD">
        <w:rPr>
          <w:rFonts w:asciiTheme="minorHAnsi" w:hAnsiTheme="minorHAnsi" w:cs="Segoe UI"/>
          <w:color w:val="212121"/>
          <w:sz w:val="16"/>
          <w:szCs w:val="16"/>
          <w:shd w:val="clear" w:color="auto" w:fill="FFFFFF"/>
        </w:rPr>
        <w:t>Galanello</w:t>
      </w:r>
      <w:proofErr w:type="spellEnd"/>
      <w:r w:rsidRPr="00DD50BD">
        <w:rPr>
          <w:rFonts w:asciiTheme="minorHAnsi" w:hAnsiTheme="minorHAnsi" w:cs="Segoe UI"/>
          <w:color w:val="212121"/>
          <w:sz w:val="16"/>
          <w:szCs w:val="16"/>
          <w:shd w:val="clear" w:color="auto" w:fill="FFFFFF"/>
        </w:rPr>
        <w:t xml:space="preserve">, R. et al. Beta-thalassemia, </w:t>
      </w:r>
      <w:proofErr w:type="spellStart"/>
      <w:r w:rsidRPr="00DD50BD">
        <w:rPr>
          <w:rFonts w:asciiTheme="minorHAnsi" w:hAnsiTheme="minorHAnsi" w:cs="Segoe UI"/>
          <w:color w:val="212121"/>
          <w:sz w:val="16"/>
          <w:szCs w:val="16"/>
          <w:shd w:val="clear" w:color="auto" w:fill="FFFFFF"/>
        </w:rPr>
        <w:t>Orphanet</w:t>
      </w:r>
      <w:proofErr w:type="spellEnd"/>
      <w:r w:rsidRPr="00DD50BD">
        <w:rPr>
          <w:rFonts w:asciiTheme="minorHAnsi" w:hAnsiTheme="minorHAnsi" w:cs="Segoe UI"/>
          <w:color w:val="212121"/>
          <w:sz w:val="16"/>
          <w:szCs w:val="16"/>
          <w:shd w:val="clear" w:color="auto" w:fill="FFFFFF"/>
        </w:rPr>
        <w:t xml:space="preserve"> J Rare Dis, 2010; 5: 11.</w:t>
      </w:r>
    </w:p>
  </w:footnote>
  <w:footnote w:id="23">
    <w:p w14:paraId="6B25BBDB" w14:textId="77777777" w:rsidR="00F91303" w:rsidRDefault="00F91303" w:rsidP="00F03961">
      <w:pPr>
        <w:pStyle w:val="FootnoteText"/>
      </w:pPr>
      <w:r w:rsidRPr="00DD50BD">
        <w:rPr>
          <w:rStyle w:val="FootnoteReference"/>
          <w:rFonts w:asciiTheme="minorHAnsi" w:hAnsiTheme="minorHAnsi"/>
          <w:sz w:val="16"/>
          <w:szCs w:val="16"/>
        </w:rPr>
        <w:footnoteRef/>
      </w:r>
      <w:r w:rsidRPr="00DD50BD">
        <w:rPr>
          <w:rFonts w:asciiTheme="minorHAnsi" w:hAnsiTheme="minorHAnsi"/>
          <w:sz w:val="16"/>
          <w:szCs w:val="16"/>
        </w:rPr>
        <w:t xml:space="preserve"> Taher, A. et al. </w:t>
      </w:r>
      <w:r w:rsidRPr="00DD50BD">
        <w:rPr>
          <w:rFonts w:asciiTheme="minorHAnsi" w:eastAsiaTheme="minorHAnsi" w:hAnsiTheme="minorHAnsi"/>
          <w:sz w:val="16"/>
          <w:szCs w:val="16"/>
          <w:lang w:val="en-US"/>
        </w:rPr>
        <w:t>Thalassemia. Lancet. 2018; 391: 155-167.</w:t>
      </w:r>
    </w:p>
  </w:footnote>
  <w:footnote w:id="24">
    <w:p w14:paraId="21A4B779" w14:textId="77777777" w:rsidR="00F91303" w:rsidRPr="00DD50BD" w:rsidRDefault="00F91303" w:rsidP="00F03961">
      <w:pPr>
        <w:pStyle w:val="FootnoteText"/>
        <w:rPr>
          <w:lang w:val="en-GB"/>
        </w:rPr>
      </w:pPr>
      <w:r>
        <w:rPr>
          <w:rStyle w:val="FootnoteReference"/>
        </w:rPr>
        <w:footnoteRef/>
      </w:r>
      <w:r>
        <w:t xml:space="preserve"> </w:t>
      </w:r>
      <w:r>
        <w:rPr>
          <w:sz w:val="16"/>
          <w:szCs w:val="16"/>
        </w:rPr>
        <w:t xml:space="preserve">David P. Steensma: Myelodysplastic syndromes current treatment algorithm 2018: </w:t>
      </w:r>
      <w:r>
        <w:rPr>
          <w:i/>
          <w:iCs/>
          <w:sz w:val="16"/>
          <w:szCs w:val="16"/>
        </w:rPr>
        <w:t xml:space="preserve">Blood Cancer Journal </w:t>
      </w:r>
      <w:r>
        <w:rPr>
          <w:sz w:val="16"/>
          <w:szCs w:val="16"/>
        </w:rPr>
        <w:t>volume 8, Article number: 47 (2018).</w:t>
      </w:r>
    </w:p>
  </w:footnote>
  <w:footnote w:id="25">
    <w:p w14:paraId="471F5A9F" w14:textId="77777777" w:rsidR="00F91303" w:rsidRPr="00DD50BD" w:rsidRDefault="00F91303" w:rsidP="00F03961">
      <w:pPr>
        <w:pStyle w:val="FootnoteText"/>
        <w:rPr>
          <w:lang w:val="en-GB"/>
        </w:rPr>
      </w:pPr>
      <w:r>
        <w:rPr>
          <w:rStyle w:val="FootnoteReference"/>
        </w:rPr>
        <w:footnoteRef/>
      </w:r>
      <w:r>
        <w:t xml:space="preserve"> </w:t>
      </w:r>
      <w:r>
        <w:rPr>
          <w:sz w:val="16"/>
          <w:szCs w:val="16"/>
        </w:rPr>
        <w:t>Lenalidomide (Revlimid, Celgene) is approved for use in patients with transfusion-dependent anaemia due to low- or intermediate-1-risk MDS associated with a del(5q) abnormality with or without additional cytogenetic abnormalities (Revlimid AU PI, 2019).</w:t>
      </w:r>
    </w:p>
  </w:footnote>
  <w:footnote w:id="26">
    <w:p w14:paraId="18E47269"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rFonts w:asciiTheme="minorHAnsi" w:eastAsiaTheme="minorHAnsi" w:hAnsiTheme="minorHAnsi"/>
          <w:sz w:val="16"/>
          <w:szCs w:val="16"/>
          <w:lang w:val="en-US"/>
        </w:rPr>
        <w:t>Zeidan</w:t>
      </w:r>
      <w:proofErr w:type="spellEnd"/>
      <w:r w:rsidRPr="00DD50BD">
        <w:rPr>
          <w:rFonts w:asciiTheme="minorHAnsi" w:eastAsiaTheme="minorHAnsi" w:hAnsiTheme="minorHAnsi"/>
          <w:sz w:val="16"/>
          <w:szCs w:val="16"/>
          <w:lang w:val="en-US"/>
        </w:rPr>
        <w:t>, A. et al. Current therapy of myelodysplastic syndromes, Blood Rev, 2013; 27: 243-259.</w:t>
      </w:r>
    </w:p>
  </w:footnote>
  <w:footnote w:id="27">
    <w:p w14:paraId="0F05E829"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Platzbecker</w:t>
      </w:r>
      <w:proofErr w:type="spellEnd"/>
      <w:r w:rsidRPr="00DD50BD">
        <w:rPr>
          <w:sz w:val="16"/>
          <w:szCs w:val="16"/>
        </w:rPr>
        <w:t xml:space="preserve">, U. et al. The clinical, quality of life, and economic consequences of chronic </w:t>
      </w:r>
      <w:proofErr w:type="spellStart"/>
      <w:r w:rsidRPr="00DD50BD">
        <w:rPr>
          <w:sz w:val="16"/>
          <w:szCs w:val="16"/>
        </w:rPr>
        <w:t>anemia</w:t>
      </w:r>
      <w:proofErr w:type="spellEnd"/>
      <w:r w:rsidRPr="00DD50BD">
        <w:rPr>
          <w:sz w:val="16"/>
          <w:szCs w:val="16"/>
        </w:rPr>
        <w:t xml:space="preserve"> and transfusion support in patients with myelodysplastic syndromes, </w:t>
      </w:r>
      <w:proofErr w:type="spellStart"/>
      <w:r w:rsidRPr="00DD50BD">
        <w:rPr>
          <w:i/>
          <w:iCs/>
          <w:sz w:val="16"/>
          <w:szCs w:val="16"/>
        </w:rPr>
        <w:t>Leuk</w:t>
      </w:r>
      <w:proofErr w:type="spellEnd"/>
      <w:r w:rsidRPr="00DD50BD">
        <w:rPr>
          <w:i/>
          <w:iCs/>
          <w:sz w:val="16"/>
          <w:szCs w:val="16"/>
        </w:rPr>
        <w:t xml:space="preserve"> Res</w:t>
      </w:r>
      <w:r w:rsidRPr="00DD50BD">
        <w:rPr>
          <w:sz w:val="16"/>
          <w:szCs w:val="16"/>
        </w:rPr>
        <w:t xml:space="preserve"> 2012; 36: 525-536.</w:t>
      </w:r>
    </w:p>
  </w:footnote>
  <w:footnote w:id="28">
    <w:p w14:paraId="70A82157"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Fenaux</w:t>
      </w:r>
      <w:proofErr w:type="spellEnd"/>
      <w:r w:rsidRPr="00DD50BD">
        <w:rPr>
          <w:sz w:val="16"/>
          <w:szCs w:val="16"/>
        </w:rPr>
        <w:t xml:space="preserve">, P. et al. How we treat lower-risk myelodysplastic syndromes. </w:t>
      </w:r>
      <w:r w:rsidRPr="00DD50BD">
        <w:rPr>
          <w:i/>
          <w:iCs/>
          <w:sz w:val="16"/>
          <w:szCs w:val="16"/>
        </w:rPr>
        <w:t>Blood</w:t>
      </w:r>
      <w:r w:rsidRPr="00DD50BD">
        <w:rPr>
          <w:sz w:val="16"/>
          <w:szCs w:val="16"/>
        </w:rPr>
        <w:t xml:space="preserve"> 2013; 121: 4280-4286.</w:t>
      </w:r>
    </w:p>
  </w:footnote>
  <w:footnote w:id="29">
    <w:p w14:paraId="7D140C80" w14:textId="77777777" w:rsidR="00F91303" w:rsidRPr="00DD50BD" w:rsidRDefault="00F91303" w:rsidP="00F03961">
      <w:pPr>
        <w:pStyle w:val="FootnoteText"/>
        <w:rPr>
          <w:rFonts w:asciiTheme="minorHAnsi" w:hAnsiTheme="minorHAnsi"/>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Hellström</w:t>
      </w:r>
      <w:proofErr w:type="spellEnd"/>
      <w:r w:rsidRPr="00DD50BD">
        <w:rPr>
          <w:sz w:val="16"/>
          <w:szCs w:val="16"/>
        </w:rPr>
        <w:t xml:space="preserve">-Lindberg, E. et al. Erythropoiesis stimulating agents and other growth factors in low-risk MDS, </w:t>
      </w:r>
      <w:r w:rsidRPr="00DD50BD">
        <w:rPr>
          <w:i/>
          <w:iCs/>
          <w:sz w:val="16"/>
          <w:szCs w:val="16"/>
        </w:rPr>
        <w:t xml:space="preserve">Best </w:t>
      </w:r>
      <w:proofErr w:type="spellStart"/>
      <w:r w:rsidRPr="00DD50BD">
        <w:rPr>
          <w:i/>
          <w:iCs/>
          <w:sz w:val="16"/>
          <w:szCs w:val="16"/>
        </w:rPr>
        <w:t>Pract</w:t>
      </w:r>
      <w:proofErr w:type="spellEnd"/>
      <w:r w:rsidRPr="00DD50BD">
        <w:rPr>
          <w:i/>
          <w:iCs/>
          <w:sz w:val="16"/>
          <w:szCs w:val="16"/>
        </w:rPr>
        <w:t xml:space="preserve"> Res Clin </w:t>
      </w:r>
      <w:proofErr w:type="spellStart"/>
      <w:r w:rsidRPr="00DD50BD">
        <w:rPr>
          <w:i/>
          <w:iCs/>
          <w:sz w:val="16"/>
          <w:szCs w:val="16"/>
        </w:rPr>
        <w:t>Haematol</w:t>
      </w:r>
      <w:proofErr w:type="spellEnd"/>
      <w:r w:rsidRPr="00DD50BD">
        <w:rPr>
          <w:sz w:val="16"/>
          <w:szCs w:val="16"/>
        </w:rPr>
        <w:t>, 2013; 26(4): 401-410.</w:t>
      </w:r>
    </w:p>
  </w:footnote>
  <w:footnote w:id="30">
    <w:p w14:paraId="05307B1F" w14:textId="77777777" w:rsidR="00F91303" w:rsidRDefault="00F91303" w:rsidP="00F03961">
      <w:pPr>
        <w:pStyle w:val="FootnoteText"/>
      </w:pPr>
      <w:r w:rsidRPr="00DD50BD">
        <w:rPr>
          <w:rStyle w:val="FootnoteReference"/>
          <w:rFonts w:asciiTheme="minorHAnsi" w:hAnsiTheme="minorHAnsi"/>
          <w:sz w:val="16"/>
          <w:szCs w:val="16"/>
        </w:rPr>
        <w:footnoteRef/>
      </w:r>
      <w:r w:rsidRPr="00DD50BD">
        <w:rPr>
          <w:rFonts w:asciiTheme="minorHAnsi" w:hAnsiTheme="minorHAnsi"/>
          <w:sz w:val="16"/>
          <w:szCs w:val="16"/>
        </w:rPr>
        <w:t xml:space="preserve"> </w:t>
      </w:r>
      <w:proofErr w:type="spellStart"/>
      <w:r w:rsidRPr="00DD50BD">
        <w:rPr>
          <w:rFonts w:asciiTheme="minorHAnsi" w:hAnsiTheme="minorHAnsi"/>
          <w:sz w:val="16"/>
          <w:szCs w:val="16"/>
        </w:rPr>
        <w:t>Fenaux</w:t>
      </w:r>
      <w:proofErr w:type="spellEnd"/>
      <w:r w:rsidRPr="00DD50BD">
        <w:rPr>
          <w:rFonts w:asciiTheme="minorHAnsi" w:hAnsiTheme="minorHAnsi"/>
          <w:sz w:val="16"/>
          <w:szCs w:val="16"/>
        </w:rPr>
        <w:t xml:space="preserve">, P. et al. </w:t>
      </w:r>
      <w:r w:rsidRPr="00DD50BD">
        <w:rPr>
          <w:rFonts w:asciiTheme="minorHAnsi" w:hAnsiTheme="minorHAnsi" w:cs="Segoe UI"/>
          <w:color w:val="212121"/>
          <w:sz w:val="16"/>
          <w:szCs w:val="16"/>
          <w:shd w:val="clear" w:color="auto" w:fill="FFFFFF"/>
        </w:rPr>
        <w:t xml:space="preserve">International </w:t>
      </w:r>
      <w:proofErr w:type="spellStart"/>
      <w:r w:rsidRPr="00DD50BD">
        <w:rPr>
          <w:rFonts w:asciiTheme="minorHAnsi" w:hAnsiTheme="minorHAnsi" w:cs="Segoe UI"/>
          <w:color w:val="212121"/>
          <w:sz w:val="16"/>
          <w:szCs w:val="16"/>
          <w:shd w:val="clear" w:color="auto" w:fill="FFFFFF"/>
        </w:rPr>
        <w:t>vidaza</w:t>
      </w:r>
      <w:proofErr w:type="spellEnd"/>
      <w:r w:rsidRPr="00DD50BD">
        <w:rPr>
          <w:rFonts w:asciiTheme="minorHAnsi" w:hAnsiTheme="minorHAnsi" w:cs="Segoe UI"/>
          <w:color w:val="212121"/>
          <w:sz w:val="16"/>
          <w:szCs w:val="16"/>
          <w:shd w:val="clear" w:color="auto" w:fill="FFFFFF"/>
        </w:rPr>
        <w:t xml:space="preserve"> high-risk MDS survival study group. efficacy of </w:t>
      </w:r>
      <w:proofErr w:type="spellStart"/>
      <w:r w:rsidRPr="00DD50BD">
        <w:rPr>
          <w:rFonts w:asciiTheme="minorHAnsi" w:hAnsiTheme="minorHAnsi" w:cs="Segoe UI"/>
          <w:color w:val="212121"/>
          <w:sz w:val="16"/>
          <w:szCs w:val="16"/>
          <w:shd w:val="clear" w:color="auto" w:fill="FFFFFF"/>
        </w:rPr>
        <w:t>azacitidine</w:t>
      </w:r>
      <w:proofErr w:type="spellEnd"/>
      <w:r w:rsidRPr="00DD50BD">
        <w:rPr>
          <w:rFonts w:asciiTheme="minorHAnsi" w:hAnsiTheme="minorHAnsi" w:cs="Segoe UI"/>
          <w:color w:val="212121"/>
          <w:sz w:val="16"/>
          <w:szCs w:val="16"/>
          <w:shd w:val="clear" w:color="auto" w:fill="FFFFFF"/>
        </w:rPr>
        <w:t xml:space="preserve"> compared with that of conventional care regimens in the treatment of higher-risk myelodysplastic syndromes: a randomised, open-label, phase III study, Lancet Oncol, 2009; 10(3): 223-232.</w:t>
      </w:r>
    </w:p>
  </w:footnote>
  <w:footnote w:id="31">
    <w:p w14:paraId="2FF0080A"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sz w:val="16"/>
          <w:szCs w:val="16"/>
        </w:rPr>
        <w:t>Vamvakas</w:t>
      </w:r>
      <w:proofErr w:type="spellEnd"/>
      <w:r w:rsidRPr="00DD50BD">
        <w:rPr>
          <w:sz w:val="16"/>
          <w:szCs w:val="16"/>
        </w:rPr>
        <w:t>, E. et al. Transfusion-related mortality: the ongoing risks of allogeneic blood transfusion and the available strategies for their prevention, Blood 2009; 113: 3406-3417.</w:t>
      </w:r>
    </w:p>
  </w:footnote>
  <w:footnote w:id="32">
    <w:p w14:paraId="26712ED1" w14:textId="77777777" w:rsidR="00F91303" w:rsidRDefault="00F91303" w:rsidP="00F03961">
      <w:pPr>
        <w:pStyle w:val="FootnoteText"/>
      </w:pPr>
      <w:r w:rsidRPr="00DD50BD">
        <w:rPr>
          <w:rStyle w:val="FootnoteReference"/>
          <w:sz w:val="16"/>
          <w:szCs w:val="16"/>
        </w:rPr>
        <w:footnoteRef/>
      </w:r>
      <w:r w:rsidRPr="00DD50BD">
        <w:rPr>
          <w:sz w:val="16"/>
          <w:szCs w:val="16"/>
        </w:rPr>
        <w:t xml:space="preserve"> </w:t>
      </w:r>
      <w:r w:rsidRPr="00DD50BD">
        <w:rPr>
          <w:rFonts w:asciiTheme="minorHAnsi" w:eastAsiaTheme="minorHAnsi" w:hAnsiTheme="minorHAnsi"/>
          <w:color w:val="000000"/>
          <w:sz w:val="16"/>
          <w:szCs w:val="16"/>
          <w:lang w:val="en-US"/>
        </w:rPr>
        <w:t xml:space="preserve">State of the Nation: Blood Cancer in Australia. Available from </w:t>
      </w:r>
      <w:r w:rsidRPr="00DD50BD">
        <w:rPr>
          <w:rFonts w:asciiTheme="minorHAnsi" w:eastAsiaTheme="minorHAnsi" w:hAnsiTheme="minorHAnsi"/>
          <w:color w:val="0000FF"/>
          <w:sz w:val="16"/>
          <w:szCs w:val="16"/>
          <w:lang w:val="en-US"/>
        </w:rPr>
        <w:t>https://www.leukaemia.org.au/about-us/mylifecounts/stateofthenation/</w:t>
      </w:r>
      <w:r w:rsidRPr="00DD50BD">
        <w:rPr>
          <w:rFonts w:asciiTheme="minorHAnsi" w:eastAsiaTheme="minorHAnsi" w:hAnsiTheme="minorHAnsi"/>
          <w:color w:val="000000"/>
          <w:sz w:val="16"/>
          <w:szCs w:val="16"/>
          <w:lang w:val="en-US"/>
        </w:rPr>
        <w:t>. Accessed 15 April 2020.</w:t>
      </w:r>
    </w:p>
  </w:footnote>
  <w:footnote w:id="33">
    <w:p w14:paraId="5F1DD0D4" w14:textId="77777777" w:rsidR="00F91303" w:rsidRPr="00DD50BD" w:rsidRDefault="00F91303" w:rsidP="00F03961">
      <w:pPr>
        <w:pStyle w:val="FootnoteText"/>
        <w:rPr>
          <w:sz w:val="16"/>
          <w:szCs w:val="16"/>
        </w:rPr>
      </w:pPr>
      <w:r w:rsidRPr="00DD50BD">
        <w:rPr>
          <w:rStyle w:val="FootnoteReference"/>
          <w:sz w:val="16"/>
          <w:szCs w:val="16"/>
        </w:rPr>
        <w:footnoteRef/>
      </w:r>
      <w:r w:rsidRPr="00DD50BD">
        <w:rPr>
          <w:sz w:val="16"/>
          <w:szCs w:val="16"/>
        </w:rPr>
        <w:t xml:space="preserve"> </w:t>
      </w:r>
      <w:proofErr w:type="spellStart"/>
      <w:r w:rsidRPr="00DD50BD">
        <w:rPr>
          <w:rFonts w:asciiTheme="minorHAnsi" w:eastAsiaTheme="minorHAnsi" w:hAnsiTheme="minorHAnsi"/>
          <w:sz w:val="16"/>
          <w:szCs w:val="16"/>
          <w:lang w:val="en-US"/>
        </w:rPr>
        <w:t>Cappellini</w:t>
      </w:r>
      <w:proofErr w:type="spellEnd"/>
      <w:r w:rsidRPr="00DD50BD">
        <w:rPr>
          <w:rFonts w:asciiTheme="minorHAnsi" w:eastAsiaTheme="minorHAnsi" w:hAnsiTheme="minorHAnsi"/>
          <w:sz w:val="16"/>
          <w:szCs w:val="16"/>
          <w:lang w:val="en-US"/>
        </w:rPr>
        <w:t>, M. et al. Guidelines for the management of transfusion dependent thalassemia (TDT). Nicosia, Cyprus: Thalassemia International Federation; 2014a.</w:t>
      </w:r>
    </w:p>
  </w:footnote>
  <w:footnote w:id="34">
    <w:p w14:paraId="15E14B1B" w14:textId="77777777" w:rsidR="00F91303" w:rsidRDefault="00F91303" w:rsidP="00F03961">
      <w:pPr>
        <w:pStyle w:val="FootnoteText"/>
      </w:pPr>
      <w:r w:rsidRPr="00DD50BD">
        <w:rPr>
          <w:rStyle w:val="FootnoteReference"/>
          <w:sz w:val="16"/>
          <w:szCs w:val="16"/>
        </w:rPr>
        <w:footnoteRef/>
      </w:r>
      <w:r w:rsidRPr="00DD50BD">
        <w:rPr>
          <w:sz w:val="16"/>
          <w:szCs w:val="16"/>
        </w:rPr>
        <w:t xml:space="preserve"> </w:t>
      </w:r>
      <w:r w:rsidRPr="00DD50BD">
        <w:rPr>
          <w:rFonts w:asciiTheme="minorHAnsi" w:eastAsiaTheme="minorHAnsi" w:hAnsiTheme="minorHAnsi"/>
          <w:sz w:val="16"/>
          <w:szCs w:val="16"/>
          <w:lang w:val="en-US"/>
        </w:rPr>
        <w:t xml:space="preserve">Module 3 </w:t>
      </w:r>
      <w:r w:rsidRPr="00DD50BD">
        <w:rPr>
          <w:rFonts w:asciiTheme="minorHAnsi" w:eastAsiaTheme="minorHAnsi" w:hAnsiTheme="minorHAnsi" w:cs="TimesNewRomanPSMT"/>
          <w:sz w:val="16"/>
          <w:szCs w:val="16"/>
          <w:lang w:val="en-US"/>
        </w:rPr>
        <w:t xml:space="preserve">– </w:t>
      </w:r>
      <w:r w:rsidRPr="00DD50BD">
        <w:rPr>
          <w:rFonts w:asciiTheme="minorHAnsi" w:eastAsiaTheme="minorHAnsi" w:hAnsiTheme="minorHAnsi"/>
          <w:sz w:val="16"/>
          <w:szCs w:val="16"/>
          <w:lang w:val="en-US"/>
        </w:rPr>
        <w:t>Medical. National Blood Authority 2012. Available at: https://www.blood.gov.au/system/files/documents/20180426-Module3-QRG.pdf</w:t>
      </w:r>
    </w:p>
  </w:footnote>
  <w:footnote w:id="35">
    <w:p w14:paraId="7F0B0879" w14:textId="77777777" w:rsidR="00F91303" w:rsidRDefault="00F91303" w:rsidP="00F03961">
      <w:pPr>
        <w:pStyle w:val="FootnoteText"/>
      </w:pPr>
      <w:r>
        <w:rPr>
          <w:rStyle w:val="FootnoteReference"/>
        </w:rPr>
        <w:footnoteRef/>
      </w:r>
      <w:r>
        <w:t xml:space="preserve"> </w:t>
      </w:r>
      <w:r w:rsidRPr="006F61CD">
        <w:t>Steensma</w:t>
      </w:r>
      <w:r>
        <w:t>,</w:t>
      </w:r>
      <w:r w:rsidRPr="006F61CD">
        <w:t xml:space="preserve"> D</w:t>
      </w:r>
      <w:r>
        <w:t>. et al</w:t>
      </w:r>
      <w:r w:rsidRPr="006F61CD">
        <w:t xml:space="preserve">. The myelodysplastic syndromes: diagnosis and treatment. </w:t>
      </w:r>
      <w:r w:rsidRPr="006F61CD">
        <w:rPr>
          <w:i/>
          <w:iCs/>
        </w:rPr>
        <w:t>Mayo Clin Proc</w:t>
      </w:r>
      <w:r w:rsidRPr="006F61CD">
        <w:t xml:space="preserve"> 2006; 81:</w:t>
      </w:r>
      <w:r>
        <w:t xml:space="preserve"> </w:t>
      </w:r>
      <w:r w:rsidRPr="006F61CD">
        <w:t>104-</w:t>
      </w:r>
      <w:r>
        <w:t>1</w:t>
      </w:r>
      <w:r w:rsidRPr="006F61CD">
        <w:t>30.</w:t>
      </w:r>
    </w:p>
  </w:footnote>
  <w:footnote w:id="36">
    <w:p w14:paraId="6550F69A" w14:textId="77777777" w:rsidR="00F91303" w:rsidRDefault="00F91303" w:rsidP="00F03961">
      <w:pPr>
        <w:pStyle w:val="FootnoteText"/>
      </w:pPr>
      <w:r>
        <w:rPr>
          <w:rStyle w:val="FootnoteReference"/>
        </w:rPr>
        <w:footnoteRef/>
      </w:r>
      <w:r>
        <w:t xml:space="preserve"> </w:t>
      </w:r>
      <w:proofErr w:type="spellStart"/>
      <w:r w:rsidRPr="000C43EF">
        <w:t>Fenaux</w:t>
      </w:r>
      <w:proofErr w:type="spellEnd"/>
      <w:r>
        <w:t>,</w:t>
      </w:r>
      <w:r w:rsidRPr="000C43EF">
        <w:t xml:space="preserve"> P</w:t>
      </w:r>
      <w:r>
        <w:t>. et al</w:t>
      </w:r>
      <w:r w:rsidRPr="000C43EF">
        <w:t xml:space="preserve">. How we treat lower-risk myelodysplastic syndromes. </w:t>
      </w:r>
      <w:r w:rsidRPr="000C43EF">
        <w:rPr>
          <w:i/>
          <w:iCs/>
        </w:rPr>
        <w:t>Blood</w:t>
      </w:r>
      <w:r w:rsidRPr="000C43EF">
        <w:t xml:space="preserve"> 2013; 121:</w:t>
      </w:r>
      <w:r>
        <w:t xml:space="preserve"> </w:t>
      </w:r>
      <w:r w:rsidRPr="000C43EF">
        <w:t>4280-</w:t>
      </w:r>
      <w:r>
        <w:t>428</w:t>
      </w:r>
      <w:r w:rsidRPr="000C43EF">
        <w:t>6.</w:t>
      </w:r>
    </w:p>
  </w:footnote>
  <w:footnote w:id="37">
    <w:p w14:paraId="6E115A78" w14:textId="77777777" w:rsidR="00F91303" w:rsidRDefault="00F91303" w:rsidP="00F03961">
      <w:pPr>
        <w:pStyle w:val="FootnoteText"/>
      </w:pPr>
      <w:r>
        <w:rPr>
          <w:rStyle w:val="FootnoteReference"/>
        </w:rPr>
        <w:footnoteRef/>
      </w:r>
      <w:r>
        <w:t xml:space="preserve"> </w:t>
      </w:r>
      <w:r w:rsidRPr="00D03199">
        <w:t>National Comprehensive Cancer Network (NCCN). NCCN Clinical Practice Guidelines in Oncology; Myelodysplastic Syndromes, Version 2.2019 – October 18, 2018.</w:t>
      </w:r>
    </w:p>
  </w:footnote>
  <w:footnote w:id="38">
    <w:p w14:paraId="4E4861A5" w14:textId="53803C8C" w:rsidR="00F91303" w:rsidRPr="00966723" w:rsidRDefault="00F91303">
      <w:pPr>
        <w:pStyle w:val="FootnoteText"/>
        <w:rPr>
          <w:lang w:val="en-GB"/>
        </w:rPr>
      </w:pPr>
      <w:r>
        <w:rPr>
          <w:rStyle w:val="FootnoteReference"/>
        </w:rPr>
        <w:footnoteRef/>
      </w:r>
      <w:r>
        <w:t xml:space="preserve"> International Conference on Harmonisation guideline S6 (R1) – preclinical safety evaluation of biotechnology-derived pharmaceuticals.</w:t>
      </w:r>
    </w:p>
  </w:footnote>
  <w:footnote w:id="39">
    <w:p w14:paraId="5E1395DA" w14:textId="4A1DDBDB" w:rsidR="00F91303" w:rsidRPr="00966723" w:rsidRDefault="00F91303" w:rsidP="00966723">
      <w:pPr>
        <w:pStyle w:val="FootnoteText"/>
      </w:pPr>
      <w:r>
        <w:rPr>
          <w:rStyle w:val="FootnoteReference"/>
        </w:rPr>
        <w:footnoteRef/>
      </w:r>
      <w:r>
        <w:t xml:space="preserve"> Pregnancy category D: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40">
    <w:p w14:paraId="23BFB0B0" w14:textId="713D0B9B" w:rsidR="00F91303" w:rsidRPr="00BF3598" w:rsidRDefault="00F91303">
      <w:pPr>
        <w:pStyle w:val="FootnoteText"/>
        <w:rPr>
          <w:lang w:val="en-GB"/>
        </w:rPr>
      </w:pPr>
      <w:r>
        <w:rPr>
          <w:rStyle w:val="FootnoteReference"/>
        </w:rPr>
        <w:footnoteRef/>
      </w:r>
      <w:r>
        <w:t xml:space="preserve"> </w:t>
      </w:r>
      <w:r w:rsidRPr="00BF3598">
        <w:t>The QT interval is the time from the start of the QRS wave complex to the end of the corresponding T wave. It approximates to the time taken for ventricular depolarisation and repolarisation</w:t>
      </w:r>
      <w:proofErr w:type="gramStart"/>
      <w:r w:rsidRPr="00BF3598">
        <w:t>, that is to say, the</w:t>
      </w:r>
      <w:proofErr w:type="gramEnd"/>
      <w:r w:rsidRPr="00BF3598">
        <w:t xml:space="preserve"> period of ventricular systole from ventricular isovolumetric contracti</w:t>
      </w:r>
      <w:r>
        <w:t>on to isovolumetric relaxation.</w:t>
      </w:r>
      <w:r w:rsidRPr="00BF3598">
        <w:t xml:space="preserve"> The corrected QT interval (QTc) estimates the QT interval at a standard heart rate. This allows comparison of QT values over time at different heart rates and improves detection of patients at increased risk of arrhythmias.</w:t>
      </w:r>
    </w:p>
  </w:footnote>
  <w:footnote w:id="41">
    <w:p w14:paraId="27B7D138" w14:textId="1F576CAE" w:rsidR="00F91303" w:rsidRPr="00B71DF2" w:rsidRDefault="00F91303">
      <w:pPr>
        <w:pStyle w:val="FootnoteText"/>
        <w:rPr>
          <w:lang w:val="en-GB"/>
        </w:rPr>
      </w:pPr>
      <w:r>
        <w:rPr>
          <w:rStyle w:val="FootnoteReference"/>
        </w:rPr>
        <w:footnoteRef/>
      </w:r>
      <w:r>
        <w:t xml:space="preserve"> </w:t>
      </w:r>
      <w:proofErr w:type="spellStart"/>
      <w:r>
        <w:rPr>
          <w:lang w:val="en-GB"/>
        </w:rPr>
        <w:t>QTcF</w:t>
      </w:r>
      <w:proofErr w:type="spellEnd"/>
      <w:r>
        <w:rPr>
          <w:lang w:val="en-GB"/>
        </w:rPr>
        <w:t xml:space="preserve"> = cardiac QT interval corrected </w:t>
      </w:r>
      <w:r w:rsidRPr="00B71DF2">
        <w:rPr>
          <w:lang w:val="en-GB"/>
        </w:rPr>
        <w:t>by Fridericia</w:t>
      </w:r>
      <w:r>
        <w:rPr>
          <w:lang w:val="en-GB"/>
        </w:rPr>
        <w:t>’s formula.</w:t>
      </w:r>
    </w:p>
  </w:footnote>
  <w:footnote w:id="42">
    <w:p w14:paraId="2DE7BAE0" w14:textId="65A6EC49" w:rsidR="00F91303" w:rsidRPr="00BE4219" w:rsidRDefault="00F91303">
      <w:pPr>
        <w:pStyle w:val="FootnoteText"/>
        <w:rPr>
          <w:lang w:val="en-GB"/>
        </w:rPr>
      </w:pPr>
      <w:r>
        <w:rPr>
          <w:rStyle w:val="FootnoteReference"/>
        </w:rPr>
        <w:footnoteRef/>
      </w:r>
      <w:r>
        <w:t xml:space="preserve"> </w:t>
      </w:r>
      <w:proofErr w:type="spellStart"/>
      <w:r w:rsidRPr="008A351E">
        <w:t>Fenaux</w:t>
      </w:r>
      <w:proofErr w:type="spellEnd"/>
      <w:r w:rsidRPr="008A351E">
        <w:t xml:space="preserve"> et al. Luspatercept in Patients with Lower-Risk Myelodysplastic Syndromes NEJM 2020; 382:140-51.</w:t>
      </w:r>
    </w:p>
  </w:footnote>
  <w:footnote w:id="43">
    <w:p w14:paraId="691D2801" w14:textId="5463BBDD" w:rsidR="00F91303" w:rsidRPr="008A351E" w:rsidRDefault="00F91303">
      <w:pPr>
        <w:pStyle w:val="FootnoteText"/>
        <w:rPr>
          <w:lang w:val="en-GB"/>
        </w:rPr>
      </w:pPr>
      <w:r>
        <w:rPr>
          <w:rStyle w:val="FootnoteReference"/>
        </w:rPr>
        <w:footnoteRef/>
      </w:r>
      <w:r>
        <w:t xml:space="preserve"> </w:t>
      </w:r>
      <w:r>
        <w:rPr>
          <w:lang w:val="en-GB"/>
        </w:rPr>
        <w:t>ACE-536 is a drug development code for luspatercept.</w:t>
      </w:r>
    </w:p>
  </w:footnote>
  <w:footnote w:id="44">
    <w:p w14:paraId="7FB79E62" w14:textId="0017BDD8" w:rsidR="00F91303" w:rsidRPr="008A351E" w:rsidRDefault="00F91303" w:rsidP="008A351E">
      <w:pPr>
        <w:pStyle w:val="FootnoteText"/>
      </w:pPr>
      <w:r>
        <w:rPr>
          <w:rStyle w:val="FootnoteReference"/>
        </w:rPr>
        <w:footnoteRef/>
      </w:r>
      <w:r>
        <w:t xml:space="preserve"> Revised International Prognostic Scoring System (IPSS-R) for Myelodysplastic Syndromes Risk Assessment Calculator. Developed by the International Working Group for the Prognosis of MDS (IWG-PM) under the aegis of the MDS Foundation, Inc. Available at: </w:t>
      </w:r>
      <w:r w:rsidRPr="008A351E">
        <w:t>https://www.mds-foundation.org/ipss-r/</w:t>
      </w:r>
    </w:p>
  </w:footnote>
  <w:footnote w:id="45">
    <w:p w14:paraId="341254DA" w14:textId="0ECDB86F" w:rsidR="00F91303" w:rsidRDefault="00F91303">
      <w:pPr>
        <w:pStyle w:val="FootnoteText"/>
      </w:pPr>
      <w:r>
        <w:rPr>
          <w:rStyle w:val="FootnoteReference"/>
        </w:rPr>
        <w:footnoteRef/>
      </w:r>
      <w:r>
        <w:t xml:space="preserve"> </w:t>
      </w:r>
      <w:proofErr w:type="spellStart"/>
      <w:r>
        <w:t>Cheson</w:t>
      </w:r>
      <w:proofErr w:type="spellEnd"/>
      <w:r>
        <w:t xml:space="preserve">, B. et al. </w:t>
      </w:r>
      <w:r w:rsidRPr="00815A71">
        <w:t>Clinical application and proposal for modification of the International Working Group (IWG) response criteria in myelodysplasia</w:t>
      </w:r>
      <w:r>
        <w:t>,</w:t>
      </w:r>
      <w:r w:rsidRPr="00815A71">
        <w:t xml:space="preserve"> </w:t>
      </w:r>
      <w:r w:rsidRPr="00815A71">
        <w:rPr>
          <w:i/>
          <w:iCs/>
        </w:rPr>
        <w:t>Blood</w:t>
      </w:r>
      <w:r w:rsidRPr="00815A71">
        <w:t>. 2006;</w:t>
      </w:r>
      <w:r>
        <w:t xml:space="preserve"> </w:t>
      </w:r>
      <w:r w:rsidRPr="00815A71">
        <w:t>108(2):</w:t>
      </w:r>
      <w:r>
        <w:t xml:space="preserve"> </w:t>
      </w:r>
      <w:r w:rsidRPr="00815A71">
        <w:t>419-</w:t>
      </w:r>
      <w:r>
        <w:t>4</w:t>
      </w:r>
      <w:r w:rsidRPr="00815A71">
        <w:t>25.</w:t>
      </w:r>
    </w:p>
  </w:footnote>
  <w:footnote w:id="46">
    <w:p w14:paraId="0B8FD2FD" w14:textId="7B64A257" w:rsidR="00F91303" w:rsidRPr="00340956" w:rsidRDefault="00F91303">
      <w:pPr>
        <w:pStyle w:val="FootnoteText"/>
        <w:rPr>
          <w:lang w:val="en-GB"/>
        </w:rPr>
      </w:pPr>
      <w:r>
        <w:rPr>
          <w:rStyle w:val="FootnoteReference"/>
        </w:rPr>
        <w:footnoteRef/>
      </w:r>
      <w:r>
        <w:t xml:space="preserve"> EORTC QLQ-C30 = </w:t>
      </w:r>
      <w:r w:rsidRPr="00340956">
        <w:t>European Organisation for Research and Treatment of Cancer</w:t>
      </w:r>
      <w:r>
        <w:t xml:space="preserve"> quality of life questionnaire.</w:t>
      </w:r>
    </w:p>
  </w:footnote>
  <w:footnote w:id="47">
    <w:p w14:paraId="45617FAC" w14:textId="61885D7E" w:rsidR="00F91303" w:rsidRDefault="00F91303">
      <w:pPr>
        <w:pStyle w:val="FootnoteText"/>
      </w:pPr>
      <w:r>
        <w:rPr>
          <w:rStyle w:val="FootnoteReference"/>
        </w:rPr>
        <w:footnoteRef/>
      </w:r>
      <w:r>
        <w:t xml:space="preserve"> </w:t>
      </w:r>
      <w:r w:rsidRPr="002D4326">
        <w:t>Oliva</w:t>
      </w:r>
      <w:r>
        <w:t>,</w:t>
      </w:r>
      <w:r w:rsidRPr="002D4326">
        <w:t xml:space="preserve"> E</w:t>
      </w:r>
      <w:r>
        <w:t xml:space="preserve">. et al. </w:t>
      </w:r>
      <w:r w:rsidRPr="002D4326">
        <w:t xml:space="preserve"> Quality of life and physicians' perception in myelodysplastic syndromes</w:t>
      </w:r>
      <w:r>
        <w:t>,</w:t>
      </w:r>
      <w:r w:rsidRPr="002D4326">
        <w:t xml:space="preserve"> </w:t>
      </w:r>
      <w:r w:rsidRPr="002D4326">
        <w:rPr>
          <w:i/>
          <w:iCs/>
        </w:rPr>
        <w:t>Am J Blood Res</w:t>
      </w:r>
      <w:r>
        <w:t>,</w:t>
      </w:r>
      <w:r w:rsidRPr="002D4326">
        <w:t xml:space="preserve"> 2012;</w:t>
      </w:r>
      <w:r>
        <w:t xml:space="preserve"> </w:t>
      </w:r>
      <w:r w:rsidRPr="002D4326">
        <w:t>2(2):</w:t>
      </w:r>
      <w:r>
        <w:t xml:space="preserve"> </w:t>
      </w:r>
      <w:r w:rsidRPr="002D4326">
        <w:t>136-</w:t>
      </w:r>
      <w:r>
        <w:t>1</w:t>
      </w:r>
      <w:r w:rsidRPr="002D4326">
        <w:t>47.</w:t>
      </w:r>
    </w:p>
  </w:footnote>
  <w:footnote w:id="48">
    <w:p w14:paraId="25A7DD4F" w14:textId="19C10B83" w:rsidR="00F91303" w:rsidRDefault="00F91303">
      <w:pPr>
        <w:pStyle w:val="FootnoteText"/>
      </w:pPr>
      <w:r>
        <w:rPr>
          <w:rStyle w:val="FootnoteReference"/>
        </w:rPr>
        <w:footnoteRef/>
      </w:r>
      <w:r>
        <w:t xml:space="preserve"> </w:t>
      </w:r>
      <w:proofErr w:type="spellStart"/>
      <w:r w:rsidRPr="00A9517D">
        <w:t>Cappellini</w:t>
      </w:r>
      <w:proofErr w:type="spellEnd"/>
      <w:r>
        <w:t>,</w:t>
      </w:r>
      <w:r w:rsidRPr="00A9517D">
        <w:t xml:space="preserve"> M</w:t>
      </w:r>
      <w:r>
        <w:t>.</w:t>
      </w:r>
      <w:r w:rsidRPr="00A9517D">
        <w:t xml:space="preserve"> et al. A Phase 3 Trial of Luspatercept in Patients with Transfusion-Dependent </w:t>
      </w:r>
      <w:r w:rsidRPr="00A9517D">
        <w:rPr>
          <w:i/>
          <w:iCs/>
        </w:rPr>
        <w:t>β</w:t>
      </w:r>
      <w:r w:rsidRPr="00A9517D">
        <w:t>-Thalassemia</w:t>
      </w:r>
      <w:r>
        <w:t>,</w:t>
      </w:r>
      <w:r w:rsidRPr="00A9517D">
        <w:t xml:space="preserve"> </w:t>
      </w:r>
      <w:r w:rsidRPr="00093AE5">
        <w:t xml:space="preserve">N </w:t>
      </w:r>
      <w:proofErr w:type="spellStart"/>
      <w:r w:rsidRPr="00093AE5">
        <w:t>Engl</w:t>
      </w:r>
      <w:proofErr w:type="spellEnd"/>
      <w:r w:rsidRPr="00093AE5">
        <w:t xml:space="preserve"> J Med</w:t>
      </w:r>
      <w:r>
        <w:t>,</w:t>
      </w:r>
      <w:r w:rsidRPr="00093AE5">
        <w:t xml:space="preserve"> 2020; 382:</w:t>
      </w:r>
      <w:r>
        <w:t xml:space="preserve"> </w:t>
      </w:r>
      <w:r w:rsidRPr="00093AE5">
        <w:t>1219-1231</w:t>
      </w:r>
    </w:p>
  </w:footnote>
  <w:footnote w:id="49">
    <w:p w14:paraId="3573C567" w14:textId="70E0EC3A" w:rsidR="00F91303" w:rsidRDefault="00F91303">
      <w:pPr>
        <w:pStyle w:val="FootnoteText"/>
      </w:pPr>
      <w:r>
        <w:rPr>
          <w:rStyle w:val="FootnoteReference"/>
        </w:rPr>
        <w:footnoteRef/>
      </w:r>
      <w:r>
        <w:t xml:space="preserve"> </w:t>
      </w:r>
      <w:r w:rsidRPr="0043009C">
        <w:t>Cohen</w:t>
      </w:r>
      <w:r>
        <w:t>,</w:t>
      </w:r>
      <w:r w:rsidRPr="0043009C">
        <w:t xml:space="preserve"> A</w:t>
      </w:r>
      <w:r>
        <w:t>. et al</w:t>
      </w:r>
      <w:r w:rsidRPr="0043009C">
        <w:t xml:space="preserve">. Effect of </w:t>
      </w:r>
      <w:proofErr w:type="spellStart"/>
      <w:r w:rsidRPr="0043009C">
        <w:t>transfusional</w:t>
      </w:r>
      <w:proofErr w:type="spellEnd"/>
      <w:r w:rsidRPr="0043009C">
        <w:t xml:space="preserve"> iron intake on response to chelation therapy in beta-thalassemia major</w:t>
      </w:r>
      <w:r>
        <w:t>,</w:t>
      </w:r>
      <w:r w:rsidRPr="0043009C">
        <w:t xml:space="preserve"> </w:t>
      </w:r>
      <w:r w:rsidRPr="005E17E0">
        <w:rPr>
          <w:i/>
          <w:iCs/>
        </w:rPr>
        <w:t>Blood</w:t>
      </w:r>
      <w:r>
        <w:t>,</w:t>
      </w:r>
      <w:r w:rsidRPr="0043009C">
        <w:t xml:space="preserve"> 2008;</w:t>
      </w:r>
      <w:r>
        <w:t xml:space="preserve"> </w:t>
      </w:r>
      <w:r w:rsidRPr="0043009C">
        <w:t>111(2):</w:t>
      </w:r>
      <w:r>
        <w:t xml:space="preserve"> </w:t>
      </w:r>
      <w:r w:rsidRPr="0043009C">
        <w:t>583-</w:t>
      </w:r>
      <w:r>
        <w:t>58</w:t>
      </w:r>
      <w:r w:rsidRPr="0043009C">
        <w:t>7.</w:t>
      </w:r>
    </w:p>
  </w:footnote>
  <w:footnote w:id="50">
    <w:p w14:paraId="224CAD5C" w14:textId="4E38D8A0" w:rsidR="00F91303" w:rsidRDefault="00F91303">
      <w:pPr>
        <w:pStyle w:val="FootnoteText"/>
      </w:pPr>
      <w:r>
        <w:rPr>
          <w:rStyle w:val="FootnoteReference"/>
        </w:rPr>
        <w:footnoteRef/>
      </w:r>
      <w:r>
        <w:t xml:space="preserve"> </w:t>
      </w:r>
      <w:r w:rsidRPr="005E17E0">
        <w:t>Porter</w:t>
      </w:r>
      <w:r>
        <w:t>,</w:t>
      </w:r>
      <w:r w:rsidRPr="005E17E0">
        <w:t xml:space="preserve"> J</w:t>
      </w:r>
      <w:r>
        <w:t>. et al</w:t>
      </w:r>
      <w:r w:rsidRPr="005E17E0">
        <w:t>. Practical management of iron overload</w:t>
      </w:r>
      <w:r>
        <w:t>,</w:t>
      </w:r>
      <w:r w:rsidRPr="005E17E0">
        <w:t xml:space="preserve"> </w:t>
      </w:r>
      <w:r w:rsidRPr="005E17E0">
        <w:rPr>
          <w:i/>
          <w:iCs/>
        </w:rPr>
        <w:t xml:space="preserve">Br J </w:t>
      </w:r>
      <w:proofErr w:type="spellStart"/>
      <w:r w:rsidRPr="005E17E0">
        <w:rPr>
          <w:i/>
          <w:iCs/>
        </w:rPr>
        <w:t>Haematol</w:t>
      </w:r>
      <w:proofErr w:type="spellEnd"/>
      <w:r>
        <w:t>,</w:t>
      </w:r>
      <w:r w:rsidRPr="005E17E0">
        <w:t xml:space="preserve"> 2001;</w:t>
      </w:r>
      <w:r>
        <w:t xml:space="preserve"> </w:t>
      </w:r>
      <w:r w:rsidRPr="005E17E0">
        <w:t>115:</w:t>
      </w:r>
      <w:r>
        <w:t xml:space="preserve"> </w:t>
      </w:r>
      <w:r w:rsidRPr="005E17E0">
        <w:t>239-</w:t>
      </w:r>
      <w:r>
        <w:t>2</w:t>
      </w:r>
      <w:r w:rsidRPr="005E17E0">
        <w:t>52.</w:t>
      </w:r>
    </w:p>
  </w:footnote>
  <w:footnote w:id="51">
    <w:p w14:paraId="23034FBF" w14:textId="77777777" w:rsidR="00F91303" w:rsidRDefault="00F91303"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1171E83" w14:textId="77777777" w:rsidR="00F91303" w:rsidRDefault="00F91303" w:rsidP="007D53B6">
      <w:pPr>
        <w:pStyle w:val="FootnoteText"/>
      </w:pPr>
      <w:r w:rsidRPr="007D53B6">
        <w:rPr>
          <w:i/>
        </w:rPr>
        <w:t>Routine pharmacovigilance</w:t>
      </w:r>
      <w:r>
        <w:t xml:space="preserve"> practices involve the following activities:</w:t>
      </w:r>
    </w:p>
    <w:p w14:paraId="7EFA7668" w14:textId="77777777" w:rsidR="00F91303" w:rsidRDefault="00F91303" w:rsidP="00440EF2">
      <w:pPr>
        <w:pStyle w:val="FootnoteText"/>
        <w:numPr>
          <w:ilvl w:val="0"/>
          <w:numId w:val="5"/>
        </w:numPr>
        <w:ind w:left="284" w:hanging="284"/>
      </w:pPr>
      <w:r>
        <w:t xml:space="preserve">All suspected adverse reactions that are reported to the personnel of the company are collected and collated in an accessible </w:t>
      </w:r>
      <w:proofErr w:type="gramStart"/>
      <w:r>
        <w:t>manner;</w:t>
      </w:r>
      <w:proofErr w:type="gramEnd"/>
    </w:p>
    <w:p w14:paraId="699D666B" w14:textId="77777777" w:rsidR="00F91303" w:rsidRDefault="00F91303" w:rsidP="00440EF2">
      <w:pPr>
        <w:pStyle w:val="FootnoteText"/>
        <w:numPr>
          <w:ilvl w:val="0"/>
          <w:numId w:val="5"/>
        </w:numPr>
        <w:ind w:left="284" w:hanging="284"/>
      </w:pPr>
      <w:r>
        <w:t xml:space="preserve">Reporting to regulatory </w:t>
      </w:r>
      <w:proofErr w:type="gramStart"/>
      <w:r>
        <w:t>authorities;</w:t>
      </w:r>
      <w:proofErr w:type="gramEnd"/>
    </w:p>
    <w:p w14:paraId="566F13C7" w14:textId="77777777" w:rsidR="00F91303" w:rsidRDefault="00F91303" w:rsidP="00440EF2">
      <w:pPr>
        <w:pStyle w:val="FootnoteText"/>
        <w:numPr>
          <w:ilvl w:val="0"/>
          <w:numId w:val="5"/>
        </w:numPr>
        <w:ind w:left="284" w:hanging="284"/>
      </w:pPr>
      <w:r>
        <w:t xml:space="preserve">Continuous monitoring of the safety profiles of approved products including signal detection and updating of </w:t>
      </w:r>
      <w:proofErr w:type="gramStart"/>
      <w:r>
        <w:t>labelling;</w:t>
      </w:r>
      <w:proofErr w:type="gramEnd"/>
    </w:p>
    <w:p w14:paraId="7E568B43" w14:textId="77777777" w:rsidR="00F91303" w:rsidRDefault="00F91303" w:rsidP="00440EF2">
      <w:pPr>
        <w:pStyle w:val="FootnoteText"/>
        <w:numPr>
          <w:ilvl w:val="0"/>
          <w:numId w:val="5"/>
        </w:numPr>
        <w:ind w:left="284" w:hanging="284"/>
      </w:pPr>
      <w:r>
        <w:t xml:space="preserve">Submission of </w:t>
      </w:r>
      <w:proofErr w:type="gramStart"/>
      <w:r>
        <w:t>PSURs;</w:t>
      </w:r>
      <w:proofErr w:type="gramEnd"/>
    </w:p>
    <w:p w14:paraId="59297E9A" w14:textId="77777777" w:rsidR="00F91303" w:rsidRDefault="00F91303" w:rsidP="00440EF2">
      <w:pPr>
        <w:pStyle w:val="FootnoteText"/>
        <w:numPr>
          <w:ilvl w:val="0"/>
          <w:numId w:val="5"/>
        </w:numPr>
        <w:ind w:left="284" w:hanging="284"/>
      </w:pPr>
      <w:r>
        <w:t>Meeting other local regulatory agency requirements.</w:t>
      </w:r>
    </w:p>
  </w:footnote>
  <w:footnote w:id="52">
    <w:p w14:paraId="3E620092" w14:textId="425DB7E7" w:rsidR="00F91303" w:rsidRDefault="00F91303">
      <w:pPr>
        <w:pStyle w:val="FootnoteText"/>
      </w:pPr>
      <w:r>
        <w:rPr>
          <w:rStyle w:val="FootnoteReference"/>
        </w:rPr>
        <w:footnoteRef/>
      </w:r>
      <w:r>
        <w:t xml:space="preserve"> </w:t>
      </w:r>
      <w:r w:rsidRPr="00ED7096">
        <w:t>Wood</w:t>
      </w:r>
      <w:r>
        <w:t>,</w:t>
      </w:r>
      <w:r w:rsidRPr="00ED7096">
        <w:t xml:space="preserve"> E</w:t>
      </w:r>
      <w:r>
        <w:t>. et al</w:t>
      </w:r>
      <w:r w:rsidRPr="00ED7096">
        <w:t>. Outpatient transfusions for myelodysplastic syndromes</w:t>
      </w:r>
      <w:r>
        <w:t>,</w:t>
      </w:r>
      <w:r w:rsidRPr="00ED7096">
        <w:t xml:space="preserve"> </w:t>
      </w:r>
      <w:r w:rsidRPr="00376090">
        <w:rPr>
          <w:i/>
          <w:iCs/>
        </w:rPr>
        <w:t xml:space="preserve">Hematology Am Soc </w:t>
      </w:r>
      <w:proofErr w:type="spellStart"/>
      <w:r w:rsidRPr="00376090">
        <w:rPr>
          <w:i/>
          <w:iCs/>
        </w:rPr>
        <w:t>Hematol</w:t>
      </w:r>
      <w:proofErr w:type="spellEnd"/>
      <w:r w:rsidRPr="00376090">
        <w:rPr>
          <w:i/>
          <w:iCs/>
        </w:rPr>
        <w:t xml:space="preserve"> Educ Program</w:t>
      </w:r>
      <w:r w:rsidRPr="00ED7096">
        <w:t>. 2020;</w:t>
      </w:r>
      <w:r>
        <w:t xml:space="preserve"> </w:t>
      </w:r>
      <w:r w:rsidRPr="00ED7096">
        <w:t>2020(1):</w:t>
      </w:r>
      <w:r>
        <w:t xml:space="preserve"> </w:t>
      </w:r>
      <w:r w:rsidRPr="00ED7096">
        <w:t>167-174.</w:t>
      </w:r>
    </w:p>
  </w:footnote>
  <w:footnote w:id="53">
    <w:p w14:paraId="41326838" w14:textId="0B4E0100" w:rsidR="00F91303" w:rsidRDefault="00F91303">
      <w:pPr>
        <w:pStyle w:val="FootnoteText"/>
      </w:pPr>
      <w:r>
        <w:rPr>
          <w:rStyle w:val="FootnoteReference"/>
        </w:rPr>
        <w:footnoteRef/>
      </w:r>
      <w:r>
        <w:t xml:space="preserve"> </w:t>
      </w:r>
      <w:r w:rsidRPr="00014177">
        <w:t>Stanworth</w:t>
      </w:r>
      <w:r>
        <w:t>,</w:t>
      </w:r>
      <w:r w:rsidRPr="00014177">
        <w:t xml:space="preserve"> S</w:t>
      </w:r>
      <w:r>
        <w:t>.</w:t>
      </w:r>
      <w:r w:rsidRPr="00014177">
        <w:t xml:space="preserve"> et al</w:t>
      </w:r>
      <w:r>
        <w:t>.</w:t>
      </w:r>
      <w:r w:rsidRPr="00014177">
        <w:t xml:space="preserve"> Red cell transfusion in outpatients with myelodysplastic syndromes: a feasibility and exploratory randomized trial (REDDS)</w:t>
      </w:r>
      <w:r>
        <w:t>,</w:t>
      </w:r>
      <w:r w:rsidRPr="00014177">
        <w:t xml:space="preserve"> </w:t>
      </w:r>
      <w:r w:rsidRPr="00AD699D">
        <w:rPr>
          <w:i/>
          <w:iCs/>
        </w:rPr>
        <w:t>Br J Haem</w:t>
      </w:r>
      <w:r w:rsidRPr="00014177">
        <w:t xml:space="preserve"> 2020;</w:t>
      </w:r>
      <w:r>
        <w:t xml:space="preserve"> </w:t>
      </w:r>
      <w:r w:rsidRPr="00014177">
        <w:t>189(2):</w:t>
      </w:r>
      <w:r>
        <w:t xml:space="preserve"> </w:t>
      </w:r>
      <w:r w:rsidRPr="00014177">
        <w:t>279-290.</w:t>
      </w:r>
    </w:p>
  </w:footnote>
  <w:footnote w:id="54">
    <w:p w14:paraId="4AFC4B01" w14:textId="69A497FA" w:rsidR="00F91303" w:rsidRDefault="00F91303">
      <w:pPr>
        <w:pStyle w:val="FootnoteText"/>
      </w:pPr>
      <w:r>
        <w:rPr>
          <w:rStyle w:val="FootnoteReference"/>
        </w:rPr>
        <w:footnoteRef/>
      </w:r>
      <w:r>
        <w:t xml:space="preserve"> </w:t>
      </w:r>
      <w:r w:rsidRPr="00ED3193">
        <w:t>Narayan</w:t>
      </w:r>
      <w:r>
        <w:t>, S.</w:t>
      </w:r>
      <w:r w:rsidRPr="00ED3193">
        <w:t xml:space="preserve"> et al. </w:t>
      </w:r>
      <w:r>
        <w:t>O</w:t>
      </w:r>
      <w:r w:rsidRPr="00ED3193">
        <w:t>n behalf of the Serious Hazards of Transfusion (SHOT) Steering Group. The 2020 Annual SHOT Report (2021). Available at</w:t>
      </w:r>
      <w:r>
        <w:t xml:space="preserve"> </w:t>
      </w:r>
      <w:proofErr w:type="spellStart"/>
      <w:r>
        <w:t>Shotuk</w:t>
      </w:r>
      <w:proofErr w:type="spellEnd"/>
      <w:r>
        <w:t xml:space="preserve"> website.</w:t>
      </w:r>
    </w:p>
  </w:footnote>
  <w:footnote w:id="55">
    <w:p w14:paraId="73A337EB" w14:textId="3CBA287F" w:rsidR="00F91303" w:rsidRDefault="00F91303">
      <w:pPr>
        <w:pStyle w:val="FootnoteText"/>
      </w:pPr>
      <w:r>
        <w:rPr>
          <w:rStyle w:val="FootnoteReference"/>
        </w:rPr>
        <w:footnoteRef/>
      </w:r>
      <w:r>
        <w:t xml:space="preserve"> </w:t>
      </w:r>
      <w:proofErr w:type="spellStart"/>
      <w:r w:rsidRPr="00A91F1B">
        <w:t>Compernolle</w:t>
      </w:r>
      <w:proofErr w:type="spellEnd"/>
      <w:r>
        <w:t>,</w:t>
      </w:r>
      <w:r w:rsidRPr="00A91F1B">
        <w:t xml:space="preserve"> V</w:t>
      </w:r>
      <w:r>
        <w:t>.</w:t>
      </w:r>
      <w:r w:rsidRPr="00A91F1B">
        <w:t xml:space="preserve"> et al</w:t>
      </w:r>
      <w:r>
        <w:t>.</w:t>
      </w:r>
      <w:r w:rsidRPr="00A91F1B">
        <w:t xml:space="preserve"> International Collaboration for Transfusion Medicine Guidelines. Red blood cell specifications for patients with hemoglobinopathies: a systematic review and guideline</w:t>
      </w:r>
      <w:r>
        <w:t>,</w:t>
      </w:r>
      <w:r w:rsidRPr="00A91F1B">
        <w:t xml:space="preserve"> </w:t>
      </w:r>
      <w:r w:rsidRPr="00A91F1B">
        <w:rPr>
          <w:i/>
          <w:iCs/>
        </w:rPr>
        <w:t>Transfusion</w:t>
      </w:r>
      <w:r>
        <w:t>,</w:t>
      </w:r>
      <w:r w:rsidRPr="00A91F1B">
        <w:t xml:space="preserve"> 2018;</w:t>
      </w:r>
      <w:r>
        <w:t xml:space="preserve"> </w:t>
      </w:r>
      <w:r w:rsidRPr="00A91F1B">
        <w:t>58(6):</w:t>
      </w:r>
      <w:r>
        <w:t xml:space="preserve"> </w:t>
      </w:r>
      <w:r w:rsidRPr="00A91F1B">
        <w:t>1555-1566.</w:t>
      </w:r>
    </w:p>
  </w:footnote>
  <w:footnote w:id="56">
    <w:p w14:paraId="674E109E" w14:textId="4403243C" w:rsidR="00F91303" w:rsidRDefault="00F91303">
      <w:pPr>
        <w:pStyle w:val="FootnoteText"/>
      </w:pPr>
      <w:r>
        <w:rPr>
          <w:rStyle w:val="FootnoteReference"/>
        </w:rPr>
        <w:footnoteRef/>
      </w:r>
      <w:r>
        <w:t xml:space="preserve"> </w:t>
      </w:r>
      <w:proofErr w:type="spellStart"/>
      <w:r w:rsidRPr="00CD3858">
        <w:t>McQuilten</w:t>
      </w:r>
      <w:proofErr w:type="spellEnd"/>
      <w:r>
        <w:t>,</w:t>
      </w:r>
      <w:r w:rsidRPr="00CD3858">
        <w:t xml:space="preserve"> Z</w:t>
      </w:r>
      <w:r>
        <w:t>.</w:t>
      </w:r>
      <w:r w:rsidRPr="00CD3858">
        <w:t xml:space="preserve"> et al</w:t>
      </w:r>
      <w:r>
        <w:t>.</w:t>
      </w:r>
      <w:r w:rsidRPr="00CD3858">
        <w:t xml:space="preserve"> The cost of blood: a study of the total cost of red cell transfusion in patients with beta thalassaemia using time-driven activity-based costing</w:t>
      </w:r>
      <w:r>
        <w:t>,</w:t>
      </w:r>
      <w:r w:rsidRPr="00CD3858">
        <w:t xml:space="preserve"> </w:t>
      </w:r>
      <w:r w:rsidRPr="00CD3858">
        <w:rPr>
          <w:i/>
          <w:iCs/>
        </w:rPr>
        <w:t>Transfusion</w:t>
      </w:r>
      <w:r w:rsidRPr="00CD3858">
        <w:t xml:space="preserve"> 2019;</w:t>
      </w:r>
      <w:r>
        <w:t xml:space="preserve"> </w:t>
      </w:r>
      <w:r w:rsidRPr="00CD3858">
        <w:t>59:</w:t>
      </w:r>
      <w:r>
        <w:t xml:space="preserve"> </w:t>
      </w:r>
      <w:r w:rsidRPr="00CD3858">
        <w:t>3386-</w:t>
      </w:r>
      <w:r>
        <w:t>33</w:t>
      </w:r>
      <w:r w:rsidRPr="00CD3858">
        <w:t>95.</w:t>
      </w:r>
    </w:p>
  </w:footnote>
  <w:footnote w:id="57">
    <w:p w14:paraId="7133D335" w14:textId="133C512F" w:rsidR="00F91303" w:rsidRDefault="00F91303">
      <w:pPr>
        <w:pStyle w:val="FootnoteText"/>
      </w:pPr>
      <w:r>
        <w:rPr>
          <w:rStyle w:val="FootnoteReference"/>
        </w:rPr>
        <w:footnoteRef/>
      </w:r>
      <w:r>
        <w:t xml:space="preserve"> </w:t>
      </w:r>
      <w:r w:rsidRPr="00290B8C">
        <w:t>Burns</w:t>
      </w:r>
      <w:r>
        <w:t>,</w:t>
      </w:r>
      <w:r w:rsidRPr="00290B8C">
        <w:t xml:space="preserve"> K</w:t>
      </w:r>
      <w:r>
        <w:t>.</w:t>
      </w:r>
      <w:r w:rsidRPr="00290B8C">
        <w:t xml:space="preserve"> et al</w:t>
      </w:r>
      <w:r>
        <w:t>.</w:t>
      </w:r>
      <w:r w:rsidRPr="00290B8C">
        <w:t xml:space="preserve"> A time-driven, activity-based costing methodology for determining the costs of red blood cell transfusion in patients with beta thalassaemia major</w:t>
      </w:r>
      <w:r>
        <w:t>,</w:t>
      </w:r>
      <w:r w:rsidRPr="00290B8C">
        <w:t xml:space="preserve"> </w:t>
      </w:r>
      <w:proofErr w:type="spellStart"/>
      <w:r w:rsidRPr="00B92C4A">
        <w:rPr>
          <w:i/>
          <w:iCs/>
        </w:rPr>
        <w:t>Transfus</w:t>
      </w:r>
      <w:proofErr w:type="spellEnd"/>
      <w:r w:rsidRPr="00B92C4A">
        <w:rPr>
          <w:i/>
          <w:iCs/>
        </w:rPr>
        <w:t xml:space="preserve"> Med</w:t>
      </w:r>
      <w:r>
        <w:t>,</w:t>
      </w:r>
      <w:r w:rsidRPr="00290B8C">
        <w:t xml:space="preserve"> 2019;</w:t>
      </w:r>
      <w:r>
        <w:t xml:space="preserve"> </w:t>
      </w:r>
      <w:r w:rsidRPr="00290B8C">
        <w:t>29:</w:t>
      </w:r>
      <w:r>
        <w:t xml:space="preserve"> </w:t>
      </w:r>
      <w:r w:rsidRPr="00290B8C">
        <w:t>33-40.</w:t>
      </w:r>
    </w:p>
  </w:footnote>
  <w:footnote w:id="58">
    <w:p w14:paraId="5BD7CACB" w14:textId="77E560C4" w:rsidR="00F91303" w:rsidRDefault="00F91303">
      <w:pPr>
        <w:pStyle w:val="FootnoteText"/>
      </w:pPr>
      <w:r>
        <w:rPr>
          <w:rStyle w:val="FootnoteReference"/>
        </w:rPr>
        <w:footnoteRef/>
      </w:r>
      <w:r>
        <w:t xml:space="preserve"> </w:t>
      </w:r>
      <w:proofErr w:type="spellStart"/>
      <w:r w:rsidRPr="000C336F">
        <w:t>Stauder</w:t>
      </w:r>
      <w:proofErr w:type="spellEnd"/>
      <w:r>
        <w:t>,</w:t>
      </w:r>
      <w:r w:rsidRPr="000C336F">
        <w:t xml:space="preserve"> R</w:t>
      </w:r>
      <w:r>
        <w:t>.</w:t>
      </w:r>
      <w:r w:rsidRPr="000C336F">
        <w:t xml:space="preserve"> et al</w:t>
      </w:r>
      <w:r>
        <w:t>.</w:t>
      </w:r>
      <w:r w:rsidRPr="000C336F">
        <w:t xml:space="preserve"> Health-related quality of life in lower-risk MDS patients compared with </w:t>
      </w:r>
      <w:proofErr w:type="spellStart"/>
      <w:r w:rsidRPr="000C336F">
        <w:t>ageand</w:t>
      </w:r>
      <w:proofErr w:type="spellEnd"/>
      <w:r w:rsidRPr="000C336F">
        <w:t xml:space="preserve"> sex-matched reference populations: a European </w:t>
      </w:r>
      <w:proofErr w:type="spellStart"/>
      <w:r w:rsidRPr="000C336F">
        <w:t>LeukemiaNet</w:t>
      </w:r>
      <w:proofErr w:type="spellEnd"/>
      <w:r w:rsidRPr="000C336F">
        <w:t xml:space="preserve"> study. </w:t>
      </w:r>
      <w:r w:rsidRPr="000C336F">
        <w:rPr>
          <w:i/>
          <w:iCs/>
        </w:rPr>
        <w:t>Leukemia</w:t>
      </w:r>
      <w:r>
        <w:t>,</w:t>
      </w:r>
      <w:r w:rsidRPr="000C336F">
        <w:t xml:space="preserve"> 2018; 32: 1380–</w:t>
      </w:r>
      <w:r>
        <w:t>13</w:t>
      </w:r>
      <w:r w:rsidRPr="000C336F">
        <w:t>92</w:t>
      </w:r>
    </w:p>
  </w:footnote>
  <w:footnote w:id="59">
    <w:p w14:paraId="1498EB40" w14:textId="2528C073" w:rsidR="00F91303" w:rsidRDefault="00F91303">
      <w:pPr>
        <w:pStyle w:val="FootnoteText"/>
      </w:pPr>
      <w:r>
        <w:rPr>
          <w:rStyle w:val="FootnoteReference"/>
        </w:rPr>
        <w:footnoteRef/>
      </w:r>
      <w:r>
        <w:t xml:space="preserve"> D</w:t>
      </w:r>
      <w:r w:rsidRPr="00CA448E">
        <w:t>e Swart</w:t>
      </w:r>
      <w:r>
        <w:t>,</w:t>
      </w:r>
      <w:r w:rsidRPr="00CA448E">
        <w:t xml:space="preserve"> L</w:t>
      </w:r>
      <w:r>
        <w:t>.</w:t>
      </w:r>
      <w:r w:rsidRPr="00CA448E">
        <w:t xml:space="preserve"> et al</w:t>
      </w:r>
      <w:r>
        <w:t>.</w:t>
      </w:r>
      <w:r w:rsidRPr="00CA448E">
        <w:t xml:space="preserve"> Management of 1000 patients with low- and intermediate-1 risk myelodysplastic syndromes in the European </w:t>
      </w:r>
      <w:proofErr w:type="spellStart"/>
      <w:r w:rsidRPr="00CA448E">
        <w:t>LeukemiaNet</w:t>
      </w:r>
      <w:proofErr w:type="spellEnd"/>
      <w:r w:rsidRPr="00CA448E">
        <w:t xml:space="preserve"> MDS Registry</w:t>
      </w:r>
      <w:r>
        <w:t>,</w:t>
      </w:r>
      <w:r w:rsidRPr="00CA448E">
        <w:t xml:space="preserve"> </w:t>
      </w:r>
      <w:proofErr w:type="spellStart"/>
      <w:r w:rsidRPr="00CA448E">
        <w:rPr>
          <w:i/>
          <w:iCs/>
        </w:rPr>
        <w:t>Leuk</w:t>
      </w:r>
      <w:proofErr w:type="spellEnd"/>
      <w:r w:rsidRPr="00CA448E">
        <w:rPr>
          <w:i/>
          <w:iCs/>
        </w:rPr>
        <w:t xml:space="preserve"> Res</w:t>
      </w:r>
      <w:r w:rsidRPr="00CA448E">
        <w:t>, 2011; 35</w:t>
      </w:r>
      <w:r>
        <w:t>:</w:t>
      </w:r>
      <w:r w:rsidRPr="00CA448E">
        <w:t xml:space="preserve"> S3.</w:t>
      </w:r>
    </w:p>
  </w:footnote>
  <w:footnote w:id="60">
    <w:p w14:paraId="241C617A" w14:textId="7EDBEC00" w:rsidR="00F91303" w:rsidRDefault="00F91303">
      <w:pPr>
        <w:pStyle w:val="FootnoteText"/>
      </w:pPr>
      <w:r>
        <w:rPr>
          <w:rStyle w:val="FootnoteReference"/>
        </w:rPr>
        <w:footnoteRef/>
      </w:r>
      <w:r>
        <w:t xml:space="preserve"> </w:t>
      </w:r>
      <w:proofErr w:type="spellStart"/>
      <w:r w:rsidRPr="00E951B6">
        <w:t>Platzbecker</w:t>
      </w:r>
      <w:proofErr w:type="spellEnd"/>
      <w:r>
        <w:t>,</w:t>
      </w:r>
      <w:r w:rsidRPr="00E951B6">
        <w:t xml:space="preserve"> U. Treatment of MDS. </w:t>
      </w:r>
      <w:r w:rsidRPr="007332D0">
        <w:rPr>
          <w:i/>
          <w:iCs/>
        </w:rPr>
        <w:t>Blood</w:t>
      </w:r>
      <w:r>
        <w:t>,</w:t>
      </w:r>
      <w:r w:rsidRPr="00E951B6">
        <w:t xml:space="preserve"> 2019;</w:t>
      </w:r>
      <w:r>
        <w:t xml:space="preserve"> </w:t>
      </w:r>
      <w:r w:rsidRPr="00E951B6">
        <w:t>133(10):</w:t>
      </w:r>
      <w:r>
        <w:t xml:space="preserve"> </w:t>
      </w:r>
      <w:r w:rsidRPr="00E951B6">
        <w:t>1096-1107.</w:t>
      </w:r>
    </w:p>
  </w:footnote>
  <w:footnote w:id="61">
    <w:p w14:paraId="5B1871FC" w14:textId="4D4107A1" w:rsidR="00F91303" w:rsidRDefault="00F91303">
      <w:pPr>
        <w:pStyle w:val="FootnoteText"/>
      </w:pPr>
      <w:r>
        <w:rPr>
          <w:rStyle w:val="FootnoteReference"/>
        </w:rPr>
        <w:footnoteRef/>
      </w:r>
      <w:r>
        <w:t xml:space="preserve"> </w:t>
      </w:r>
      <w:proofErr w:type="spellStart"/>
      <w:r w:rsidRPr="007332D0">
        <w:t>Germing</w:t>
      </w:r>
      <w:proofErr w:type="spellEnd"/>
      <w:r>
        <w:t>,</w:t>
      </w:r>
      <w:r w:rsidRPr="007332D0">
        <w:t xml:space="preserve"> U.</w:t>
      </w:r>
      <w:r>
        <w:t xml:space="preserve"> et al.</w:t>
      </w:r>
      <w:r w:rsidRPr="007332D0">
        <w:t xml:space="preserve"> Treatment of </w:t>
      </w:r>
      <w:proofErr w:type="spellStart"/>
      <w:r w:rsidRPr="007332D0">
        <w:t>anemia</w:t>
      </w:r>
      <w:proofErr w:type="spellEnd"/>
      <w:r w:rsidRPr="007332D0">
        <w:t xml:space="preserve"> in transfusion-dependent and </w:t>
      </w:r>
      <w:proofErr w:type="spellStart"/>
      <w:r w:rsidRPr="007332D0">
        <w:t>nontransfusion</w:t>
      </w:r>
      <w:proofErr w:type="spellEnd"/>
      <w:r w:rsidRPr="007332D0">
        <w:t>-dependent lower-risk MDS: current and emerging strategies</w:t>
      </w:r>
      <w:r>
        <w:t>,</w:t>
      </w:r>
      <w:r w:rsidRPr="007332D0">
        <w:t xml:space="preserve"> </w:t>
      </w:r>
      <w:proofErr w:type="spellStart"/>
      <w:r w:rsidRPr="007332D0">
        <w:rPr>
          <w:i/>
          <w:iCs/>
        </w:rPr>
        <w:t>HemaSphere</w:t>
      </w:r>
      <w:proofErr w:type="spellEnd"/>
      <w:r w:rsidRPr="007332D0">
        <w:t>. 2019;</w:t>
      </w:r>
      <w:r>
        <w:t xml:space="preserve"> </w:t>
      </w:r>
      <w:r w:rsidRPr="007332D0">
        <w:t>3(6):</w:t>
      </w:r>
      <w:r>
        <w:t xml:space="preserve"> </w:t>
      </w:r>
      <w:r w:rsidRPr="007332D0">
        <w:t>e314.</w:t>
      </w:r>
    </w:p>
  </w:footnote>
  <w:footnote w:id="62">
    <w:p w14:paraId="06D58174" w14:textId="6A7C0F04" w:rsidR="00F91303" w:rsidRDefault="00F91303">
      <w:pPr>
        <w:pStyle w:val="FootnoteText"/>
      </w:pPr>
      <w:r>
        <w:rPr>
          <w:rStyle w:val="FootnoteReference"/>
        </w:rPr>
        <w:footnoteRef/>
      </w:r>
      <w:r>
        <w:t xml:space="preserve"> </w:t>
      </w:r>
      <w:proofErr w:type="spellStart"/>
      <w:r w:rsidRPr="00A05A31">
        <w:t>Germing</w:t>
      </w:r>
      <w:proofErr w:type="spellEnd"/>
      <w:r>
        <w:t>,</w:t>
      </w:r>
      <w:r w:rsidRPr="00A05A31">
        <w:t xml:space="preserve"> U</w:t>
      </w:r>
      <w:r>
        <w:t>. et al</w:t>
      </w:r>
      <w:r w:rsidRPr="00A05A31">
        <w:t xml:space="preserve">. Treatment of </w:t>
      </w:r>
      <w:proofErr w:type="spellStart"/>
      <w:r w:rsidRPr="00A05A31">
        <w:t>anemia</w:t>
      </w:r>
      <w:proofErr w:type="spellEnd"/>
      <w:r w:rsidRPr="00A05A31">
        <w:t xml:space="preserve"> in transfusion-dependent and </w:t>
      </w:r>
      <w:proofErr w:type="spellStart"/>
      <w:r w:rsidRPr="00A05A31">
        <w:t>nontransfusion</w:t>
      </w:r>
      <w:proofErr w:type="spellEnd"/>
      <w:r w:rsidRPr="00A05A31">
        <w:t>-dependent lower-risk MDS: current and emerging strategies</w:t>
      </w:r>
      <w:r>
        <w:t>,</w:t>
      </w:r>
      <w:r w:rsidRPr="00A05A31">
        <w:t xml:space="preserve"> </w:t>
      </w:r>
      <w:proofErr w:type="spellStart"/>
      <w:r w:rsidRPr="00A05A31">
        <w:rPr>
          <w:i/>
          <w:iCs/>
        </w:rPr>
        <w:t>HemaSphere</w:t>
      </w:r>
      <w:proofErr w:type="spellEnd"/>
      <w:r w:rsidRPr="00A05A31">
        <w:t>. 2019;</w:t>
      </w:r>
      <w:r>
        <w:t xml:space="preserve"> </w:t>
      </w:r>
      <w:r w:rsidRPr="00A05A31">
        <w:t>3(6):</w:t>
      </w:r>
      <w:r>
        <w:t xml:space="preserve"> </w:t>
      </w:r>
      <w:r w:rsidRPr="00A05A31">
        <w:t>e314</w:t>
      </w:r>
      <w:r>
        <w:t>.</w:t>
      </w:r>
    </w:p>
  </w:footnote>
  <w:footnote w:id="63">
    <w:p w14:paraId="060BB385" w14:textId="3F5B9DA3" w:rsidR="00F91303" w:rsidRDefault="00F91303">
      <w:pPr>
        <w:pStyle w:val="FootnoteText"/>
      </w:pPr>
      <w:r>
        <w:rPr>
          <w:rStyle w:val="FootnoteReference"/>
        </w:rPr>
        <w:footnoteRef/>
      </w:r>
      <w:r>
        <w:t xml:space="preserve"> </w:t>
      </w:r>
      <w:r w:rsidRPr="00147D85">
        <w:t>Oliva</w:t>
      </w:r>
      <w:r>
        <w:t>,</w:t>
      </w:r>
      <w:r w:rsidRPr="00147D85">
        <w:t xml:space="preserve"> E</w:t>
      </w:r>
      <w:r>
        <w:t>.</w:t>
      </w:r>
      <w:r w:rsidRPr="00147D85">
        <w:t xml:space="preserve"> et al. </w:t>
      </w:r>
      <w:proofErr w:type="spellStart"/>
      <w:r w:rsidRPr="00147D85">
        <w:t>Hemoglobin</w:t>
      </w:r>
      <w:proofErr w:type="spellEnd"/>
      <w:r w:rsidRPr="00147D85">
        <w:t xml:space="preserve"> level threshold for cardiac </w:t>
      </w:r>
      <w:proofErr w:type="spellStart"/>
      <w:r w:rsidRPr="00147D85">
        <w:t>remodeling</w:t>
      </w:r>
      <w:proofErr w:type="spellEnd"/>
      <w:r w:rsidRPr="00147D85">
        <w:t xml:space="preserve"> and quality of life in myelodysplastic syndrome</w:t>
      </w:r>
      <w:r>
        <w:t>,</w:t>
      </w:r>
      <w:r w:rsidRPr="00147D85">
        <w:t xml:space="preserve"> </w:t>
      </w:r>
      <w:proofErr w:type="spellStart"/>
      <w:r w:rsidRPr="00125150">
        <w:rPr>
          <w:i/>
          <w:iCs/>
        </w:rPr>
        <w:t>Leuk</w:t>
      </w:r>
      <w:proofErr w:type="spellEnd"/>
      <w:r w:rsidRPr="00125150">
        <w:rPr>
          <w:i/>
          <w:iCs/>
        </w:rPr>
        <w:t xml:space="preserve"> Res</w:t>
      </w:r>
      <w:r>
        <w:t>,</w:t>
      </w:r>
      <w:r w:rsidRPr="00147D85">
        <w:t xml:space="preserve"> 2005;</w:t>
      </w:r>
      <w:r>
        <w:t xml:space="preserve"> </w:t>
      </w:r>
      <w:r w:rsidRPr="00147D85">
        <w:t>29(10):</w:t>
      </w:r>
      <w:r>
        <w:t xml:space="preserve"> </w:t>
      </w:r>
      <w:r w:rsidRPr="00147D85">
        <w:t>1217-1219.</w:t>
      </w:r>
    </w:p>
  </w:footnote>
  <w:footnote w:id="64">
    <w:p w14:paraId="644E2B37" w14:textId="30F16742" w:rsidR="00F91303" w:rsidRDefault="00F91303">
      <w:pPr>
        <w:pStyle w:val="FootnoteText"/>
      </w:pPr>
      <w:r>
        <w:rPr>
          <w:rStyle w:val="FootnoteReference"/>
        </w:rPr>
        <w:footnoteRef/>
      </w:r>
      <w:r>
        <w:t xml:space="preserve"> </w:t>
      </w:r>
      <w:r w:rsidRPr="00125150">
        <w:t>Oliva</w:t>
      </w:r>
      <w:r>
        <w:t>,</w:t>
      </w:r>
      <w:r w:rsidRPr="00125150">
        <w:t xml:space="preserve"> E</w:t>
      </w:r>
      <w:r>
        <w:t>. et al</w:t>
      </w:r>
      <w:r w:rsidRPr="00125150">
        <w:t xml:space="preserve">. A review of </w:t>
      </w:r>
      <w:proofErr w:type="spellStart"/>
      <w:r w:rsidRPr="00125150">
        <w:t>anemia</w:t>
      </w:r>
      <w:proofErr w:type="spellEnd"/>
      <w:r w:rsidRPr="00125150">
        <w:t xml:space="preserve"> as a cardiovascular risk factor in patients with myelodysplastic syndromes</w:t>
      </w:r>
      <w:r>
        <w:t>,</w:t>
      </w:r>
      <w:r w:rsidRPr="00125150">
        <w:t xml:space="preserve"> </w:t>
      </w:r>
      <w:r w:rsidRPr="00C9266E">
        <w:rPr>
          <w:i/>
          <w:iCs/>
        </w:rPr>
        <w:t>Am J Blood Res</w:t>
      </w:r>
      <w:r>
        <w:t>,</w:t>
      </w:r>
      <w:r w:rsidRPr="00125150">
        <w:t xml:space="preserve"> 2011;</w:t>
      </w:r>
      <w:r>
        <w:t xml:space="preserve"> </w:t>
      </w:r>
      <w:r w:rsidRPr="00125150">
        <w:t>1(2):</w:t>
      </w:r>
      <w:r>
        <w:t xml:space="preserve"> </w:t>
      </w:r>
      <w:r w:rsidRPr="00125150">
        <w:t>160-166.</w:t>
      </w:r>
    </w:p>
  </w:footnote>
  <w:footnote w:id="65">
    <w:p w14:paraId="7B75F484" w14:textId="3F31D3F0" w:rsidR="00F91303" w:rsidRDefault="00F91303">
      <w:pPr>
        <w:pStyle w:val="FootnoteText"/>
      </w:pPr>
      <w:r>
        <w:rPr>
          <w:rStyle w:val="FootnoteReference"/>
        </w:rPr>
        <w:footnoteRef/>
      </w:r>
      <w:r>
        <w:t xml:space="preserve"> </w:t>
      </w:r>
      <w:proofErr w:type="spellStart"/>
      <w:r w:rsidRPr="007A03E8">
        <w:t>Crighton</w:t>
      </w:r>
      <w:proofErr w:type="spellEnd"/>
      <w:r>
        <w:t>,</w:t>
      </w:r>
      <w:r w:rsidRPr="007A03E8">
        <w:t xml:space="preserve"> G</w:t>
      </w:r>
      <w:r>
        <w:t xml:space="preserve">. </w:t>
      </w:r>
      <w:r w:rsidRPr="007A03E8">
        <w:t xml:space="preserve">et al. Haemoglobin disorders in Australia: where are we now and where will we be in the future? </w:t>
      </w:r>
      <w:r w:rsidRPr="007A03E8">
        <w:rPr>
          <w:i/>
          <w:iCs/>
        </w:rPr>
        <w:t>Intern Med J</w:t>
      </w:r>
      <w:r>
        <w:t>,</w:t>
      </w:r>
      <w:r w:rsidRPr="007A03E8">
        <w:t xml:space="preserve"> 2016;</w:t>
      </w:r>
      <w:r>
        <w:t xml:space="preserve"> </w:t>
      </w:r>
      <w:r w:rsidRPr="007A03E8">
        <w:t>46(7):</w:t>
      </w:r>
      <w:r>
        <w:t xml:space="preserve"> </w:t>
      </w:r>
      <w:r w:rsidRPr="007A03E8">
        <w:t>770-</w:t>
      </w:r>
      <w:r>
        <w:t>77</w:t>
      </w:r>
      <w:r w:rsidRPr="007A03E8">
        <w:t>9.</w:t>
      </w:r>
    </w:p>
  </w:footnote>
  <w:footnote w:id="66">
    <w:p w14:paraId="31623399" w14:textId="14179EBB" w:rsidR="00F91303" w:rsidRDefault="00F91303">
      <w:pPr>
        <w:pStyle w:val="FootnoteText"/>
      </w:pPr>
      <w:r>
        <w:rPr>
          <w:rStyle w:val="FootnoteReference"/>
        </w:rPr>
        <w:footnoteRef/>
      </w:r>
      <w:r>
        <w:t xml:space="preserve"> </w:t>
      </w:r>
      <w:r w:rsidRPr="009367CE">
        <w:t>Capellini</w:t>
      </w:r>
      <w:r>
        <w:t>,</w:t>
      </w:r>
      <w:r w:rsidRPr="009367CE">
        <w:t xml:space="preserve"> M</w:t>
      </w:r>
      <w:r>
        <w:t>.</w:t>
      </w:r>
      <w:r w:rsidRPr="009367CE">
        <w:t xml:space="preserve"> et al; Thalassaemia International Federation: Guidelines for the clinical management of transfusion-dependent thalassaemia, 4th edition, 2021.</w:t>
      </w:r>
    </w:p>
  </w:footnote>
  <w:footnote w:id="67">
    <w:p w14:paraId="23F88B47" w14:textId="3BC3180B" w:rsidR="00F91303" w:rsidRDefault="00F91303">
      <w:pPr>
        <w:pStyle w:val="FootnoteText"/>
      </w:pPr>
      <w:r>
        <w:rPr>
          <w:rStyle w:val="FootnoteReference"/>
        </w:rPr>
        <w:footnoteRef/>
      </w:r>
      <w:r>
        <w:t xml:space="preserve"> </w:t>
      </w:r>
      <w:proofErr w:type="spellStart"/>
      <w:r w:rsidRPr="008579BD">
        <w:t>McQuilten</w:t>
      </w:r>
      <w:proofErr w:type="spellEnd"/>
      <w:r>
        <w:t>,</w:t>
      </w:r>
      <w:r w:rsidRPr="008579BD">
        <w:t xml:space="preserve"> Z</w:t>
      </w:r>
      <w:r>
        <w:t>. et al</w:t>
      </w:r>
      <w:r w:rsidRPr="008579BD">
        <w:t>. Myelodysplastic syndrome incidence, transfusion dependence, health care use, and complications: an Australian population-based study 1998 to 2008</w:t>
      </w:r>
      <w:r>
        <w:t>,</w:t>
      </w:r>
      <w:r w:rsidRPr="008579BD">
        <w:t xml:space="preserve"> </w:t>
      </w:r>
      <w:r w:rsidRPr="008605D2">
        <w:rPr>
          <w:i/>
          <w:iCs/>
        </w:rPr>
        <w:t>Transfusion</w:t>
      </w:r>
      <w:r w:rsidRPr="008579BD">
        <w:t xml:space="preserve"> 2013;</w:t>
      </w:r>
      <w:r>
        <w:t xml:space="preserve"> </w:t>
      </w:r>
      <w:r w:rsidRPr="008579BD">
        <w:t>53(8):</w:t>
      </w:r>
      <w:r>
        <w:t xml:space="preserve"> </w:t>
      </w:r>
      <w:r w:rsidRPr="008579BD">
        <w:t>1714-</w:t>
      </w:r>
      <w:r>
        <w:t>17</w:t>
      </w:r>
      <w:r w:rsidRPr="008579BD">
        <w:t>21</w:t>
      </w:r>
      <w:r>
        <w:t>.</w:t>
      </w:r>
    </w:p>
  </w:footnote>
  <w:footnote w:id="68">
    <w:p w14:paraId="2573B763" w14:textId="65B74820" w:rsidR="00F91303" w:rsidRDefault="00F91303">
      <w:pPr>
        <w:pStyle w:val="FootnoteText"/>
      </w:pPr>
      <w:r>
        <w:rPr>
          <w:rStyle w:val="FootnoteReference"/>
        </w:rPr>
        <w:footnoteRef/>
      </w:r>
      <w:r>
        <w:t xml:space="preserve"> </w:t>
      </w:r>
      <w:proofErr w:type="spellStart"/>
      <w:r w:rsidRPr="00DD00E5">
        <w:t>McQuilten</w:t>
      </w:r>
      <w:proofErr w:type="spellEnd"/>
      <w:r>
        <w:t>,</w:t>
      </w:r>
      <w:r w:rsidRPr="00DD00E5">
        <w:t xml:space="preserve"> Z</w:t>
      </w:r>
      <w:r>
        <w:t>.</w:t>
      </w:r>
      <w:r w:rsidRPr="00DD00E5">
        <w:t xml:space="preserve"> et al. Underestimation of myelodysplastic syndrome incidence by cancer registries: Results from a population-based data linkage study</w:t>
      </w:r>
      <w:r>
        <w:t>,</w:t>
      </w:r>
      <w:r w:rsidRPr="00DD00E5">
        <w:t xml:space="preserve"> </w:t>
      </w:r>
      <w:r w:rsidRPr="00DD00E5">
        <w:rPr>
          <w:i/>
          <w:iCs/>
        </w:rPr>
        <w:t>Cancer</w:t>
      </w:r>
      <w:r>
        <w:t>,</w:t>
      </w:r>
      <w:r w:rsidRPr="00DD00E5">
        <w:t xml:space="preserve"> 2014;</w:t>
      </w:r>
      <w:r>
        <w:t xml:space="preserve"> </w:t>
      </w:r>
      <w:r w:rsidRPr="00DD00E5">
        <w:t>120(11):</w:t>
      </w:r>
      <w:r>
        <w:t xml:space="preserve"> </w:t>
      </w:r>
      <w:r w:rsidRPr="00DD00E5">
        <w:t>1686-</w:t>
      </w:r>
      <w:r>
        <w:t>16</w:t>
      </w:r>
      <w:r w:rsidRPr="00DD00E5">
        <w:t>94.</w:t>
      </w:r>
    </w:p>
  </w:footnote>
  <w:footnote w:id="69">
    <w:p w14:paraId="1F283BBF" w14:textId="0A52122F" w:rsidR="00F91303" w:rsidRDefault="00F91303">
      <w:pPr>
        <w:pStyle w:val="FootnoteText"/>
      </w:pPr>
      <w:r>
        <w:rPr>
          <w:rStyle w:val="FootnoteReference"/>
        </w:rPr>
        <w:footnoteRef/>
      </w:r>
      <w:r>
        <w:t xml:space="preserve"> </w:t>
      </w:r>
      <w:r w:rsidRPr="008F0072">
        <w:t>Waters</w:t>
      </w:r>
      <w:r>
        <w:t>,</w:t>
      </w:r>
      <w:r w:rsidRPr="008F0072">
        <w:t xml:space="preserve"> N</w:t>
      </w:r>
      <w:r>
        <w:t>.</w:t>
      </w:r>
      <w:r w:rsidRPr="008F0072">
        <w:t xml:space="preserve"> et al. The Australian Haemoglobinopathy Registry: 2018 Snapshot. </w:t>
      </w:r>
      <w:r w:rsidRPr="008F0072">
        <w:rPr>
          <w:i/>
          <w:iCs/>
        </w:rPr>
        <w:t>Blood</w:t>
      </w:r>
      <w:r>
        <w:t>,</w:t>
      </w:r>
      <w:r w:rsidRPr="008F0072">
        <w:t xml:space="preserve"> 2018, abstract P243.</w:t>
      </w:r>
    </w:p>
  </w:footnote>
  <w:footnote w:id="70">
    <w:p w14:paraId="6A14F397" w14:textId="28FB4368" w:rsidR="00290DBB" w:rsidRDefault="00F91303" w:rsidP="00886679">
      <w:pPr>
        <w:pStyle w:val="FootnoteText"/>
      </w:pPr>
      <w:r>
        <w:rPr>
          <w:rStyle w:val="FootnoteReference"/>
        </w:rPr>
        <w:footnoteRef/>
      </w:r>
      <w:r w:rsidRPr="00886679">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886679">
        <w:t>pre market</w:t>
      </w:r>
      <w:proofErr w:type="gramEnd"/>
      <w:r w:rsidRPr="00886679">
        <w:t xml:space="preserve"> and post-market functions for medicines. Further information can be found here: </w:t>
      </w:r>
      <w:hyperlink r:id="rId2" w:history="1">
        <w:r w:rsidRPr="00886679">
          <w:rPr>
            <w:rStyle w:val="Hyperlink"/>
          </w:rPr>
          <w:t>https://www.tga.gov.au/committee/advisory-committee-medicines-acm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B7F3F" w14:textId="77777777" w:rsidR="00F91303" w:rsidRDefault="00F9130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D3AC" w14:textId="77777777" w:rsidR="00F91303" w:rsidRDefault="00F91303" w:rsidP="006E08B3">
    <w:r>
      <w:t>Therapeutic Goods Administration</w:t>
    </w:r>
  </w:p>
  <w:p w14:paraId="1FA56825" w14:textId="77777777" w:rsidR="00F91303" w:rsidRDefault="00F91303" w:rsidP="006D03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7BE7" w14:textId="77777777" w:rsidR="00F91303" w:rsidRDefault="00F9130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74092" w14:textId="77777777" w:rsidR="00F91303" w:rsidRDefault="00F91303">
    <w:pPr>
      <w:rPr>
        <w:noProof/>
        <w:lang w:eastAsia="en-AU"/>
      </w:rPr>
    </w:pPr>
    <w:r w:rsidRPr="00347824">
      <w:rPr>
        <w:noProof/>
        <w:lang w:val="en-GB" w:eastAsia="en-GB"/>
      </w:rPr>
      <w:drawing>
        <wp:anchor distT="0" distB="0" distL="114300" distR="114300" simplePos="0" relativeHeight="251659264" behindDoc="1" locked="0" layoutInCell="1" allowOverlap="1" wp14:anchorId="4DE61A0D" wp14:editId="0F823679">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3951B66" w14:textId="77777777" w:rsidR="00F91303" w:rsidRDefault="00F91303"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F15BC" w14:textId="77777777" w:rsidR="00F91303" w:rsidRDefault="00F913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F5E29" w14:textId="77777777" w:rsidR="00F91303" w:rsidRDefault="00F9130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0A51D" w14:textId="77777777" w:rsidR="00F91303" w:rsidRDefault="00F91303">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shd w:val="clear" w:color="auto" w:fill="E4F2E0"/>
      <w:tblLook w:val="04A0" w:firstRow="1" w:lastRow="0" w:firstColumn="1" w:lastColumn="0" w:noHBand="0" w:noVBand="1"/>
    </w:tblPr>
    <w:tblGrid>
      <w:gridCol w:w="8494"/>
    </w:tblGrid>
    <w:tr w:rsidR="00F91303" w:rsidRPr="000B2145" w14:paraId="4D610700" w14:textId="77777777" w:rsidTr="00F91303">
      <w:trPr>
        <w:trHeight w:val="1012"/>
      </w:trPr>
      <w:tc>
        <w:tcPr>
          <w:tcW w:w="9039" w:type="dxa"/>
          <w:shd w:val="clear" w:color="auto" w:fill="E4F2E0"/>
        </w:tcPr>
        <w:p w14:paraId="651ABA11" w14:textId="77777777" w:rsidR="00F91303" w:rsidRPr="000E4791" w:rsidRDefault="00F91303" w:rsidP="00886679">
          <w:pPr>
            <w:pStyle w:val="Footer"/>
            <w:rPr>
              <w:b/>
              <w:sz w:val="18"/>
              <w:szCs w:val="18"/>
            </w:rPr>
          </w:pPr>
          <w:bookmarkStart w:id="136" w:name="_Hlk80611440"/>
          <w:r w:rsidRPr="000E4791">
            <w:rPr>
              <w:b/>
              <w:sz w:val="18"/>
              <w:szCs w:val="18"/>
            </w:rPr>
            <w:t xml:space="preserve">Attachment </w:t>
          </w:r>
          <w:proofErr w:type="spellStart"/>
          <w:r w:rsidRPr="002C2FC3">
            <w:rPr>
              <w:b/>
              <w:sz w:val="18"/>
              <w:szCs w:val="18"/>
            </w:rPr>
            <w:t>AusPAR</w:t>
          </w:r>
          <w:proofErr w:type="spellEnd"/>
          <w:r w:rsidRPr="002C2FC3">
            <w:rPr>
              <w:b/>
              <w:sz w:val="18"/>
              <w:szCs w:val="18"/>
            </w:rPr>
            <w:t xml:space="preserve"> - </w:t>
          </w:r>
          <w:proofErr w:type="spellStart"/>
          <w:r w:rsidRPr="002C2FC3">
            <w:rPr>
              <w:b/>
              <w:sz w:val="18"/>
              <w:szCs w:val="18"/>
            </w:rPr>
            <w:t>Reblozyl</w:t>
          </w:r>
          <w:proofErr w:type="spellEnd"/>
          <w:r w:rsidRPr="002C2FC3">
            <w:rPr>
              <w:b/>
              <w:sz w:val="18"/>
              <w:szCs w:val="18"/>
            </w:rPr>
            <w:t xml:space="preserve"> – </w:t>
          </w:r>
          <w:proofErr w:type="spellStart"/>
          <w:r w:rsidRPr="002C2FC3">
            <w:rPr>
              <w:b/>
              <w:sz w:val="18"/>
              <w:szCs w:val="18"/>
            </w:rPr>
            <w:t>luspatercept</w:t>
          </w:r>
          <w:proofErr w:type="spellEnd"/>
          <w:r w:rsidRPr="002C2FC3">
            <w:rPr>
              <w:b/>
              <w:sz w:val="18"/>
              <w:szCs w:val="18"/>
            </w:rPr>
            <w:t xml:space="preserve"> - Celgene Pty Ltd - </w:t>
          </w:r>
          <w:bookmarkStart w:id="137" w:name="_Hlk102036761"/>
          <w:r w:rsidRPr="002C2FC3">
            <w:rPr>
              <w:b/>
              <w:sz w:val="18"/>
              <w:szCs w:val="18"/>
            </w:rPr>
            <w:t>PM-2020-01706-1-6</w:t>
          </w:r>
          <w:bookmarkEnd w:id="137"/>
          <w:r>
            <w:rPr>
              <w:b/>
              <w:sz w:val="18"/>
              <w:szCs w:val="18"/>
            </w:rPr>
            <w:t xml:space="preserve"> </w:t>
          </w:r>
          <w:r w:rsidRPr="002C2FC3">
            <w:rPr>
              <w:b/>
              <w:sz w:val="18"/>
              <w:szCs w:val="18"/>
            </w:rPr>
            <w:t>FINAL 27 April 2022</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36"/>
  </w:tbl>
  <w:p w14:paraId="5BAE254B" w14:textId="175FC575" w:rsidR="00F91303" w:rsidRPr="00886679" w:rsidRDefault="00F91303" w:rsidP="00886679">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EDEB" w14:textId="77777777" w:rsidR="00F91303" w:rsidRDefault="00F913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6C96" w14:textId="77777777" w:rsidR="00F91303" w:rsidRDefault="00F91303" w:rsidP="004C239D">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03E22FF0"/>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2D905CD"/>
    <w:multiLevelType w:val="hybridMultilevel"/>
    <w:tmpl w:val="85FC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97758C"/>
    <w:multiLevelType w:val="hybridMultilevel"/>
    <w:tmpl w:val="016AAAE6"/>
    <w:lvl w:ilvl="0" w:tplc="D93EBD12">
      <w:start w:val="1"/>
      <w:numFmt w:val="decimal"/>
      <w:pStyle w:val="C-AppendixNumbered"/>
      <w:lvlText w:val="Appendix %1."/>
      <w:lvlJc w:val="left"/>
      <w:pPr>
        <w:ind w:left="135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15:restartNumberingAfterBreak="0">
    <w:nsid w:val="2B033C27"/>
    <w:multiLevelType w:val="hybridMultilevel"/>
    <w:tmpl w:val="0616E14C"/>
    <w:lvl w:ilvl="0" w:tplc="DD5246C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463B31"/>
    <w:multiLevelType w:val="hybridMultilevel"/>
    <w:tmpl w:val="FF8EB34C"/>
    <w:lvl w:ilvl="0" w:tplc="96106D14">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8"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E94FCB"/>
    <w:multiLevelType w:val="hybridMultilevel"/>
    <w:tmpl w:val="BA421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3" w15:restartNumberingAfterBreak="0">
    <w:nsid w:val="50DC5144"/>
    <w:multiLevelType w:val="hybridMultilevel"/>
    <w:tmpl w:val="C1DE1710"/>
    <w:lvl w:ilvl="0" w:tplc="DBB686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5"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6" w15:restartNumberingAfterBreak="0">
    <w:nsid w:val="5A536696"/>
    <w:multiLevelType w:val="hybridMultilevel"/>
    <w:tmpl w:val="0616E14C"/>
    <w:lvl w:ilvl="0" w:tplc="DD5246C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8003C4"/>
    <w:multiLevelType w:val="hybridMultilevel"/>
    <w:tmpl w:val="0616E14C"/>
    <w:lvl w:ilvl="0" w:tplc="DD5246C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9"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1035A3"/>
    <w:multiLevelType w:val="multilevel"/>
    <w:tmpl w:val="51DE486A"/>
    <w:lvl w:ilvl="0">
      <w:start w:val="1"/>
      <w:numFmt w:val="upperLetter"/>
      <w:pStyle w:val="C-Appendix"/>
      <w:lvlText w:val="Appendix %1."/>
      <w:lvlJc w:val="left"/>
      <w:pPr>
        <w:tabs>
          <w:tab w:val="num" w:pos="1987"/>
        </w:tabs>
        <w:ind w:left="1987" w:hanging="198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num w:numId="1">
    <w:abstractNumId w:val="2"/>
  </w:num>
  <w:num w:numId="2">
    <w:abstractNumId w:val="1"/>
  </w:num>
  <w:num w:numId="3">
    <w:abstractNumId w:val="2"/>
  </w:num>
  <w:num w:numId="4">
    <w:abstractNumId w:val="1"/>
  </w:num>
  <w:num w:numId="5">
    <w:abstractNumId w:val="11"/>
  </w:num>
  <w:num w:numId="6">
    <w:abstractNumId w:val="17"/>
  </w:num>
  <w:num w:numId="7">
    <w:abstractNumId w:val="5"/>
  </w:num>
  <w:num w:numId="8">
    <w:abstractNumId w:val="16"/>
  </w:num>
  <w:num w:numId="9">
    <w:abstractNumId w:val="7"/>
  </w:num>
  <w:num w:numId="10">
    <w:abstractNumId w:val="21"/>
  </w:num>
  <w:num w:numId="11">
    <w:abstractNumId w:val="19"/>
  </w:num>
  <w:num w:numId="12">
    <w:abstractNumId w:val="8"/>
  </w:num>
  <w:num w:numId="13">
    <w:abstractNumId w:val="14"/>
  </w:num>
  <w:num w:numId="14">
    <w:abstractNumId w:val="22"/>
  </w:num>
  <w:num w:numId="15">
    <w:abstractNumId w:val="20"/>
  </w:num>
  <w:num w:numId="16">
    <w:abstractNumId w:val="4"/>
  </w:num>
  <w:num w:numId="17">
    <w:abstractNumId w:val="12"/>
  </w:num>
  <w:num w:numId="18">
    <w:abstractNumId w:val="15"/>
  </w:num>
  <w:num w:numId="19">
    <w:abstractNumId w:val="10"/>
  </w:num>
  <w:num w:numId="20">
    <w:abstractNumId w:val="0"/>
  </w:num>
  <w:num w:numId="21">
    <w:abstractNumId w:val="18"/>
  </w:num>
  <w:num w:numId="22">
    <w:abstractNumId w:val="13"/>
  </w:num>
  <w:num w:numId="23">
    <w:abstractNumId w:val="6"/>
  </w:num>
  <w:num w:numId="24">
    <w:abstractNumId w:val="9"/>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14"/>
    <w:rsid w:val="00001FF8"/>
    <w:rsid w:val="00002031"/>
    <w:rsid w:val="000027AD"/>
    <w:rsid w:val="000045BA"/>
    <w:rsid w:val="00004734"/>
    <w:rsid w:val="00006B22"/>
    <w:rsid w:val="00006FAB"/>
    <w:rsid w:val="000116FE"/>
    <w:rsid w:val="00011CEC"/>
    <w:rsid w:val="00012595"/>
    <w:rsid w:val="0001276A"/>
    <w:rsid w:val="00013108"/>
    <w:rsid w:val="00014177"/>
    <w:rsid w:val="00020D56"/>
    <w:rsid w:val="000246AE"/>
    <w:rsid w:val="00024B6F"/>
    <w:rsid w:val="00025C67"/>
    <w:rsid w:val="00030505"/>
    <w:rsid w:val="00031E96"/>
    <w:rsid w:val="00033463"/>
    <w:rsid w:val="00040659"/>
    <w:rsid w:val="00042ECD"/>
    <w:rsid w:val="00044772"/>
    <w:rsid w:val="0004541C"/>
    <w:rsid w:val="00047B8D"/>
    <w:rsid w:val="00050018"/>
    <w:rsid w:val="000548B5"/>
    <w:rsid w:val="0005559E"/>
    <w:rsid w:val="00056593"/>
    <w:rsid w:val="00057C9F"/>
    <w:rsid w:val="000604D6"/>
    <w:rsid w:val="000608F0"/>
    <w:rsid w:val="00061CD7"/>
    <w:rsid w:val="00062D7A"/>
    <w:rsid w:val="00063B72"/>
    <w:rsid w:val="00065688"/>
    <w:rsid w:val="000703C7"/>
    <w:rsid w:val="000734D8"/>
    <w:rsid w:val="00073B4A"/>
    <w:rsid w:val="00074422"/>
    <w:rsid w:val="00074C77"/>
    <w:rsid w:val="00077775"/>
    <w:rsid w:val="00080AD9"/>
    <w:rsid w:val="000839BD"/>
    <w:rsid w:val="00086398"/>
    <w:rsid w:val="00090471"/>
    <w:rsid w:val="00091BDC"/>
    <w:rsid w:val="00093AE5"/>
    <w:rsid w:val="00094F65"/>
    <w:rsid w:val="000951EE"/>
    <w:rsid w:val="0009684F"/>
    <w:rsid w:val="00096AA7"/>
    <w:rsid w:val="000A0066"/>
    <w:rsid w:val="000A17D8"/>
    <w:rsid w:val="000A225F"/>
    <w:rsid w:val="000A38CC"/>
    <w:rsid w:val="000A3AED"/>
    <w:rsid w:val="000A5571"/>
    <w:rsid w:val="000A5E1B"/>
    <w:rsid w:val="000A72BA"/>
    <w:rsid w:val="000B1F47"/>
    <w:rsid w:val="000B32E8"/>
    <w:rsid w:val="000B3532"/>
    <w:rsid w:val="000B37A4"/>
    <w:rsid w:val="000B3A75"/>
    <w:rsid w:val="000B427A"/>
    <w:rsid w:val="000B648B"/>
    <w:rsid w:val="000B6977"/>
    <w:rsid w:val="000B7D5C"/>
    <w:rsid w:val="000C00C2"/>
    <w:rsid w:val="000C2E22"/>
    <w:rsid w:val="000C336F"/>
    <w:rsid w:val="000C37EB"/>
    <w:rsid w:val="000C43EF"/>
    <w:rsid w:val="000C53D5"/>
    <w:rsid w:val="000C690F"/>
    <w:rsid w:val="000D1295"/>
    <w:rsid w:val="000D2B12"/>
    <w:rsid w:val="000D391B"/>
    <w:rsid w:val="000D3D6D"/>
    <w:rsid w:val="000D43E7"/>
    <w:rsid w:val="000D4FC7"/>
    <w:rsid w:val="000D543F"/>
    <w:rsid w:val="000D6467"/>
    <w:rsid w:val="000E5292"/>
    <w:rsid w:val="000E588C"/>
    <w:rsid w:val="000E6196"/>
    <w:rsid w:val="000E7F21"/>
    <w:rsid w:val="000F20E8"/>
    <w:rsid w:val="000F308D"/>
    <w:rsid w:val="000F4709"/>
    <w:rsid w:val="000F4869"/>
    <w:rsid w:val="000F570B"/>
    <w:rsid w:val="000F5B42"/>
    <w:rsid w:val="000F6E6F"/>
    <w:rsid w:val="000F6EA9"/>
    <w:rsid w:val="000F7D89"/>
    <w:rsid w:val="0010601F"/>
    <w:rsid w:val="0010788A"/>
    <w:rsid w:val="00107A31"/>
    <w:rsid w:val="001102EB"/>
    <w:rsid w:val="00110EA5"/>
    <w:rsid w:val="001117BF"/>
    <w:rsid w:val="00111D1E"/>
    <w:rsid w:val="00112F56"/>
    <w:rsid w:val="00113581"/>
    <w:rsid w:val="001206AD"/>
    <w:rsid w:val="00121FE9"/>
    <w:rsid w:val="001221C9"/>
    <w:rsid w:val="00122C2E"/>
    <w:rsid w:val="0012355E"/>
    <w:rsid w:val="00124ACD"/>
    <w:rsid w:val="00125150"/>
    <w:rsid w:val="00125318"/>
    <w:rsid w:val="001305A2"/>
    <w:rsid w:val="00133238"/>
    <w:rsid w:val="00133A1B"/>
    <w:rsid w:val="00133DA9"/>
    <w:rsid w:val="0014197B"/>
    <w:rsid w:val="00144438"/>
    <w:rsid w:val="001447CD"/>
    <w:rsid w:val="0014669F"/>
    <w:rsid w:val="00147445"/>
    <w:rsid w:val="00147D85"/>
    <w:rsid w:val="001516B1"/>
    <w:rsid w:val="00151D89"/>
    <w:rsid w:val="00152FCD"/>
    <w:rsid w:val="00154EBB"/>
    <w:rsid w:val="00155BD7"/>
    <w:rsid w:val="00156316"/>
    <w:rsid w:val="00161181"/>
    <w:rsid w:val="001611DB"/>
    <w:rsid w:val="00162D14"/>
    <w:rsid w:val="00163780"/>
    <w:rsid w:val="00163BEF"/>
    <w:rsid w:val="001643BE"/>
    <w:rsid w:val="00164D84"/>
    <w:rsid w:val="00165389"/>
    <w:rsid w:val="001654BC"/>
    <w:rsid w:val="00171C04"/>
    <w:rsid w:val="00172155"/>
    <w:rsid w:val="0017693F"/>
    <w:rsid w:val="0018032E"/>
    <w:rsid w:val="00181009"/>
    <w:rsid w:val="0018110E"/>
    <w:rsid w:val="00181684"/>
    <w:rsid w:val="0018210C"/>
    <w:rsid w:val="001843C6"/>
    <w:rsid w:val="001850E0"/>
    <w:rsid w:val="0018749B"/>
    <w:rsid w:val="001900CA"/>
    <w:rsid w:val="00190849"/>
    <w:rsid w:val="00192AE9"/>
    <w:rsid w:val="00195FC0"/>
    <w:rsid w:val="001A03AF"/>
    <w:rsid w:val="001A1A0A"/>
    <w:rsid w:val="001A2158"/>
    <w:rsid w:val="001A525F"/>
    <w:rsid w:val="001B09F9"/>
    <w:rsid w:val="001B1162"/>
    <w:rsid w:val="001B11D8"/>
    <w:rsid w:val="001B52A0"/>
    <w:rsid w:val="001B573B"/>
    <w:rsid w:val="001B5C90"/>
    <w:rsid w:val="001B5EC6"/>
    <w:rsid w:val="001B6448"/>
    <w:rsid w:val="001B64D5"/>
    <w:rsid w:val="001C0D77"/>
    <w:rsid w:val="001C32CD"/>
    <w:rsid w:val="001D1228"/>
    <w:rsid w:val="001D1A21"/>
    <w:rsid w:val="001D2172"/>
    <w:rsid w:val="001D23CC"/>
    <w:rsid w:val="001D2984"/>
    <w:rsid w:val="001D3FB7"/>
    <w:rsid w:val="001D59EB"/>
    <w:rsid w:val="001E0096"/>
    <w:rsid w:val="001E07CF"/>
    <w:rsid w:val="001E19AE"/>
    <w:rsid w:val="001E37FB"/>
    <w:rsid w:val="001E511A"/>
    <w:rsid w:val="001E59F1"/>
    <w:rsid w:val="001E6C18"/>
    <w:rsid w:val="001E70A0"/>
    <w:rsid w:val="001E726E"/>
    <w:rsid w:val="001E77B1"/>
    <w:rsid w:val="001E7F8D"/>
    <w:rsid w:val="001F1EA6"/>
    <w:rsid w:val="001F2BBB"/>
    <w:rsid w:val="001F2CEE"/>
    <w:rsid w:val="001F47E9"/>
    <w:rsid w:val="001F49EB"/>
    <w:rsid w:val="001F52E9"/>
    <w:rsid w:val="001F6CBA"/>
    <w:rsid w:val="001F73DF"/>
    <w:rsid w:val="001F7CEA"/>
    <w:rsid w:val="00201D4E"/>
    <w:rsid w:val="00201FDC"/>
    <w:rsid w:val="002055B7"/>
    <w:rsid w:val="00205889"/>
    <w:rsid w:val="002076C9"/>
    <w:rsid w:val="00215C3D"/>
    <w:rsid w:val="002169A2"/>
    <w:rsid w:val="00220B8A"/>
    <w:rsid w:val="00221409"/>
    <w:rsid w:val="00222038"/>
    <w:rsid w:val="00223647"/>
    <w:rsid w:val="002257F3"/>
    <w:rsid w:val="00225E84"/>
    <w:rsid w:val="0022612E"/>
    <w:rsid w:val="00226235"/>
    <w:rsid w:val="00231C06"/>
    <w:rsid w:val="00233456"/>
    <w:rsid w:val="002339A5"/>
    <w:rsid w:val="00237B10"/>
    <w:rsid w:val="00240B28"/>
    <w:rsid w:val="00241FC5"/>
    <w:rsid w:val="00243A08"/>
    <w:rsid w:val="00250271"/>
    <w:rsid w:val="00251BEC"/>
    <w:rsid w:val="00252948"/>
    <w:rsid w:val="00253899"/>
    <w:rsid w:val="00257848"/>
    <w:rsid w:val="002578E8"/>
    <w:rsid w:val="002614F6"/>
    <w:rsid w:val="00263FA2"/>
    <w:rsid w:val="00263FD6"/>
    <w:rsid w:val="00265A24"/>
    <w:rsid w:val="00267586"/>
    <w:rsid w:val="00267708"/>
    <w:rsid w:val="0027084A"/>
    <w:rsid w:val="00270930"/>
    <w:rsid w:val="00270C00"/>
    <w:rsid w:val="002721C8"/>
    <w:rsid w:val="00274221"/>
    <w:rsid w:val="00274514"/>
    <w:rsid w:val="00275316"/>
    <w:rsid w:val="002756E8"/>
    <w:rsid w:val="00280265"/>
    <w:rsid w:val="00280875"/>
    <w:rsid w:val="00281D6E"/>
    <w:rsid w:val="0028353E"/>
    <w:rsid w:val="00286434"/>
    <w:rsid w:val="00286C59"/>
    <w:rsid w:val="0028735B"/>
    <w:rsid w:val="00290B8C"/>
    <w:rsid w:val="00290DBB"/>
    <w:rsid w:val="0029144B"/>
    <w:rsid w:val="00291622"/>
    <w:rsid w:val="0029189C"/>
    <w:rsid w:val="00291957"/>
    <w:rsid w:val="002942D1"/>
    <w:rsid w:val="0029501A"/>
    <w:rsid w:val="00296781"/>
    <w:rsid w:val="002971C7"/>
    <w:rsid w:val="002A3721"/>
    <w:rsid w:val="002A4669"/>
    <w:rsid w:val="002A5295"/>
    <w:rsid w:val="002A66C5"/>
    <w:rsid w:val="002A6906"/>
    <w:rsid w:val="002A74AC"/>
    <w:rsid w:val="002B14D6"/>
    <w:rsid w:val="002B1638"/>
    <w:rsid w:val="002B1B3D"/>
    <w:rsid w:val="002B2F7E"/>
    <w:rsid w:val="002B3624"/>
    <w:rsid w:val="002B3DA6"/>
    <w:rsid w:val="002B48FA"/>
    <w:rsid w:val="002B49DE"/>
    <w:rsid w:val="002B571C"/>
    <w:rsid w:val="002B5CA4"/>
    <w:rsid w:val="002B6D44"/>
    <w:rsid w:val="002B7BAB"/>
    <w:rsid w:val="002C2C38"/>
    <w:rsid w:val="002C2E53"/>
    <w:rsid w:val="002C40A7"/>
    <w:rsid w:val="002C6DB5"/>
    <w:rsid w:val="002C732A"/>
    <w:rsid w:val="002C7410"/>
    <w:rsid w:val="002D0952"/>
    <w:rsid w:val="002D24E3"/>
    <w:rsid w:val="002D343A"/>
    <w:rsid w:val="002D4326"/>
    <w:rsid w:val="002D50D2"/>
    <w:rsid w:val="002E059E"/>
    <w:rsid w:val="002E40B3"/>
    <w:rsid w:val="002E4C9A"/>
    <w:rsid w:val="002E6029"/>
    <w:rsid w:val="002E7314"/>
    <w:rsid w:val="002F11F8"/>
    <w:rsid w:val="002F1F43"/>
    <w:rsid w:val="002F3F56"/>
    <w:rsid w:val="002F44B5"/>
    <w:rsid w:val="002F5122"/>
    <w:rsid w:val="002F558B"/>
    <w:rsid w:val="002F570B"/>
    <w:rsid w:val="002F5A0F"/>
    <w:rsid w:val="002F5B90"/>
    <w:rsid w:val="002F6B34"/>
    <w:rsid w:val="00301B09"/>
    <w:rsid w:val="00301BCA"/>
    <w:rsid w:val="00301F84"/>
    <w:rsid w:val="00302FF6"/>
    <w:rsid w:val="00305E48"/>
    <w:rsid w:val="003066EB"/>
    <w:rsid w:val="003078CD"/>
    <w:rsid w:val="00310712"/>
    <w:rsid w:val="00310FAC"/>
    <w:rsid w:val="00311AC0"/>
    <w:rsid w:val="00315E83"/>
    <w:rsid w:val="003176FC"/>
    <w:rsid w:val="00321901"/>
    <w:rsid w:val="00322B70"/>
    <w:rsid w:val="00323A96"/>
    <w:rsid w:val="00324E45"/>
    <w:rsid w:val="0032583B"/>
    <w:rsid w:val="00326A64"/>
    <w:rsid w:val="00327883"/>
    <w:rsid w:val="00327B86"/>
    <w:rsid w:val="00331243"/>
    <w:rsid w:val="00332EF3"/>
    <w:rsid w:val="003345BF"/>
    <w:rsid w:val="00335504"/>
    <w:rsid w:val="00340956"/>
    <w:rsid w:val="00340C18"/>
    <w:rsid w:val="003442FD"/>
    <w:rsid w:val="00344EDB"/>
    <w:rsid w:val="00347824"/>
    <w:rsid w:val="00347B5B"/>
    <w:rsid w:val="00350567"/>
    <w:rsid w:val="00351C7E"/>
    <w:rsid w:val="003521E8"/>
    <w:rsid w:val="0035304C"/>
    <w:rsid w:val="00353711"/>
    <w:rsid w:val="00353970"/>
    <w:rsid w:val="00353A42"/>
    <w:rsid w:val="00353B22"/>
    <w:rsid w:val="00354867"/>
    <w:rsid w:val="0035611B"/>
    <w:rsid w:val="003567D9"/>
    <w:rsid w:val="0036086A"/>
    <w:rsid w:val="00361823"/>
    <w:rsid w:val="00361984"/>
    <w:rsid w:val="00361EFA"/>
    <w:rsid w:val="00362169"/>
    <w:rsid w:val="00365B7E"/>
    <w:rsid w:val="00365DB0"/>
    <w:rsid w:val="00370651"/>
    <w:rsid w:val="00370CE3"/>
    <w:rsid w:val="00370D2C"/>
    <w:rsid w:val="00370FB0"/>
    <w:rsid w:val="003728F3"/>
    <w:rsid w:val="00372A0D"/>
    <w:rsid w:val="003735BC"/>
    <w:rsid w:val="00373AE1"/>
    <w:rsid w:val="0037496E"/>
    <w:rsid w:val="00376090"/>
    <w:rsid w:val="00377040"/>
    <w:rsid w:val="00377CE0"/>
    <w:rsid w:val="003829EE"/>
    <w:rsid w:val="00383221"/>
    <w:rsid w:val="00386150"/>
    <w:rsid w:val="003874CE"/>
    <w:rsid w:val="00390900"/>
    <w:rsid w:val="003915B7"/>
    <w:rsid w:val="00391820"/>
    <w:rsid w:val="00391F49"/>
    <w:rsid w:val="00392EC2"/>
    <w:rsid w:val="0039371C"/>
    <w:rsid w:val="0039447D"/>
    <w:rsid w:val="003A318A"/>
    <w:rsid w:val="003A3960"/>
    <w:rsid w:val="003A398B"/>
    <w:rsid w:val="003A4E3E"/>
    <w:rsid w:val="003A50DF"/>
    <w:rsid w:val="003A581A"/>
    <w:rsid w:val="003A7F6C"/>
    <w:rsid w:val="003B069A"/>
    <w:rsid w:val="003B1207"/>
    <w:rsid w:val="003B2137"/>
    <w:rsid w:val="003B3975"/>
    <w:rsid w:val="003B4D60"/>
    <w:rsid w:val="003B4D7B"/>
    <w:rsid w:val="003B7E39"/>
    <w:rsid w:val="003C2A46"/>
    <w:rsid w:val="003C2FF5"/>
    <w:rsid w:val="003C3B71"/>
    <w:rsid w:val="003C40E1"/>
    <w:rsid w:val="003C58DC"/>
    <w:rsid w:val="003C5AA6"/>
    <w:rsid w:val="003C5F48"/>
    <w:rsid w:val="003C77BD"/>
    <w:rsid w:val="003D16AC"/>
    <w:rsid w:val="003D1E62"/>
    <w:rsid w:val="003D2A51"/>
    <w:rsid w:val="003D3810"/>
    <w:rsid w:val="003D597B"/>
    <w:rsid w:val="003D5EA1"/>
    <w:rsid w:val="003D70E9"/>
    <w:rsid w:val="003E0B99"/>
    <w:rsid w:val="003E2486"/>
    <w:rsid w:val="003E2670"/>
    <w:rsid w:val="003E3208"/>
    <w:rsid w:val="003E466E"/>
    <w:rsid w:val="003F0110"/>
    <w:rsid w:val="003F0424"/>
    <w:rsid w:val="003F0B04"/>
    <w:rsid w:val="003F2A9B"/>
    <w:rsid w:val="003F3BC4"/>
    <w:rsid w:val="003F52B8"/>
    <w:rsid w:val="003F5E97"/>
    <w:rsid w:val="003F7363"/>
    <w:rsid w:val="0040134E"/>
    <w:rsid w:val="0040138F"/>
    <w:rsid w:val="00403D8B"/>
    <w:rsid w:val="004071C0"/>
    <w:rsid w:val="00412F43"/>
    <w:rsid w:val="00415EB0"/>
    <w:rsid w:val="004169C4"/>
    <w:rsid w:val="0042400B"/>
    <w:rsid w:val="0042518C"/>
    <w:rsid w:val="00425535"/>
    <w:rsid w:val="00427078"/>
    <w:rsid w:val="00427AA8"/>
    <w:rsid w:val="0043009C"/>
    <w:rsid w:val="004324A4"/>
    <w:rsid w:val="004333ED"/>
    <w:rsid w:val="004334C7"/>
    <w:rsid w:val="004335FA"/>
    <w:rsid w:val="00434D78"/>
    <w:rsid w:val="00435D88"/>
    <w:rsid w:val="004372B5"/>
    <w:rsid w:val="00440A2D"/>
    <w:rsid w:val="00440EF2"/>
    <w:rsid w:val="004413D0"/>
    <w:rsid w:val="00441C3F"/>
    <w:rsid w:val="00442EC9"/>
    <w:rsid w:val="004430B8"/>
    <w:rsid w:val="00444D1A"/>
    <w:rsid w:val="00444F7A"/>
    <w:rsid w:val="0044672A"/>
    <w:rsid w:val="00447635"/>
    <w:rsid w:val="0045186A"/>
    <w:rsid w:val="0045579A"/>
    <w:rsid w:val="004564A7"/>
    <w:rsid w:val="00456765"/>
    <w:rsid w:val="00456A12"/>
    <w:rsid w:val="00456EB4"/>
    <w:rsid w:val="00460036"/>
    <w:rsid w:val="004617BF"/>
    <w:rsid w:val="00463658"/>
    <w:rsid w:val="004637A0"/>
    <w:rsid w:val="00470AA4"/>
    <w:rsid w:val="00471363"/>
    <w:rsid w:val="004722CC"/>
    <w:rsid w:val="0047240B"/>
    <w:rsid w:val="00474DEA"/>
    <w:rsid w:val="00476810"/>
    <w:rsid w:val="004805CE"/>
    <w:rsid w:val="00480DDA"/>
    <w:rsid w:val="00486460"/>
    <w:rsid w:val="00490483"/>
    <w:rsid w:val="00490C1A"/>
    <w:rsid w:val="004936E4"/>
    <w:rsid w:val="00494D58"/>
    <w:rsid w:val="00494E60"/>
    <w:rsid w:val="00497487"/>
    <w:rsid w:val="004A2771"/>
    <w:rsid w:val="004A27EC"/>
    <w:rsid w:val="004A6189"/>
    <w:rsid w:val="004A7390"/>
    <w:rsid w:val="004A75FC"/>
    <w:rsid w:val="004B01D7"/>
    <w:rsid w:val="004B217A"/>
    <w:rsid w:val="004B345A"/>
    <w:rsid w:val="004B4696"/>
    <w:rsid w:val="004B5C82"/>
    <w:rsid w:val="004B6AE3"/>
    <w:rsid w:val="004B7B76"/>
    <w:rsid w:val="004C079D"/>
    <w:rsid w:val="004C09B2"/>
    <w:rsid w:val="004C239D"/>
    <w:rsid w:val="004C26FF"/>
    <w:rsid w:val="004C2DCA"/>
    <w:rsid w:val="004C3291"/>
    <w:rsid w:val="004C4FBE"/>
    <w:rsid w:val="004C5C18"/>
    <w:rsid w:val="004C60A5"/>
    <w:rsid w:val="004C61D2"/>
    <w:rsid w:val="004C7B1C"/>
    <w:rsid w:val="004D0D36"/>
    <w:rsid w:val="004D2A3E"/>
    <w:rsid w:val="004D5D7E"/>
    <w:rsid w:val="004D5F26"/>
    <w:rsid w:val="004D78FC"/>
    <w:rsid w:val="004E00A5"/>
    <w:rsid w:val="004E0322"/>
    <w:rsid w:val="004E1C40"/>
    <w:rsid w:val="004E27FF"/>
    <w:rsid w:val="004E2A0A"/>
    <w:rsid w:val="004E3B36"/>
    <w:rsid w:val="004E3F74"/>
    <w:rsid w:val="004E45F1"/>
    <w:rsid w:val="004E73E5"/>
    <w:rsid w:val="004F054E"/>
    <w:rsid w:val="004F0C4A"/>
    <w:rsid w:val="004F0F38"/>
    <w:rsid w:val="004F3115"/>
    <w:rsid w:val="004F47D6"/>
    <w:rsid w:val="004F486A"/>
    <w:rsid w:val="004F4A0F"/>
    <w:rsid w:val="004F5859"/>
    <w:rsid w:val="004F794C"/>
    <w:rsid w:val="00500337"/>
    <w:rsid w:val="00501251"/>
    <w:rsid w:val="0050171C"/>
    <w:rsid w:val="00501921"/>
    <w:rsid w:val="00505E8B"/>
    <w:rsid w:val="00511A05"/>
    <w:rsid w:val="00513B20"/>
    <w:rsid w:val="005160F0"/>
    <w:rsid w:val="00521F1B"/>
    <w:rsid w:val="005252B2"/>
    <w:rsid w:val="00525A80"/>
    <w:rsid w:val="00526DE7"/>
    <w:rsid w:val="00530354"/>
    <w:rsid w:val="00531343"/>
    <w:rsid w:val="005346CD"/>
    <w:rsid w:val="0053625B"/>
    <w:rsid w:val="0053718A"/>
    <w:rsid w:val="00540CBA"/>
    <w:rsid w:val="00542654"/>
    <w:rsid w:val="005434C6"/>
    <w:rsid w:val="00543B39"/>
    <w:rsid w:val="005443BB"/>
    <w:rsid w:val="00546154"/>
    <w:rsid w:val="005477FA"/>
    <w:rsid w:val="00550096"/>
    <w:rsid w:val="005504BA"/>
    <w:rsid w:val="00550B34"/>
    <w:rsid w:val="00551776"/>
    <w:rsid w:val="00551B22"/>
    <w:rsid w:val="00552BB8"/>
    <w:rsid w:val="00552D33"/>
    <w:rsid w:val="00552DC6"/>
    <w:rsid w:val="005530D8"/>
    <w:rsid w:val="00555280"/>
    <w:rsid w:val="00557FF9"/>
    <w:rsid w:val="00561530"/>
    <w:rsid w:val="005620F8"/>
    <w:rsid w:val="00562327"/>
    <w:rsid w:val="00563BF0"/>
    <w:rsid w:val="00566532"/>
    <w:rsid w:val="00566937"/>
    <w:rsid w:val="00567536"/>
    <w:rsid w:val="005678E0"/>
    <w:rsid w:val="005711D5"/>
    <w:rsid w:val="00572D76"/>
    <w:rsid w:val="00576378"/>
    <w:rsid w:val="00576C1A"/>
    <w:rsid w:val="00577130"/>
    <w:rsid w:val="0057732E"/>
    <w:rsid w:val="00577945"/>
    <w:rsid w:val="00577BE0"/>
    <w:rsid w:val="00577E38"/>
    <w:rsid w:val="005805E0"/>
    <w:rsid w:val="00583111"/>
    <w:rsid w:val="00585322"/>
    <w:rsid w:val="005856D7"/>
    <w:rsid w:val="005857C6"/>
    <w:rsid w:val="00585C08"/>
    <w:rsid w:val="00585D5A"/>
    <w:rsid w:val="00592F6E"/>
    <w:rsid w:val="00593AD1"/>
    <w:rsid w:val="00595F34"/>
    <w:rsid w:val="005A38D2"/>
    <w:rsid w:val="005A430A"/>
    <w:rsid w:val="005A616C"/>
    <w:rsid w:val="005A68B6"/>
    <w:rsid w:val="005A7DE0"/>
    <w:rsid w:val="005B1DA4"/>
    <w:rsid w:val="005B2FFA"/>
    <w:rsid w:val="005B3CBC"/>
    <w:rsid w:val="005B5A37"/>
    <w:rsid w:val="005C191E"/>
    <w:rsid w:val="005C39B3"/>
    <w:rsid w:val="005C5570"/>
    <w:rsid w:val="005C5B66"/>
    <w:rsid w:val="005C79A4"/>
    <w:rsid w:val="005D023C"/>
    <w:rsid w:val="005D0CE0"/>
    <w:rsid w:val="005D5442"/>
    <w:rsid w:val="005E17E0"/>
    <w:rsid w:val="005E2C45"/>
    <w:rsid w:val="005E3F54"/>
    <w:rsid w:val="005E51A0"/>
    <w:rsid w:val="005E6269"/>
    <w:rsid w:val="005E711F"/>
    <w:rsid w:val="005F03FC"/>
    <w:rsid w:val="005F2486"/>
    <w:rsid w:val="005F5211"/>
    <w:rsid w:val="005F64A9"/>
    <w:rsid w:val="00602F51"/>
    <w:rsid w:val="00603F32"/>
    <w:rsid w:val="00604497"/>
    <w:rsid w:val="00605AD4"/>
    <w:rsid w:val="006115FF"/>
    <w:rsid w:val="00612C1A"/>
    <w:rsid w:val="006136D7"/>
    <w:rsid w:val="00614FA2"/>
    <w:rsid w:val="00615718"/>
    <w:rsid w:val="00617593"/>
    <w:rsid w:val="0062345C"/>
    <w:rsid w:val="00625973"/>
    <w:rsid w:val="00625A6E"/>
    <w:rsid w:val="00627B29"/>
    <w:rsid w:val="006311D6"/>
    <w:rsid w:val="00632398"/>
    <w:rsid w:val="00633930"/>
    <w:rsid w:val="00633EDA"/>
    <w:rsid w:val="00634528"/>
    <w:rsid w:val="00634FD9"/>
    <w:rsid w:val="00635834"/>
    <w:rsid w:val="006372FE"/>
    <w:rsid w:val="00640FC3"/>
    <w:rsid w:val="00642020"/>
    <w:rsid w:val="006430EE"/>
    <w:rsid w:val="00644511"/>
    <w:rsid w:val="00645B58"/>
    <w:rsid w:val="0065253D"/>
    <w:rsid w:val="0065337B"/>
    <w:rsid w:val="00653D68"/>
    <w:rsid w:val="0065419D"/>
    <w:rsid w:val="00654520"/>
    <w:rsid w:val="006603BC"/>
    <w:rsid w:val="006604D8"/>
    <w:rsid w:val="00661036"/>
    <w:rsid w:val="0066472E"/>
    <w:rsid w:val="00664A5B"/>
    <w:rsid w:val="00665782"/>
    <w:rsid w:val="00666371"/>
    <w:rsid w:val="00666F4E"/>
    <w:rsid w:val="0066735C"/>
    <w:rsid w:val="00673F57"/>
    <w:rsid w:val="006743BB"/>
    <w:rsid w:val="006763D2"/>
    <w:rsid w:val="006776D6"/>
    <w:rsid w:val="00680C08"/>
    <w:rsid w:val="00680CD2"/>
    <w:rsid w:val="00680D01"/>
    <w:rsid w:val="0068166E"/>
    <w:rsid w:val="00684919"/>
    <w:rsid w:val="006862B2"/>
    <w:rsid w:val="00686B71"/>
    <w:rsid w:val="006916A0"/>
    <w:rsid w:val="0069186C"/>
    <w:rsid w:val="00691EBF"/>
    <w:rsid w:val="006931B1"/>
    <w:rsid w:val="0069550C"/>
    <w:rsid w:val="006A15C0"/>
    <w:rsid w:val="006A1654"/>
    <w:rsid w:val="006A1D6C"/>
    <w:rsid w:val="006A4E6D"/>
    <w:rsid w:val="006A4EF8"/>
    <w:rsid w:val="006A58A8"/>
    <w:rsid w:val="006A6774"/>
    <w:rsid w:val="006B2193"/>
    <w:rsid w:val="006B2BBC"/>
    <w:rsid w:val="006B516D"/>
    <w:rsid w:val="006B5805"/>
    <w:rsid w:val="006B7126"/>
    <w:rsid w:val="006B7CB7"/>
    <w:rsid w:val="006C0FCA"/>
    <w:rsid w:val="006C3391"/>
    <w:rsid w:val="006C3E2A"/>
    <w:rsid w:val="006C4F25"/>
    <w:rsid w:val="006C642F"/>
    <w:rsid w:val="006D03E5"/>
    <w:rsid w:val="006D074D"/>
    <w:rsid w:val="006D390B"/>
    <w:rsid w:val="006D3E2C"/>
    <w:rsid w:val="006D3EAF"/>
    <w:rsid w:val="006D4663"/>
    <w:rsid w:val="006D5B83"/>
    <w:rsid w:val="006D5D3E"/>
    <w:rsid w:val="006D5ED8"/>
    <w:rsid w:val="006E08B3"/>
    <w:rsid w:val="006E7798"/>
    <w:rsid w:val="006E7AA0"/>
    <w:rsid w:val="006F17AC"/>
    <w:rsid w:val="006F1EA0"/>
    <w:rsid w:val="006F1FFD"/>
    <w:rsid w:val="006F25B8"/>
    <w:rsid w:val="006F572E"/>
    <w:rsid w:val="006F61CD"/>
    <w:rsid w:val="006F7664"/>
    <w:rsid w:val="007010F8"/>
    <w:rsid w:val="007022A7"/>
    <w:rsid w:val="00703E6E"/>
    <w:rsid w:val="007046D6"/>
    <w:rsid w:val="00704E63"/>
    <w:rsid w:val="00705DB0"/>
    <w:rsid w:val="00706199"/>
    <w:rsid w:val="00712303"/>
    <w:rsid w:val="007136BA"/>
    <w:rsid w:val="00715890"/>
    <w:rsid w:val="00721AA5"/>
    <w:rsid w:val="00722B57"/>
    <w:rsid w:val="007264F6"/>
    <w:rsid w:val="0072696D"/>
    <w:rsid w:val="00730F8A"/>
    <w:rsid w:val="00731AB6"/>
    <w:rsid w:val="007332D0"/>
    <w:rsid w:val="007351F8"/>
    <w:rsid w:val="007359BB"/>
    <w:rsid w:val="00735A8C"/>
    <w:rsid w:val="00736F4C"/>
    <w:rsid w:val="0074253D"/>
    <w:rsid w:val="007431F4"/>
    <w:rsid w:val="0074359B"/>
    <w:rsid w:val="00744121"/>
    <w:rsid w:val="0074429B"/>
    <w:rsid w:val="00750DB0"/>
    <w:rsid w:val="00751C8F"/>
    <w:rsid w:val="007529A8"/>
    <w:rsid w:val="007541B7"/>
    <w:rsid w:val="007545C2"/>
    <w:rsid w:val="00756BE0"/>
    <w:rsid w:val="007615BC"/>
    <w:rsid w:val="00762F05"/>
    <w:rsid w:val="00764435"/>
    <w:rsid w:val="007652FF"/>
    <w:rsid w:val="00766FD8"/>
    <w:rsid w:val="00770162"/>
    <w:rsid w:val="00770CAC"/>
    <w:rsid w:val="00770EF1"/>
    <w:rsid w:val="00773607"/>
    <w:rsid w:val="00773EF7"/>
    <w:rsid w:val="00774E1D"/>
    <w:rsid w:val="00774FE4"/>
    <w:rsid w:val="007765D8"/>
    <w:rsid w:val="0077675A"/>
    <w:rsid w:val="00780355"/>
    <w:rsid w:val="007813E7"/>
    <w:rsid w:val="007819FD"/>
    <w:rsid w:val="00782F83"/>
    <w:rsid w:val="00783A1E"/>
    <w:rsid w:val="007846A3"/>
    <w:rsid w:val="007848C2"/>
    <w:rsid w:val="00785717"/>
    <w:rsid w:val="00785721"/>
    <w:rsid w:val="00793A59"/>
    <w:rsid w:val="00793BA2"/>
    <w:rsid w:val="00793F76"/>
    <w:rsid w:val="00794085"/>
    <w:rsid w:val="0079570F"/>
    <w:rsid w:val="00795EB0"/>
    <w:rsid w:val="0079604F"/>
    <w:rsid w:val="00796134"/>
    <w:rsid w:val="007A03E8"/>
    <w:rsid w:val="007A2F6D"/>
    <w:rsid w:val="007A46F5"/>
    <w:rsid w:val="007A4A3B"/>
    <w:rsid w:val="007A5AE5"/>
    <w:rsid w:val="007A6505"/>
    <w:rsid w:val="007B16FF"/>
    <w:rsid w:val="007B2DC2"/>
    <w:rsid w:val="007B6132"/>
    <w:rsid w:val="007B6E9F"/>
    <w:rsid w:val="007B7F78"/>
    <w:rsid w:val="007C1216"/>
    <w:rsid w:val="007C1AF7"/>
    <w:rsid w:val="007C6B9B"/>
    <w:rsid w:val="007D0E22"/>
    <w:rsid w:val="007D3827"/>
    <w:rsid w:val="007D3955"/>
    <w:rsid w:val="007D39B6"/>
    <w:rsid w:val="007D53B6"/>
    <w:rsid w:val="007D594A"/>
    <w:rsid w:val="007D610D"/>
    <w:rsid w:val="007E4AE8"/>
    <w:rsid w:val="007E50EA"/>
    <w:rsid w:val="007E59B3"/>
    <w:rsid w:val="007E727D"/>
    <w:rsid w:val="007F286A"/>
    <w:rsid w:val="007F48B4"/>
    <w:rsid w:val="00800799"/>
    <w:rsid w:val="008015DF"/>
    <w:rsid w:val="00802343"/>
    <w:rsid w:val="008027C5"/>
    <w:rsid w:val="0080313E"/>
    <w:rsid w:val="008036F7"/>
    <w:rsid w:val="00804D4E"/>
    <w:rsid w:val="00805D27"/>
    <w:rsid w:val="00805EE2"/>
    <w:rsid w:val="008060A3"/>
    <w:rsid w:val="00806DCB"/>
    <w:rsid w:val="0081197F"/>
    <w:rsid w:val="00815A71"/>
    <w:rsid w:val="008161B2"/>
    <w:rsid w:val="0081685E"/>
    <w:rsid w:val="00817D04"/>
    <w:rsid w:val="00821776"/>
    <w:rsid w:val="00821E53"/>
    <w:rsid w:val="00825131"/>
    <w:rsid w:val="008321F5"/>
    <w:rsid w:val="00832369"/>
    <w:rsid w:val="00834660"/>
    <w:rsid w:val="0083529B"/>
    <w:rsid w:val="00835E91"/>
    <w:rsid w:val="00835F54"/>
    <w:rsid w:val="00836BC2"/>
    <w:rsid w:val="0084297A"/>
    <w:rsid w:val="00843CD0"/>
    <w:rsid w:val="008447B3"/>
    <w:rsid w:val="008456EF"/>
    <w:rsid w:val="008462CE"/>
    <w:rsid w:val="0085156D"/>
    <w:rsid w:val="0085221F"/>
    <w:rsid w:val="00852B28"/>
    <w:rsid w:val="0085641B"/>
    <w:rsid w:val="00857136"/>
    <w:rsid w:val="008579BD"/>
    <w:rsid w:val="008605D2"/>
    <w:rsid w:val="00863A9F"/>
    <w:rsid w:val="008652C0"/>
    <w:rsid w:val="008660E9"/>
    <w:rsid w:val="00866F9D"/>
    <w:rsid w:val="00872E10"/>
    <w:rsid w:val="00875A6B"/>
    <w:rsid w:val="00876586"/>
    <w:rsid w:val="00877752"/>
    <w:rsid w:val="008819AA"/>
    <w:rsid w:val="00882DF4"/>
    <w:rsid w:val="00885B11"/>
    <w:rsid w:val="00886679"/>
    <w:rsid w:val="00886D15"/>
    <w:rsid w:val="00887149"/>
    <w:rsid w:val="00887DD8"/>
    <w:rsid w:val="00891BA9"/>
    <w:rsid w:val="00896018"/>
    <w:rsid w:val="008960DD"/>
    <w:rsid w:val="0089635C"/>
    <w:rsid w:val="0089706C"/>
    <w:rsid w:val="00897920"/>
    <w:rsid w:val="00897EDA"/>
    <w:rsid w:val="008A2B9D"/>
    <w:rsid w:val="008A351E"/>
    <w:rsid w:val="008A3D9F"/>
    <w:rsid w:val="008A4215"/>
    <w:rsid w:val="008A5E0B"/>
    <w:rsid w:val="008A6093"/>
    <w:rsid w:val="008A6D59"/>
    <w:rsid w:val="008A7854"/>
    <w:rsid w:val="008A7934"/>
    <w:rsid w:val="008B23EF"/>
    <w:rsid w:val="008B27A3"/>
    <w:rsid w:val="008B4308"/>
    <w:rsid w:val="008B4B03"/>
    <w:rsid w:val="008B5921"/>
    <w:rsid w:val="008B595E"/>
    <w:rsid w:val="008B596F"/>
    <w:rsid w:val="008B7354"/>
    <w:rsid w:val="008C159F"/>
    <w:rsid w:val="008C1623"/>
    <w:rsid w:val="008C173C"/>
    <w:rsid w:val="008C1850"/>
    <w:rsid w:val="008C284A"/>
    <w:rsid w:val="008C48BF"/>
    <w:rsid w:val="008C51A9"/>
    <w:rsid w:val="008C5371"/>
    <w:rsid w:val="008D0E7C"/>
    <w:rsid w:val="008D15E7"/>
    <w:rsid w:val="008D4F3E"/>
    <w:rsid w:val="008D572A"/>
    <w:rsid w:val="008D584B"/>
    <w:rsid w:val="008E2845"/>
    <w:rsid w:val="008E5AF9"/>
    <w:rsid w:val="008E7846"/>
    <w:rsid w:val="008F0072"/>
    <w:rsid w:val="008F02E5"/>
    <w:rsid w:val="008F0E74"/>
    <w:rsid w:val="008F0FE5"/>
    <w:rsid w:val="008F1102"/>
    <w:rsid w:val="008F1232"/>
    <w:rsid w:val="008F1CCC"/>
    <w:rsid w:val="008F26A5"/>
    <w:rsid w:val="008F2967"/>
    <w:rsid w:val="008F6943"/>
    <w:rsid w:val="00902A21"/>
    <w:rsid w:val="00904CE4"/>
    <w:rsid w:val="00905AD1"/>
    <w:rsid w:val="0090692F"/>
    <w:rsid w:val="0091523F"/>
    <w:rsid w:val="00920330"/>
    <w:rsid w:val="009219D7"/>
    <w:rsid w:val="00922803"/>
    <w:rsid w:val="00922D53"/>
    <w:rsid w:val="00923A7D"/>
    <w:rsid w:val="00923B70"/>
    <w:rsid w:val="00924482"/>
    <w:rsid w:val="00925C04"/>
    <w:rsid w:val="00925D88"/>
    <w:rsid w:val="00930237"/>
    <w:rsid w:val="009310EF"/>
    <w:rsid w:val="009313AE"/>
    <w:rsid w:val="0093585C"/>
    <w:rsid w:val="009367CE"/>
    <w:rsid w:val="00936F59"/>
    <w:rsid w:val="00937C17"/>
    <w:rsid w:val="00940295"/>
    <w:rsid w:val="00940A89"/>
    <w:rsid w:val="00940ACC"/>
    <w:rsid w:val="00940F94"/>
    <w:rsid w:val="00941F77"/>
    <w:rsid w:val="00944685"/>
    <w:rsid w:val="00944B68"/>
    <w:rsid w:val="00945ACD"/>
    <w:rsid w:val="00946EA5"/>
    <w:rsid w:val="00952090"/>
    <w:rsid w:val="0095491F"/>
    <w:rsid w:val="00960520"/>
    <w:rsid w:val="00963791"/>
    <w:rsid w:val="00963C08"/>
    <w:rsid w:val="00963EDC"/>
    <w:rsid w:val="00966723"/>
    <w:rsid w:val="00966A20"/>
    <w:rsid w:val="00966AEE"/>
    <w:rsid w:val="0097168A"/>
    <w:rsid w:val="009730D3"/>
    <w:rsid w:val="009752A5"/>
    <w:rsid w:val="0098145F"/>
    <w:rsid w:val="0098585A"/>
    <w:rsid w:val="00986548"/>
    <w:rsid w:val="00987EA6"/>
    <w:rsid w:val="00991322"/>
    <w:rsid w:val="00997D99"/>
    <w:rsid w:val="009A1849"/>
    <w:rsid w:val="009A456E"/>
    <w:rsid w:val="009A4CED"/>
    <w:rsid w:val="009A690D"/>
    <w:rsid w:val="009A7C5C"/>
    <w:rsid w:val="009B1804"/>
    <w:rsid w:val="009B1D12"/>
    <w:rsid w:val="009B416B"/>
    <w:rsid w:val="009B4930"/>
    <w:rsid w:val="009B4F95"/>
    <w:rsid w:val="009B7931"/>
    <w:rsid w:val="009C0711"/>
    <w:rsid w:val="009C0954"/>
    <w:rsid w:val="009C1F28"/>
    <w:rsid w:val="009C3FB1"/>
    <w:rsid w:val="009C4BD5"/>
    <w:rsid w:val="009C75D6"/>
    <w:rsid w:val="009D3BC9"/>
    <w:rsid w:val="009D4CEE"/>
    <w:rsid w:val="009D52E0"/>
    <w:rsid w:val="009D5F18"/>
    <w:rsid w:val="009D7B77"/>
    <w:rsid w:val="009D7D3B"/>
    <w:rsid w:val="009E0BB0"/>
    <w:rsid w:val="009E3FBB"/>
    <w:rsid w:val="009E534E"/>
    <w:rsid w:val="009F0287"/>
    <w:rsid w:val="009F0A04"/>
    <w:rsid w:val="009F12A6"/>
    <w:rsid w:val="009F17A4"/>
    <w:rsid w:val="009F274E"/>
    <w:rsid w:val="009F3B7F"/>
    <w:rsid w:val="009F6628"/>
    <w:rsid w:val="009F6817"/>
    <w:rsid w:val="009F7353"/>
    <w:rsid w:val="00A018C3"/>
    <w:rsid w:val="00A02882"/>
    <w:rsid w:val="00A04F85"/>
    <w:rsid w:val="00A05A31"/>
    <w:rsid w:val="00A05FA4"/>
    <w:rsid w:val="00A07D53"/>
    <w:rsid w:val="00A102E4"/>
    <w:rsid w:val="00A1219C"/>
    <w:rsid w:val="00A12C42"/>
    <w:rsid w:val="00A12DE1"/>
    <w:rsid w:val="00A141A0"/>
    <w:rsid w:val="00A148D2"/>
    <w:rsid w:val="00A14DF7"/>
    <w:rsid w:val="00A15ABA"/>
    <w:rsid w:val="00A16B7E"/>
    <w:rsid w:val="00A16E7C"/>
    <w:rsid w:val="00A16FB3"/>
    <w:rsid w:val="00A223F0"/>
    <w:rsid w:val="00A225FB"/>
    <w:rsid w:val="00A22AE2"/>
    <w:rsid w:val="00A22D57"/>
    <w:rsid w:val="00A3214C"/>
    <w:rsid w:val="00A3246D"/>
    <w:rsid w:val="00A34E00"/>
    <w:rsid w:val="00A36FA7"/>
    <w:rsid w:val="00A37085"/>
    <w:rsid w:val="00A37BDC"/>
    <w:rsid w:val="00A40B30"/>
    <w:rsid w:val="00A411B8"/>
    <w:rsid w:val="00A44DDB"/>
    <w:rsid w:val="00A45DB5"/>
    <w:rsid w:val="00A460CC"/>
    <w:rsid w:val="00A475B7"/>
    <w:rsid w:val="00A47AF7"/>
    <w:rsid w:val="00A47C3E"/>
    <w:rsid w:val="00A47E23"/>
    <w:rsid w:val="00A50226"/>
    <w:rsid w:val="00A52BC1"/>
    <w:rsid w:val="00A55B3B"/>
    <w:rsid w:val="00A55CE1"/>
    <w:rsid w:val="00A6021A"/>
    <w:rsid w:val="00A60BAD"/>
    <w:rsid w:val="00A60FF0"/>
    <w:rsid w:val="00A61DFF"/>
    <w:rsid w:val="00A6305E"/>
    <w:rsid w:val="00A64306"/>
    <w:rsid w:val="00A65717"/>
    <w:rsid w:val="00A6678C"/>
    <w:rsid w:val="00A66CA7"/>
    <w:rsid w:val="00A7019F"/>
    <w:rsid w:val="00A73C6D"/>
    <w:rsid w:val="00A750BA"/>
    <w:rsid w:val="00A76202"/>
    <w:rsid w:val="00A77C2E"/>
    <w:rsid w:val="00A77F87"/>
    <w:rsid w:val="00A80381"/>
    <w:rsid w:val="00A80B5B"/>
    <w:rsid w:val="00A81234"/>
    <w:rsid w:val="00A83916"/>
    <w:rsid w:val="00A84E36"/>
    <w:rsid w:val="00A91A90"/>
    <w:rsid w:val="00A91F1B"/>
    <w:rsid w:val="00A94D54"/>
    <w:rsid w:val="00A9517D"/>
    <w:rsid w:val="00A964D1"/>
    <w:rsid w:val="00A9665B"/>
    <w:rsid w:val="00A96A17"/>
    <w:rsid w:val="00A97EE3"/>
    <w:rsid w:val="00AA0A0A"/>
    <w:rsid w:val="00AA0C32"/>
    <w:rsid w:val="00AA0ED0"/>
    <w:rsid w:val="00AA1729"/>
    <w:rsid w:val="00AA1835"/>
    <w:rsid w:val="00AA3043"/>
    <w:rsid w:val="00AB124E"/>
    <w:rsid w:val="00AB162E"/>
    <w:rsid w:val="00AB210A"/>
    <w:rsid w:val="00AB5DC8"/>
    <w:rsid w:val="00AB67AD"/>
    <w:rsid w:val="00AC134E"/>
    <w:rsid w:val="00AC2449"/>
    <w:rsid w:val="00AC2691"/>
    <w:rsid w:val="00AC2B40"/>
    <w:rsid w:val="00AC2BB2"/>
    <w:rsid w:val="00AC2C3C"/>
    <w:rsid w:val="00AC512D"/>
    <w:rsid w:val="00AC5C56"/>
    <w:rsid w:val="00AC6AB7"/>
    <w:rsid w:val="00AD0083"/>
    <w:rsid w:val="00AD22FA"/>
    <w:rsid w:val="00AD2BFA"/>
    <w:rsid w:val="00AD3935"/>
    <w:rsid w:val="00AD699D"/>
    <w:rsid w:val="00AD71A1"/>
    <w:rsid w:val="00AE5752"/>
    <w:rsid w:val="00AE65EB"/>
    <w:rsid w:val="00AE67A7"/>
    <w:rsid w:val="00AF0431"/>
    <w:rsid w:val="00AF0CB9"/>
    <w:rsid w:val="00AF1D94"/>
    <w:rsid w:val="00AF4894"/>
    <w:rsid w:val="00AF60C5"/>
    <w:rsid w:val="00B000F9"/>
    <w:rsid w:val="00B009C6"/>
    <w:rsid w:val="00B01548"/>
    <w:rsid w:val="00B02F09"/>
    <w:rsid w:val="00B052E1"/>
    <w:rsid w:val="00B104B0"/>
    <w:rsid w:val="00B130C5"/>
    <w:rsid w:val="00B1366B"/>
    <w:rsid w:val="00B13EBD"/>
    <w:rsid w:val="00B1476C"/>
    <w:rsid w:val="00B14C7D"/>
    <w:rsid w:val="00B166FC"/>
    <w:rsid w:val="00B21C20"/>
    <w:rsid w:val="00B21D29"/>
    <w:rsid w:val="00B24038"/>
    <w:rsid w:val="00B240C9"/>
    <w:rsid w:val="00B25034"/>
    <w:rsid w:val="00B26641"/>
    <w:rsid w:val="00B2692B"/>
    <w:rsid w:val="00B33588"/>
    <w:rsid w:val="00B33863"/>
    <w:rsid w:val="00B338CE"/>
    <w:rsid w:val="00B37D17"/>
    <w:rsid w:val="00B4175E"/>
    <w:rsid w:val="00B41C85"/>
    <w:rsid w:val="00B44F31"/>
    <w:rsid w:val="00B452CE"/>
    <w:rsid w:val="00B46302"/>
    <w:rsid w:val="00B5106F"/>
    <w:rsid w:val="00B51FFF"/>
    <w:rsid w:val="00B52695"/>
    <w:rsid w:val="00B52AF9"/>
    <w:rsid w:val="00B54C25"/>
    <w:rsid w:val="00B55755"/>
    <w:rsid w:val="00B5608B"/>
    <w:rsid w:val="00B57FA0"/>
    <w:rsid w:val="00B603CE"/>
    <w:rsid w:val="00B62322"/>
    <w:rsid w:val="00B67203"/>
    <w:rsid w:val="00B67601"/>
    <w:rsid w:val="00B71DF2"/>
    <w:rsid w:val="00B7247B"/>
    <w:rsid w:val="00B76B91"/>
    <w:rsid w:val="00B77EB1"/>
    <w:rsid w:val="00B811C6"/>
    <w:rsid w:val="00B855B0"/>
    <w:rsid w:val="00B8753D"/>
    <w:rsid w:val="00B87A67"/>
    <w:rsid w:val="00B92C4A"/>
    <w:rsid w:val="00B92E08"/>
    <w:rsid w:val="00BA19C4"/>
    <w:rsid w:val="00BA220A"/>
    <w:rsid w:val="00BA3E1F"/>
    <w:rsid w:val="00BA6815"/>
    <w:rsid w:val="00BA6D19"/>
    <w:rsid w:val="00BA7759"/>
    <w:rsid w:val="00BB52A4"/>
    <w:rsid w:val="00BB5355"/>
    <w:rsid w:val="00BB7170"/>
    <w:rsid w:val="00BC1004"/>
    <w:rsid w:val="00BC4DDD"/>
    <w:rsid w:val="00BC622A"/>
    <w:rsid w:val="00BD0AF1"/>
    <w:rsid w:val="00BD1048"/>
    <w:rsid w:val="00BD1F85"/>
    <w:rsid w:val="00BD30E5"/>
    <w:rsid w:val="00BD3FBD"/>
    <w:rsid w:val="00BD4CF7"/>
    <w:rsid w:val="00BD648F"/>
    <w:rsid w:val="00BE0A78"/>
    <w:rsid w:val="00BE2C56"/>
    <w:rsid w:val="00BE4219"/>
    <w:rsid w:val="00BE5E58"/>
    <w:rsid w:val="00BE79F0"/>
    <w:rsid w:val="00BF046D"/>
    <w:rsid w:val="00BF1190"/>
    <w:rsid w:val="00BF271B"/>
    <w:rsid w:val="00BF3598"/>
    <w:rsid w:val="00BF3774"/>
    <w:rsid w:val="00BF5D04"/>
    <w:rsid w:val="00C009AA"/>
    <w:rsid w:val="00C00DEE"/>
    <w:rsid w:val="00C02B3E"/>
    <w:rsid w:val="00C0333A"/>
    <w:rsid w:val="00C0450D"/>
    <w:rsid w:val="00C06175"/>
    <w:rsid w:val="00C104CB"/>
    <w:rsid w:val="00C106D4"/>
    <w:rsid w:val="00C1164D"/>
    <w:rsid w:val="00C13EAA"/>
    <w:rsid w:val="00C13F8B"/>
    <w:rsid w:val="00C16861"/>
    <w:rsid w:val="00C1725A"/>
    <w:rsid w:val="00C2074D"/>
    <w:rsid w:val="00C20CFE"/>
    <w:rsid w:val="00C244B8"/>
    <w:rsid w:val="00C31E75"/>
    <w:rsid w:val="00C33305"/>
    <w:rsid w:val="00C346AB"/>
    <w:rsid w:val="00C3505F"/>
    <w:rsid w:val="00C35458"/>
    <w:rsid w:val="00C370E1"/>
    <w:rsid w:val="00C404A6"/>
    <w:rsid w:val="00C40A36"/>
    <w:rsid w:val="00C42DC5"/>
    <w:rsid w:val="00C44419"/>
    <w:rsid w:val="00C444DC"/>
    <w:rsid w:val="00C4561C"/>
    <w:rsid w:val="00C45E7B"/>
    <w:rsid w:val="00C471B1"/>
    <w:rsid w:val="00C4799D"/>
    <w:rsid w:val="00C5037A"/>
    <w:rsid w:val="00C525A2"/>
    <w:rsid w:val="00C52E24"/>
    <w:rsid w:val="00C543FF"/>
    <w:rsid w:val="00C620CA"/>
    <w:rsid w:val="00C6316B"/>
    <w:rsid w:val="00C634A9"/>
    <w:rsid w:val="00C644A0"/>
    <w:rsid w:val="00C64586"/>
    <w:rsid w:val="00C70A36"/>
    <w:rsid w:val="00C70BB0"/>
    <w:rsid w:val="00C70D53"/>
    <w:rsid w:val="00C73D0B"/>
    <w:rsid w:val="00C73F87"/>
    <w:rsid w:val="00C74F5C"/>
    <w:rsid w:val="00C75526"/>
    <w:rsid w:val="00C772FF"/>
    <w:rsid w:val="00C80137"/>
    <w:rsid w:val="00C801AF"/>
    <w:rsid w:val="00C80256"/>
    <w:rsid w:val="00C81D80"/>
    <w:rsid w:val="00C82543"/>
    <w:rsid w:val="00C838D7"/>
    <w:rsid w:val="00C852EF"/>
    <w:rsid w:val="00C9266E"/>
    <w:rsid w:val="00C93ED7"/>
    <w:rsid w:val="00C94CD4"/>
    <w:rsid w:val="00C966F6"/>
    <w:rsid w:val="00C9747E"/>
    <w:rsid w:val="00C97E15"/>
    <w:rsid w:val="00CA0821"/>
    <w:rsid w:val="00CA09BE"/>
    <w:rsid w:val="00CA0B23"/>
    <w:rsid w:val="00CA448E"/>
    <w:rsid w:val="00CA516F"/>
    <w:rsid w:val="00CB0C2D"/>
    <w:rsid w:val="00CB0C7F"/>
    <w:rsid w:val="00CB0FBB"/>
    <w:rsid w:val="00CB198E"/>
    <w:rsid w:val="00CB27DC"/>
    <w:rsid w:val="00CB6BC0"/>
    <w:rsid w:val="00CC18B3"/>
    <w:rsid w:val="00CC1B7C"/>
    <w:rsid w:val="00CC727F"/>
    <w:rsid w:val="00CD1DA5"/>
    <w:rsid w:val="00CD3858"/>
    <w:rsid w:val="00CD3F43"/>
    <w:rsid w:val="00CD46CA"/>
    <w:rsid w:val="00CD4E1E"/>
    <w:rsid w:val="00CD6134"/>
    <w:rsid w:val="00CD633E"/>
    <w:rsid w:val="00CE20D3"/>
    <w:rsid w:val="00CE405E"/>
    <w:rsid w:val="00CE5103"/>
    <w:rsid w:val="00CE5828"/>
    <w:rsid w:val="00CF0311"/>
    <w:rsid w:val="00CF15C3"/>
    <w:rsid w:val="00CF1893"/>
    <w:rsid w:val="00CF2B6F"/>
    <w:rsid w:val="00CF2F3E"/>
    <w:rsid w:val="00CF58B6"/>
    <w:rsid w:val="00CF5DAD"/>
    <w:rsid w:val="00CF62C5"/>
    <w:rsid w:val="00D0062D"/>
    <w:rsid w:val="00D017ED"/>
    <w:rsid w:val="00D01ED4"/>
    <w:rsid w:val="00D03199"/>
    <w:rsid w:val="00D03F13"/>
    <w:rsid w:val="00D040D3"/>
    <w:rsid w:val="00D04380"/>
    <w:rsid w:val="00D04C65"/>
    <w:rsid w:val="00D05326"/>
    <w:rsid w:val="00D056ED"/>
    <w:rsid w:val="00D05FF0"/>
    <w:rsid w:val="00D1082D"/>
    <w:rsid w:val="00D11AE9"/>
    <w:rsid w:val="00D14034"/>
    <w:rsid w:val="00D14739"/>
    <w:rsid w:val="00D153D8"/>
    <w:rsid w:val="00D1544B"/>
    <w:rsid w:val="00D159F0"/>
    <w:rsid w:val="00D15A8A"/>
    <w:rsid w:val="00D16B9C"/>
    <w:rsid w:val="00D17F71"/>
    <w:rsid w:val="00D201D2"/>
    <w:rsid w:val="00D201E5"/>
    <w:rsid w:val="00D21BBD"/>
    <w:rsid w:val="00D224FE"/>
    <w:rsid w:val="00D229C6"/>
    <w:rsid w:val="00D22AC5"/>
    <w:rsid w:val="00D23139"/>
    <w:rsid w:val="00D2349C"/>
    <w:rsid w:val="00D243FD"/>
    <w:rsid w:val="00D2464C"/>
    <w:rsid w:val="00D24BFC"/>
    <w:rsid w:val="00D25F4D"/>
    <w:rsid w:val="00D26785"/>
    <w:rsid w:val="00D3012B"/>
    <w:rsid w:val="00D31E25"/>
    <w:rsid w:val="00D3214F"/>
    <w:rsid w:val="00D34E92"/>
    <w:rsid w:val="00D37E7F"/>
    <w:rsid w:val="00D425BB"/>
    <w:rsid w:val="00D448C9"/>
    <w:rsid w:val="00D44A92"/>
    <w:rsid w:val="00D453FA"/>
    <w:rsid w:val="00D4630B"/>
    <w:rsid w:val="00D5425E"/>
    <w:rsid w:val="00D550B1"/>
    <w:rsid w:val="00D56D03"/>
    <w:rsid w:val="00D60BED"/>
    <w:rsid w:val="00D63C03"/>
    <w:rsid w:val="00D6493E"/>
    <w:rsid w:val="00D67979"/>
    <w:rsid w:val="00D7031C"/>
    <w:rsid w:val="00D71631"/>
    <w:rsid w:val="00D7195D"/>
    <w:rsid w:val="00D72F8F"/>
    <w:rsid w:val="00D7301E"/>
    <w:rsid w:val="00D740EA"/>
    <w:rsid w:val="00D7536D"/>
    <w:rsid w:val="00D77B9C"/>
    <w:rsid w:val="00D808EE"/>
    <w:rsid w:val="00D824A3"/>
    <w:rsid w:val="00D83AE1"/>
    <w:rsid w:val="00D855D4"/>
    <w:rsid w:val="00D86C02"/>
    <w:rsid w:val="00D902C9"/>
    <w:rsid w:val="00D93466"/>
    <w:rsid w:val="00D95A56"/>
    <w:rsid w:val="00DA1124"/>
    <w:rsid w:val="00DA1741"/>
    <w:rsid w:val="00DA3BD0"/>
    <w:rsid w:val="00DA64CB"/>
    <w:rsid w:val="00DB06B8"/>
    <w:rsid w:val="00DB33C4"/>
    <w:rsid w:val="00DB35EF"/>
    <w:rsid w:val="00DB6124"/>
    <w:rsid w:val="00DB74A5"/>
    <w:rsid w:val="00DB750B"/>
    <w:rsid w:val="00DB75B7"/>
    <w:rsid w:val="00DC06FC"/>
    <w:rsid w:val="00DC0A2F"/>
    <w:rsid w:val="00DC1658"/>
    <w:rsid w:val="00DC1948"/>
    <w:rsid w:val="00DC1FFB"/>
    <w:rsid w:val="00DC2794"/>
    <w:rsid w:val="00DC35BA"/>
    <w:rsid w:val="00DC585F"/>
    <w:rsid w:val="00DC60DB"/>
    <w:rsid w:val="00DC6E02"/>
    <w:rsid w:val="00DD00E5"/>
    <w:rsid w:val="00DD28CD"/>
    <w:rsid w:val="00DD4DDF"/>
    <w:rsid w:val="00DE02AE"/>
    <w:rsid w:val="00DE3480"/>
    <w:rsid w:val="00DE3631"/>
    <w:rsid w:val="00DE39D1"/>
    <w:rsid w:val="00DE59D1"/>
    <w:rsid w:val="00DE5EC4"/>
    <w:rsid w:val="00DE7438"/>
    <w:rsid w:val="00DF028C"/>
    <w:rsid w:val="00DF160B"/>
    <w:rsid w:val="00DF1AD4"/>
    <w:rsid w:val="00DF1D7F"/>
    <w:rsid w:val="00DF3FA8"/>
    <w:rsid w:val="00DF45FF"/>
    <w:rsid w:val="00DF4BE4"/>
    <w:rsid w:val="00DF6B38"/>
    <w:rsid w:val="00E00607"/>
    <w:rsid w:val="00E02382"/>
    <w:rsid w:val="00E02FB4"/>
    <w:rsid w:val="00E076B0"/>
    <w:rsid w:val="00E11534"/>
    <w:rsid w:val="00E12AE0"/>
    <w:rsid w:val="00E12B00"/>
    <w:rsid w:val="00E13F3D"/>
    <w:rsid w:val="00E13FC7"/>
    <w:rsid w:val="00E13FF5"/>
    <w:rsid w:val="00E14E5E"/>
    <w:rsid w:val="00E20571"/>
    <w:rsid w:val="00E235F7"/>
    <w:rsid w:val="00E23659"/>
    <w:rsid w:val="00E239D4"/>
    <w:rsid w:val="00E242C0"/>
    <w:rsid w:val="00E243D4"/>
    <w:rsid w:val="00E26130"/>
    <w:rsid w:val="00E33D42"/>
    <w:rsid w:val="00E4093A"/>
    <w:rsid w:val="00E40B22"/>
    <w:rsid w:val="00E40D7B"/>
    <w:rsid w:val="00E43992"/>
    <w:rsid w:val="00E442B8"/>
    <w:rsid w:val="00E44835"/>
    <w:rsid w:val="00E44ED1"/>
    <w:rsid w:val="00E45619"/>
    <w:rsid w:val="00E4588F"/>
    <w:rsid w:val="00E45DFA"/>
    <w:rsid w:val="00E45FE5"/>
    <w:rsid w:val="00E46DA3"/>
    <w:rsid w:val="00E47DD3"/>
    <w:rsid w:val="00E51BB1"/>
    <w:rsid w:val="00E539D2"/>
    <w:rsid w:val="00E54E33"/>
    <w:rsid w:val="00E55CB0"/>
    <w:rsid w:val="00E56CE5"/>
    <w:rsid w:val="00E57076"/>
    <w:rsid w:val="00E60FD9"/>
    <w:rsid w:val="00E624A5"/>
    <w:rsid w:val="00E64BA4"/>
    <w:rsid w:val="00E652C7"/>
    <w:rsid w:val="00E65704"/>
    <w:rsid w:val="00E65C1D"/>
    <w:rsid w:val="00E66D40"/>
    <w:rsid w:val="00E70AE1"/>
    <w:rsid w:val="00E7172E"/>
    <w:rsid w:val="00E7344E"/>
    <w:rsid w:val="00E82665"/>
    <w:rsid w:val="00E8415D"/>
    <w:rsid w:val="00E951B6"/>
    <w:rsid w:val="00E95290"/>
    <w:rsid w:val="00EA399A"/>
    <w:rsid w:val="00EA5CCC"/>
    <w:rsid w:val="00EB0798"/>
    <w:rsid w:val="00EB354F"/>
    <w:rsid w:val="00EB40AD"/>
    <w:rsid w:val="00EB563A"/>
    <w:rsid w:val="00EB573B"/>
    <w:rsid w:val="00EB586E"/>
    <w:rsid w:val="00EB5FC8"/>
    <w:rsid w:val="00EC4398"/>
    <w:rsid w:val="00EC463D"/>
    <w:rsid w:val="00EC7A85"/>
    <w:rsid w:val="00ED2922"/>
    <w:rsid w:val="00ED3193"/>
    <w:rsid w:val="00ED3CAD"/>
    <w:rsid w:val="00ED45EC"/>
    <w:rsid w:val="00ED5632"/>
    <w:rsid w:val="00ED5A41"/>
    <w:rsid w:val="00ED7096"/>
    <w:rsid w:val="00ED775E"/>
    <w:rsid w:val="00ED7BEA"/>
    <w:rsid w:val="00EE1C15"/>
    <w:rsid w:val="00EE1DE8"/>
    <w:rsid w:val="00EE27C2"/>
    <w:rsid w:val="00EE4742"/>
    <w:rsid w:val="00EE4C56"/>
    <w:rsid w:val="00EE5CBE"/>
    <w:rsid w:val="00EE695C"/>
    <w:rsid w:val="00EE7DE1"/>
    <w:rsid w:val="00EF05DB"/>
    <w:rsid w:val="00EF235A"/>
    <w:rsid w:val="00EF327B"/>
    <w:rsid w:val="00EF3FFD"/>
    <w:rsid w:val="00EF4476"/>
    <w:rsid w:val="00EF4BAD"/>
    <w:rsid w:val="00EF59DC"/>
    <w:rsid w:val="00EF5BDF"/>
    <w:rsid w:val="00EF5E57"/>
    <w:rsid w:val="00EF6D34"/>
    <w:rsid w:val="00F00ED4"/>
    <w:rsid w:val="00F033EC"/>
    <w:rsid w:val="00F03961"/>
    <w:rsid w:val="00F04F68"/>
    <w:rsid w:val="00F05498"/>
    <w:rsid w:val="00F106EE"/>
    <w:rsid w:val="00F1082D"/>
    <w:rsid w:val="00F12670"/>
    <w:rsid w:val="00F12789"/>
    <w:rsid w:val="00F12B31"/>
    <w:rsid w:val="00F134B4"/>
    <w:rsid w:val="00F13A0D"/>
    <w:rsid w:val="00F14B27"/>
    <w:rsid w:val="00F14BEC"/>
    <w:rsid w:val="00F1507E"/>
    <w:rsid w:val="00F1588C"/>
    <w:rsid w:val="00F16585"/>
    <w:rsid w:val="00F2066F"/>
    <w:rsid w:val="00F20C9C"/>
    <w:rsid w:val="00F22B00"/>
    <w:rsid w:val="00F23ECE"/>
    <w:rsid w:val="00F267C5"/>
    <w:rsid w:val="00F2696F"/>
    <w:rsid w:val="00F3148D"/>
    <w:rsid w:val="00F325C5"/>
    <w:rsid w:val="00F32FE0"/>
    <w:rsid w:val="00F33C0D"/>
    <w:rsid w:val="00F35298"/>
    <w:rsid w:val="00F406E1"/>
    <w:rsid w:val="00F419E9"/>
    <w:rsid w:val="00F41BCD"/>
    <w:rsid w:val="00F41D72"/>
    <w:rsid w:val="00F42CC5"/>
    <w:rsid w:val="00F44A28"/>
    <w:rsid w:val="00F45B42"/>
    <w:rsid w:val="00F47333"/>
    <w:rsid w:val="00F47507"/>
    <w:rsid w:val="00F47609"/>
    <w:rsid w:val="00F47E37"/>
    <w:rsid w:val="00F5319F"/>
    <w:rsid w:val="00F53991"/>
    <w:rsid w:val="00F53C07"/>
    <w:rsid w:val="00F54B65"/>
    <w:rsid w:val="00F56192"/>
    <w:rsid w:val="00F60A3B"/>
    <w:rsid w:val="00F60F0D"/>
    <w:rsid w:val="00F63DBF"/>
    <w:rsid w:val="00F640B6"/>
    <w:rsid w:val="00F66DF2"/>
    <w:rsid w:val="00F6756C"/>
    <w:rsid w:val="00F705B1"/>
    <w:rsid w:val="00F715AB"/>
    <w:rsid w:val="00F743A8"/>
    <w:rsid w:val="00F80DFC"/>
    <w:rsid w:val="00F80E40"/>
    <w:rsid w:val="00F818CE"/>
    <w:rsid w:val="00F848D9"/>
    <w:rsid w:val="00F85184"/>
    <w:rsid w:val="00F86E9A"/>
    <w:rsid w:val="00F87A91"/>
    <w:rsid w:val="00F91303"/>
    <w:rsid w:val="00F92BA2"/>
    <w:rsid w:val="00F977B3"/>
    <w:rsid w:val="00FA0F90"/>
    <w:rsid w:val="00FA27CD"/>
    <w:rsid w:val="00FA2C03"/>
    <w:rsid w:val="00FA2CF6"/>
    <w:rsid w:val="00FA5069"/>
    <w:rsid w:val="00FA5B82"/>
    <w:rsid w:val="00FA60C1"/>
    <w:rsid w:val="00FA639E"/>
    <w:rsid w:val="00FA7BD7"/>
    <w:rsid w:val="00FB1821"/>
    <w:rsid w:val="00FB279E"/>
    <w:rsid w:val="00FB2F2C"/>
    <w:rsid w:val="00FB369D"/>
    <w:rsid w:val="00FB426F"/>
    <w:rsid w:val="00FB61D7"/>
    <w:rsid w:val="00FC1CAA"/>
    <w:rsid w:val="00FC1F8A"/>
    <w:rsid w:val="00FC1FCA"/>
    <w:rsid w:val="00FC25E4"/>
    <w:rsid w:val="00FC4EF7"/>
    <w:rsid w:val="00FC611B"/>
    <w:rsid w:val="00FD01C5"/>
    <w:rsid w:val="00FD0824"/>
    <w:rsid w:val="00FD119B"/>
    <w:rsid w:val="00FD1EDC"/>
    <w:rsid w:val="00FD6738"/>
    <w:rsid w:val="00FD72C2"/>
    <w:rsid w:val="00FE0D3A"/>
    <w:rsid w:val="00FE1DEE"/>
    <w:rsid w:val="00FE38C3"/>
    <w:rsid w:val="00FF2126"/>
    <w:rsid w:val="00FF303F"/>
    <w:rsid w:val="00FF5755"/>
    <w:rsid w:val="00FF69BE"/>
    <w:rsid w:val="00FF7A0D"/>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DEDA9"/>
  <w15:docId w15:val="{44A06B55-3CFB-4D9B-8B22-152E4C3D4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aliases w:val="BMS Heading 1"/>
    <w:basedOn w:val="NonTOC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aliases w:val="BMS 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aliases w:val="BMS 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link w:val="Heading8Char"/>
    <w:unhideWhenUsed/>
    <w:qFormat/>
    <w:rsid w:val="00561530"/>
    <w:pPr>
      <w:keepNext/>
      <w:keepLines/>
      <w:spacing w:before="40" w:after="0" w:line="24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nhideWhenUsed/>
    <w:qFormat/>
    <w:rsid w:val="00561530"/>
    <w:pPr>
      <w:keepNext/>
      <w:keepLines/>
      <w:spacing w:before="40" w:after="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MS Heading 1 Char"/>
    <w:basedOn w:val="DefaultParagraphFont"/>
    <w:link w:val="Heading1"/>
    <w:rsid w:val="00645B58"/>
    <w:rPr>
      <w:rFonts w:asciiTheme="majorHAnsi" w:eastAsia="Cambria" w:hAnsiTheme="majorHAnsi" w:cstheme="majorHAnsi"/>
      <w:b/>
      <w:sz w:val="64"/>
      <w:szCs w:val="64"/>
    </w:rPr>
  </w:style>
  <w:style w:type="character" w:customStyle="1" w:styleId="Heading2Char">
    <w:name w:val="Heading 2 Char"/>
    <w:aliases w:val="BMS 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aliases w:val="BMS 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90DBB"/>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keepNext/>
      <w:keepLines/>
      <w:framePr w:wrap="around" w:hAnchor="text"/>
      <w:spacing w:before="480" w:after="0" w:line="276" w:lineRule="auto"/>
      <w:outlineLvl w:val="9"/>
    </w:pPr>
    <w:rPr>
      <w:rFonts w:eastAsia="Times New Roman" w:cstheme="minorBidi"/>
      <w:bCs/>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aliases w:val="Comment Text Char Char Char,Comment Text Char1,Comment Text Char1 Char"/>
    <w:basedOn w:val="Normal"/>
    <w:link w:val="CommentTextChar"/>
    <w:unhideWhenUsed/>
    <w:rsid w:val="00EC463D"/>
    <w:pPr>
      <w:spacing w:line="240" w:lineRule="auto"/>
    </w:pPr>
    <w:rPr>
      <w:sz w:val="20"/>
      <w:szCs w:val="20"/>
    </w:rPr>
  </w:style>
  <w:style w:type="character" w:customStyle="1" w:styleId="CommentTextChar">
    <w:name w:val="Comment Text Char"/>
    <w:aliases w:val="Comment Text Char Char Char Char,Comment Text Char1 Char1,Comment Text Char1 Char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aliases w:val="Questions,List Paragraph1,Question,Paragrafo elenco"/>
    <w:basedOn w:val="Normal"/>
    <w:link w:val="ListParagraphChar"/>
    <w:uiPriority w:val="34"/>
    <w:qFormat/>
    <w:rsid w:val="009B7931"/>
    <w:pPr>
      <w:ind w:left="720"/>
      <w:contextualSpacing/>
    </w:pPr>
  </w:style>
  <w:style w:type="paragraph" w:customStyle="1" w:styleId="Default">
    <w:name w:val="Default"/>
    <w:rsid w:val="006B7CB7"/>
    <w:pPr>
      <w:autoSpaceDE w:val="0"/>
      <w:autoSpaceDN w:val="0"/>
      <w:adjustRightInd w:val="0"/>
      <w:spacing w:after="0" w:line="240" w:lineRule="auto"/>
    </w:pPr>
    <w:rPr>
      <w:rFonts w:ascii="Cambria" w:hAnsi="Cambria" w:cs="Cambria"/>
      <w:color w:val="000000"/>
      <w:sz w:val="24"/>
      <w:szCs w:val="24"/>
    </w:rPr>
  </w:style>
  <w:style w:type="paragraph" w:customStyle="1" w:styleId="f-body--sm">
    <w:name w:val="f-body--sm"/>
    <w:basedOn w:val="Normal"/>
    <w:rsid w:val="00D3012B"/>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8Char">
    <w:name w:val="Heading 8 Char"/>
    <w:basedOn w:val="DefaultParagraphFont"/>
    <w:link w:val="Heading8"/>
    <w:rsid w:val="0056153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561530"/>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561530"/>
    <w:pPr>
      <w:spacing w:before="100" w:beforeAutospacing="1" w:after="100" w:afterAutospacing="1" w:line="240" w:lineRule="auto"/>
      <w:jc w:val="both"/>
    </w:pPr>
    <w:rPr>
      <w:rFonts w:ascii="Times New Roman" w:eastAsia="Times New Roman" w:hAnsi="Times New Roman"/>
      <w:sz w:val="24"/>
      <w:szCs w:val="24"/>
      <w:lang w:eastAsia="en-AU"/>
    </w:rPr>
  </w:style>
  <w:style w:type="paragraph" w:styleId="TableofFigures">
    <w:name w:val="table of figures"/>
    <w:basedOn w:val="Normal"/>
    <w:next w:val="Normal"/>
    <w:unhideWhenUsed/>
    <w:rsid w:val="00561530"/>
    <w:pPr>
      <w:spacing w:before="0" w:after="0" w:line="240" w:lineRule="auto"/>
      <w:jc w:val="both"/>
    </w:pPr>
    <w:rPr>
      <w:rFonts w:ascii="Times New Roman" w:eastAsiaTheme="minorHAnsi" w:hAnsi="Times New Roman" w:cstheme="minorBidi"/>
    </w:rPr>
  </w:style>
  <w:style w:type="paragraph" w:styleId="TOC4">
    <w:name w:val="toc 4"/>
    <w:basedOn w:val="Normal"/>
    <w:next w:val="Normal"/>
    <w:autoRedefine/>
    <w:unhideWhenUsed/>
    <w:rsid w:val="00561530"/>
    <w:pPr>
      <w:tabs>
        <w:tab w:val="right" w:leader="dot" w:pos="9360"/>
      </w:tabs>
      <w:spacing w:before="0" w:after="100" w:line="240" w:lineRule="auto"/>
      <w:ind w:left="660"/>
      <w:jc w:val="both"/>
    </w:pPr>
    <w:rPr>
      <w:rFonts w:ascii="Times New Roman" w:eastAsiaTheme="minorHAnsi" w:hAnsi="Times New Roman" w:cstheme="minorBidi"/>
    </w:rPr>
  </w:style>
  <w:style w:type="paragraph" w:customStyle="1" w:styleId="C-Footer">
    <w:name w:val="C-Footer"/>
    <w:rsid w:val="00561530"/>
    <w:pPr>
      <w:spacing w:after="0" w:line="240" w:lineRule="auto"/>
    </w:pPr>
    <w:rPr>
      <w:rFonts w:ascii="Times New Roman" w:eastAsia="Times New Roman" w:hAnsi="Times New Roman" w:cs="Times New Roman"/>
      <w:sz w:val="24"/>
      <w:szCs w:val="20"/>
      <w:lang w:val="en-US"/>
    </w:rPr>
  </w:style>
  <w:style w:type="paragraph" w:customStyle="1" w:styleId="C-BodyText">
    <w:name w:val="C-Body Text"/>
    <w:link w:val="C-BodyTextChar"/>
    <w:rsid w:val="00561530"/>
    <w:pPr>
      <w:spacing w:before="120" w:after="120" w:line="280" w:lineRule="atLeast"/>
    </w:pPr>
    <w:rPr>
      <w:rFonts w:ascii="Times New Roman" w:eastAsia="Times New Roman" w:hAnsi="Times New Roman" w:cs="Times New Roman"/>
      <w:sz w:val="24"/>
      <w:szCs w:val="20"/>
      <w:lang w:val="en-US"/>
    </w:rPr>
  </w:style>
  <w:style w:type="paragraph" w:customStyle="1" w:styleId="C-Heading1">
    <w:name w:val="C-Heading 1"/>
    <w:next w:val="C-BodyText"/>
    <w:link w:val="C-Heading1Char"/>
    <w:rsid w:val="00561530"/>
    <w:pPr>
      <w:keepNext/>
      <w:pageBreakBefore/>
      <w:numPr>
        <w:numId w:val="9"/>
      </w:numPr>
      <w:spacing w:before="480" w:after="120" w:line="240" w:lineRule="auto"/>
      <w:outlineLvl w:val="0"/>
    </w:pPr>
    <w:rPr>
      <w:rFonts w:ascii="Times New Roman" w:eastAsia="Times New Roman" w:hAnsi="Times New Roman" w:cs="Times New Roman"/>
      <w:b/>
      <w:caps/>
      <w:sz w:val="28"/>
      <w:szCs w:val="20"/>
      <w:lang w:val="en-US"/>
    </w:rPr>
  </w:style>
  <w:style w:type="paragraph" w:customStyle="1" w:styleId="C-Heading2">
    <w:name w:val="C-Heading 2"/>
    <w:next w:val="C-BodyText"/>
    <w:rsid w:val="00561530"/>
    <w:pPr>
      <w:keepNext/>
      <w:numPr>
        <w:ilvl w:val="1"/>
        <w:numId w:val="9"/>
      </w:numPr>
      <w:spacing w:before="240" w:after="0" w:line="240" w:lineRule="auto"/>
      <w:outlineLvl w:val="1"/>
    </w:pPr>
    <w:rPr>
      <w:rFonts w:ascii="Times New Roman" w:eastAsia="Times New Roman" w:hAnsi="Times New Roman" w:cs="Times New Roman"/>
      <w:b/>
      <w:sz w:val="28"/>
      <w:szCs w:val="20"/>
      <w:lang w:val="en-US"/>
    </w:rPr>
  </w:style>
  <w:style w:type="paragraph" w:customStyle="1" w:styleId="C-Heading3">
    <w:name w:val="C-Heading 3"/>
    <w:next w:val="C-BodyText"/>
    <w:rsid w:val="00561530"/>
    <w:pPr>
      <w:keepNext/>
      <w:numPr>
        <w:ilvl w:val="2"/>
        <w:numId w:val="9"/>
      </w:numPr>
      <w:spacing w:before="240" w:after="0" w:line="240" w:lineRule="auto"/>
      <w:outlineLvl w:val="2"/>
    </w:pPr>
    <w:rPr>
      <w:rFonts w:ascii="Times New Roman" w:eastAsia="Times New Roman" w:hAnsi="Times New Roman" w:cs="Times New Roman"/>
      <w:b/>
      <w:sz w:val="24"/>
      <w:szCs w:val="20"/>
      <w:lang w:val="en-US"/>
    </w:rPr>
  </w:style>
  <w:style w:type="paragraph" w:customStyle="1" w:styleId="C-Heading4">
    <w:name w:val="C-Heading 4"/>
    <w:next w:val="C-BodyText"/>
    <w:rsid w:val="00561530"/>
    <w:pPr>
      <w:keepNext/>
      <w:numPr>
        <w:ilvl w:val="3"/>
        <w:numId w:val="9"/>
      </w:numPr>
      <w:spacing w:before="240" w:after="0" w:line="240" w:lineRule="auto"/>
      <w:outlineLvl w:val="3"/>
    </w:pPr>
    <w:rPr>
      <w:rFonts w:ascii="Times New Roman" w:eastAsia="Times New Roman" w:hAnsi="Times New Roman" w:cs="Times New Roman"/>
      <w:b/>
      <w:sz w:val="24"/>
      <w:szCs w:val="20"/>
      <w:lang w:val="en-US"/>
    </w:rPr>
  </w:style>
  <w:style w:type="paragraph" w:customStyle="1" w:styleId="C-Heading5">
    <w:name w:val="C-Heading 5"/>
    <w:next w:val="C-BodyText"/>
    <w:rsid w:val="00561530"/>
    <w:pPr>
      <w:keepNext/>
      <w:numPr>
        <w:ilvl w:val="4"/>
        <w:numId w:val="9"/>
      </w:numPr>
      <w:spacing w:before="240" w:after="0" w:line="240" w:lineRule="auto"/>
      <w:outlineLvl w:val="4"/>
    </w:pPr>
    <w:rPr>
      <w:rFonts w:ascii="Times New Roman" w:eastAsia="Times New Roman" w:hAnsi="Times New Roman" w:cs="Times New Roman"/>
      <w:b/>
      <w:sz w:val="24"/>
      <w:szCs w:val="20"/>
      <w:lang w:val="en-US"/>
    </w:rPr>
  </w:style>
  <w:style w:type="paragraph" w:customStyle="1" w:styleId="C-Heading6">
    <w:name w:val="C-Heading 6"/>
    <w:next w:val="C-BodyText"/>
    <w:rsid w:val="00561530"/>
    <w:pPr>
      <w:keepNext/>
      <w:numPr>
        <w:ilvl w:val="5"/>
        <w:numId w:val="9"/>
      </w:numPr>
      <w:tabs>
        <w:tab w:val="clear" w:pos="1080"/>
        <w:tab w:val="num" w:pos="1224"/>
      </w:tabs>
      <w:spacing w:before="240" w:after="0" w:line="240" w:lineRule="auto"/>
      <w:ind w:left="1224" w:hanging="1224"/>
      <w:outlineLvl w:val="5"/>
    </w:pPr>
    <w:rPr>
      <w:rFonts w:ascii="Times New Roman" w:eastAsia="Times New Roman" w:hAnsi="Times New Roman" w:cs="Times New Roman"/>
      <w:b/>
      <w:sz w:val="24"/>
      <w:szCs w:val="20"/>
      <w:lang w:val="en-US"/>
    </w:rPr>
  </w:style>
  <w:style w:type="paragraph" w:customStyle="1" w:styleId="C-BodyTextIndent">
    <w:name w:val="C-Body Text Indent"/>
    <w:rsid w:val="00561530"/>
    <w:pPr>
      <w:spacing w:before="120" w:after="120" w:line="280" w:lineRule="atLeast"/>
      <w:ind w:left="360"/>
    </w:pPr>
    <w:rPr>
      <w:rFonts w:ascii="Times New Roman" w:eastAsia="Times New Roman" w:hAnsi="Times New Roman" w:cs="Times New Roman"/>
      <w:sz w:val="24"/>
      <w:szCs w:val="20"/>
      <w:lang w:val="en-US"/>
    </w:rPr>
  </w:style>
  <w:style w:type="paragraph" w:customStyle="1" w:styleId="C-Bullet">
    <w:name w:val="C-Bullet"/>
    <w:rsid w:val="00561530"/>
    <w:pPr>
      <w:numPr>
        <w:numId w:val="21"/>
      </w:numPr>
      <w:spacing w:before="120" w:after="120" w:line="280" w:lineRule="atLeast"/>
    </w:pPr>
    <w:rPr>
      <w:rFonts w:ascii="Times New Roman" w:eastAsia="Times New Roman" w:hAnsi="Times New Roman" w:cs="Times New Roman"/>
      <w:sz w:val="24"/>
      <w:szCs w:val="20"/>
      <w:lang w:val="en-US"/>
    </w:rPr>
  </w:style>
  <w:style w:type="paragraph" w:customStyle="1" w:styleId="C-BulletIndented">
    <w:name w:val="C-Bullet Indented"/>
    <w:rsid w:val="00561530"/>
    <w:pPr>
      <w:numPr>
        <w:ilvl w:val="1"/>
        <w:numId w:val="21"/>
      </w:numPr>
      <w:spacing w:before="120" w:after="120" w:line="280" w:lineRule="atLeast"/>
    </w:pPr>
    <w:rPr>
      <w:rFonts w:ascii="Times New Roman" w:eastAsia="Times New Roman" w:hAnsi="Times New Roman" w:cs="Arial"/>
      <w:sz w:val="24"/>
      <w:szCs w:val="20"/>
      <w:lang w:val="en-US"/>
    </w:rPr>
  </w:style>
  <w:style w:type="paragraph" w:customStyle="1" w:styleId="C-TableHeader">
    <w:name w:val="C-Table Header"/>
    <w:next w:val="C-TableText"/>
    <w:link w:val="C-TableHeaderChar"/>
    <w:rsid w:val="00561530"/>
    <w:pPr>
      <w:keepNext/>
      <w:spacing w:before="60" w:after="60" w:line="240" w:lineRule="auto"/>
    </w:pPr>
    <w:rPr>
      <w:rFonts w:ascii="Times New Roman" w:eastAsia="Times New Roman" w:hAnsi="Times New Roman" w:cs="Times New Roman"/>
      <w:b/>
      <w:szCs w:val="20"/>
      <w:lang w:val="en-US"/>
    </w:rPr>
  </w:style>
  <w:style w:type="paragraph" w:customStyle="1" w:styleId="C-TableText">
    <w:name w:val="C-Table Text"/>
    <w:link w:val="C-TableTextChar"/>
    <w:rsid w:val="00561530"/>
    <w:pPr>
      <w:spacing w:before="60" w:after="60" w:line="240" w:lineRule="auto"/>
    </w:pPr>
    <w:rPr>
      <w:rFonts w:ascii="Times New Roman" w:eastAsia="Times New Roman" w:hAnsi="Times New Roman" w:cs="Times New Roman"/>
      <w:szCs w:val="20"/>
      <w:lang w:val="en-US"/>
    </w:rPr>
  </w:style>
  <w:style w:type="paragraph" w:customStyle="1" w:styleId="C-TableFootnote">
    <w:name w:val="C-Table Footnote"/>
    <w:next w:val="C-BodyText"/>
    <w:rsid w:val="00561530"/>
    <w:pPr>
      <w:tabs>
        <w:tab w:val="left" w:pos="144"/>
      </w:tabs>
      <w:spacing w:after="0" w:line="240" w:lineRule="auto"/>
      <w:ind w:left="144" w:hanging="144"/>
    </w:pPr>
    <w:rPr>
      <w:rFonts w:ascii="Times New Roman" w:eastAsia="Times New Roman" w:hAnsi="Times New Roman" w:cs="Arial"/>
      <w:sz w:val="20"/>
      <w:szCs w:val="20"/>
      <w:lang w:val="en-US"/>
    </w:rPr>
  </w:style>
  <w:style w:type="paragraph" w:styleId="TOC5">
    <w:name w:val="toc 5"/>
    <w:basedOn w:val="TOC1"/>
    <w:next w:val="C-BodyText"/>
    <w:rsid w:val="00561530"/>
    <w:pPr>
      <w:tabs>
        <w:tab w:val="clear" w:pos="8505"/>
        <w:tab w:val="left" w:pos="1152"/>
        <w:tab w:val="right" w:leader="dot" w:pos="9360"/>
      </w:tabs>
      <w:spacing w:after="0" w:line="240" w:lineRule="auto"/>
      <w:ind w:left="1152" w:right="792" w:hanging="1152"/>
      <w:jc w:val="both"/>
    </w:pPr>
    <w:rPr>
      <w:rFonts w:ascii="Times New Roman" w:eastAsia="Times New Roman" w:hAnsi="Times New Roman" w:cs="Arial"/>
      <w:b w:val="0"/>
      <w:color w:val="0000FF"/>
      <w:sz w:val="24"/>
      <w:szCs w:val="24"/>
      <w:lang w:val="en-US"/>
    </w:rPr>
  </w:style>
  <w:style w:type="paragraph" w:styleId="TOC6">
    <w:name w:val="toc 6"/>
    <w:basedOn w:val="TOC1"/>
    <w:next w:val="C-BodyText"/>
    <w:rsid w:val="00561530"/>
    <w:pPr>
      <w:tabs>
        <w:tab w:val="clear" w:pos="8505"/>
        <w:tab w:val="left" w:pos="1152"/>
        <w:tab w:val="right" w:leader="dot" w:pos="9360"/>
      </w:tabs>
      <w:spacing w:after="0" w:line="240" w:lineRule="auto"/>
      <w:ind w:left="1152" w:right="792" w:hanging="1152"/>
      <w:jc w:val="both"/>
    </w:pPr>
    <w:rPr>
      <w:rFonts w:ascii="Times New Roman" w:eastAsia="Times New Roman" w:hAnsi="Times New Roman" w:cs="Arial"/>
      <w:b w:val="0"/>
      <w:color w:val="0000FF"/>
      <w:sz w:val="24"/>
      <w:szCs w:val="24"/>
      <w:lang w:val="en-US"/>
    </w:rPr>
  </w:style>
  <w:style w:type="paragraph" w:styleId="TOC7">
    <w:name w:val="toc 7"/>
    <w:basedOn w:val="TOC1"/>
    <w:next w:val="C-BodyText"/>
    <w:rsid w:val="00561530"/>
    <w:pPr>
      <w:tabs>
        <w:tab w:val="clear" w:pos="8505"/>
        <w:tab w:val="left" w:pos="1152"/>
        <w:tab w:val="right" w:leader="dot" w:pos="9360"/>
      </w:tabs>
      <w:spacing w:after="0" w:line="240" w:lineRule="auto"/>
      <w:ind w:left="1152" w:right="792" w:hanging="1152"/>
      <w:jc w:val="both"/>
    </w:pPr>
    <w:rPr>
      <w:rFonts w:ascii="Times New Roman" w:eastAsia="Times New Roman" w:hAnsi="Times New Roman" w:cs="Arial"/>
      <w:b w:val="0"/>
      <w:color w:val="0000FF"/>
      <w:sz w:val="24"/>
      <w:szCs w:val="24"/>
      <w:lang w:val="en-US"/>
    </w:rPr>
  </w:style>
  <w:style w:type="paragraph" w:styleId="TOC8">
    <w:name w:val="toc 8"/>
    <w:basedOn w:val="TOC1"/>
    <w:next w:val="C-BodyText"/>
    <w:rsid w:val="00561530"/>
    <w:pPr>
      <w:tabs>
        <w:tab w:val="clear" w:pos="8505"/>
        <w:tab w:val="left" w:pos="1152"/>
        <w:tab w:val="right" w:leader="dot" w:pos="9360"/>
      </w:tabs>
      <w:spacing w:after="0" w:line="240" w:lineRule="auto"/>
      <w:ind w:left="1152" w:right="792" w:hanging="1152"/>
      <w:jc w:val="both"/>
    </w:pPr>
    <w:rPr>
      <w:rFonts w:ascii="Times New Roman" w:eastAsia="Times New Roman" w:hAnsi="Times New Roman" w:cs="Arial"/>
      <w:b w:val="0"/>
      <w:color w:val="0000FF"/>
      <w:sz w:val="24"/>
      <w:szCs w:val="24"/>
      <w:lang w:val="en-US"/>
    </w:rPr>
  </w:style>
  <w:style w:type="paragraph" w:styleId="TOC9">
    <w:name w:val="toc 9"/>
    <w:basedOn w:val="TOC1"/>
    <w:next w:val="C-BodyText"/>
    <w:rsid w:val="00561530"/>
    <w:pPr>
      <w:tabs>
        <w:tab w:val="clear" w:pos="8505"/>
        <w:tab w:val="left" w:pos="1152"/>
        <w:tab w:val="right" w:leader="dot" w:pos="9360"/>
      </w:tabs>
      <w:spacing w:after="0" w:line="240" w:lineRule="auto"/>
      <w:ind w:left="1152" w:right="792" w:hanging="1152"/>
      <w:jc w:val="both"/>
    </w:pPr>
    <w:rPr>
      <w:rFonts w:ascii="Times New Roman" w:eastAsia="Times New Roman" w:hAnsi="Times New Roman" w:cs="Arial"/>
      <w:b w:val="0"/>
      <w:caps/>
      <w:color w:val="0000FF"/>
      <w:sz w:val="24"/>
      <w:szCs w:val="24"/>
      <w:lang w:val="en-US"/>
    </w:rPr>
  </w:style>
  <w:style w:type="paragraph" w:customStyle="1" w:styleId="C-TOCTitle">
    <w:name w:val="C-TOC Title"/>
    <w:next w:val="C-BodyText"/>
    <w:rsid w:val="00561530"/>
    <w:pPr>
      <w:spacing w:after="120" w:line="240" w:lineRule="auto"/>
      <w:jc w:val="center"/>
    </w:pPr>
    <w:rPr>
      <w:rFonts w:ascii="Times New Roman" w:eastAsia="Times New Roman" w:hAnsi="Times New Roman" w:cs="Times New Roman"/>
      <w:b/>
      <w:caps/>
      <w:sz w:val="28"/>
      <w:szCs w:val="28"/>
      <w:lang w:val="en-US"/>
    </w:rPr>
  </w:style>
  <w:style w:type="paragraph" w:customStyle="1" w:styleId="C-CaptionContinued">
    <w:name w:val="C-Caption Continued"/>
    <w:next w:val="C-BodyText"/>
    <w:rsid w:val="00561530"/>
    <w:pPr>
      <w:keepNext/>
      <w:spacing w:before="120" w:after="120" w:line="280" w:lineRule="atLeast"/>
      <w:ind w:left="1440" w:hanging="1440"/>
    </w:pPr>
    <w:rPr>
      <w:rFonts w:ascii="Times New Roman" w:eastAsia="Times New Roman" w:hAnsi="Times New Roman" w:cs="Arial"/>
      <w:b/>
      <w:sz w:val="24"/>
      <w:szCs w:val="20"/>
      <w:lang w:val="en-US"/>
    </w:rPr>
  </w:style>
  <w:style w:type="paragraph" w:customStyle="1" w:styleId="C-NumberedList">
    <w:name w:val="C-Numbered List"/>
    <w:rsid w:val="00561530"/>
    <w:pPr>
      <w:numPr>
        <w:numId w:val="19"/>
      </w:numPr>
      <w:spacing w:before="120" w:after="120" w:line="280" w:lineRule="atLeast"/>
    </w:pPr>
    <w:rPr>
      <w:rFonts w:ascii="Times New Roman" w:eastAsia="Times New Roman" w:hAnsi="Times New Roman" w:cs="Times New Roman"/>
      <w:sz w:val="24"/>
      <w:szCs w:val="20"/>
      <w:lang w:val="en-US"/>
    </w:rPr>
  </w:style>
  <w:style w:type="paragraph" w:customStyle="1" w:styleId="C-InstructionText">
    <w:name w:val="C-Instruction Text"/>
    <w:rsid w:val="00561530"/>
    <w:pPr>
      <w:spacing w:before="120" w:after="120" w:line="280" w:lineRule="atLeast"/>
    </w:pPr>
    <w:rPr>
      <w:rFonts w:ascii="Times New Roman" w:eastAsia="Times New Roman" w:hAnsi="Times New Roman" w:cs="Times New Roman"/>
      <w:vanish/>
      <w:color w:val="FF0000"/>
      <w:sz w:val="24"/>
      <w:szCs w:val="24"/>
      <w:lang w:val="en-US"/>
    </w:rPr>
  </w:style>
  <w:style w:type="paragraph" w:styleId="TOAHeading">
    <w:name w:val="toa heading"/>
    <w:basedOn w:val="Normal"/>
    <w:next w:val="Normal"/>
    <w:rsid w:val="00561530"/>
    <w:pPr>
      <w:spacing w:after="160" w:line="259" w:lineRule="auto"/>
      <w:jc w:val="both"/>
    </w:pPr>
    <w:rPr>
      <w:rFonts w:ascii="Arial" w:eastAsiaTheme="minorHAnsi" w:hAnsi="Arial" w:cstheme="minorBidi"/>
      <w:b/>
      <w:bCs/>
      <w:szCs w:val="24"/>
    </w:rPr>
  </w:style>
  <w:style w:type="paragraph" w:customStyle="1" w:styleId="C-Title">
    <w:name w:val="C-Title"/>
    <w:next w:val="C-BodyText"/>
    <w:rsid w:val="00561530"/>
    <w:pPr>
      <w:spacing w:after="120" w:line="240" w:lineRule="auto"/>
      <w:jc w:val="center"/>
    </w:pPr>
    <w:rPr>
      <w:rFonts w:ascii="Times New Roman" w:eastAsia="Times New Roman" w:hAnsi="Times New Roman" w:cs="Times New Roman"/>
      <w:b/>
      <w:caps/>
      <w:sz w:val="36"/>
      <w:szCs w:val="20"/>
      <w:lang w:val="en-US"/>
    </w:rPr>
  </w:style>
  <w:style w:type="paragraph" w:customStyle="1" w:styleId="C-Header">
    <w:name w:val="C-Header"/>
    <w:rsid w:val="00561530"/>
    <w:pPr>
      <w:spacing w:after="0" w:line="240" w:lineRule="auto"/>
    </w:pPr>
    <w:rPr>
      <w:rFonts w:ascii="Times New Roman" w:eastAsia="Times New Roman" w:hAnsi="Times New Roman" w:cs="Times New Roman"/>
      <w:sz w:val="24"/>
      <w:szCs w:val="20"/>
      <w:lang w:val="en-US"/>
    </w:rPr>
  </w:style>
  <w:style w:type="paragraph" w:customStyle="1" w:styleId="C-Heading1non-numbered">
    <w:name w:val="C-Heading 1 (non-numbered)"/>
    <w:basedOn w:val="C-Heading1"/>
    <w:next w:val="C-BodyText"/>
    <w:rsid w:val="00561530"/>
    <w:pPr>
      <w:numPr>
        <w:numId w:val="0"/>
      </w:numPr>
      <w:tabs>
        <w:tab w:val="left" w:pos="1080"/>
      </w:tabs>
      <w:ind w:left="1080" w:hanging="1080"/>
    </w:pPr>
  </w:style>
  <w:style w:type="paragraph" w:customStyle="1" w:styleId="C-Heading2non-numbered">
    <w:name w:val="C-Heading 2 (non-numbered)"/>
    <w:basedOn w:val="C-Heading2"/>
    <w:next w:val="C-BodyText"/>
    <w:rsid w:val="00561530"/>
    <w:pPr>
      <w:numPr>
        <w:ilvl w:val="0"/>
        <w:numId w:val="0"/>
      </w:numPr>
      <w:tabs>
        <w:tab w:val="left" w:pos="1080"/>
      </w:tabs>
      <w:ind w:left="1080" w:hanging="1080"/>
    </w:pPr>
  </w:style>
  <w:style w:type="paragraph" w:customStyle="1" w:styleId="C-Heading3non-numbered">
    <w:name w:val="C-Heading 3 (non-numbered)"/>
    <w:basedOn w:val="C-Heading3"/>
    <w:next w:val="C-BodyText"/>
    <w:rsid w:val="00561530"/>
    <w:pPr>
      <w:numPr>
        <w:ilvl w:val="0"/>
        <w:numId w:val="0"/>
      </w:numPr>
      <w:tabs>
        <w:tab w:val="left" w:pos="1080"/>
      </w:tabs>
      <w:ind w:left="1080" w:hanging="1080"/>
    </w:pPr>
  </w:style>
  <w:style w:type="paragraph" w:customStyle="1" w:styleId="C-Heading4non-numbered">
    <w:name w:val="C-Heading 4 (non-numbered)"/>
    <w:basedOn w:val="C-Heading4"/>
    <w:next w:val="C-BodyText"/>
    <w:rsid w:val="00561530"/>
    <w:pPr>
      <w:numPr>
        <w:ilvl w:val="0"/>
        <w:numId w:val="0"/>
      </w:numPr>
      <w:tabs>
        <w:tab w:val="left" w:pos="1080"/>
      </w:tabs>
      <w:ind w:left="1080" w:hanging="1080"/>
    </w:pPr>
  </w:style>
  <w:style w:type="paragraph" w:customStyle="1" w:styleId="C-Heading5non-numbered">
    <w:name w:val="C-Heading 5 (non-numbered)"/>
    <w:basedOn w:val="C-Heading5"/>
    <w:next w:val="C-BodyText"/>
    <w:rsid w:val="00561530"/>
    <w:pPr>
      <w:numPr>
        <w:ilvl w:val="0"/>
        <w:numId w:val="0"/>
      </w:numPr>
      <w:tabs>
        <w:tab w:val="left" w:pos="1080"/>
      </w:tabs>
      <w:ind w:left="1080" w:hanging="1080"/>
    </w:pPr>
  </w:style>
  <w:style w:type="paragraph" w:customStyle="1" w:styleId="C-Heading6non-numbered">
    <w:name w:val="C-Heading 6 (non-numbered)"/>
    <w:basedOn w:val="C-Heading6"/>
    <w:next w:val="C-BodyText"/>
    <w:rsid w:val="00561530"/>
  </w:style>
  <w:style w:type="paragraph" w:customStyle="1" w:styleId="C-Heading1nopagebreak">
    <w:name w:val="C-Heading 1 (no page break)"/>
    <w:basedOn w:val="C-Heading1"/>
    <w:next w:val="C-BodyText"/>
    <w:rsid w:val="00561530"/>
    <w:pPr>
      <w:pageBreakBefore w:val="0"/>
    </w:pPr>
  </w:style>
  <w:style w:type="paragraph" w:customStyle="1" w:styleId="C-Heading1nopagebreak0">
    <w:name w:val="C-Heading 1 (no page break"/>
    <w:aliases w:val="non-numbered)"/>
    <w:basedOn w:val="C-Heading1non-numbered"/>
    <w:next w:val="C-BodyText"/>
    <w:rsid w:val="00561530"/>
    <w:pPr>
      <w:pageBreakBefore w:val="0"/>
    </w:pPr>
  </w:style>
  <w:style w:type="character" w:styleId="HTMLKeyboard">
    <w:name w:val="HTML Keyboard"/>
    <w:rsid w:val="00561530"/>
    <w:rPr>
      <w:rFonts w:ascii="Courier New" w:hAnsi="Courier New"/>
      <w:sz w:val="20"/>
      <w:szCs w:val="20"/>
    </w:rPr>
  </w:style>
  <w:style w:type="paragraph" w:customStyle="1" w:styleId="C-Appendix">
    <w:name w:val="C-Appendix"/>
    <w:next w:val="C-BodyText"/>
    <w:rsid w:val="00561530"/>
    <w:pPr>
      <w:keepNext/>
      <w:pageBreakBefore/>
      <w:numPr>
        <w:numId w:val="10"/>
      </w:numPr>
      <w:spacing w:before="480" w:after="120" w:line="240" w:lineRule="auto"/>
      <w:outlineLvl w:val="0"/>
    </w:pPr>
    <w:rPr>
      <w:rFonts w:ascii="Times New Roman" w:eastAsia="Times New Roman" w:hAnsi="Times New Roman" w:cs="Times New Roman"/>
      <w:b/>
      <w:caps/>
      <w:sz w:val="28"/>
      <w:szCs w:val="20"/>
      <w:lang w:val="en-US"/>
    </w:rPr>
  </w:style>
  <w:style w:type="paragraph" w:customStyle="1" w:styleId="C-AlphabeticList">
    <w:name w:val="C-Alphabetic List"/>
    <w:rsid w:val="00561530"/>
    <w:pPr>
      <w:numPr>
        <w:ilvl w:val="1"/>
        <w:numId w:val="19"/>
      </w:numPr>
      <w:spacing w:after="0" w:line="240" w:lineRule="auto"/>
    </w:pPr>
    <w:rPr>
      <w:rFonts w:ascii="Times New Roman" w:eastAsia="Times New Roman" w:hAnsi="Times New Roman" w:cs="Times New Roman"/>
      <w:sz w:val="24"/>
      <w:szCs w:val="20"/>
      <w:lang w:val="en-US"/>
    </w:rPr>
  </w:style>
  <w:style w:type="paragraph" w:customStyle="1" w:styleId="C-PLR-NumberedList">
    <w:name w:val="C-PLR-Numbered List"/>
    <w:rsid w:val="00561530"/>
    <w:pPr>
      <w:numPr>
        <w:numId w:val="15"/>
      </w:numPr>
      <w:spacing w:after="0" w:line="240" w:lineRule="auto"/>
    </w:pPr>
    <w:rPr>
      <w:rFonts w:ascii="Times New Roman" w:eastAsia="Times New Roman" w:hAnsi="Times New Roman" w:cs="Times New Roman"/>
      <w:sz w:val="16"/>
      <w:szCs w:val="20"/>
      <w:lang w:val="en-US"/>
    </w:rPr>
  </w:style>
  <w:style w:type="paragraph" w:customStyle="1" w:styleId="C-PLR-BodyText">
    <w:name w:val="C-PLR-Body Text"/>
    <w:rsid w:val="00561530"/>
    <w:pPr>
      <w:spacing w:after="0" w:line="240" w:lineRule="auto"/>
    </w:pPr>
    <w:rPr>
      <w:rFonts w:ascii="Times New Roman" w:eastAsia="Times New Roman" w:hAnsi="Times New Roman" w:cs="Times New Roman"/>
      <w:sz w:val="16"/>
      <w:szCs w:val="20"/>
      <w:lang w:val="en-US"/>
    </w:rPr>
  </w:style>
  <w:style w:type="paragraph" w:customStyle="1" w:styleId="C-PLR-BodyTextIndent">
    <w:name w:val="C-PLR-Body Text Indent"/>
    <w:rsid w:val="00561530"/>
    <w:pPr>
      <w:spacing w:after="0" w:line="240" w:lineRule="auto"/>
      <w:ind w:left="360"/>
    </w:pPr>
    <w:rPr>
      <w:rFonts w:ascii="Times New Roman" w:eastAsia="Times New Roman" w:hAnsi="Times New Roman" w:cs="Times New Roman"/>
      <w:sz w:val="16"/>
      <w:szCs w:val="20"/>
      <w:lang w:val="en-US"/>
    </w:rPr>
  </w:style>
  <w:style w:type="paragraph" w:customStyle="1" w:styleId="C-PLR-Bullet">
    <w:name w:val="C-PLR-Bullet"/>
    <w:rsid w:val="00561530"/>
    <w:pPr>
      <w:numPr>
        <w:numId w:val="11"/>
      </w:numPr>
      <w:spacing w:after="0" w:line="240" w:lineRule="auto"/>
    </w:pPr>
    <w:rPr>
      <w:rFonts w:ascii="Times New Roman" w:eastAsia="Times New Roman" w:hAnsi="Times New Roman" w:cs="Times New Roman"/>
      <w:sz w:val="16"/>
      <w:szCs w:val="20"/>
      <w:lang w:val="en-US"/>
    </w:rPr>
  </w:style>
  <w:style w:type="paragraph" w:customStyle="1" w:styleId="C-PLR-BulletIndented">
    <w:name w:val="C-PLR-Bullet Indented"/>
    <w:rsid w:val="00561530"/>
    <w:pPr>
      <w:numPr>
        <w:numId w:val="12"/>
      </w:numPr>
      <w:spacing w:after="0" w:line="240" w:lineRule="auto"/>
    </w:pPr>
    <w:rPr>
      <w:rFonts w:ascii="Times New Roman" w:eastAsia="Times New Roman" w:hAnsi="Times New Roman" w:cs="Times New Roman"/>
      <w:sz w:val="16"/>
      <w:szCs w:val="20"/>
      <w:lang w:val="en-US"/>
    </w:rPr>
  </w:style>
  <w:style w:type="paragraph" w:customStyle="1" w:styleId="C-PLR-Caption">
    <w:name w:val="C-PLR-Caption"/>
    <w:next w:val="C-PLR-BodyText"/>
    <w:rsid w:val="00561530"/>
    <w:pPr>
      <w:keepNext/>
      <w:spacing w:after="0" w:line="240" w:lineRule="auto"/>
      <w:ind w:left="360" w:hanging="360"/>
    </w:pPr>
    <w:rPr>
      <w:rFonts w:ascii="Times New Roman" w:eastAsia="Times New Roman" w:hAnsi="Times New Roman" w:cs="Times New Roman"/>
      <w:b/>
      <w:sz w:val="16"/>
      <w:szCs w:val="20"/>
      <w:lang w:val="en-US"/>
    </w:rPr>
  </w:style>
  <w:style w:type="paragraph" w:customStyle="1" w:styleId="C-PLR-Heading1nopagebreaknon-numbered">
    <w:name w:val="C-PLR-Heading 1 (no page break.non-numbered)"/>
    <w:basedOn w:val="C-PLR-Heading1non-numbered"/>
    <w:next w:val="C-PLR-BodyText"/>
    <w:rsid w:val="00561530"/>
  </w:style>
  <w:style w:type="paragraph" w:customStyle="1" w:styleId="C-PLR-Heading2non-numbered">
    <w:name w:val="C-PLR-Heading 2 (non-numbered)"/>
    <w:basedOn w:val="C-PLR-Heading2"/>
    <w:next w:val="C-PLR-BodyText"/>
    <w:rsid w:val="00561530"/>
    <w:pPr>
      <w:numPr>
        <w:ilvl w:val="0"/>
        <w:numId w:val="0"/>
      </w:numPr>
      <w:ind w:left="720" w:hanging="720"/>
    </w:pPr>
  </w:style>
  <w:style w:type="paragraph" w:customStyle="1" w:styleId="C-PLR-TableHeader">
    <w:name w:val="C-PLR-Table Header"/>
    <w:next w:val="C-PLR-TableText"/>
    <w:rsid w:val="00561530"/>
    <w:pPr>
      <w:keepNext/>
      <w:spacing w:after="0" w:line="240" w:lineRule="auto"/>
    </w:pPr>
    <w:rPr>
      <w:rFonts w:ascii="Times New Roman" w:eastAsia="Times New Roman" w:hAnsi="Times New Roman" w:cs="Times New Roman"/>
      <w:b/>
      <w:sz w:val="16"/>
      <w:szCs w:val="20"/>
      <w:lang w:val="en-US"/>
    </w:rPr>
  </w:style>
  <w:style w:type="paragraph" w:customStyle="1" w:styleId="C-PLR-TableText">
    <w:name w:val="C-PLR-Table Text"/>
    <w:rsid w:val="00561530"/>
    <w:pPr>
      <w:spacing w:after="0" w:line="240" w:lineRule="auto"/>
    </w:pPr>
    <w:rPr>
      <w:rFonts w:ascii="Times New Roman" w:eastAsia="Times New Roman" w:hAnsi="Times New Roman" w:cs="Times New Roman"/>
      <w:sz w:val="16"/>
      <w:szCs w:val="20"/>
      <w:lang w:val="en-US"/>
    </w:rPr>
  </w:style>
  <w:style w:type="paragraph" w:customStyle="1" w:styleId="C-PLR-Title">
    <w:name w:val="C-PLR-Title"/>
    <w:next w:val="C-PLR-BodyText"/>
    <w:rsid w:val="00561530"/>
    <w:pPr>
      <w:spacing w:after="0" w:line="240" w:lineRule="auto"/>
      <w:jc w:val="center"/>
    </w:pPr>
    <w:rPr>
      <w:rFonts w:ascii="Times New Roman" w:eastAsia="Times New Roman" w:hAnsi="Times New Roman" w:cs="Times New Roman"/>
      <w:b/>
      <w:caps/>
      <w:sz w:val="16"/>
      <w:szCs w:val="20"/>
      <w:lang w:val="en-US"/>
    </w:rPr>
  </w:style>
  <w:style w:type="paragraph" w:customStyle="1" w:styleId="C-PLR-TOCTitle">
    <w:name w:val="C-PLR-TOC Title"/>
    <w:next w:val="C-PLR-BodyText"/>
    <w:rsid w:val="00561530"/>
    <w:pPr>
      <w:tabs>
        <w:tab w:val="center" w:leader="underscore" w:pos="2520"/>
        <w:tab w:val="right" w:leader="underscore" w:pos="5040"/>
      </w:tabs>
      <w:spacing w:after="0" w:line="240" w:lineRule="auto"/>
      <w:jc w:val="center"/>
    </w:pPr>
    <w:rPr>
      <w:rFonts w:ascii="Times New Roman" w:eastAsia="Times New Roman" w:hAnsi="Times New Roman" w:cs="Times New Roman"/>
      <w:b/>
      <w:caps/>
      <w:sz w:val="16"/>
      <w:szCs w:val="20"/>
      <w:lang w:val="en-US"/>
    </w:rPr>
  </w:style>
  <w:style w:type="paragraph" w:customStyle="1" w:styleId="C-PLR-TOC1">
    <w:name w:val="C-PLR-TOC 1"/>
    <w:next w:val="C-PLR-BodyText"/>
    <w:rsid w:val="00561530"/>
    <w:pPr>
      <w:spacing w:after="0" w:line="240" w:lineRule="auto"/>
      <w:ind w:left="432" w:hanging="432"/>
    </w:pPr>
    <w:rPr>
      <w:rFonts w:ascii="Times New Roman Bold" w:eastAsia="Times New Roman" w:hAnsi="Times New Roman Bold" w:cs="Times New Roman"/>
      <w:b/>
      <w:caps/>
      <w:color w:val="0000FF"/>
      <w:sz w:val="16"/>
      <w:szCs w:val="20"/>
      <w:lang w:val="en-US"/>
    </w:rPr>
  </w:style>
  <w:style w:type="paragraph" w:customStyle="1" w:styleId="C-PLR-TOC2">
    <w:name w:val="C-PLR-TOC 2"/>
    <w:basedOn w:val="C-PLR-TOC1"/>
    <w:next w:val="C-PLR-BodyText"/>
    <w:rsid w:val="00561530"/>
    <w:pPr>
      <w:ind w:left="864"/>
    </w:pPr>
    <w:rPr>
      <w:rFonts w:ascii="Times New Roman" w:hAnsi="Times New Roman"/>
      <w:b w:val="0"/>
      <w:caps w:val="0"/>
    </w:rPr>
  </w:style>
  <w:style w:type="paragraph" w:customStyle="1" w:styleId="C-PLR-TableFootnote">
    <w:name w:val="C-PLR-Table Footnote"/>
    <w:next w:val="C-PLR-BodyText"/>
    <w:rsid w:val="00561530"/>
    <w:pPr>
      <w:tabs>
        <w:tab w:val="left" w:pos="432"/>
      </w:tabs>
      <w:spacing w:after="0" w:line="240" w:lineRule="auto"/>
      <w:ind w:left="432" w:hanging="432"/>
    </w:pPr>
    <w:rPr>
      <w:rFonts w:ascii="Times New Roman" w:eastAsia="Times New Roman" w:hAnsi="Times New Roman" w:cs="Times New Roman"/>
      <w:sz w:val="16"/>
      <w:szCs w:val="20"/>
      <w:lang w:val="en-US"/>
    </w:rPr>
  </w:style>
  <w:style w:type="character" w:customStyle="1" w:styleId="C-Hyperlink">
    <w:name w:val="C-Hyperlink"/>
    <w:rsid w:val="00561530"/>
    <w:rPr>
      <w:color w:val="0000FF"/>
    </w:rPr>
  </w:style>
  <w:style w:type="table" w:customStyle="1" w:styleId="C-Table">
    <w:name w:val="C-Table"/>
    <w:basedOn w:val="TableNormal"/>
    <w:rsid w:val="00561530"/>
    <w:pPr>
      <w:spacing w:after="0" w:line="240" w:lineRule="auto"/>
    </w:pPr>
    <w:rPr>
      <w:rFonts w:ascii="Times New Roman" w:eastAsia="Times New Roman" w:hAnsi="Times New Roman" w:cs="Times New Roman"/>
      <w:sz w:val="20"/>
      <w:szCs w:val="20"/>
      <w:lang w:val="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Callout">
    <w:name w:val="C-Table Callout"/>
    <w:rsid w:val="00561530"/>
    <w:rPr>
      <w:rFonts w:ascii="Times New Roman" w:hAnsi="Times New Roman"/>
      <w:dstrike w:val="0"/>
      <w:color w:val="auto"/>
      <w:spacing w:val="0"/>
      <w:w w:val="100"/>
      <w:position w:val="-1"/>
      <w:sz w:val="22"/>
      <w:szCs w:val="22"/>
      <w:u w:val="none"/>
      <w:effect w:val="none"/>
      <w:vertAlign w:val="superscript"/>
      <w:em w:val="none"/>
    </w:rPr>
  </w:style>
  <w:style w:type="paragraph" w:customStyle="1" w:styleId="C-PLR-AlphabeticList">
    <w:name w:val="C-PLR-Alphabetic List"/>
    <w:rsid w:val="00561530"/>
    <w:pPr>
      <w:numPr>
        <w:numId w:val="14"/>
      </w:numPr>
      <w:spacing w:after="0" w:line="240" w:lineRule="auto"/>
    </w:pPr>
    <w:rPr>
      <w:rFonts w:ascii="Times New Roman" w:eastAsia="Times New Roman" w:hAnsi="Times New Roman" w:cs="Arial"/>
      <w:sz w:val="16"/>
      <w:szCs w:val="20"/>
      <w:lang w:val="en-US"/>
    </w:rPr>
  </w:style>
  <w:style w:type="paragraph" w:customStyle="1" w:styleId="C-PLR-CaptionContinued">
    <w:name w:val="C-PLR-Caption Continued"/>
    <w:next w:val="C-PLR-BodyText"/>
    <w:rsid w:val="00561530"/>
    <w:pPr>
      <w:keepNext/>
      <w:spacing w:after="0" w:line="240" w:lineRule="auto"/>
      <w:ind w:left="360" w:hanging="360"/>
    </w:pPr>
    <w:rPr>
      <w:rFonts w:ascii="Times New Roman Bold" w:eastAsia="Times New Roman" w:hAnsi="Times New Roman Bold" w:cs="Arial"/>
      <w:b/>
      <w:sz w:val="16"/>
      <w:szCs w:val="20"/>
      <w:lang w:val="en-US"/>
    </w:rPr>
  </w:style>
  <w:style w:type="paragraph" w:customStyle="1" w:styleId="C-PLR-Heading1">
    <w:name w:val="C-PLR-Heading 1"/>
    <w:next w:val="C-PLR-BodyText"/>
    <w:rsid w:val="00561530"/>
    <w:pPr>
      <w:keepNext/>
      <w:numPr>
        <w:numId w:val="13"/>
      </w:numPr>
      <w:tabs>
        <w:tab w:val="clear" w:pos="1080"/>
        <w:tab w:val="left" w:pos="720"/>
      </w:tabs>
      <w:spacing w:after="0" w:line="240" w:lineRule="auto"/>
      <w:ind w:left="720" w:hanging="720"/>
      <w:outlineLvl w:val="0"/>
    </w:pPr>
    <w:rPr>
      <w:rFonts w:ascii="Times New Roman Bold" w:eastAsia="Times New Roman" w:hAnsi="Times New Roman Bold" w:cs="Times New Roman"/>
      <w:caps/>
      <w:sz w:val="16"/>
      <w:szCs w:val="20"/>
      <w:lang w:val="en-US"/>
    </w:rPr>
  </w:style>
  <w:style w:type="paragraph" w:customStyle="1" w:styleId="C-PLR-Heading1nopagebreak">
    <w:name w:val="C-PLR-Heading 1 (no page break)"/>
    <w:basedOn w:val="C-PLR-Heading1"/>
    <w:next w:val="C-PLR-BodyText"/>
    <w:rsid w:val="00561530"/>
  </w:style>
  <w:style w:type="paragraph" w:customStyle="1" w:styleId="C-PLR-Heading2">
    <w:name w:val="C-PLR-Heading 2"/>
    <w:next w:val="C-PLR-BodyText"/>
    <w:rsid w:val="00561530"/>
    <w:pPr>
      <w:numPr>
        <w:ilvl w:val="1"/>
        <w:numId w:val="13"/>
      </w:numPr>
      <w:tabs>
        <w:tab w:val="clear" w:pos="1080"/>
        <w:tab w:val="left" w:pos="720"/>
      </w:tabs>
      <w:spacing w:after="0" w:line="240" w:lineRule="auto"/>
      <w:ind w:left="720" w:hanging="720"/>
      <w:outlineLvl w:val="1"/>
    </w:pPr>
    <w:rPr>
      <w:rFonts w:ascii="Times New Roman Bold" w:eastAsia="Times New Roman" w:hAnsi="Times New Roman Bold" w:cs="Arial"/>
      <w:sz w:val="16"/>
      <w:szCs w:val="20"/>
      <w:lang w:val="en-US"/>
    </w:rPr>
  </w:style>
  <w:style w:type="paragraph" w:customStyle="1" w:styleId="C-PLR-Heading3">
    <w:name w:val="C-PLR-Heading 3"/>
    <w:next w:val="C-PLR-BodyText"/>
    <w:rsid w:val="00561530"/>
    <w:pPr>
      <w:numPr>
        <w:ilvl w:val="2"/>
        <w:numId w:val="13"/>
      </w:numPr>
      <w:tabs>
        <w:tab w:val="clear" w:pos="1080"/>
        <w:tab w:val="left" w:pos="720"/>
      </w:tabs>
      <w:spacing w:after="0" w:line="240" w:lineRule="auto"/>
      <w:ind w:left="720" w:hanging="720"/>
      <w:outlineLvl w:val="2"/>
    </w:pPr>
    <w:rPr>
      <w:rFonts w:ascii="Times New Roman Bold" w:eastAsia="Times New Roman" w:hAnsi="Times New Roman Bold" w:cs="Arial"/>
      <w:sz w:val="16"/>
      <w:szCs w:val="20"/>
      <w:lang w:val="en-US"/>
    </w:rPr>
  </w:style>
  <w:style w:type="paragraph" w:customStyle="1" w:styleId="C-PLR-Heading3non-numbered">
    <w:name w:val="C-PLR-Heading 3 (non-numbered)"/>
    <w:basedOn w:val="C-PLR-Heading3"/>
    <w:next w:val="C-PLR-BodyText"/>
    <w:rsid w:val="00561530"/>
    <w:pPr>
      <w:numPr>
        <w:ilvl w:val="0"/>
        <w:numId w:val="0"/>
      </w:numPr>
      <w:ind w:left="720" w:hanging="720"/>
    </w:pPr>
  </w:style>
  <w:style w:type="paragraph" w:customStyle="1" w:styleId="C-PLR-Heading4">
    <w:name w:val="C-PLR-Heading 4"/>
    <w:next w:val="C-PLR-BodyText"/>
    <w:rsid w:val="00561530"/>
    <w:pPr>
      <w:numPr>
        <w:ilvl w:val="3"/>
        <w:numId w:val="13"/>
      </w:numPr>
      <w:tabs>
        <w:tab w:val="clear" w:pos="1080"/>
        <w:tab w:val="left" w:pos="720"/>
      </w:tabs>
      <w:spacing w:after="0" w:line="240" w:lineRule="auto"/>
      <w:ind w:left="720" w:hanging="720"/>
      <w:outlineLvl w:val="3"/>
    </w:pPr>
    <w:rPr>
      <w:rFonts w:ascii="Times New Roman Bold" w:eastAsia="Times New Roman" w:hAnsi="Times New Roman Bold" w:cs="Arial"/>
      <w:sz w:val="16"/>
      <w:szCs w:val="20"/>
      <w:lang w:val="en-US"/>
    </w:rPr>
  </w:style>
  <w:style w:type="paragraph" w:customStyle="1" w:styleId="C-PLR-Heading4non-numbered">
    <w:name w:val="C-PLR-Heading 4 (non-numbered)"/>
    <w:basedOn w:val="C-PLR-Heading4"/>
    <w:next w:val="C-PLR-BodyText"/>
    <w:rsid w:val="00561530"/>
    <w:pPr>
      <w:numPr>
        <w:ilvl w:val="0"/>
        <w:numId w:val="0"/>
      </w:numPr>
      <w:ind w:left="720" w:hanging="720"/>
    </w:pPr>
  </w:style>
  <w:style w:type="paragraph" w:customStyle="1" w:styleId="C-PLR-Heading5">
    <w:name w:val="C-PLR-Heading 5"/>
    <w:next w:val="C-PLR-BodyText"/>
    <w:rsid w:val="00561530"/>
    <w:pPr>
      <w:numPr>
        <w:ilvl w:val="4"/>
        <w:numId w:val="13"/>
      </w:numPr>
      <w:tabs>
        <w:tab w:val="clear" w:pos="1080"/>
        <w:tab w:val="left" w:pos="720"/>
      </w:tabs>
      <w:spacing w:after="0" w:line="240" w:lineRule="auto"/>
      <w:ind w:left="720" w:hanging="720"/>
      <w:outlineLvl w:val="4"/>
    </w:pPr>
    <w:rPr>
      <w:rFonts w:ascii="Times New Roman Bold" w:eastAsia="Times New Roman" w:hAnsi="Times New Roman Bold" w:cs="Arial"/>
      <w:sz w:val="16"/>
      <w:szCs w:val="20"/>
      <w:lang w:val="en-US"/>
    </w:rPr>
  </w:style>
  <w:style w:type="paragraph" w:customStyle="1" w:styleId="C-PLR-Heading5non-numbered">
    <w:name w:val="C-PLR-Heading 5 (non-numbered)"/>
    <w:basedOn w:val="C-PLR-Heading5"/>
    <w:next w:val="C-PLR-BodyText"/>
    <w:rsid w:val="00561530"/>
    <w:pPr>
      <w:numPr>
        <w:ilvl w:val="0"/>
        <w:numId w:val="0"/>
      </w:numPr>
      <w:ind w:left="720" w:hanging="720"/>
    </w:pPr>
  </w:style>
  <w:style w:type="paragraph" w:customStyle="1" w:styleId="C-PLR-Heading6">
    <w:name w:val="C-PLR-Heading 6"/>
    <w:next w:val="C-PLR-BodyText"/>
    <w:rsid w:val="00561530"/>
    <w:pPr>
      <w:numPr>
        <w:ilvl w:val="5"/>
        <w:numId w:val="13"/>
      </w:numPr>
      <w:tabs>
        <w:tab w:val="clear" w:pos="1080"/>
        <w:tab w:val="left" w:pos="864"/>
      </w:tabs>
      <w:spacing w:after="0" w:line="240" w:lineRule="auto"/>
      <w:ind w:left="864" w:hanging="864"/>
      <w:outlineLvl w:val="5"/>
    </w:pPr>
    <w:rPr>
      <w:rFonts w:ascii="Times New Roman Bold" w:eastAsia="Times New Roman" w:hAnsi="Times New Roman Bold" w:cs="Arial"/>
      <w:sz w:val="16"/>
      <w:szCs w:val="20"/>
      <w:lang w:val="en-US"/>
    </w:rPr>
  </w:style>
  <w:style w:type="paragraph" w:customStyle="1" w:styleId="C-PLR-Heading6non-numbered">
    <w:name w:val="C-PLR-Heading 6 (non-numbered)"/>
    <w:basedOn w:val="C-PLR-Heading6"/>
    <w:next w:val="C-PLR-BodyText"/>
    <w:rsid w:val="00561530"/>
    <w:pPr>
      <w:numPr>
        <w:ilvl w:val="0"/>
        <w:numId w:val="0"/>
      </w:numPr>
      <w:ind w:left="864" w:hanging="864"/>
    </w:pPr>
  </w:style>
  <w:style w:type="paragraph" w:customStyle="1" w:styleId="C-PLR-InstructionText">
    <w:name w:val="C-PLR-Instruction Text"/>
    <w:rsid w:val="00561530"/>
    <w:pPr>
      <w:spacing w:after="0" w:line="240" w:lineRule="auto"/>
    </w:pPr>
    <w:rPr>
      <w:rFonts w:ascii="Times New Roman Bold" w:eastAsia="Times New Roman" w:hAnsi="Times New Roman Bold" w:cs="Arial"/>
      <w:vanish/>
      <w:color w:val="FF0000"/>
      <w:sz w:val="16"/>
      <w:szCs w:val="20"/>
      <w:lang w:val="en-US"/>
    </w:rPr>
  </w:style>
  <w:style w:type="paragraph" w:customStyle="1" w:styleId="C-PLR-TOC3">
    <w:name w:val="C-PLR-TOC 3"/>
    <w:basedOn w:val="C-PLR-TOC1"/>
    <w:next w:val="C-PLR-BodyText"/>
    <w:rsid w:val="00561530"/>
    <w:pPr>
      <w:tabs>
        <w:tab w:val="left" w:pos="432"/>
      </w:tabs>
      <w:ind w:left="864"/>
    </w:pPr>
    <w:rPr>
      <w:rFonts w:ascii="Times New Roman" w:hAnsi="Times New Roman"/>
      <w:b w:val="0"/>
      <w:caps w:val="0"/>
    </w:rPr>
  </w:style>
  <w:style w:type="paragraph" w:customStyle="1" w:styleId="C-PLR-TOC4">
    <w:name w:val="C-PLR-TOC 4"/>
    <w:basedOn w:val="C-PLR-TOC1"/>
    <w:next w:val="C-PLR-BodyText"/>
    <w:rsid w:val="00561530"/>
    <w:pPr>
      <w:tabs>
        <w:tab w:val="left" w:pos="432"/>
      </w:tabs>
      <w:ind w:left="864"/>
    </w:pPr>
    <w:rPr>
      <w:rFonts w:ascii="Times New Roman" w:hAnsi="Times New Roman"/>
      <w:b w:val="0"/>
      <w:caps w:val="0"/>
    </w:rPr>
  </w:style>
  <w:style w:type="paragraph" w:styleId="BodyTextIndent">
    <w:name w:val="Body Text Indent"/>
    <w:basedOn w:val="Normal"/>
    <w:link w:val="BodyTextIndentChar"/>
    <w:rsid w:val="00561530"/>
    <w:pPr>
      <w:spacing w:before="0" w:after="200" w:line="259" w:lineRule="auto"/>
      <w:ind w:left="360"/>
      <w:jc w:val="both"/>
    </w:pPr>
    <w:rPr>
      <w:rFonts w:asciiTheme="minorHAnsi" w:eastAsiaTheme="minorHAnsi" w:hAnsiTheme="minorHAnsi" w:cstheme="minorBidi"/>
    </w:rPr>
  </w:style>
  <w:style w:type="character" w:customStyle="1" w:styleId="BodyTextIndentChar">
    <w:name w:val="Body Text Indent Char"/>
    <w:basedOn w:val="DefaultParagraphFont"/>
    <w:link w:val="BodyTextIndent"/>
    <w:rsid w:val="00561530"/>
  </w:style>
  <w:style w:type="paragraph" w:styleId="BodyTextFirstIndent2">
    <w:name w:val="Body Text First Indent 2"/>
    <w:basedOn w:val="BodyTextIndent"/>
    <w:link w:val="BodyTextFirstIndent2Char"/>
    <w:rsid w:val="00561530"/>
    <w:pPr>
      <w:ind w:firstLine="210"/>
    </w:pPr>
  </w:style>
  <w:style w:type="character" w:customStyle="1" w:styleId="BodyTextFirstIndent2Char">
    <w:name w:val="Body Text First Indent 2 Char"/>
    <w:basedOn w:val="BodyTextIndentChar"/>
    <w:link w:val="BodyTextFirstIndent2"/>
    <w:rsid w:val="00561530"/>
  </w:style>
  <w:style w:type="paragraph" w:customStyle="1" w:styleId="C-PLR-Heading1non-numbered">
    <w:name w:val="C-PLR-Heading 1 (non-numbered)"/>
    <w:basedOn w:val="C-PLR-Heading1"/>
    <w:next w:val="C-PLR-BodyText"/>
    <w:rsid w:val="00561530"/>
    <w:pPr>
      <w:numPr>
        <w:numId w:val="0"/>
      </w:numPr>
      <w:ind w:left="720" w:hanging="720"/>
    </w:pPr>
  </w:style>
  <w:style w:type="paragraph" w:customStyle="1" w:styleId="C-AppendixNumbered">
    <w:name w:val="C-Appendix (Numbered)"/>
    <w:basedOn w:val="C-Appendix"/>
    <w:next w:val="C-BodyText"/>
    <w:rsid w:val="00561530"/>
    <w:pPr>
      <w:numPr>
        <w:numId w:val="16"/>
      </w:numPr>
      <w:tabs>
        <w:tab w:val="left" w:pos="1987"/>
      </w:tabs>
      <w:ind w:left="1987" w:hanging="1987"/>
    </w:pPr>
  </w:style>
  <w:style w:type="numbering" w:customStyle="1" w:styleId="SPNumberedTabs">
    <w:name w:val="SP Numbered Tabs"/>
    <w:rsid w:val="00561530"/>
    <w:pPr>
      <w:numPr>
        <w:numId w:val="17"/>
      </w:numPr>
    </w:pPr>
  </w:style>
  <w:style w:type="numbering" w:customStyle="1" w:styleId="SPBulletTabs">
    <w:name w:val="SP Bullet Tabs"/>
    <w:rsid w:val="00561530"/>
    <w:pPr>
      <w:numPr>
        <w:numId w:val="18"/>
      </w:numPr>
    </w:pPr>
  </w:style>
  <w:style w:type="paragraph" w:customStyle="1" w:styleId="C-Alphabetic">
    <w:name w:val="C-Alphabetic"/>
    <w:basedOn w:val="C-Heading1"/>
    <w:next w:val="C-BodyText"/>
    <w:link w:val="C-AlphabeticChar"/>
    <w:qFormat/>
    <w:rsid w:val="00561530"/>
    <w:pPr>
      <w:numPr>
        <w:numId w:val="20"/>
      </w:numPr>
      <w:tabs>
        <w:tab w:val="left" w:pos="1080"/>
      </w:tabs>
      <w:ind w:left="1080" w:hanging="1080"/>
    </w:pPr>
  </w:style>
  <w:style w:type="paragraph" w:customStyle="1" w:styleId="C-Footnote">
    <w:name w:val="C-Footnote"/>
    <w:basedOn w:val="C-TableFootnote"/>
    <w:qFormat/>
    <w:rsid w:val="00561530"/>
    <w:pPr>
      <w:ind w:left="0" w:firstLine="0"/>
    </w:pPr>
  </w:style>
  <w:style w:type="character" w:customStyle="1" w:styleId="C-Heading1Char">
    <w:name w:val="C-Heading 1 Char"/>
    <w:link w:val="C-Heading1"/>
    <w:rsid w:val="00561530"/>
    <w:rPr>
      <w:rFonts w:ascii="Times New Roman" w:eastAsia="Times New Roman" w:hAnsi="Times New Roman" w:cs="Times New Roman"/>
      <w:b/>
      <w:caps/>
      <w:sz w:val="28"/>
      <w:szCs w:val="20"/>
      <w:lang w:val="en-US"/>
    </w:rPr>
  </w:style>
  <w:style w:type="character" w:customStyle="1" w:styleId="C-AlphabeticChar">
    <w:name w:val="C-Alphabetic Char"/>
    <w:basedOn w:val="C-Heading1Char"/>
    <w:link w:val="C-Alphabetic"/>
    <w:rsid w:val="00561530"/>
    <w:rPr>
      <w:rFonts w:ascii="Times New Roman" w:eastAsia="Times New Roman" w:hAnsi="Times New Roman" w:cs="Times New Roman"/>
      <w:b/>
      <w:caps/>
      <w:sz w:val="28"/>
      <w:szCs w:val="20"/>
      <w:lang w:val="en-US"/>
    </w:rPr>
  </w:style>
  <w:style w:type="table" w:styleId="LightGrid">
    <w:name w:val="Light Grid"/>
    <w:basedOn w:val="TableNormal"/>
    <w:uiPriority w:val="62"/>
    <w:rsid w:val="005615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Questions Char,List Paragraph1 Char,Question Char,Paragrafo elenco Char"/>
    <w:link w:val="ListParagraph"/>
    <w:uiPriority w:val="34"/>
    <w:locked/>
    <w:rsid w:val="00561530"/>
    <w:rPr>
      <w:rFonts w:ascii="Cambria" w:eastAsia="Cambria" w:hAnsi="Cambria" w:cs="Times New Roman"/>
    </w:rPr>
  </w:style>
  <w:style w:type="character" w:customStyle="1" w:styleId="C-BodyTextChar">
    <w:name w:val="C-Body Text Char"/>
    <w:basedOn w:val="DefaultParagraphFont"/>
    <w:link w:val="C-BodyText"/>
    <w:rsid w:val="00561530"/>
    <w:rPr>
      <w:rFonts w:ascii="Times New Roman" w:eastAsia="Times New Roman" w:hAnsi="Times New Roman" w:cs="Times New Roman"/>
      <w:sz w:val="24"/>
      <w:szCs w:val="20"/>
      <w:lang w:val="en-US"/>
    </w:rPr>
  </w:style>
  <w:style w:type="character" w:customStyle="1" w:styleId="C-TableTextChar">
    <w:name w:val="C-Table Text Char"/>
    <w:link w:val="C-TableText"/>
    <w:rsid w:val="00561530"/>
    <w:rPr>
      <w:rFonts w:ascii="Times New Roman" w:eastAsia="Times New Roman" w:hAnsi="Times New Roman" w:cs="Times New Roman"/>
      <w:szCs w:val="20"/>
      <w:lang w:val="en-US"/>
    </w:rPr>
  </w:style>
  <w:style w:type="character" w:customStyle="1" w:styleId="C-TableHeaderChar">
    <w:name w:val="C-Table Header Char"/>
    <w:link w:val="C-TableHeader"/>
    <w:rsid w:val="00561530"/>
    <w:rPr>
      <w:rFonts w:ascii="Times New Roman" w:eastAsia="Times New Roman" w:hAnsi="Times New Roman" w:cs="Times New Roman"/>
      <w:b/>
      <w:szCs w:val="20"/>
      <w:lang w:val="en-US"/>
    </w:rPr>
  </w:style>
  <w:style w:type="paragraph" w:styleId="NoSpacing">
    <w:name w:val="No Spacing"/>
    <w:uiPriority w:val="1"/>
    <w:qFormat/>
    <w:rsid w:val="00561530"/>
    <w:pPr>
      <w:spacing w:after="0" w:line="240" w:lineRule="auto"/>
      <w:jc w:val="both"/>
    </w:pPr>
    <w:rPr>
      <w:rFonts w:ascii="Times New Roman" w:hAnsi="Times New Roman"/>
    </w:rPr>
  </w:style>
  <w:style w:type="character" w:styleId="UnresolvedMention">
    <w:name w:val="Unresolved Mention"/>
    <w:basedOn w:val="DefaultParagraphFont"/>
    <w:uiPriority w:val="99"/>
    <w:semiHidden/>
    <w:unhideWhenUsed/>
    <w:rsid w:val="00886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75933">
      <w:bodyDiv w:val="1"/>
      <w:marLeft w:val="0"/>
      <w:marRight w:val="0"/>
      <w:marTop w:val="0"/>
      <w:marBottom w:val="0"/>
      <w:divBdr>
        <w:top w:val="none" w:sz="0" w:space="0" w:color="auto"/>
        <w:left w:val="none" w:sz="0" w:space="0" w:color="auto"/>
        <w:bottom w:val="none" w:sz="0" w:space="0" w:color="auto"/>
        <w:right w:val="none" w:sz="0" w:space="0" w:color="auto"/>
      </w:divBdr>
      <w:divsChild>
        <w:div w:id="1550454439">
          <w:marLeft w:val="0"/>
          <w:marRight w:val="0"/>
          <w:marTop w:val="90"/>
          <w:marBottom w:val="0"/>
          <w:divBdr>
            <w:top w:val="none" w:sz="0" w:space="0" w:color="auto"/>
            <w:left w:val="none" w:sz="0" w:space="0" w:color="auto"/>
            <w:bottom w:val="none" w:sz="0" w:space="0" w:color="auto"/>
            <w:right w:val="none" w:sz="0" w:space="0" w:color="auto"/>
          </w:divBdr>
          <w:divsChild>
            <w:div w:id="498547758">
              <w:marLeft w:val="0"/>
              <w:marRight w:val="0"/>
              <w:marTop w:val="0"/>
              <w:marBottom w:val="0"/>
              <w:divBdr>
                <w:top w:val="none" w:sz="0" w:space="0" w:color="auto"/>
                <w:left w:val="none" w:sz="0" w:space="0" w:color="auto"/>
                <w:bottom w:val="none" w:sz="0" w:space="0" w:color="auto"/>
                <w:right w:val="none" w:sz="0" w:space="0" w:color="auto"/>
              </w:divBdr>
              <w:divsChild>
                <w:div w:id="12862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4222">
          <w:marLeft w:val="0"/>
          <w:marRight w:val="0"/>
          <w:marTop w:val="0"/>
          <w:marBottom w:val="0"/>
          <w:divBdr>
            <w:top w:val="none" w:sz="0" w:space="0" w:color="auto"/>
            <w:left w:val="none" w:sz="0" w:space="0" w:color="auto"/>
            <w:bottom w:val="none" w:sz="0" w:space="0" w:color="auto"/>
            <w:right w:val="none" w:sz="0" w:space="0" w:color="auto"/>
          </w:divBdr>
          <w:divsChild>
            <w:div w:id="1256129938">
              <w:marLeft w:val="0"/>
              <w:marRight w:val="0"/>
              <w:marTop w:val="0"/>
              <w:marBottom w:val="0"/>
              <w:divBdr>
                <w:top w:val="none" w:sz="0" w:space="0" w:color="auto"/>
                <w:left w:val="none" w:sz="0" w:space="0" w:color="auto"/>
                <w:bottom w:val="none" w:sz="0" w:space="0" w:color="auto"/>
                <w:right w:val="none" w:sz="0" w:space="0" w:color="auto"/>
              </w:divBdr>
              <w:divsChild>
                <w:div w:id="6297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2197">
          <w:marLeft w:val="0"/>
          <w:marRight w:val="0"/>
          <w:marTop w:val="0"/>
          <w:marBottom w:val="0"/>
          <w:divBdr>
            <w:top w:val="none" w:sz="0" w:space="0" w:color="auto"/>
            <w:left w:val="none" w:sz="0" w:space="0" w:color="auto"/>
            <w:bottom w:val="none" w:sz="0" w:space="0" w:color="auto"/>
            <w:right w:val="none" w:sz="0" w:space="0" w:color="auto"/>
          </w:divBdr>
          <w:divsChild>
            <w:div w:id="828250453">
              <w:marLeft w:val="0"/>
              <w:marRight w:val="0"/>
              <w:marTop w:val="0"/>
              <w:marBottom w:val="0"/>
              <w:divBdr>
                <w:top w:val="none" w:sz="0" w:space="0" w:color="auto"/>
                <w:left w:val="none" w:sz="0" w:space="0" w:color="auto"/>
                <w:bottom w:val="none" w:sz="0" w:space="0" w:color="auto"/>
                <w:right w:val="none" w:sz="0" w:space="0" w:color="auto"/>
              </w:divBdr>
              <w:divsChild>
                <w:div w:id="8715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3733">
          <w:marLeft w:val="0"/>
          <w:marRight w:val="0"/>
          <w:marTop w:val="0"/>
          <w:marBottom w:val="0"/>
          <w:divBdr>
            <w:top w:val="none" w:sz="0" w:space="0" w:color="auto"/>
            <w:left w:val="none" w:sz="0" w:space="0" w:color="auto"/>
            <w:bottom w:val="none" w:sz="0" w:space="0" w:color="auto"/>
            <w:right w:val="none" w:sz="0" w:space="0" w:color="auto"/>
          </w:divBdr>
          <w:divsChild>
            <w:div w:id="1754626439">
              <w:marLeft w:val="0"/>
              <w:marRight w:val="0"/>
              <w:marTop w:val="0"/>
              <w:marBottom w:val="0"/>
              <w:divBdr>
                <w:top w:val="none" w:sz="0" w:space="0" w:color="auto"/>
                <w:left w:val="none" w:sz="0" w:space="0" w:color="auto"/>
                <w:bottom w:val="none" w:sz="0" w:space="0" w:color="auto"/>
                <w:right w:val="none" w:sz="0" w:space="0" w:color="auto"/>
              </w:divBdr>
              <w:divsChild>
                <w:div w:id="111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4758">
          <w:marLeft w:val="0"/>
          <w:marRight w:val="0"/>
          <w:marTop w:val="0"/>
          <w:marBottom w:val="0"/>
          <w:divBdr>
            <w:top w:val="none" w:sz="0" w:space="0" w:color="auto"/>
            <w:left w:val="none" w:sz="0" w:space="0" w:color="auto"/>
            <w:bottom w:val="none" w:sz="0" w:space="0" w:color="auto"/>
            <w:right w:val="none" w:sz="0" w:space="0" w:color="auto"/>
          </w:divBdr>
          <w:divsChild>
            <w:div w:id="357052165">
              <w:marLeft w:val="0"/>
              <w:marRight w:val="0"/>
              <w:marTop w:val="0"/>
              <w:marBottom w:val="0"/>
              <w:divBdr>
                <w:top w:val="none" w:sz="0" w:space="0" w:color="auto"/>
                <w:left w:val="none" w:sz="0" w:space="0" w:color="auto"/>
                <w:bottom w:val="none" w:sz="0" w:space="0" w:color="auto"/>
                <w:right w:val="none" w:sz="0" w:space="0" w:color="auto"/>
              </w:divBdr>
              <w:divsChild>
                <w:div w:id="8078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7217">
      <w:bodyDiv w:val="1"/>
      <w:marLeft w:val="0"/>
      <w:marRight w:val="0"/>
      <w:marTop w:val="0"/>
      <w:marBottom w:val="0"/>
      <w:divBdr>
        <w:top w:val="none" w:sz="0" w:space="0" w:color="auto"/>
        <w:left w:val="none" w:sz="0" w:space="0" w:color="auto"/>
        <w:bottom w:val="none" w:sz="0" w:space="0" w:color="auto"/>
        <w:right w:val="none" w:sz="0" w:space="0" w:color="auto"/>
      </w:divBdr>
    </w:div>
    <w:div w:id="862208588">
      <w:bodyDiv w:val="1"/>
      <w:marLeft w:val="0"/>
      <w:marRight w:val="0"/>
      <w:marTop w:val="0"/>
      <w:marBottom w:val="0"/>
      <w:divBdr>
        <w:top w:val="none" w:sz="0" w:space="0" w:color="auto"/>
        <w:left w:val="none" w:sz="0" w:space="0" w:color="auto"/>
        <w:bottom w:val="none" w:sz="0" w:space="0" w:color="auto"/>
        <w:right w:val="none" w:sz="0" w:space="0" w:color="auto"/>
      </w:divBdr>
      <w:divsChild>
        <w:div w:id="273292758">
          <w:marLeft w:val="0"/>
          <w:marRight w:val="0"/>
          <w:marTop w:val="0"/>
          <w:marBottom w:val="0"/>
          <w:divBdr>
            <w:top w:val="none" w:sz="0" w:space="0" w:color="auto"/>
            <w:left w:val="none" w:sz="0" w:space="0" w:color="auto"/>
            <w:bottom w:val="none" w:sz="0" w:space="0" w:color="auto"/>
            <w:right w:val="none" w:sz="0" w:space="0" w:color="auto"/>
          </w:divBdr>
        </w:div>
      </w:divsChild>
    </w:div>
    <w:div w:id="21178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www.tga.gov.au/reporting-problems"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yperlink" Target="https://www.tga.gov.au/product-information-pi" TargetMode="External"/><Relationship Id="rId37" Type="http://schemas.openxmlformats.org/officeDocument/2006/relationships/hyperlink" Target="https://www.tga.gov.au/reporting-problems" TargetMode="External"/><Relationship Id="rId40" Type="http://schemas.openxmlformats.org/officeDocument/2006/relationships/hyperlink" Target="mailto:info@tga.gov.au" TargetMode="Externa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ga.gov.au/committee/advisory-committee-medicines-acm" TargetMode="External"/><Relationship Id="rId1" Type="http://schemas.openxmlformats.org/officeDocument/2006/relationships/hyperlink" Target="https://www.aihw.gov.au/about-our-data/our-data-collections/australian-cancer-datab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header7.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4AE41-2F8B-4509-B5F2-5C58480E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84</Pages>
  <Words>29453</Words>
  <Characters>167884</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196944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Luspatercept</dc:title>
  <dc:subject>prescription medicines</dc:subject>
  <dc:creator>Therapeutic Goods Administration</dc:creator>
  <cp:keywords/>
  <cp:lastPrinted>2019-08-14T04:30:00Z</cp:lastPrinted>
  <dcterms:created xsi:type="dcterms:W3CDTF">2022-04-28T01:57:00Z</dcterms:created>
  <dcterms:modified xsi:type="dcterms:W3CDTF">2022-04-28T03:45:00Z</dcterms:modified>
  <cp:category/>
</cp:coreProperties>
</file>